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line="540" w:lineRule="exact"/>
        <w:jc w:val="center"/>
        <w:rPr>
          <w:rFonts w:hint="eastAsia" w:ascii="小标宋" w:hAnsi="小标宋" w:eastAsia="小标宋" w:cs="小标宋"/>
          <w:sz w:val="40"/>
          <w:szCs w:val="32"/>
          <w:lang w:val="en-US"/>
        </w:rPr>
      </w:pPr>
      <w:r>
        <w:rPr>
          <w:rStyle w:val="9"/>
          <w:rFonts w:hint="eastAsia" w:ascii="小标宋" w:hAnsi="小标宋" w:eastAsia="小标宋" w:cs="小标宋"/>
          <w:sz w:val="40"/>
          <w:szCs w:val="32"/>
          <w:lang w:eastAsia="zh-CN"/>
        </w:rPr>
        <w:t xml:space="preserve">事业运行项目支出绩效自评表 </w:t>
      </w:r>
    </w:p>
    <w:p>
      <w:pPr>
        <w:keepNext w:val="0"/>
        <w:keepLines w:val="0"/>
        <w:widowControl w:val="0"/>
        <w:suppressLineNumbers w:val="0"/>
        <w:spacing w:before="0" w:beforeAutospacing="0" w:after="579" w:afterLines="100" w:afterAutospacing="0" w:line="540" w:lineRule="exact"/>
        <w:ind w:left="0" w:right="0"/>
        <w:jc w:val="center"/>
        <w:rPr>
          <w:rFonts w:hint="eastAsia" w:ascii="小标宋" w:hAnsi="小标宋" w:eastAsia="小标宋" w:cs="小标宋"/>
          <w:lang w:val="en-US"/>
        </w:rPr>
      </w:pPr>
      <w:r>
        <w:rPr>
          <w:rFonts w:hint="eastAsia" w:ascii="小标宋" w:hAnsi="小标宋" w:eastAsia="小标宋" w:cs="小标宋"/>
          <w:kern w:val="2"/>
          <w:sz w:val="32"/>
          <w:szCs w:val="32"/>
          <w:lang w:val="en-US" w:eastAsia="zh-CN" w:bidi="ar"/>
        </w:rPr>
        <w:t>（2022年度）</w:t>
      </w:r>
    </w:p>
    <w:tbl>
      <w:tblPr>
        <w:tblStyle w:val="5"/>
        <w:tblW w:w="0" w:type="auto"/>
        <w:jc w:val="center"/>
        <w:shd w:val="clear" w:color="auto" w:fill="auto"/>
        <w:tblLayout w:type="fixed"/>
        <w:tblCellMar>
          <w:top w:w="0" w:type="dxa"/>
          <w:left w:w="108" w:type="dxa"/>
          <w:bottom w:w="0" w:type="dxa"/>
          <w:right w:w="108" w:type="dxa"/>
        </w:tblCellMar>
      </w:tblPr>
      <w:tblGrid>
        <w:gridCol w:w="585"/>
        <w:gridCol w:w="769"/>
        <w:gridCol w:w="207"/>
        <w:gridCol w:w="563"/>
        <w:gridCol w:w="912"/>
        <w:gridCol w:w="365"/>
        <w:gridCol w:w="266"/>
        <w:gridCol w:w="645"/>
        <w:gridCol w:w="224"/>
        <w:gridCol w:w="675"/>
        <w:gridCol w:w="460"/>
        <w:gridCol w:w="300"/>
        <w:gridCol w:w="835"/>
        <w:gridCol w:w="65"/>
        <w:gridCol w:w="675"/>
        <w:gridCol w:w="63"/>
        <w:gridCol w:w="672"/>
        <w:gridCol w:w="15"/>
        <w:gridCol w:w="70"/>
        <w:gridCol w:w="712"/>
      </w:tblGrid>
      <w:tr>
        <w:tblPrEx>
          <w:shd w:val="clear" w:color="auto" w:fill="auto"/>
          <w:tblCellMar>
            <w:top w:w="0" w:type="dxa"/>
            <w:left w:w="108" w:type="dxa"/>
            <w:bottom w:w="0" w:type="dxa"/>
            <w:right w:w="108" w:type="dxa"/>
          </w:tblCellMar>
        </w:tblPrEx>
        <w:trPr>
          <w:trHeight w:val="567" w:hRule="atLeast"/>
          <w:jc w:val="center"/>
        </w:trPr>
        <w:tc>
          <w:tcPr>
            <w:tcW w:w="15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项目名称</w:t>
            </w:r>
          </w:p>
        </w:tc>
        <w:tc>
          <w:tcPr>
            <w:tcW w:w="7517" w:type="dxa"/>
            <w:gridSpan w:val="1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46000021Y000000006717-事业运行</w:t>
            </w:r>
          </w:p>
        </w:tc>
      </w:tr>
      <w:tr>
        <w:tblPrEx>
          <w:tblCellMar>
            <w:top w:w="0" w:type="dxa"/>
            <w:left w:w="108" w:type="dxa"/>
            <w:bottom w:w="0" w:type="dxa"/>
            <w:right w:w="108" w:type="dxa"/>
          </w:tblCellMar>
        </w:tblPrEx>
        <w:trPr>
          <w:trHeight w:val="567" w:hRule="atLeast"/>
          <w:jc w:val="center"/>
        </w:trPr>
        <w:tc>
          <w:tcPr>
            <w:tcW w:w="15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主管部门</w:t>
            </w:r>
          </w:p>
        </w:tc>
        <w:tc>
          <w:tcPr>
            <w:tcW w:w="41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404-省药品监督管理局</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实施单位</w:t>
            </w:r>
          </w:p>
        </w:tc>
        <w:tc>
          <w:tcPr>
            <w:tcW w:w="227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404007-省药品查验中心</w:t>
            </w:r>
          </w:p>
        </w:tc>
      </w:tr>
      <w:tr>
        <w:tblPrEx>
          <w:tblCellMar>
            <w:top w:w="0" w:type="dxa"/>
            <w:left w:w="108" w:type="dxa"/>
            <w:bottom w:w="0" w:type="dxa"/>
            <w:right w:w="108" w:type="dxa"/>
          </w:tblCellMar>
        </w:tblPrEx>
        <w:trPr>
          <w:trHeight w:val="434" w:hRule="atLeast"/>
          <w:jc w:val="center"/>
        </w:trPr>
        <w:tc>
          <w:tcPr>
            <w:tcW w:w="156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项目资金</w:t>
            </w:r>
            <w:r>
              <w:rPr>
                <w:rFonts w:hint="eastAsia" w:ascii="宋体" w:hAnsi="宋体" w:eastAsia="宋体" w:cs="宋体"/>
                <w:kern w:val="2"/>
                <w:sz w:val="18"/>
                <w:szCs w:val="18"/>
                <w:lang w:val="en-US" w:eastAsia="zh-CN" w:bidi="ar"/>
              </w:rPr>
              <w:br w:type="textWrapping"/>
            </w:r>
            <w:r>
              <w:rPr>
                <w:rFonts w:hint="eastAsia" w:ascii="宋体" w:hAnsi="宋体" w:eastAsia="宋体" w:cs="宋体"/>
                <w:kern w:val="2"/>
                <w:sz w:val="18"/>
                <w:szCs w:val="18"/>
                <w:lang w:val="en-US" w:eastAsia="zh-CN" w:bidi="ar"/>
              </w:rPr>
              <w:t>（元）</w:t>
            </w:r>
          </w:p>
        </w:tc>
        <w:tc>
          <w:tcPr>
            <w:tcW w:w="18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1135"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年初预算数</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全年预算数</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全年执行数</w:t>
            </w:r>
          </w:p>
        </w:tc>
        <w:tc>
          <w:tcPr>
            <w:tcW w:w="803"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分值</w:t>
            </w:r>
          </w:p>
        </w:tc>
        <w:tc>
          <w:tcPr>
            <w:tcW w:w="7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执行率</w:t>
            </w:r>
          </w:p>
        </w:tc>
        <w:tc>
          <w:tcPr>
            <w:tcW w:w="7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得分</w:t>
            </w:r>
          </w:p>
        </w:tc>
      </w:tr>
      <w:tr>
        <w:tblPrEx>
          <w:tblCellMar>
            <w:top w:w="0" w:type="dxa"/>
            <w:left w:w="108" w:type="dxa"/>
            <w:bottom w:w="0" w:type="dxa"/>
            <w:right w:w="108" w:type="dxa"/>
          </w:tblCellMar>
        </w:tblPrEx>
        <w:trPr>
          <w:trHeight w:val="285" w:hRule="atLeast"/>
          <w:jc w:val="center"/>
        </w:trPr>
        <w:tc>
          <w:tcPr>
            <w:tcW w:w="156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年度资金总额</w:t>
            </w:r>
          </w:p>
        </w:tc>
        <w:tc>
          <w:tcPr>
            <w:tcW w:w="1135"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774,100.00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684,100.00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608,369.32</w:t>
            </w:r>
          </w:p>
        </w:tc>
        <w:tc>
          <w:tcPr>
            <w:tcW w:w="803"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 xml:space="preserve">10.00 </w:t>
            </w:r>
          </w:p>
        </w:tc>
        <w:tc>
          <w:tcPr>
            <w:tcW w:w="7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88.93</w:t>
            </w:r>
          </w:p>
        </w:tc>
        <w:tc>
          <w:tcPr>
            <w:tcW w:w="7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宋体" w:eastAsia="等线" w:cs="宋体"/>
                <w:color w:val="000000"/>
                <w:kern w:val="2"/>
                <w:sz w:val="18"/>
                <w:szCs w:val="22"/>
                <w:lang w:val="en-US" w:eastAsia="zh-CN" w:bidi="ar"/>
              </w:rPr>
              <w:t>8.89</w:t>
            </w:r>
          </w:p>
        </w:tc>
      </w:tr>
      <w:tr>
        <w:tblPrEx>
          <w:tblCellMar>
            <w:top w:w="0" w:type="dxa"/>
            <w:left w:w="108" w:type="dxa"/>
            <w:bottom w:w="0" w:type="dxa"/>
            <w:right w:w="108" w:type="dxa"/>
          </w:tblCellMar>
        </w:tblPrEx>
        <w:trPr>
          <w:trHeight w:val="406" w:hRule="atLeast"/>
          <w:jc w:val="center"/>
        </w:trPr>
        <w:tc>
          <w:tcPr>
            <w:tcW w:w="156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其中：当年财政拨款</w:t>
            </w:r>
          </w:p>
        </w:tc>
        <w:tc>
          <w:tcPr>
            <w:tcW w:w="1135"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774,100.00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684,100.00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608,369.32</w:t>
            </w:r>
          </w:p>
        </w:tc>
        <w:tc>
          <w:tcPr>
            <w:tcW w:w="803"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p>
        </w:tc>
        <w:tc>
          <w:tcPr>
            <w:tcW w:w="7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r>
              <w:rPr>
                <w:rFonts w:hint="eastAsia" w:ascii="等线" w:hAnsi="等线" w:eastAsia="等线" w:cs="等线"/>
                <w:color w:val="000000"/>
                <w:kern w:val="2"/>
                <w:sz w:val="18"/>
                <w:szCs w:val="22"/>
                <w:lang w:val="en-US" w:eastAsia="zh-CN" w:bidi="ar"/>
              </w:rPr>
              <w:t>88.93</w:t>
            </w:r>
          </w:p>
        </w:tc>
        <w:tc>
          <w:tcPr>
            <w:tcW w:w="7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等线" w:hAnsi="宋体" w:eastAsia="等线" w:cs="宋体"/>
                <w:color w:val="000000"/>
                <w:sz w:val="18"/>
                <w:szCs w:val="22"/>
                <w:lang w:val="en-US"/>
              </w:rPr>
            </w:pPr>
          </w:p>
        </w:tc>
      </w:tr>
      <w:tr>
        <w:tblPrEx>
          <w:tblCellMar>
            <w:top w:w="0" w:type="dxa"/>
            <w:left w:w="108" w:type="dxa"/>
            <w:bottom w:w="0" w:type="dxa"/>
            <w:right w:w="108" w:type="dxa"/>
          </w:tblCellMar>
        </w:tblPrEx>
        <w:trPr>
          <w:trHeight w:val="528" w:hRule="atLeast"/>
          <w:jc w:val="center"/>
        </w:trPr>
        <w:tc>
          <w:tcPr>
            <w:tcW w:w="156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上年结转资金</w:t>
            </w:r>
          </w:p>
        </w:tc>
        <w:tc>
          <w:tcPr>
            <w:tcW w:w="1135"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803"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p>
        </w:tc>
        <w:tc>
          <w:tcPr>
            <w:tcW w:w="7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7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p>
        </w:tc>
      </w:tr>
      <w:tr>
        <w:tblPrEx>
          <w:tblCellMar>
            <w:top w:w="0" w:type="dxa"/>
            <w:left w:w="108" w:type="dxa"/>
            <w:bottom w:w="0" w:type="dxa"/>
            <w:right w:w="108" w:type="dxa"/>
          </w:tblCellMar>
        </w:tblPrEx>
        <w:trPr>
          <w:trHeight w:val="409" w:hRule="atLeast"/>
          <w:jc w:val="center"/>
        </w:trPr>
        <w:tc>
          <w:tcPr>
            <w:tcW w:w="1561"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其他资金</w:t>
            </w:r>
          </w:p>
        </w:tc>
        <w:tc>
          <w:tcPr>
            <w:tcW w:w="1135"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11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803"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p>
        </w:tc>
        <w:tc>
          <w:tcPr>
            <w:tcW w:w="7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0</w:t>
            </w:r>
          </w:p>
        </w:tc>
        <w:tc>
          <w:tcPr>
            <w:tcW w:w="7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p>
        </w:tc>
      </w:tr>
      <w:tr>
        <w:tblPrEx>
          <w:tblCellMar>
            <w:top w:w="0" w:type="dxa"/>
            <w:left w:w="108" w:type="dxa"/>
            <w:bottom w:w="0" w:type="dxa"/>
            <w:right w:w="108" w:type="dxa"/>
          </w:tblCellMar>
        </w:tblPrEx>
        <w:trPr>
          <w:trHeight w:val="567" w:hRule="atLeast"/>
          <w:jc w:val="center"/>
        </w:trPr>
        <w:tc>
          <w:tcPr>
            <w:tcW w:w="5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年度总体目标</w:t>
            </w:r>
          </w:p>
        </w:tc>
        <w:tc>
          <w:tcPr>
            <w:tcW w:w="372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预期目标</w:t>
            </w:r>
          </w:p>
        </w:tc>
        <w:tc>
          <w:tcPr>
            <w:tcW w:w="4766"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实际完成情况</w:t>
            </w:r>
          </w:p>
        </w:tc>
      </w:tr>
      <w:tr>
        <w:tblPrEx>
          <w:tblCellMar>
            <w:top w:w="0" w:type="dxa"/>
            <w:left w:w="108" w:type="dxa"/>
            <w:bottom w:w="0" w:type="dxa"/>
            <w:right w:w="108" w:type="dxa"/>
          </w:tblCellMar>
        </w:tblPrEx>
        <w:trPr>
          <w:trHeight w:val="680" w:hRule="atLeast"/>
          <w:jc w:val="center"/>
        </w:trPr>
        <w:tc>
          <w:tcPr>
            <w:tcW w:w="58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727"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tabs>
                <w:tab w:val="left" w:pos="780"/>
                <w:tab w:val="left" w:pos="900"/>
              </w:tabs>
              <w:autoSpaceDE w:val="0"/>
              <w:autoSpaceDN w:val="0"/>
              <w:spacing w:before="0" w:beforeAutospacing="0" w:after="0" w:afterAutospacing="0" w:line="240" w:lineRule="exact"/>
              <w:ind w:left="0" w:right="0"/>
              <w:jc w:val="both"/>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1.受省局委托，2022年完成药品批发和零售连锁企业总部GSP检查150家；</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2.受省局委托，2022年完成化妆品备案技术审核30个品种；</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3.受省局委托,2022年完成化妆品现场检查14家；</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4.受省局委托,2022年完成《药品生产许可证》许可事项现场检查20家次；</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5.受省局委托,2022年完成药品相关质量管理规范（GMP）符合性现场检查25家次；</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6.受省局委托,2022年完成药品生产企业持续合规性现场检查48家次；</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7.受省局委托,2022年完成药品临床试验机构和非临床试验机构日常监督检查12家次；</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8.受省局委托,2022年完成医疗机构放射性药品使用许可现场检查5家次；</w:t>
            </w:r>
            <w:r>
              <w:rPr>
                <w:rFonts w:hint="eastAsia" w:ascii="宋体" w:hAnsi="宋体" w:eastAsia="宋体" w:cs="宋体"/>
                <w:color w:val="000000"/>
                <w:kern w:val="2"/>
                <w:sz w:val="18"/>
                <w:szCs w:val="18"/>
                <w:lang w:val="en-US" w:eastAsia="zh-CN" w:bidi="ar"/>
              </w:rPr>
              <w:br w:type="textWrapping"/>
            </w:r>
            <w:r>
              <w:rPr>
                <w:rFonts w:hint="eastAsia" w:ascii="宋体" w:hAnsi="宋体" w:eastAsia="宋体" w:cs="宋体"/>
                <w:color w:val="000000"/>
                <w:kern w:val="2"/>
                <w:sz w:val="18"/>
                <w:szCs w:val="18"/>
                <w:lang w:val="en-US" w:eastAsia="zh-CN" w:bidi="ar"/>
              </w:rPr>
              <w:t>9.受省局委托,2022年完成药品有因检查和专项检查20家次。</w:t>
            </w:r>
          </w:p>
        </w:tc>
        <w:tc>
          <w:tcPr>
            <w:tcW w:w="4766" w:type="dxa"/>
            <w:gridSpan w:val="12"/>
            <w:tcBorders>
              <w:top w:val="single" w:color="auto" w:sz="4" w:space="0"/>
              <w:left w:val="nil"/>
              <w:bottom w:val="single" w:color="auto" w:sz="4" w:space="0"/>
              <w:right w:val="single" w:color="auto" w:sz="4" w:space="0"/>
            </w:tcBorders>
            <w:shd w:val="clear" w:color="auto" w:fill="auto"/>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0" w:right="0" w:firstLine="0"/>
              <w:jc w:val="both"/>
              <w:textAlignment w:val="auto"/>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1.药品经营方面：2022年完成现场检查469家次。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0" w:right="0" w:firstLine="0"/>
              <w:jc w:val="both"/>
              <w:textAlignment w:val="auto"/>
              <w:rPr>
                <w:rFonts w:hint="eastAsia" w:ascii="宋体" w:hAnsi="宋体" w:eastAsia="宋体" w:cs="宋体"/>
                <w:color w:val="000000"/>
                <w:kern w:val="2"/>
                <w:sz w:val="18"/>
                <w:szCs w:val="18"/>
                <w:lang w:val="en-US" w:eastAsia="zh-CN" w:bidi="ar"/>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0" w:right="0" w:firstLine="0"/>
              <w:jc w:val="both"/>
              <w:textAlignment w:val="auto"/>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化妆品生产方面：2022年完成现场检查59家次。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Chars="0" w:right="0" w:rightChars="0"/>
              <w:jc w:val="both"/>
              <w:textAlignment w:val="auto"/>
              <w:rPr>
                <w:rFonts w:hint="eastAsia" w:ascii="宋体" w:hAnsi="宋体" w:eastAsia="宋体" w:cs="宋体"/>
                <w:color w:val="000000"/>
                <w:kern w:val="2"/>
                <w:sz w:val="18"/>
                <w:szCs w:val="18"/>
                <w:lang w:val="en-US" w:eastAsia="zh-CN" w:bidi="ar"/>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0" w:leftChars="0" w:right="0" w:firstLine="0" w:firstLineChars="0"/>
              <w:jc w:val="both"/>
              <w:textAlignment w:val="auto"/>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药品生产方面：2022年完成现场检查238家次。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Chars="0" w:right="0" w:rightChars="0"/>
              <w:jc w:val="both"/>
              <w:textAlignment w:val="auto"/>
              <w:rPr>
                <w:rFonts w:hint="eastAsia" w:ascii="宋体" w:hAnsi="宋体" w:eastAsia="宋体" w:cs="宋体"/>
                <w:color w:val="000000"/>
                <w:kern w:val="2"/>
                <w:sz w:val="18"/>
                <w:szCs w:val="18"/>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exact"/>
              <w:ind w:left="0" w:right="0" w:firstLine="0"/>
              <w:jc w:val="both"/>
              <w:textAlignment w:val="auto"/>
              <w:rPr>
                <w:rFonts w:hint="eastAsia"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4.医疗器械生产方面：2022年完成现场检查169家次。</w:t>
            </w:r>
          </w:p>
          <w:p>
            <w:pPr>
              <w:keepNext w:val="0"/>
              <w:keepLines w:val="0"/>
              <w:pageBreakBefore w:val="0"/>
              <w:widowControl w:val="0"/>
              <w:suppressLineNumbers w:val="0"/>
              <w:tabs>
                <w:tab w:val="left" w:pos="780"/>
                <w:tab w:val="left" w:pos="900"/>
              </w:tabs>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eastAsia" w:ascii="宋体" w:hAnsi="宋体" w:eastAsia="宋体" w:cs="宋体"/>
                <w:color w:val="000000"/>
                <w:kern w:val="2"/>
                <w:sz w:val="18"/>
                <w:szCs w:val="18"/>
                <w:lang w:val="en-US" w:eastAsia="zh-CN" w:bidi="ar"/>
              </w:rPr>
            </w:pPr>
          </w:p>
        </w:tc>
      </w:tr>
      <w:tr>
        <w:tblPrEx>
          <w:tblCellMar>
            <w:top w:w="0" w:type="dxa"/>
            <w:left w:w="108" w:type="dxa"/>
            <w:bottom w:w="0" w:type="dxa"/>
            <w:right w:w="108" w:type="dxa"/>
          </w:tblCellMar>
        </w:tblPrEx>
        <w:trPr>
          <w:trHeight w:val="913" w:hRule="exact"/>
          <w:jc w:val="center"/>
        </w:trPr>
        <w:tc>
          <w:tcPr>
            <w:tcW w:w="585"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绩</w:t>
            </w:r>
            <w:r>
              <w:rPr>
                <w:rFonts w:hint="eastAsia" w:ascii="宋体" w:hAnsi="宋体" w:eastAsia="宋体" w:cs="宋体"/>
                <w:kern w:val="2"/>
                <w:sz w:val="18"/>
                <w:szCs w:val="18"/>
                <w:lang w:val="en-US" w:eastAsia="zh-CN" w:bidi="ar"/>
              </w:rPr>
              <w:br w:type="textWrapping"/>
            </w:r>
            <w:r>
              <w:rPr>
                <w:rFonts w:hint="eastAsia" w:ascii="宋体" w:hAnsi="宋体" w:eastAsia="宋体" w:cs="宋体"/>
                <w:kern w:val="2"/>
                <w:sz w:val="18"/>
                <w:szCs w:val="18"/>
                <w:lang w:val="en-US" w:eastAsia="zh-CN" w:bidi="ar"/>
              </w:rPr>
              <w:t>效</w:t>
            </w:r>
            <w:r>
              <w:rPr>
                <w:rFonts w:hint="eastAsia" w:ascii="宋体" w:hAnsi="宋体" w:eastAsia="宋体" w:cs="宋体"/>
                <w:kern w:val="2"/>
                <w:sz w:val="18"/>
                <w:szCs w:val="18"/>
                <w:lang w:val="en-US" w:eastAsia="zh-CN" w:bidi="ar"/>
              </w:rPr>
              <w:br w:type="textWrapping"/>
            </w:r>
            <w:r>
              <w:rPr>
                <w:rFonts w:hint="eastAsia" w:ascii="宋体" w:hAnsi="宋体" w:eastAsia="宋体" w:cs="宋体"/>
                <w:kern w:val="2"/>
                <w:sz w:val="18"/>
                <w:szCs w:val="18"/>
                <w:lang w:val="en-US" w:eastAsia="zh-CN" w:bidi="ar"/>
              </w:rPr>
              <w:t>指</w:t>
            </w:r>
            <w:r>
              <w:rPr>
                <w:rFonts w:hint="eastAsia" w:ascii="宋体" w:hAnsi="宋体" w:eastAsia="宋体" w:cs="宋体"/>
                <w:kern w:val="2"/>
                <w:sz w:val="18"/>
                <w:szCs w:val="18"/>
                <w:lang w:val="en-US" w:eastAsia="zh-CN" w:bidi="ar"/>
              </w:rPr>
              <w:br w:type="textWrapping"/>
            </w:r>
            <w:r>
              <w:rPr>
                <w:rFonts w:hint="eastAsia" w:ascii="宋体" w:hAnsi="宋体" w:eastAsia="宋体" w:cs="宋体"/>
                <w:kern w:val="2"/>
                <w:sz w:val="18"/>
                <w:szCs w:val="18"/>
                <w:lang w:val="en-US" w:eastAsia="zh-CN" w:bidi="ar"/>
              </w:rPr>
              <w:t>标</w:t>
            </w:r>
          </w:p>
        </w:tc>
        <w:tc>
          <w:tcPr>
            <w:tcW w:w="76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一级</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指标</w:t>
            </w:r>
          </w:p>
        </w:tc>
        <w:tc>
          <w:tcPr>
            <w:tcW w:w="77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二级</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指标</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三级</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指标</w:t>
            </w:r>
          </w:p>
        </w:tc>
        <w:tc>
          <w:tcPr>
            <w:tcW w:w="631"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指标</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性质</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年度指标值</w:t>
            </w:r>
          </w:p>
        </w:tc>
        <w:tc>
          <w:tcPr>
            <w:tcW w:w="899"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度量</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单位</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实际完成值</w:t>
            </w:r>
          </w:p>
        </w:tc>
        <w:tc>
          <w:tcPr>
            <w:tcW w:w="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完成率</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分值</w:t>
            </w:r>
          </w:p>
        </w:tc>
        <w:tc>
          <w:tcPr>
            <w:tcW w:w="735"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得分</w:t>
            </w:r>
          </w:p>
        </w:tc>
        <w:tc>
          <w:tcPr>
            <w:tcW w:w="79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color w:val="000000"/>
                <w:sz w:val="16"/>
                <w:szCs w:val="18"/>
                <w:lang w:val="en-US"/>
              </w:rPr>
            </w:pPr>
            <w:r>
              <w:rPr>
                <w:rFonts w:hint="eastAsia" w:ascii="宋体" w:hAnsi="宋体" w:eastAsia="宋体" w:cs="宋体"/>
                <w:b/>
                <w:bCs/>
                <w:color w:val="000000"/>
                <w:kern w:val="2"/>
                <w:sz w:val="16"/>
                <w:szCs w:val="18"/>
                <w:lang w:val="en-US" w:eastAsia="zh-CN" w:bidi="ar"/>
              </w:rPr>
              <w:t>未完成原因分析</w:t>
            </w:r>
          </w:p>
        </w:tc>
      </w:tr>
      <w:tr>
        <w:tblPrEx>
          <w:tblCellMar>
            <w:top w:w="0" w:type="dxa"/>
            <w:left w:w="108" w:type="dxa"/>
            <w:bottom w:w="0" w:type="dxa"/>
            <w:right w:w="108" w:type="dxa"/>
          </w:tblCellMar>
        </w:tblPrEx>
        <w:trPr>
          <w:trHeight w:val="748" w:hRule="exact"/>
          <w:jc w:val="center"/>
        </w:trPr>
        <w:tc>
          <w:tcPr>
            <w:tcW w:w="585" w:type="dxa"/>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6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产出</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指标</w:t>
            </w:r>
          </w:p>
        </w:tc>
        <w:tc>
          <w:tcPr>
            <w:tcW w:w="77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数量</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指标</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审评任务计划完成件数</w:t>
            </w:r>
          </w:p>
        </w:tc>
        <w:tc>
          <w:tcPr>
            <w:tcW w:w="631"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highlight w:val="none"/>
                <w:lang w:val="en-US" w:eastAsia="zh-CN" w:bidi="ar"/>
              </w:rPr>
              <w:t>324</w:t>
            </w:r>
          </w:p>
        </w:tc>
        <w:tc>
          <w:tcPr>
            <w:tcW w:w="899"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件</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935</w:t>
            </w:r>
          </w:p>
        </w:tc>
        <w:tc>
          <w:tcPr>
            <w:tcW w:w="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289%</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80.00</w:t>
            </w:r>
          </w:p>
        </w:tc>
        <w:tc>
          <w:tcPr>
            <w:tcW w:w="750"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80</w:t>
            </w:r>
          </w:p>
        </w:tc>
        <w:tc>
          <w:tcPr>
            <w:tcW w:w="782"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sz w:val="16"/>
                <w:szCs w:val="16"/>
                <w:lang w:val="en-US"/>
              </w:rPr>
            </w:pPr>
          </w:p>
        </w:tc>
      </w:tr>
      <w:tr>
        <w:tblPrEx>
          <w:tblCellMar>
            <w:top w:w="0" w:type="dxa"/>
            <w:left w:w="108" w:type="dxa"/>
            <w:bottom w:w="0" w:type="dxa"/>
            <w:right w:w="108" w:type="dxa"/>
          </w:tblCellMar>
        </w:tblPrEx>
        <w:trPr>
          <w:trHeight w:val="701" w:hRule="exact"/>
          <w:jc w:val="center"/>
        </w:trPr>
        <w:tc>
          <w:tcPr>
            <w:tcW w:w="585" w:type="dxa"/>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rPr>
            </w:pPr>
          </w:p>
        </w:tc>
        <w:tc>
          <w:tcPr>
            <w:tcW w:w="769"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等线" w:hAnsi="等线" w:eastAsia="等线" w:cs="等线"/>
                <w:color w:val="000000"/>
                <w:sz w:val="16"/>
                <w:szCs w:val="16"/>
                <w:lang w:val="en-US"/>
              </w:rPr>
            </w:pPr>
            <w:r>
              <w:rPr>
                <w:rFonts w:hint="eastAsia" w:ascii="等线" w:hAnsi="等线" w:eastAsia="等线" w:cs="等线"/>
                <w:color w:val="000000"/>
                <w:kern w:val="2"/>
                <w:sz w:val="16"/>
                <w:szCs w:val="16"/>
                <w:lang w:val="en-US" w:eastAsia="zh-CN" w:bidi="ar"/>
              </w:rPr>
              <w:t>效益</w:t>
            </w:r>
          </w:p>
          <w:p>
            <w:pPr>
              <w:keepNext w:val="0"/>
              <w:keepLines w:val="0"/>
              <w:widowControl w:val="0"/>
              <w:suppressLineNumbers w:val="0"/>
              <w:spacing w:before="0" w:beforeAutospacing="0" w:after="0" w:afterAutospacing="0" w:line="240" w:lineRule="exact"/>
              <w:ind w:left="0" w:right="0"/>
              <w:jc w:val="both"/>
              <w:rPr>
                <w:rFonts w:hint="eastAsia" w:ascii="等线" w:hAnsi="宋体" w:eastAsia="等线" w:cs="宋体"/>
                <w:color w:val="000000"/>
                <w:sz w:val="16"/>
                <w:szCs w:val="16"/>
                <w:lang w:val="en-US"/>
              </w:rPr>
            </w:pPr>
            <w:r>
              <w:rPr>
                <w:rFonts w:hint="eastAsia" w:ascii="等线" w:hAnsi="等线" w:eastAsia="等线" w:cs="等线"/>
                <w:color w:val="000000"/>
                <w:kern w:val="2"/>
                <w:sz w:val="16"/>
                <w:szCs w:val="16"/>
                <w:lang w:val="en-US" w:eastAsia="zh-CN" w:bidi="ar"/>
              </w:rPr>
              <w:t>指标</w:t>
            </w:r>
          </w:p>
        </w:tc>
        <w:tc>
          <w:tcPr>
            <w:tcW w:w="77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等线" w:hAnsi="宋体" w:eastAsia="等线" w:cs="宋体"/>
                <w:color w:val="000000"/>
                <w:sz w:val="16"/>
                <w:szCs w:val="16"/>
                <w:lang w:val="en-US"/>
              </w:rPr>
            </w:pPr>
            <w:r>
              <w:rPr>
                <w:rFonts w:hint="eastAsia" w:ascii="等线" w:hAnsi="等线" w:eastAsia="等线" w:cs="等线"/>
                <w:color w:val="000000"/>
                <w:kern w:val="2"/>
                <w:sz w:val="16"/>
                <w:szCs w:val="16"/>
                <w:lang w:val="en-US" w:eastAsia="zh-CN" w:bidi="ar"/>
              </w:rPr>
              <w:t>社会效益指标</w:t>
            </w:r>
          </w:p>
        </w:tc>
        <w:tc>
          <w:tcPr>
            <w:tcW w:w="912"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等线" w:hAnsi="宋体" w:eastAsia="等线" w:cs="宋体"/>
                <w:color w:val="000000"/>
                <w:sz w:val="16"/>
                <w:szCs w:val="16"/>
                <w:lang w:val="en-US"/>
              </w:rPr>
            </w:pPr>
            <w:r>
              <w:rPr>
                <w:rFonts w:hint="eastAsia" w:ascii="等线" w:hAnsi="等线" w:eastAsia="等线" w:cs="等线"/>
                <w:color w:val="000000"/>
                <w:kern w:val="2"/>
                <w:sz w:val="16"/>
                <w:szCs w:val="16"/>
                <w:lang w:val="en-US" w:eastAsia="zh-CN" w:bidi="ar"/>
              </w:rPr>
              <w:t>现场检查率</w:t>
            </w:r>
          </w:p>
        </w:tc>
        <w:tc>
          <w:tcPr>
            <w:tcW w:w="631"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等线" w:hAnsi="宋体" w:eastAsia="等线" w:cs="宋体"/>
                <w:color w:val="000000"/>
                <w:sz w:val="16"/>
                <w:szCs w:val="16"/>
                <w:lang w:val="en-US"/>
              </w:rPr>
            </w:pPr>
            <w:r>
              <w:rPr>
                <w:rFonts w:hint="eastAsia" w:ascii="宋体" w:hAnsi="宋体" w:eastAsia="宋体" w:cs="宋体"/>
                <w:color w:val="000000"/>
                <w:kern w:val="2"/>
                <w:sz w:val="16"/>
                <w:szCs w:val="16"/>
                <w:lang w:val="en-US" w:eastAsia="zh-CN" w:bidi="ar"/>
              </w:rPr>
              <w:t>≥</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等线" w:hAnsi="宋体" w:eastAsia="等线" w:cs="宋体"/>
                <w:color w:val="000000"/>
                <w:sz w:val="16"/>
                <w:szCs w:val="16"/>
                <w:lang w:val="en-US"/>
              </w:rPr>
            </w:pPr>
            <w:r>
              <w:rPr>
                <w:rFonts w:hint="eastAsia" w:ascii="等线" w:hAnsi="等线" w:eastAsia="等线" w:cs="等线"/>
                <w:color w:val="000000"/>
                <w:kern w:val="2"/>
                <w:sz w:val="16"/>
                <w:szCs w:val="16"/>
                <w:lang w:val="en-US" w:eastAsia="zh-CN" w:bidi="ar"/>
              </w:rPr>
              <w:t>95</w:t>
            </w:r>
          </w:p>
        </w:tc>
        <w:tc>
          <w:tcPr>
            <w:tcW w:w="899"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等线" w:hAnsi="宋体" w:eastAsia="等线" w:cs="宋体"/>
                <w:color w:val="000000"/>
                <w:sz w:val="16"/>
                <w:szCs w:val="16"/>
                <w:lang w:val="en-US"/>
              </w:rPr>
            </w:pPr>
            <w:r>
              <w:rPr>
                <w:rFonts w:hint="eastAsia" w:ascii="等线" w:hAnsi="等线" w:eastAsia="等线" w:cs="等线"/>
                <w:color w:val="000000"/>
                <w:kern w:val="2"/>
                <w:sz w:val="16"/>
                <w:szCs w:val="16"/>
                <w:lang w:val="en-US" w:eastAsia="zh-CN" w:bidi="ar"/>
              </w:rPr>
              <w:t xml:space="preserve">    %</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100</w:t>
            </w:r>
          </w:p>
        </w:tc>
        <w:tc>
          <w:tcPr>
            <w:tcW w:w="900"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100.00%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10</w:t>
            </w:r>
          </w:p>
        </w:tc>
        <w:tc>
          <w:tcPr>
            <w:tcW w:w="750"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6"/>
                <w:szCs w:val="16"/>
                <w:lang w:val="en-US"/>
              </w:rPr>
            </w:pPr>
            <w:r>
              <w:rPr>
                <w:rFonts w:hint="eastAsia" w:ascii="宋体" w:hAnsi="宋体" w:eastAsia="宋体" w:cs="宋体"/>
                <w:color w:val="000000"/>
                <w:kern w:val="2"/>
                <w:sz w:val="16"/>
                <w:szCs w:val="16"/>
                <w:lang w:val="en-US" w:eastAsia="zh-CN" w:bidi="ar"/>
              </w:rPr>
              <w:t>10</w:t>
            </w:r>
          </w:p>
        </w:tc>
        <w:tc>
          <w:tcPr>
            <w:tcW w:w="782" w:type="dxa"/>
            <w:gridSpan w:val="2"/>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sz w:val="16"/>
                <w:szCs w:val="16"/>
                <w:lang w:val="en-US"/>
              </w:rPr>
            </w:pPr>
          </w:p>
        </w:tc>
      </w:tr>
      <w:tr>
        <w:tblPrEx>
          <w:tblCellMar>
            <w:top w:w="0" w:type="dxa"/>
            <w:left w:w="108" w:type="dxa"/>
            <w:bottom w:w="0" w:type="dxa"/>
            <w:right w:w="108" w:type="dxa"/>
          </w:tblCellMar>
        </w:tblPrEx>
        <w:trPr>
          <w:trHeight w:val="567" w:hRule="exact"/>
          <w:jc w:val="center"/>
        </w:trPr>
        <w:tc>
          <w:tcPr>
            <w:tcW w:w="687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总分</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100</w:t>
            </w:r>
          </w:p>
        </w:tc>
        <w:tc>
          <w:tcPr>
            <w:tcW w:w="750"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98.89</w:t>
            </w:r>
          </w:p>
        </w:tc>
        <w:tc>
          <w:tcPr>
            <w:tcW w:w="7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r>
    </w:tbl>
    <w:p>
      <w:pPr>
        <w:pStyle w:val="11"/>
        <w:widowControl/>
        <w:spacing w:line="560" w:lineRule="exact"/>
        <w:jc w:val="center"/>
        <w:rPr>
          <w:sz w:val="40"/>
          <w:szCs w:val="32"/>
          <w:lang w:val="en-US"/>
        </w:rPr>
      </w:pPr>
      <w:r>
        <w:rPr>
          <w:rStyle w:val="9"/>
          <w:rFonts w:hint="eastAsia" w:ascii="方正小标宋简体" w:hAnsi="方正小标宋简体" w:eastAsia="方正小标宋简体" w:cs="方正小标宋简体"/>
          <w:sz w:val="44"/>
          <w:szCs w:val="32"/>
          <w:lang w:eastAsia="zh-CN"/>
        </w:rPr>
        <w:t>事业运行项目支出绩效自评报告</w:t>
      </w:r>
      <w:r>
        <w:rPr>
          <w:rStyle w:val="9"/>
          <w:sz w:val="40"/>
          <w:szCs w:val="32"/>
          <w:lang w:val="en-US"/>
        </w:rPr>
        <w:t xml:space="preserve"> </w:t>
      </w:r>
    </w:p>
    <w:p>
      <w:pPr>
        <w:keepNext w:val="0"/>
        <w:keepLines w:val="0"/>
        <w:widowControl w:val="0"/>
        <w:suppressLineNumbers w:val="0"/>
        <w:spacing w:before="0" w:beforeAutospacing="0" w:after="579" w:afterLines="100" w:afterAutospacing="0" w:line="560" w:lineRule="exact"/>
        <w:ind w:left="0" w:right="0"/>
        <w:jc w:val="center"/>
        <w:rPr>
          <w:rFonts w:hint="eastAsia" w:ascii="楷体_GB2312" w:eastAsia="楷体_GB2312" w:cs="楷体_GB2312"/>
          <w:lang w:val="en-US"/>
        </w:rPr>
      </w:pPr>
      <w:r>
        <w:rPr>
          <w:rFonts w:hint="eastAsia" w:ascii="楷体_GB2312" w:hAnsi="Times New Roman" w:eastAsia="楷体_GB2312" w:cs="楷体_GB2312"/>
          <w:kern w:val="2"/>
          <w:sz w:val="32"/>
          <w:szCs w:val="32"/>
          <w:lang w:val="en-US" w:eastAsia="zh-CN" w:bidi="ar"/>
        </w:rPr>
        <w:t>（2022年度）</w:t>
      </w:r>
    </w:p>
    <w:p>
      <w:pPr>
        <w:pStyle w:val="11"/>
        <w:widowControl/>
        <w:spacing w:before="0" w:beforeAutospacing="0" w:after="0" w:afterAutospacing="0" w:line="540" w:lineRule="exact"/>
        <w:ind w:left="0" w:right="0"/>
        <w:rPr>
          <w:rFonts w:hint="eastAsia" w:ascii="仿宋_GB2312" w:hAnsi="仿宋_GB2312" w:eastAsia="仿宋_GB2312" w:cs="仿宋_GB2312"/>
          <w:b/>
          <w:bCs w:val="0"/>
          <w:lang w:val="en-US"/>
        </w:rPr>
      </w:pPr>
      <w:r>
        <w:rPr>
          <w:rFonts w:hint="eastAsia" w:ascii="仿宋_GB2312" w:hAnsi="仿宋_GB2312" w:eastAsia="仿宋_GB2312" w:cs="仿宋_GB2312"/>
          <w:b/>
          <w:bCs w:val="0"/>
          <w:lang w:val="en-US"/>
        </w:rPr>
        <w:t xml:space="preserve">    </w:t>
      </w:r>
      <w:r>
        <w:rPr>
          <w:rFonts w:hint="eastAsia" w:ascii="黑体" w:hAnsi="宋体" w:eastAsia="黑体" w:cs="黑体"/>
          <w:bCs/>
          <w:lang w:eastAsia="zh-CN"/>
        </w:rPr>
        <w:t>一、项目概况</w:t>
      </w:r>
      <w:r>
        <w:rPr>
          <w:rFonts w:hint="eastAsia" w:ascii="仿宋_GB2312" w:hAnsi="仿宋_GB2312" w:eastAsia="仿宋_GB2312" w:cs="仿宋_GB2312"/>
          <w:b/>
          <w:bCs w:val="0"/>
          <w:lang w:val="en-US"/>
        </w:rPr>
        <w:t>    </w:t>
      </w:r>
    </w:p>
    <w:p>
      <w:pPr>
        <w:pStyle w:val="11"/>
        <w:widowControl/>
        <w:spacing w:before="0" w:beforeAutospacing="0" w:after="0" w:afterAutospacing="0" w:line="540" w:lineRule="exact"/>
        <w:ind w:left="0" w:right="0"/>
        <w:rPr>
          <w:rFonts w:hint="eastAsia" w:ascii="仿宋_GB2312" w:hAnsi="仿宋_GB2312" w:eastAsia="仿宋_GB2312" w:cs="仿宋_GB2312"/>
          <w:lang w:val="en-US"/>
        </w:rPr>
      </w:pPr>
      <w:r>
        <w:rPr>
          <w:rFonts w:hint="eastAsia" w:ascii="仿宋_GB2312" w:hAnsi="仿宋_GB2312" w:eastAsia="仿宋_GB2312" w:cs="仿宋_GB2312"/>
          <w:lang w:val="en-US"/>
        </w:rPr>
        <w:t xml:space="preserve">    </w:t>
      </w:r>
      <w:r>
        <w:rPr>
          <w:rFonts w:hint="eastAsia" w:ascii="楷体_GB2312" w:hAnsi="楷体_GB2312" w:eastAsia="楷体_GB2312" w:cs="楷体_GB2312"/>
          <w:lang w:eastAsia="zh-CN"/>
        </w:rPr>
        <w:t>（一）项目基本情况：立项情况、实施主体项目、资金及主要内容</w:t>
      </w:r>
      <w:r>
        <w:rPr>
          <w:rFonts w:hint="eastAsia" w:ascii="楷体_GB2312" w:hAnsi="楷体_GB2312" w:eastAsia="楷体_GB2312" w:cs="楷体_GB2312"/>
          <w:lang w:val="en-US"/>
        </w:rPr>
        <w:t> </w:t>
      </w:r>
      <w:r>
        <w:rPr>
          <w:rFonts w:hint="eastAsia" w:ascii="仿宋_GB2312" w:hAnsi="仿宋_GB2312" w:eastAsia="仿宋_GB2312" w:cs="仿宋_GB2312"/>
          <w:lang w:eastAsia="zh-CN"/>
        </w:rPr>
        <w:t>。</w:t>
      </w:r>
    </w:p>
    <w:p>
      <w:pPr>
        <w:pStyle w:val="11"/>
        <w:widowControl/>
        <w:spacing w:before="0" w:beforeAutospacing="0" w:after="0" w:afterAutospacing="0" w:line="540" w:lineRule="exact"/>
        <w:ind w:left="0" w:right="0"/>
        <w:rPr>
          <w:rFonts w:hint="eastAsia" w:ascii="仿宋_GB2312" w:hAnsi="仿宋_GB2312" w:eastAsia="仿宋_GB2312" w:cs="仿宋_GB2312"/>
          <w:lang w:val="en-US"/>
        </w:rPr>
      </w:pPr>
      <w:r>
        <w:rPr>
          <w:rFonts w:hint="eastAsia" w:ascii="仿宋_GB2312" w:hAnsi="仿宋_GB2312" w:eastAsia="仿宋_GB2312" w:cs="仿宋_GB2312"/>
          <w:lang w:val="en-US"/>
        </w:rPr>
        <w:t xml:space="preserve">    1.</w:t>
      </w:r>
      <w:r>
        <w:rPr>
          <w:rFonts w:hint="eastAsia" w:ascii="仿宋_GB2312" w:hAnsi="仿宋_GB2312" w:eastAsia="仿宋_GB2312" w:cs="仿宋_GB2312"/>
          <w:lang w:eastAsia="zh-CN"/>
        </w:rPr>
        <w:t>立项情况：事业运行项目是海南省药品查验中心历年的重点项目，主要用于对药品、医疗器械、化妆品生产企业、药品批发企业开展现场检查，对普通化妆品备案开展技术审核。</w:t>
      </w:r>
    </w:p>
    <w:p>
      <w:pPr>
        <w:keepNext w:val="0"/>
        <w:keepLines w:val="0"/>
        <w:widowControl/>
        <w:suppressLineNumbers w:val="0"/>
        <w:ind w:firstLine="632"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2.实施主体：省药品查验中心。我单位2022年依据《中共海南省委机构编制委员会办公室</w:t>
      </w:r>
      <w:r>
        <w:rPr>
          <w:rFonts w:hint="default" w:ascii="仿宋_GB2312" w:hAnsi="仿宋_GB2312" w:eastAsia="仿宋_GB2312" w:cs="仿宋_GB2312"/>
          <w:kern w:val="2"/>
          <w:sz w:val="32"/>
          <w:szCs w:val="32"/>
          <w:lang w:val="en-US" w:eastAsia="zh-CN" w:bidi="ar"/>
        </w:rPr>
        <w:t>关于海南省药品审核认证管理中心更名和职责调整的通知</w:t>
      </w:r>
      <w:r>
        <w:rPr>
          <w:rFonts w:hint="eastAsia" w:ascii="仿宋_GB2312" w:hAnsi="仿宋_GB2312" w:eastAsia="仿宋_GB2312" w:cs="仿宋_GB2312"/>
          <w:kern w:val="2"/>
          <w:sz w:val="32"/>
          <w:szCs w:val="32"/>
          <w:lang w:val="en-US" w:eastAsia="zh-CN" w:bidi="ar"/>
        </w:rPr>
        <w:t>》（</w:t>
      </w:r>
      <w:r>
        <w:rPr>
          <w:rFonts w:ascii="仿宋_GB2312" w:hAnsi="仿宋_GB2312" w:eastAsia="仿宋_GB2312" w:cs="仿宋_GB2312"/>
          <w:color w:val="000008"/>
          <w:kern w:val="0"/>
          <w:sz w:val="31"/>
          <w:szCs w:val="31"/>
          <w:lang w:val="en-US" w:eastAsia="zh-CN" w:bidi="ar"/>
        </w:rPr>
        <w:t>琼编办〔2022〕10号</w:t>
      </w:r>
      <w:r>
        <w:rPr>
          <w:rFonts w:hint="eastAsia" w:ascii="仿宋_GB2312" w:hAnsi="仿宋_GB2312" w:eastAsia="仿宋_GB2312" w:cs="仿宋_GB2312"/>
          <w:kern w:val="2"/>
          <w:sz w:val="32"/>
          <w:szCs w:val="32"/>
          <w:lang w:val="en-US" w:eastAsia="zh-CN" w:bidi="ar"/>
        </w:rPr>
        <w:t>）要求进行了更名更责。更责后</w:t>
      </w:r>
      <w:r>
        <w:rPr>
          <w:rFonts w:ascii="仿宋_GB2312" w:hAnsi="仿宋_GB2312" w:eastAsia="仿宋_GB2312" w:cs="仿宋_GB2312"/>
          <w:color w:val="000008"/>
          <w:kern w:val="0"/>
          <w:sz w:val="31"/>
          <w:szCs w:val="31"/>
          <w:lang w:val="en-US" w:eastAsia="zh-CN" w:bidi="ar"/>
        </w:rPr>
        <w:t>中心的主要职责为：</w:t>
      </w:r>
      <w:r>
        <w:rPr>
          <w:rFonts w:hint="eastAsia" w:ascii="仿宋_GB2312" w:hAnsi="仿宋_GB2312" w:eastAsia="仿宋_GB2312" w:cs="仿宋_GB2312"/>
          <w:color w:val="000008"/>
          <w:kern w:val="0"/>
          <w:sz w:val="31"/>
          <w:szCs w:val="31"/>
          <w:lang w:val="en-US" w:eastAsia="zh-CN" w:bidi="ar"/>
        </w:rPr>
        <w:t>（1）</w:t>
      </w:r>
      <w:r>
        <w:rPr>
          <w:rFonts w:ascii="仿宋_GB2312" w:hAnsi="仿宋_GB2312" w:eastAsia="仿宋_GB2312" w:cs="仿宋_GB2312"/>
          <w:color w:val="000008"/>
          <w:kern w:val="0"/>
          <w:sz w:val="31"/>
          <w:szCs w:val="31"/>
          <w:lang w:val="en-US" w:eastAsia="zh-CN" w:bidi="ar"/>
        </w:rPr>
        <w:t>承担我省药品、医疗器械、化妆品生产企业和药品批发企业、零售连锁总部许可的现场查验及生产经营质量管理规范符合性检查等技术支撑工作。</w:t>
      </w:r>
      <w:r>
        <w:rPr>
          <w:rFonts w:hint="eastAsia" w:ascii="仿宋_GB2312" w:hAnsi="仿宋_GB2312" w:eastAsia="仿宋_GB2312" w:cs="仿宋_GB2312"/>
          <w:color w:val="000008"/>
          <w:kern w:val="0"/>
          <w:sz w:val="31"/>
          <w:szCs w:val="31"/>
          <w:lang w:val="en-US" w:eastAsia="zh-CN" w:bidi="ar"/>
        </w:rPr>
        <w:t>（2）</w:t>
      </w:r>
      <w:r>
        <w:rPr>
          <w:rFonts w:ascii="仿宋_GB2312" w:hAnsi="仿宋_GB2312" w:eastAsia="仿宋_GB2312" w:cs="仿宋_GB2312"/>
          <w:color w:val="000008"/>
          <w:kern w:val="0"/>
          <w:sz w:val="31"/>
          <w:szCs w:val="31"/>
          <w:lang w:val="en-US" w:eastAsia="zh-CN" w:bidi="ar"/>
        </w:rPr>
        <w:t>承担省内医疗机构放射性药品使用许可现场查验、药品临床试验机构和药品非临床试验机构日常监督检查等技术支撑工作。</w:t>
      </w:r>
      <w:r>
        <w:rPr>
          <w:rFonts w:hint="eastAsia" w:ascii="仿宋_GB2312" w:hAnsi="仿宋_GB2312" w:eastAsia="仿宋_GB2312" w:cs="仿宋_GB2312"/>
          <w:color w:val="000008"/>
          <w:kern w:val="0"/>
          <w:sz w:val="31"/>
          <w:szCs w:val="31"/>
          <w:lang w:val="en-US" w:eastAsia="zh-CN" w:bidi="ar"/>
        </w:rPr>
        <w:t>（3）</w:t>
      </w:r>
      <w:r>
        <w:rPr>
          <w:rFonts w:ascii="仿宋_GB2312" w:hAnsi="仿宋_GB2312" w:eastAsia="仿宋_GB2312" w:cs="仿宋_GB2312"/>
          <w:color w:val="000008"/>
          <w:kern w:val="0"/>
          <w:sz w:val="31"/>
          <w:szCs w:val="31"/>
          <w:lang w:val="en-US" w:eastAsia="zh-CN" w:bidi="ar"/>
        </w:rPr>
        <w:t>承担国产和进口普通化妆品备案技术审核工作。</w:t>
      </w:r>
      <w:r>
        <w:rPr>
          <w:rFonts w:hint="eastAsia" w:ascii="仿宋_GB2312" w:hAnsi="仿宋_GB2312" w:eastAsia="仿宋_GB2312" w:cs="仿宋_GB2312"/>
          <w:color w:val="000008"/>
          <w:kern w:val="0"/>
          <w:sz w:val="31"/>
          <w:szCs w:val="31"/>
          <w:lang w:val="en-US" w:eastAsia="zh-CN" w:bidi="ar"/>
        </w:rPr>
        <w:t>（4）</w:t>
      </w:r>
      <w:r>
        <w:rPr>
          <w:rFonts w:ascii="仿宋_GB2312" w:hAnsi="仿宋_GB2312" w:eastAsia="仿宋_GB2312" w:cs="仿宋_GB2312"/>
          <w:color w:val="000008"/>
          <w:kern w:val="0"/>
          <w:sz w:val="31"/>
          <w:szCs w:val="31"/>
          <w:lang w:val="en-US" w:eastAsia="zh-CN" w:bidi="ar"/>
        </w:rPr>
        <w:t>负责全省职业化专业化药品检查员考评培训等日常管理工作。</w:t>
      </w:r>
      <w:r>
        <w:rPr>
          <w:rFonts w:hint="eastAsia" w:ascii="仿宋_GB2312" w:hAnsi="仿宋_GB2312" w:eastAsia="仿宋_GB2312" w:cs="仿宋_GB2312"/>
          <w:color w:val="000008"/>
          <w:kern w:val="0"/>
          <w:sz w:val="31"/>
          <w:szCs w:val="31"/>
          <w:lang w:val="en-US" w:eastAsia="zh-CN" w:bidi="ar"/>
        </w:rPr>
        <w:t>（5）</w:t>
      </w:r>
      <w:r>
        <w:rPr>
          <w:rFonts w:ascii="仿宋_GB2312" w:hAnsi="仿宋_GB2312" w:eastAsia="仿宋_GB2312" w:cs="仿宋_GB2312"/>
          <w:color w:val="000008"/>
          <w:kern w:val="0"/>
          <w:sz w:val="31"/>
          <w:szCs w:val="31"/>
          <w:lang w:val="en-US" w:eastAsia="zh-CN" w:bidi="ar"/>
        </w:rPr>
        <w:t xml:space="preserve">承办上级部门交办的其他工作。 </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3.项目资金：项目来源为省级财政，2022年预算资金77.41万元。</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4.主要内容：该项目主要内容是受海南省药品监督管理局委托，开展对药品、医疗器械、化妆品生产企业GMP符合性检查、持续合规性检查、药品批发企业GSP符合性检查及普通化妆品备案技术审核等工作，为海南省药品监督管理局的行政许可事项及日常监管提供技术支撑。</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（二）项目年度预算绩效目标和绩效指标设定情况  </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1.项目年度绩效目标：按照中心职责，2022年度事业运行项目设定的年度目标包括：受省局委托：（1）完成药品批发和零售连锁企业总部GSP检查150家；（2）完成化妆品备案技术审核30个品种；（3）完成化妆品现场检查14家；（4）完成《药品生产许可证》许可事项现场检查20家次；（5）完成药品相关质量管理规范（GMP）符合性现场检查25家次；（6）完成药品生产企业持续合规性现场检查48家次；（7）完成药品临床试验机构和非临床试验机构日常监督检查12家次；（8）完成医疗机构放射性药品使用许可现场检查5家次；（9）完成药品有因检查和专项检查20家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2.年度目标完成情况： 2022年，（1）药品经营方面完成现场检查469家次；（2）化妆品生产方面完成现场检查59家次；（3）药品生产方面完成现场检查238家次，（4）医疗器械生产方面完成现场检查169家次。</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3.绩效指标设定：该项目下设绩效指标2个，（1）一级指标为产出指标，二级指标为数量指标，三级指标为审评任务计划完成件（家）数，年度指标值为大于等于324件，2022年实际完成值为935件，完成率为289%。（2）一级指标为效益指标，二级指标为社会效益指标，三级指标为现场检查率，年度指标值为大于等于95%，2022年现场检查率为100%。详见事业运行项目支出绩效自评表。</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b/>
          <w:bCs w:val="0"/>
          <w:lang w:val="en-US"/>
        </w:rPr>
      </w:pPr>
      <w:r>
        <w:rPr>
          <w:rFonts w:hint="eastAsia" w:ascii="仿宋_GB2312" w:hAnsi="仿宋_GB2312" w:eastAsia="仿宋_GB2312" w:cs="仿宋_GB2312"/>
          <w:b/>
          <w:bCs w:val="0"/>
          <w:kern w:val="2"/>
          <w:sz w:val="32"/>
          <w:szCs w:val="32"/>
          <w:lang w:val="en-US" w:eastAsia="zh-CN" w:bidi="ar"/>
        </w:rPr>
        <w:t xml:space="preserve">    </w:t>
      </w:r>
      <w:r>
        <w:rPr>
          <w:rFonts w:hint="eastAsia" w:ascii="黑体" w:hAnsi="宋体" w:eastAsia="黑体" w:cs="黑体"/>
          <w:bCs/>
          <w:kern w:val="2"/>
          <w:sz w:val="32"/>
          <w:szCs w:val="32"/>
          <w:lang w:val="en-US" w:eastAsia="zh-CN" w:bidi="ar"/>
        </w:rPr>
        <w:t>二、项目决策及资金使用管理情况</w:t>
      </w:r>
    </w:p>
    <w:p>
      <w:pPr>
        <w:keepNext w:val="0"/>
        <w:keepLines w:val="0"/>
        <w:widowControl w:val="0"/>
        <w:suppressLineNumbers w:val="0"/>
        <w:tabs>
          <w:tab w:val="left" w:pos="567"/>
        </w:tabs>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（一）项目资金决策情况</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2022年事业运行项目按《海南省药品监督管理局关于下达2022年药品批发企业GSP符合性检查工作任务的通知》、《海南省药品监督管理局关于印发2022年度药品GMP持续合规性检查方案的通知》《海南省药品监督管理局关于印发2022年海南省医疗器械生产企业分级分类监督检查计划的通知》以及省药品监督管理局委托的其他事项进行资料审核及现场检查。</w:t>
      </w:r>
    </w:p>
    <w:p>
      <w:pPr>
        <w:keepNext w:val="0"/>
        <w:keepLines w:val="0"/>
        <w:widowControl w:val="0"/>
        <w:suppressLineNumbers w:val="0"/>
        <w:tabs>
          <w:tab w:val="left" w:pos="567"/>
        </w:tabs>
        <w:spacing w:before="0" w:beforeAutospacing="0" w:after="0" w:afterAutospacing="0" w:line="540" w:lineRule="exact"/>
        <w:ind w:left="0" w:right="0"/>
        <w:jc w:val="both"/>
        <w:outlineLvl w:val="0"/>
        <w:rPr>
          <w:rFonts w:hint="eastAsia" w:ascii="楷体_GB2312" w:hAnsi="楷体_GB2312" w:eastAsia="楷体_GB2312" w:cs="楷体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 xml:space="preserve"> （二）项目资金安排落实、总投入等情况</w:t>
      </w:r>
    </w:p>
    <w:p>
      <w:pPr>
        <w:pStyle w:val="10"/>
        <w:widowControl/>
        <w:spacing w:line="540" w:lineRule="exact"/>
        <w:ind w:left="0" w:firstLine="632" w:firstLineChars="200"/>
        <w:rPr>
          <w:rFonts w:hint="eastAsia" w:ascii="仿宋_GB2312" w:hAnsi="仿宋_GB2312" w:eastAsia="仿宋_GB2312" w:cs="宋体"/>
          <w:sz w:val="32"/>
          <w:szCs w:val="24"/>
          <w:lang w:val="en-US"/>
        </w:rPr>
      </w:pPr>
      <w:r>
        <w:rPr>
          <w:rFonts w:hint="eastAsia" w:ascii="仿宋_GB2312" w:hAnsi="仿宋_GB2312" w:eastAsia="仿宋_GB2312" w:cs="宋体"/>
          <w:sz w:val="32"/>
          <w:szCs w:val="24"/>
          <w:lang w:val="en-US"/>
        </w:rPr>
        <w:t>2022</w:t>
      </w:r>
      <w:r>
        <w:rPr>
          <w:rFonts w:hint="eastAsia" w:ascii="仿宋_GB2312" w:hAnsi="仿宋_GB2312" w:eastAsia="仿宋_GB2312" w:cs="宋体"/>
          <w:sz w:val="32"/>
          <w:szCs w:val="24"/>
          <w:lang w:eastAsia="zh-CN"/>
        </w:rPr>
        <w:t>年事业运行项目计划投资</w:t>
      </w:r>
      <w:r>
        <w:rPr>
          <w:rFonts w:hint="eastAsia" w:ascii="仿宋_GB2312" w:hAnsi="仿宋_GB2312" w:eastAsia="仿宋_GB2312" w:cs="宋体"/>
          <w:sz w:val="32"/>
          <w:szCs w:val="24"/>
          <w:lang w:val="en-US"/>
        </w:rPr>
        <w:t>77.41</w:t>
      </w:r>
      <w:r>
        <w:rPr>
          <w:rFonts w:hint="eastAsia" w:ascii="仿宋_GB2312" w:hAnsi="仿宋_GB2312" w:eastAsia="仿宋_GB2312" w:cs="宋体"/>
          <w:sz w:val="32"/>
          <w:szCs w:val="24"/>
          <w:lang w:eastAsia="zh-CN"/>
        </w:rPr>
        <w:t>万元，其中财政拨款</w:t>
      </w:r>
      <w:r>
        <w:rPr>
          <w:rFonts w:hint="eastAsia" w:ascii="仿宋_GB2312" w:hAnsi="仿宋_GB2312" w:eastAsia="仿宋_GB2312" w:cs="宋体"/>
          <w:sz w:val="32"/>
          <w:szCs w:val="24"/>
          <w:lang w:val="en-US"/>
        </w:rPr>
        <w:t>77.41</w:t>
      </w:r>
      <w:r>
        <w:rPr>
          <w:rFonts w:hint="eastAsia" w:ascii="仿宋_GB2312" w:hAnsi="仿宋_GB2312" w:eastAsia="仿宋_GB2312" w:cs="宋体"/>
          <w:sz w:val="32"/>
          <w:szCs w:val="24"/>
          <w:lang w:eastAsia="zh-CN"/>
        </w:rPr>
        <w:t>万元，占预算总额</w:t>
      </w:r>
      <w:r>
        <w:rPr>
          <w:rFonts w:hint="eastAsia" w:ascii="仿宋_GB2312" w:hAnsi="仿宋_GB2312" w:eastAsia="仿宋_GB2312" w:cs="宋体"/>
          <w:sz w:val="32"/>
          <w:szCs w:val="24"/>
          <w:lang w:val="en-US"/>
        </w:rPr>
        <w:t>100%</w:t>
      </w:r>
      <w:r>
        <w:rPr>
          <w:rFonts w:hint="eastAsia" w:ascii="仿宋_GB2312" w:hAnsi="仿宋_GB2312" w:eastAsia="仿宋_GB2312" w:cs="宋体"/>
          <w:sz w:val="32"/>
          <w:szCs w:val="24"/>
          <w:lang w:eastAsia="zh-CN"/>
        </w:rPr>
        <w:t>。</w:t>
      </w:r>
    </w:p>
    <w:p>
      <w:pPr>
        <w:keepNext w:val="0"/>
        <w:keepLines w:val="0"/>
        <w:widowControl w:val="0"/>
        <w:suppressLineNumbers w:val="0"/>
        <w:tabs>
          <w:tab w:val="left" w:pos="567"/>
        </w:tabs>
        <w:spacing w:before="0" w:beforeAutospacing="0" w:after="0" w:afterAutospacing="0" w:line="540" w:lineRule="exact"/>
        <w:ind w:left="0" w:right="0"/>
        <w:jc w:val="both"/>
        <w:outlineLvl w:val="0"/>
        <w:rPr>
          <w:rFonts w:hint="eastAsia" w:ascii="楷体_GB2312" w:hAnsi="楷体_GB2312" w:eastAsia="楷体_GB2312" w:cs="楷体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（三）项目资金实际使用情况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200"/>
        <w:jc w:val="both"/>
        <w:textAlignment w:val="auto"/>
        <w:outlineLvl w:val="0"/>
        <w:rPr>
          <w:rFonts w:hint="eastAsia" w:ascii="仿宋_GB2312" w:hAnsi="仿宋_GB2312" w:eastAsia="仿宋_GB2312" w:cs="宋体"/>
          <w:kern w:val="2"/>
          <w:sz w:val="32"/>
          <w:szCs w:val="24"/>
          <w:lang w:val="en-US" w:eastAsia="zh-CN" w:bidi="ar"/>
        </w:rPr>
      </w:pPr>
      <w:r>
        <w:rPr>
          <w:rFonts w:hint="eastAsia" w:ascii="仿宋_GB2312" w:hAnsi="仿宋_GB2312" w:eastAsia="仿宋_GB2312" w:cs="宋体"/>
          <w:kern w:val="2"/>
          <w:sz w:val="32"/>
          <w:szCs w:val="24"/>
          <w:lang w:val="en-US" w:eastAsia="zh-CN" w:bidi="ar"/>
        </w:rPr>
        <w:t>2022年事业运行项目，全年执行数60.84万元，执行率88.93%。所有支出均遵循先有预算后支出原则，政府支出经济分类为商品和服务支出，主要用于支付现场检查产生的差旅费、劳务费、误餐费、其他交通费用以及检查员培训费等。具体使用情况见下表：</w:t>
      </w:r>
    </w:p>
    <w:tbl>
      <w:tblPr>
        <w:tblStyle w:val="5"/>
        <w:tblW w:w="9337" w:type="dxa"/>
        <w:tblInd w:w="93" w:type="dxa"/>
        <w:tblLayout w:type="fixed"/>
        <w:tblCellMar>
          <w:top w:w="0" w:type="dxa"/>
          <w:left w:w="108" w:type="dxa"/>
          <w:bottom w:w="0" w:type="dxa"/>
          <w:right w:w="108" w:type="dxa"/>
        </w:tblCellMar>
      </w:tblPr>
      <w:tblGrid>
        <w:gridCol w:w="1333"/>
        <w:gridCol w:w="1555"/>
        <w:gridCol w:w="2773"/>
        <w:gridCol w:w="2005"/>
        <w:gridCol w:w="1671"/>
      </w:tblGrid>
      <w:tr>
        <w:tblPrEx>
          <w:tblCellMar>
            <w:top w:w="0" w:type="dxa"/>
            <w:left w:w="108" w:type="dxa"/>
            <w:bottom w:w="0" w:type="dxa"/>
            <w:right w:w="108" w:type="dxa"/>
          </w:tblCellMar>
        </w:tblPrEx>
        <w:trPr>
          <w:trHeight w:val="1239" w:hRule="atLeast"/>
        </w:trPr>
        <w:tc>
          <w:tcPr>
            <w:tcW w:w="13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预算数      （万元）</w:t>
            </w:r>
          </w:p>
        </w:tc>
        <w:tc>
          <w:tcPr>
            <w:tcW w:w="155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400" w:lineRule="exact"/>
              <w:ind w:left="0" w:right="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全年执行数（万元）</w:t>
            </w:r>
          </w:p>
        </w:tc>
        <w:tc>
          <w:tcPr>
            <w:tcW w:w="277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项目类别</w:t>
            </w:r>
          </w:p>
        </w:tc>
        <w:tc>
          <w:tcPr>
            <w:tcW w:w="2005"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本年度实际支出数 （万元）</w:t>
            </w:r>
          </w:p>
        </w:tc>
        <w:tc>
          <w:tcPr>
            <w:tcW w:w="1671"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spacing w:before="0" w:beforeAutospacing="0" w:after="0" w:afterAutospacing="0" w:line="40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占</w:t>
            </w:r>
            <w:r>
              <w:rPr>
                <w:rFonts w:hint="eastAsia" w:ascii="仿宋" w:hAnsi="仿宋" w:eastAsia="仿宋" w:cs="仿宋"/>
                <w:sz w:val="28"/>
                <w:szCs w:val="28"/>
                <w:highlight w:val="none"/>
                <w:lang w:eastAsia="zh-CN"/>
              </w:rPr>
              <w:t>全年执行数</w:t>
            </w:r>
            <w:r>
              <w:rPr>
                <w:rFonts w:hint="eastAsia" w:ascii="仿宋" w:hAnsi="仿宋" w:eastAsia="仿宋" w:cs="仿宋"/>
                <w:sz w:val="28"/>
                <w:szCs w:val="28"/>
                <w:highlight w:val="none"/>
              </w:rPr>
              <w:t>比例</w:t>
            </w:r>
          </w:p>
        </w:tc>
      </w:tr>
      <w:tr>
        <w:tblPrEx>
          <w:tblCellMar>
            <w:top w:w="0" w:type="dxa"/>
            <w:left w:w="108" w:type="dxa"/>
            <w:bottom w:w="0" w:type="dxa"/>
            <w:right w:w="108" w:type="dxa"/>
          </w:tblCellMar>
        </w:tblPrEx>
        <w:trPr>
          <w:trHeight w:val="614" w:hRule="atLeast"/>
        </w:trPr>
        <w:tc>
          <w:tcPr>
            <w:tcW w:w="1333" w:type="dxa"/>
            <w:vMerge w:val="restart"/>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77.41</w:t>
            </w:r>
          </w:p>
        </w:tc>
        <w:tc>
          <w:tcPr>
            <w:tcW w:w="1555"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60.84</w:t>
            </w:r>
          </w:p>
        </w:tc>
        <w:tc>
          <w:tcPr>
            <w:tcW w:w="277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3029906-误餐费</w:t>
            </w:r>
          </w:p>
        </w:tc>
        <w:tc>
          <w:tcPr>
            <w:tcW w:w="20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5.92</w:t>
            </w:r>
          </w:p>
        </w:tc>
        <w:tc>
          <w:tcPr>
            <w:tcW w:w="167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9.73%</w:t>
            </w:r>
          </w:p>
        </w:tc>
      </w:tr>
      <w:tr>
        <w:tblPrEx>
          <w:tblCellMar>
            <w:top w:w="0" w:type="dxa"/>
            <w:left w:w="108" w:type="dxa"/>
            <w:bottom w:w="0" w:type="dxa"/>
            <w:right w:w="108" w:type="dxa"/>
          </w:tblCellMar>
        </w:tblPrEx>
        <w:trPr>
          <w:trHeight w:val="614" w:hRule="atLeast"/>
        </w:trPr>
        <w:tc>
          <w:tcPr>
            <w:tcW w:w="1333"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1555"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277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3022601-劳务费</w:t>
            </w:r>
          </w:p>
        </w:tc>
        <w:tc>
          <w:tcPr>
            <w:tcW w:w="20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5.09</w:t>
            </w:r>
          </w:p>
        </w:tc>
        <w:tc>
          <w:tcPr>
            <w:tcW w:w="1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8.37%</w:t>
            </w:r>
          </w:p>
        </w:tc>
      </w:tr>
      <w:tr>
        <w:tblPrEx>
          <w:tblCellMar>
            <w:top w:w="0" w:type="dxa"/>
            <w:left w:w="108" w:type="dxa"/>
            <w:bottom w:w="0" w:type="dxa"/>
            <w:right w:w="108" w:type="dxa"/>
          </w:tblCellMar>
        </w:tblPrEx>
        <w:trPr>
          <w:trHeight w:val="560" w:hRule="atLeast"/>
        </w:trPr>
        <w:tc>
          <w:tcPr>
            <w:tcW w:w="1333"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1555"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277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30239-其他交通费用</w:t>
            </w:r>
          </w:p>
        </w:tc>
        <w:tc>
          <w:tcPr>
            <w:tcW w:w="20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3.57</w:t>
            </w:r>
          </w:p>
        </w:tc>
        <w:tc>
          <w:tcPr>
            <w:tcW w:w="1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5.87%</w:t>
            </w:r>
          </w:p>
        </w:tc>
      </w:tr>
      <w:tr>
        <w:tblPrEx>
          <w:tblCellMar>
            <w:top w:w="0" w:type="dxa"/>
            <w:left w:w="108" w:type="dxa"/>
            <w:bottom w:w="0" w:type="dxa"/>
            <w:right w:w="108" w:type="dxa"/>
          </w:tblCellMar>
        </w:tblPrEx>
        <w:trPr>
          <w:trHeight w:val="614" w:hRule="atLeast"/>
        </w:trPr>
        <w:tc>
          <w:tcPr>
            <w:tcW w:w="1333"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1555"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277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30211-差旅费</w:t>
            </w:r>
          </w:p>
        </w:tc>
        <w:tc>
          <w:tcPr>
            <w:tcW w:w="20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41.74</w:t>
            </w:r>
          </w:p>
        </w:tc>
        <w:tc>
          <w:tcPr>
            <w:tcW w:w="1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68.6%</w:t>
            </w:r>
          </w:p>
        </w:tc>
      </w:tr>
      <w:tr>
        <w:tblPrEx>
          <w:tblCellMar>
            <w:top w:w="0" w:type="dxa"/>
            <w:left w:w="108" w:type="dxa"/>
            <w:bottom w:w="0" w:type="dxa"/>
            <w:right w:w="108" w:type="dxa"/>
          </w:tblCellMar>
        </w:tblPrEx>
        <w:trPr>
          <w:trHeight w:val="644" w:hRule="atLeast"/>
        </w:trPr>
        <w:tc>
          <w:tcPr>
            <w:tcW w:w="1333" w:type="dxa"/>
            <w:vMerge w:val="continue"/>
            <w:tcBorders>
              <w:top w:val="nil"/>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1555"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p>
        </w:tc>
        <w:tc>
          <w:tcPr>
            <w:tcW w:w="2773"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z w:val="28"/>
                <w:szCs w:val="28"/>
                <w:highlight w:val="none"/>
              </w:rPr>
            </w:pPr>
            <w:r>
              <w:rPr>
                <w:rFonts w:hint="eastAsia" w:ascii="仿宋" w:hAnsi="仿宋" w:eastAsia="仿宋" w:cs="仿宋"/>
                <w:sz w:val="28"/>
                <w:szCs w:val="28"/>
                <w:highlight w:val="none"/>
              </w:rPr>
              <w:t>30216-培训费</w:t>
            </w:r>
          </w:p>
        </w:tc>
        <w:tc>
          <w:tcPr>
            <w:tcW w:w="2005"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4.52</w:t>
            </w:r>
          </w:p>
        </w:tc>
        <w:tc>
          <w:tcPr>
            <w:tcW w:w="167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outlineLvl w:val="0"/>
        <w:rPr>
          <w:rFonts w:hint="eastAsia" w:ascii="仿宋_GB2312" w:hAnsi="仿宋_GB2312" w:eastAsia="仿宋_GB2312" w:cs="宋体"/>
          <w:kern w:val="2"/>
          <w:sz w:val="32"/>
          <w:szCs w:val="24"/>
          <w:lang w:val="en-US" w:eastAsia="zh-CN" w:bidi="ar"/>
        </w:rPr>
      </w:pPr>
    </w:p>
    <w:p>
      <w:pPr>
        <w:keepNext w:val="0"/>
        <w:keepLines w:val="0"/>
        <w:widowControl w:val="0"/>
        <w:suppressLineNumbers w:val="0"/>
        <w:tabs>
          <w:tab w:val="left" w:pos="567"/>
        </w:tabs>
        <w:spacing w:before="0" w:beforeAutospacing="0" w:after="0" w:afterAutospacing="0" w:line="540" w:lineRule="exact"/>
        <w:ind w:left="0" w:right="0" w:firstLine="632" w:firstLineChars="200"/>
        <w:jc w:val="both"/>
        <w:outlineLvl w:val="0"/>
        <w:rPr>
          <w:rFonts w:hint="eastAsia" w:ascii="楷体_GB2312" w:hAnsi="楷体_GB2312" w:eastAsia="楷体_GB2312" w:cs="楷体_GB2312"/>
          <w:lang w:val="en-US"/>
        </w:rPr>
      </w:pPr>
      <w:r>
        <w:rPr>
          <w:rFonts w:hint="eastAsia" w:ascii="楷体_GB2312" w:hAnsi="楷体_GB2312" w:eastAsia="楷体_GB2312" w:cs="楷体_GB2312"/>
          <w:kern w:val="2"/>
          <w:sz w:val="32"/>
          <w:szCs w:val="32"/>
          <w:lang w:val="en-US" w:eastAsia="zh-CN" w:bidi="ar"/>
        </w:rPr>
        <w:t>（四）项目资金管理情况</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事业运行项目为我单位长期主要项目，项目预算经省药品监督管理局、省财政厅批准。我中心严格按照财务规章制度、内部控制制度等有计划、合理规范的使用项目经费。</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三、项目组织实施情况</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（一）项目组织情况</w:t>
      </w:r>
    </w:p>
    <w:p>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宋体"/>
          <w:color w:val="000000"/>
          <w:kern w:val="0"/>
          <w:lang w:val="en-US"/>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宋体" w:eastAsia="仿宋_GB2312" w:cs="宋体"/>
          <w:color w:val="000000"/>
          <w:kern w:val="0"/>
          <w:sz w:val="32"/>
          <w:szCs w:val="32"/>
          <w:lang w:val="en-US" w:eastAsia="zh-CN" w:bidi="ar"/>
        </w:rPr>
        <w:t xml:space="preserve"> 1. 高质量完成检查审评任务。2022年，结合药品安全专项整治活动，开展“百日行动”集中检查，全年完成各类检查审评任务合计935家次。 </w:t>
      </w:r>
    </w:p>
    <w:p>
      <w:pPr>
        <w:keepNext w:val="0"/>
        <w:keepLines w:val="0"/>
        <w:widowControl/>
        <w:suppressLineNumbers w:val="0"/>
        <w:spacing w:before="0" w:beforeAutospacing="0" w:after="0" w:afterAutospacing="0" w:line="540" w:lineRule="exact"/>
        <w:ind w:left="0" w:right="0"/>
        <w:jc w:val="left"/>
        <w:rPr>
          <w:rFonts w:hint="eastAsia" w:ascii="仿宋_GB2312" w:hAnsi="宋体" w:eastAsia="仿宋_GB2312" w:cs="宋体"/>
          <w:color w:val="000000"/>
          <w:kern w:val="0"/>
          <w:lang w:val="en-US"/>
        </w:rPr>
      </w:pPr>
      <w:r>
        <w:rPr>
          <w:rFonts w:hint="eastAsia" w:ascii="仿宋_GB2312" w:hAnsi="宋体" w:eastAsia="仿宋_GB2312" w:cs="宋体"/>
          <w:color w:val="000000"/>
          <w:kern w:val="0"/>
          <w:sz w:val="32"/>
          <w:szCs w:val="32"/>
          <w:lang w:val="en-US" w:eastAsia="zh-CN" w:bidi="ar"/>
        </w:rPr>
        <w:t xml:space="preserve">    2.全力排查和防范质量安全风险。中心立足职责，加强统筹，坚决做到守土有责、守土尽责。坚持问题导向，树立风险意识，守底线、保安全。一是加大生产环节监督检查力度，突出抓好重点品种、重点企业、重点环节的检查，重点检查变更管理、偏差管理及工艺一致性、数据可靠性等内容。二是每个季度对“两品一械”各业务板块进行风险研判，切实把风险摸排清楚，化解在萌芽状态；同时以 2022 年“全国安全用药月”为契机，组织企业召开药品安全风险防控交流会，同心同行形成监管合力，共同筑牢药品质量安全防线。三是抓住落实企业主体责任这个“牛鼻子”，督促企业建立有效运行的质量管理体系，严格按照生产工艺及质量标准组织生产，严格执行药品生产质量管理规范，严格按照产品放行程序履行放行职责。 </w:t>
      </w:r>
    </w:p>
    <w:p>
      <w:pPr>
        <w:keepNext w:val="0"/>
        <w:keepLines w:val="0"/>
        <w:widowControl/>
        <w:numPr>
          <w:ilvl w:val="0"/>
          <w:numId w:val="0"/>
        </w:numPr>
        <w:suppressLineNumbers w:val="0"/>
        <w:spacing w:before="0" w:beforeAutospacing="0" w:after="0" w:afterAutospacing="0" w:line="540" w:lineRule="exact"/>
        <w:ind w:right="0" w:rightChars="0" w:firstLine="632" w:firstLineChars="200"/>
        <w:jc w:val="left"/>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3.不断完善质量体系建设。2022年，中心以零缺陷通过德国 DEKRA 公司的 ISO9001 认证审核，确保中心所有的检查工作都在质量体系的规范下开展。因 2022年职责调整，新增加 20 项检查，中心结合工作实际，优化流程，修订质量手册一套、质量体系文件 98 个，完成第 4 版质量管理体系文件修订工作。</w:t>
      </w:r>
    </w:p>
    <w:p>
      <w:pPr>
        <w:keepNext w:val="0"/>
        <w:keepLines w:val="0"/>
        <w:widowControl/>
        <w:numPr>
          <w:ilvl w:val="0"/>
          <w:numId w:val="0"/>
        </w:numPr>
        <w:suppressLineNumbers w:val="0"/>
        <w:spacing w:before="0" w:beforeAutospacing="0" w:after="0" w:afterAutospacing="0" w:line="540" w:lineRule="exact"/>
        <w:ind w:right="0" w:rightChars="0" w:firstLine="632" w:firstLineChars="200"/>
        <w:jc w:val="left"/>
        <w:rPr>
          <w:rFonts w:hint="default"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4.持续创新检查员培训模式。通过模块化专题化、传帮带教学、案例分析会、实训基地练兵等模式，注重实战化培训，开展专业化练兵，提高检查员的检查能力和水平。2022 年举办各类培训 31 期，全年培训期数较 2021 年增长 460%；培训人次较 2021 年增长312%。建立实训基地4家，依托实训基地开展大练兵4期。</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（二）项目管理情况</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中心已根据实际情况制定了财务管理制度、内部控制制度等。项目实施实行责任制，具体责任落实到各科室。各科室根据计划和实施方案，具体组织项目实施。综合科对项目资金的使用进行管理和监督。</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四、项目绩效情况</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（一）项目绩效目标完成情况分析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2022年，我中心事业运行项目资金到位及时、监控有效，资金使用严格按照财务管理制度、内部控制制度执行，项目质量可控，达到了预定的目标。</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1.项目的经济性分析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2022年我中心事业运行项目资金预算数77.41万元，全年预算数68.41万元，全年执行数60.84万元，完成全年预算的88.93%，预算控制和成本控制方面未出现超预算情况。中心高度重视项目资金管理，对项目经费的使用范围、使用计划的制定、审批报账等方面做出了明确要求。</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2.项目的效率性分析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作为省药品监督管理局的技术支撑单位，我中心高度重视药品、医疗器械、化妆品检查及化妆品技术审核工作，根据省药品监督管理局2022年的工作部署以及药品监管过程的实际情况，该项目于2022年12月底全面高质量实施完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3.项目的效益性分析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2022年，中心高质量完成了药品、医疗器械、化妆品检查及普通化妆品备案审核工作，守住了药品、医疗器械、化妆品安全底线，保障了大众用药用械用妆安全，同时为企业提供了技术指导，助力生物医药产业发展。2022年设置效益指标情况为一级指标效益指标，二级指标为社会效益指标，三级指标为现场检查率，年度指标值为大于等于95%，2022年现场检查率为100%。</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4.项目的可持续性分析</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药品、医疗器械、化妆品生产企业GMP符合性检查、持续合规性检查、药品批发企业GSP符合性检查及普通化妆品备案技术审核是我中心的主要职能，事业运行项目是我中心的经常性项目。因此，省财政每年均全额拨款,保障项目的可持续性。</w:t>
      </w:r>
    </w:p>
    <w:p>
      <w:pPr>
        <w:keepNext w:val="0"/>
        <w:keepLines w:val="0"/>
        <w:widowControl w:val="0"/>
        <w:suppressLineNumbers w:val="0"/>
        <w:spacing w:before="0" w:beforeAutospacing="0" w:after="0" w:afterAutospacing="0" w:line="540" w:lineRule="exact"/>
        <w:ind w:left="0" w:right="0"/>
        <w:jc w:val="both"/>
        <w:outlineLvl w:val="0"/>
        <w:rPr>
          <w:rFonts w:hint="eastAsia" w:ascii="楷体_GB2312" w:hAnsi="楷体_GB2312" w:eastAsia="楷体_GB2312" w:cs="楷体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（二）项目绩效目标未完成情况及原因分析</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1.预期目标中第6点，预期“2022年完成药品生产企业持续合规性现场检查48家次”，该检查由省药品监管局委托开展，2022年度省药品监管局委托46家次，故完成46家。</w:t>
      </w:r>
    </w:p>
    <w:p>
      <w:pPr>
        <w:keepNext w:val="0"/>
        <w:keepLines w:val="0"/>
        <w:widowControl w:val="0"/>
        <w:suppressLineNumbers w:val="0"/>
        <w:spacing w:before="0" w:beforeAutospacing="0" w:after="0" w:afterAutospacing="0" w:line="540" w:lineRule="exact"/>
        <w:ind w:left="0" w:right="0" w:firstLine="632" w:firstLineChars="200"/>
        <w:jc w:val="both"/>
        <w:outlineLvl w:val="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2.预期目标中第8点，预期“2022年完成医疗机构放射性药品使用许可现场检查5家次”，因该检查由机构自行申请，2022年度仅有2家机构申请检查，故仅完成2家。</w:t>
      </w:r>
    </w:p>
    <w:p>
      <w:pPr>
        <w:keepNext w:val="0"/>
        <w:keepLines w:val="0"/>
        <w:widowControl w:val="0"/>
        <w:suppressLineNumbers w:val="0"/>
        <w:spacing w:before="0" w:beforeAutospacing="0" w:after="0" w:afterAutospacing="0" w:line="540" w:lineRule="exact"/>
        <w:ind w:left="0" w:right="0"/>
        <w:jc w:val="both"/>
        <w:outlineLvl w:val="0"/>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黑体" w:hAnsi="宋体" w:eastAsia="黑体" w:cs="黑体"/>
          <w:kern w:val="2"/>
          <w:sz w:val="32"/>
          <w:szCs w:val="32"/>
          <w:lang w:val="en-US" w:eastAsia="zh-CN" w:bidi="ar"/>
        </w:rPr>
        <w:t>五、其他需要说明的问题</w:t>
      </w:r>
    </w:p>
    <w:p>
      <w:pPr>
        <w:keepNext w:val="0"/>
        <w:keepLines w:val="0"/>
        <w:widowControl w:val="0"/>
        <w:suppressLineNumbers w:val="0"/>
        <w:spacing w:before="0" w:beforeAutospacing="0" w:after="0" w:afterAutospacing="0" w:line="540" w:lineRule="exact"/>
        <w:ind w:left="0" w:right="0"/>
        <w:jc w:val="both"/>
        <w:outlineLvl w:val="0"/>
        <w:rPr>
          <w:rFonts w:hint="eastAsia" w:ascii="楷体_GB2312" w:hAnsi="楷体_GB2312" w:eastAsia="楷体_GB2312" w:cs="楷体_GB2312"/>
          <w:lang w:val="en-US"/>
        </w:rPr>
      </w:pPr>
      <w:r>
        <w:rPr>
          <w:rFonts w:hint="eastAsia" w:ascii="仿宋_GB2312" w:hAnsi="仿宋_GB2312" w:eastAsia="仿宋_GB2312" w:cs="仿宋_GB2312"/>
          <w:kern w:val="2"/>
          <w:sz w:val="32"/>
          <w:szCs w:val="32"/>
          <w:lang w:val="en-US" w:eastAsia="zh-CN" w:bidi="ar"/>
        </w:rPr>
        <w:t xml:space="preserve">    </w:t>
      </w:r>
      <w:r>
        <w:rPr>
          <w:rFonts w:hint="eastAsia" w:ascii="楷体_GB2312" w:hAnsi="楷体_GB2312" w:eastAsia="楷体_GB2312" w:cs="楷体_GB2312"/>
          <w:kern w:val="2"/>
          <w:sz w:val="32"/>
          <w:szCs w:val="32"/>
          <w:lang w:val="en-US" w:eastAsia="zh-CN" w:bidi="ar"/>
        </w:rPr>
        <w:t>（一）后续工作计划</w:t>
      </w:r>
    </w:p>
    <w:p>
      <w:pPr>
        <w:keepNext w:val="0"/>
        <w:keepLines w:val="0"/>
        <w:widowControl w:val="0"/>
        <w:suppressLineNumbers w:val="0"/>
        <w:spacing w:before="0" w:beforeAutospacing="0" w:after="0" w:afterAutospacing="0"/>
        <w:ind w:left="0" w:right="0" w:firstLine="632" w:firstLineChars="200"/>
        <w:jc w:val="both"/>
        <w:rPr>
          <w:rFonts w:hint="eastAsia" w:ascii="宋体" w:hAnsi="宋体" w:eastAsia="宋体" w:cs="宋体"/>
          <w:kern w:val="0"/>
          <w:sz w:val="24"/>
          <w:szCs w:val="24"/>
          <w:lang w:val="en-US"/>
        </w:rPr>
      </w:pPr>
      <w:r>
        <w:rPr>
          <w:rFonts w:hint="eastAsia" w:ascii="仿宋_GB2312" w:hAnsi="仿宋_GB2312" w:eastAsia="仿宋_GB2312" w:cs="仿宋_GB2312"/>
          <w:kern w:val="2"/>
          <w:sz w:val="32"/>
          <w:szCs w:val="32"/>
          <w:lang w:val="en-US" w:eastAsia="zh-CN" w:bidi="ar"/>
        </w:rPr>
        <w:t>中心将继续突显技术特色，</w:t>
      </w:r>
      <w:r>
        <w:rPr>
          <w:rFonts w:hint="eastAsia" w:ascii="仿宋_GB2312" w:hAnsi="宋体" w:eastAsia="仿宋_GB2312" w:cs="宋体"/>
          <w:color w:val="000000"/>
          <w:kern w:val="0"/>
          <w:sz w:val="32"/>
          <w:szCs w:val="32"/>
          <w:lang w:val="en-US" w:eastAsia="zh-CN" w:bidi="ar"/>
        </w:rPr>
        <w:t>立足职责，加强统筹，坚决做到守土有责、守土尽责。坚持问题导向，树立风险意识，守底线、保安全。</w:t>
      </w:r>
      <w:r>
        <w:rPr>
          <w:rFonts w:hint="eastAsia" w:ascii="仿宋_GB2312" w:hAnsi="仿宋_GB2312" w:eastAsia="仿宋_GB2312" w:cs="仿宋_GB2312"/>
          <w:kern w:val="2"/>
          <w:sz w:val="32"/>
          <w:szCs w:val="32"/>
          <w:lang w:val="en-US" w:eastAsia="zh-CN" w:bidi="ar"/>
        </w:rPr>
        <w:t>按照“科学、公正、严谨、规范、高效”的质量方针</w:t>
      </w:r>
      <w:r>
        <w:rPr>
          <w:rFonts w:hint="eastAsia" w:ascii="仿宋_GB2312" w:hAnsi="仿宋_GB2312" w:eastAsia="仿宋_GB2312" w:cs="仿宋_GB2312"/>
          <w:color w:val="0D0D0D"/>
          <w:kern w:val="2"/>
          <w:sz w:val="32"/>
          <w:szCs w:val="32"/>
          <w:lang w:val="en-US" w:eastAsia="zh-CN" w:bidi="ar"/>
        </w:rPr>
        <w:t>开展药品、医疗器械、化妆品检查和化妆品备案技术审核工作，不断创</w:t>
      </w:r>
      <w:r>
        <w:rPr>
          <w:rFonts w:hint="eastAsia" w:ascii="仿宋_GB2312" w:hAnsi="仿宋_GB2312" w:eastAsia="仿宋_GB2312" w:cs="仿宋_GB2312"/>
          <w:kern w:val="2"/>
          <w:sz w:val="32"/>
          <w:szCs w:val="32"/>
          <w:lang w:val="en-US" w:eastAsia="zh-CN" w:bidi="ar"/>
        </w:rPr>
        <w:t>新思路、完善制度建设、加快人才培养，为药品监管发挥重要技术支撑作用。</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楷体_GB2312" w:hAnsi="楷体_GB2312" w:eastAsia="楷体_GB2312" w:cs="仿宋_GB2312"/>
          <w:kern w:val="2"/>
          <w:sz w:val="32"/>
          <w:szCs w:val="32"/>
          <w:lang w:val="en-US" w:eastAsia="zh-CN" w:bidi="ar"/>
        </w:rPr>
        <w:t>（二）主要经验及做法、存在问题和建议</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1.主要经验及做法。提前做好事业运行项目等经常性项目各项工作计划，在预算下达后，做好预算执行计划，高水平推动项目落地实施。</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2.存在的问题和建议</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2022年我中心完成了更名更责及工作交接，在此过程中发现主要问题包括： </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（1）检查人员数量不足；</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 xml:space="preserve">（2）职业化专业化检查员管理体制尚未健全，无人员编制； </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（3）兼职检查员抽调难。</w:t>
      </w:r>
    </w:p>
    <w:p>
      <w:pPr>
        <w:keepNext w:val="0"/>
        <w:keepLines w:val="0"/>
        <w:widowControl w:val="0"/>
        <w:suppressLineNumbers w:val="0"/>
        <w:spacing w:before="0" w:beforeAutospacing="0" w:after="0" w:afterAutospacing="0" w:line="540" w:lineRule="exact"/>
        <w:ind w:left="0" w:right="0" w:firstLine="632"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因此，中心今后将强化绩效目标设定，合理安排预算执行。不断加强检查员检查素质提升，加强检查员经费保障，促进事业运行项目可持续发展。</w:t>
      </w:r>
    </w:p>
    <w:p>
      <w:pPr>
        <w:keepNext w:val="0"/>
        <w:keepLines w:val="0"/>
        <w:widowControl w:val="0"/>
        <w:suppressLineNumbers w:val="0"/>
        <w:spacing w:before="0" w:beforeAutospacing="0" w:after="0" w:afterAutospacing="0" w:line="540" w:lineRule="exact"/>
        <w:ind w:left="0" w:right="0" w:firstLine="412" w:firstLineChars="200"/>
        <w:jc w:val="both"/>
        <w:rPr>
          <w:rFonts w:hint="eastAsia" w:ascii="仿宋_GB2312" w:hAnsi="仿宋_GB2312" w:eastAsia="仿宋_GB2312" w:cs="仿宋_GB2312"/>
          <w:lang w:val="en-US"/>
        </w:rPr>
      </w:pPr>
    </w:p>
    <w:p>
      <w:pPr>
        <w:keepNext w:val="0"/>
        <w:keepLines w:val="0"/>
        <w:widowControl w:val="0"/>
        <w:suppressLineNumbers w:val="0"/>
        <w:spacing w:before="0" w:beforeAutospacing="0" w:after="0" w:afterAutospacing="0" w:line="540" w:lineRule="exact"/>
        <w:ind w:left="0" w:right="0" w:firstLine="412" w:firstLineChars="200"/>
        <w:jc w:val="both"/>
        <w:rPr>
          <w:rFonts w:hint="eastAsia" w:ascii="仿宋_GB2312" w:hAnsi="仿宋_GB2312" w:eastAsia="仿宋_GB2312" w:cs="仿宋_GB2312"/>
          <w:lang w:val="en-US"/>
        </w:rPr>
      </w:pPr>
    </w:p>
    <w:p>
      <w:pPr>
        <w:keepNext w:val="0"/>
        <w:keepLines w:val="0"/>
        <w:widowControl w:val="0"/>
        <w:suppressLineNumbers w:val="0"/>
        <w:spacing w:before="0" w:beforeAutospacing="0" w:after="0" w:afterAutospacing="0" w:line="540" w:lineRule="exact"/>
        <w:ind w:left="0" w:right="0" w:firstLine="412" w:firstLineChars="200"/>
        <w:jc w:val="both"/>
        <w:rPr>
          <w:rFonts w:hint="eastAsia" w:ascii="仿宋_GB2312" w:hAnsi="仿宋_GB2312" w:eastAsia="仿宋_GB2312" w:cs="仿宋_GB231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lang w:val="en-US"/>
        </w:rPr>
      </w:pPr>
    </w:p>
    <w:p>
      <w:pPr>
        <w:keepNext w:val="0"/>
        <w:keepLines w:val="0"/>
        <w:widowControl w:val="0"/>
        <w:suppressLineNumbers w:val="0"/>
        <w:spacing w:before="0" w:beforeAutospacing="0" w:after="0" w:afterAutospacing="0" w:line="540" w:lineRule="exact"/>
        <w:ind w:left="0" w:right="0"/>
        <w:jc w:val="both"/>
        <w:textAlignment w:val="baseline"/>
        <w:rPr>
          <w:rFonts w:hint="eastAsia" w:ascii="仿宋_GB2312" w:eastAsia="仿宋_GB2312" w:cs="仿宋_GB2312"/>
          <w:vertAlign w:val="baseline"/>
          <w:lang w:val="en-US"/>
        </w:rPr>
      </w:pPr>
      <w:r>
        <w:rPr>
          <w:rFonts w:hint="eastAsia" w:ascii="仿宋_GB2312" w:hAnsi="仿宋_GB2312" w:eastAsia="仿宋_GB2312" w:cs="仿宋_GB2312"/>
          <w:kern w:val="2"/>
          <w:sz w:val="32"/>
          <w:szCs w:val="32"/>
          <w:lang w:val="en-US" w:eastAsia="zh-CN" w:bidi="ar"/>
        </w:rPr>
        <w:t xml:space="preserve">                                </w:t>
      </w:r>
      <w:bookmarkStart w:id="0" w:name="_GoBack"/>
      <w:bookmarkEnd w:id="0"/>
    </w:p>
    <w:p/>
    <w:sectPr>
      <w:pgSz w:w="11906" w:h="16838"/>
      <w:pgMar w:top="1814" w:right="1247" w:bottom="1191" w:left="1418" w:header="851" w:footer="992" w:gutter="0"/>
      <w:pgNumType w:fmt="decimalFullWidt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小标宋">
    <w:altName w:val="方正小标宋_GBK"/>
    <w:panose1 w:val="03000509000000000000"/>
    <w:charset w:val="86"/>
    <w:family w:val="auto"/>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35771"/>
    <w:multiLevelType w:val="singleLevel"/>
    <w:tmpl w:val="A1E3577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NzY5ZjE3ZWQ3NWE5MGRiZTlkOTU2MGI1YjAwYTYifQ=="/>
  </w:docVars>
  <w:rsids>
    <w:rsidRoot w:val="00172A27"/>
    <w:rsid w:val="01AD00A9"/>
    <w:rsid w:val="01D86085"/>
    <w:rsid w:val="01FC0E78"/>
    <w:rsid w:val="0242687E"/>
    <w:rsid w:val="095A5D8B"/>
    <w:rsid w:val="099D3131"/>
    <w:rsid w:val="0A3F3922"/>
    <w:rsid w:val="0E5B2102"/>
    <w:rsid w:val="10EC3373"/>
    <w:rsid w:val="12183DAD"/>
    <w:rsid w:val="15E47FF3"/>
    <w:rsid w:val="182C62B0"/>
    <w:rsid w:val="187E0F97"/>
    <w:rsid w:val="1A6622C5"/>
    <w:rsid w:val="2295590C"/>
    <w:rsid w:val="244C2AFD"/>
    <w:rsid w:val="26AE2021"/>
    <w:rsid w:val="2B577094"/>
    <w:rsid w:val="315F36D1"/>
    <w:rsid w:val="31C37EBA"/>
    <w:rsid w:val="31EB1C40"/>
    <w:rsid w:val="33FF738F"/>
    <w:rsid w:val="34D576AA"/>
    <w:rsid w:val="356563BD"/>
    <w:rsid w:val="35D16D8F"/>
    <w:rsid w:val="3760340A"/>
    <w:rsid w:val="3C351467"/>
    <w:rsid w:val="3CC4581A"/>
    <w:rsid w:val="3FCB2427"/>
    <w:rsid w:val="439E2F76"/>
    <w:rsid w:val="47BC2B1F"/>
    <w:rsid w:val="48BC628A"/>
    <w:rsid w:val="4B076E0D"/>
    <w:rsid w:val="4D544DAF"/>
    <w:rsid w:val="4E9F0E6B"/>
    <w:rsid w:val="4F511A59"/>
    <w:rsid w:val="510F5903"/>
    <w:rsid w:val="55AD45AA"/>
    <w:rsid w:val="57D5144D"/>
    <w:rsid w:val="59B7695C"/>
    <w:rsid w:val="5C927E7D"/>
    <w:rsid w:val="5D380EAD"/>
    <w:rsid w:val="5F395D97"/>
    <w:rsid w:val="5FF549AC"/>
    <w:rsid w:val="60A509F7"/>
    <w:rsid w:val="618D6B57"/>
    <w:rsid w:val="62FA6047"/>
    <w:rsid w:val="6AA81DBF"/>
    <w:rsid w:val="6B7F5856"/>
    <w:rsid w:val="739B0AF4"/>
    <w:rsid w:val="74B5214A"/>
    <w:rsid w:val="781144D0"/>
    <w:rsid w:val="7B9CD51E"/>
    <w:rsid w:val="7FCC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eastAsia" w:ascii="仿宋_GB2312" w:eastAsia="仿宋_GB2312" w:cs="仿宋_GB2312"/>
      <w:kern w:val="2"/>
      <w:sz w:val="18"/>
      <w:szCs w:val="18"/>
    </w:rPr>
  </w:style>
  <w:style w:type="character" w:customStyle="1" w:styleId="8">
    <w:name w:val="页脚 Char"/>
    <w:basedOn w:val="6"/>
    <w:link w:val="2"/>
    <w:qFormat/>
    <w:uiPriority w:val="0"/>
    <w:rPr>
      <w:rFonts w:hint="eastAsia" w:ascii="仿宋_GB2312" w:eastAsia="仿宋_GB2312" w:cs="仿宋_GB2312"/>
      <w:kern w:val="2"/>
      <w:sz w:val="18"/>
      <w:szCs w:val="18"/>
    </w:rPr>
  </w:style>
  <w:style w:type="character" w:customStyle="1" w:styleId="9">
    <w:name w:val="要点 New"/>
    <w:basedOn w:val="6"/>
    <w:qFormat/>
    <w:uiPriority w:val="0"/>
    <w:rPr>
      <w:b/>
      <w:bCs/>
    </w:rPr>
  </w:style>
  <w:style w:type="paragraph" w:customStyle="1" w:styleId="10">
    <w:name w:val="p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21"/>
      <w:szCs w:val="21"/>
      <w:lang w:val="en-US" w:eastAsia="zh-CN" w:bidi="ar"/>
    </w:rPr>
  </w:style>
  <w:style w:type="paragraph" w:customStyle="1" w:styleId="11">
    <w:name w:val="普通(网站) New"/>
    <w:basedOn w:val="1"/>
    <w:qFormat/>
    <w:uiPriority w:val="0"/>
    <w:pPr>
      <w:keepNext w:val="0"/>
      <w:keepLines w:val="0"/>
      <w:widowControl w:val="0"/>
      <w:suppressLineNumbers w:val="0"/>
      <w:spacing w:before="0" w:beforeAutospacing="1" w:after="0" w:afterAutospacing="1"/>
      <w:ind w:left="0" w:right="0"/>
      <w:jc w:val="both"/>
    </w:pPr>
    <w:rPr>
      <w:rFonts w:hint="default" w:ascii="Times New Roman" w:hAnsi="Times New Roman" w:eastAsia="仿宋_GB2312" w:cs="Times New Roman"/>
      <w:kern w:val="2"/>
      <w:sz w:val="32"/>
      <w:szCs w:val="32"/>
      <w:lang w:val="en-US" w:eastAsia="zh-CN" w:bidi="ar"/>
    </w:rPr>
  </w:style>
  <w:style w:type="paragraph" w:customStyle="1" w:styleId="12">
    <w:name w:val="正文首行缩进 2 New"/>
    <w:basedOn w:val="13"/>
    <w:qFormat/>
    <w:uiPriority w:val="0"/>
    <w:pPr>
      <w:ind w:firstLine="420" w:firstLineChars="200"/>
    </w:pPr>
  </w:style>
  <w:style w:type="paragraph" w:customStyle="1" w:styleId="13">
    <w:name w:val="正文文本缩进 New"/>
    <w:basedOn w:val="14"/>
    <w:qFormat/>
    <w:uiPriority w:val="0"/>
    <w:pPr>
      <w:spacing w:after="120" w:afterLines="0"/>
      <w:ind w:left="420" w:leftChars="200"/>
    </w:pPr>
    <w:rPr>
      <w:rFonts w:cs="Calibri"/>
      <w:kern w:val="2"/>
      <w:sz w:val="21"/>
      <w:szCs w:val="21"/>
    </w:rPr>
  </w:style>
  <w:style w:type="paragraph" w:customStyle="1" w:styleId="14">
    <w:name w:val="正文 New New New"/>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5019</Words>
  <Characters>5661</Characters>
  <Lines>0</Lines>
  <Paragraphs>0</Paragraphs>
  <TotalTime>43</TotalTime>
  <ScaleCrop>false</ScaleCrop>
  <LinksUpToDate>false</LinksUpToDate>
  <CharactersWithSpaces>5922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2023-04-21T16:05:00Z</dcterms:created>
  <dc:creator>Administrator.WIN-M7LQ9RLJ23N</dc:creator>
  <cp:lastModifiedBy>uos</cp:lastModifiedBy>
  <cp:lastPrinted>2023-06-21T11:25:00Z</cp:lastPrinted>
  <dcterms:modified xsi:type="dcterms:W3CDTF">2023-07-10T16:29:50Z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E92F91946EA547B59B9E5D5F973C0756</vt:lpwstr>
  </property>
</Properties>
</file>