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45" w:rsidRDefault="00B64645" w:rsidP="00B64645">
      <w:pPr>
        <w:rPr>
          <w:rFonts w:eastAsia="黑体" w:hAnsi="黑体"/>
          <w:sz w:val="28"/>
          <w:szCs w:val="28"/>
        </w:rPr>
      </w:pPr>
      <w:r>
        <w:rPr>
          <w:rFonts w:eastAsia="黑体" w:hAnsi="黑体" w:hint="eastAsia"/>
          <w:sz w:val="28"/>
          <w:szCs w:val="28"/>
        </w:rPr>
        <w:t>海南省</w:t>
      </w:r>
      <w:r w:rsidRPr="00744DAD">
        <w:rPr>
          <w:rFonts w:eastAsia="黑体"/>
          <w:sz w:val="28"/>
          <w:szCs w:val="28"/>
        </w:rPr>
        <w:t>“</w:t>
      </w:r>
      <w:r w:rsidRPr="00744DAD">
        <w:rPr>
          <w:rFonts w:eastAsia="黑体" w:hAnsi="黑体" w:hint="eastAsia"/>
          <w:sz w:val="28"/>
          <w:szCs w:val="28"/>
        </w:rPr>
        <w:t>市场监管系统先进集体</w:t>
      </w:r>
      <w:r w:rsidRPr="00744DAD">
        <w:rPr>
          <w:rFonts w:eastAsia="黑体"/>
          <w:sz w:val="28"/>
          <w:szCs w:val="28"/>
        </w:rPr>
        <w:t>”</w:t>
      </w:r>
      <w:r w:rsidRPr="00744DAD">
        <w:rPr>
          <w:rFonts w:eastAsia="黑体" w:hAnsi="黑体" w:hint="eastAsia"/>
          <w:sz w:val="28"/>
          <w:szCs w:val="28"/>
        </w:rPr>
        <w:t>推荐对象</w:t>
      </w:r>
      <w:r>
        <w:rPr>
          <w:rFonts w:eastAsia="黑体" w:hAnsi="黑体" w:hint="eastAsia"/>
          <w:sz w:val="28"/>
          <w:szCs w:val="28"/>
        </w:rPr>
        <w:t>3</w:t>
      </w:r>
    </w:p>
    <w:p w:rsidR="00B64645" w:rsidRPr="00F61E3A" w:rsidRDefault="00B64645" w:rsidP="00F61E3A">
      <w:pPr>
        <w:spacing w:line="580" w:lineRule="exact"/>
        <w:rPr>
          <w:rFonts w:ascii="宋体" w:hAnsi="宋体"/>
          <w:b/>
          <w:sz w:val="44"/>
          <w:szCs w:val="44"/>
        </w:rPr>
      </w:pPr>
    </w:p>
    <w:p w:rsidR="00B64645" w:rsidRDefault="00CD0B29">
      <w:pPr>
        <w:spacing w:line="580" w:lineRule="exact"/>
        <w:jc w:val="center"/>
        <w:rPr>
          <w:rFonts w:ascii="黑体" w:eastAsia="黑体" w:hAnsi="黑体"/>
          <w:sz w:val="44"/>
          <w:szCs w:val="44"/>
        </w:rPr>
      </w:pPr>
      <w:r w:rsidRPr="00B64645">
        <w:rPr>
          <w:rFonts w:ascii="黑体" w:eastAsia="黑体" w:hAnsi="黑体" w:hint="eastAsia"/>
          <w:sz w:val="44"/>
          <w:szCs w:val="44"/>
        </w:rPr>
        <w:t>海南省澄迈县市场监督管理局</w:t>
      </w:r>
    </w:p>
    <w:p w:rsidR="007F30F0" w:rsidRPr="00B64645" w:rsidRDefault="00725483">
      <w:pPr>
        <w:spacing w:line="580" w:lineRule="exact"/>
        <w:jc w:val="center"/>
        <w:rPr>
          <w:rFonts w:ascii="黑体" w:eastAsia="黑体" w:hAnsi="黑体"/>
          <w:sz w:val="44"/>
          <w:szCs w:val="44"/>
        </w:rPr>
      </w:pPr>
      <w:r w:rsidRPr="00B64645">
        <w:rPr>
          <w:rFonts w:ascii="黑体" w:eastAsia="黑体" w:hAnsi="黑体" w:hint="eastAsia"/>
          <w:sz w:val="44"/>
          <w:szCs w:val="44"/>
        </w:rPr>
        <w:t>商标广告监管</w:t>
      </w:r>
      <w:r w:rsidR="00CD0B29" w:rsidRPr="00B64645">
        <w:rPr>
          <w:rFonts w:ascii="黑体" w:eastAsia="黑体" w:hAnsi="黑体" w:hint="eastAsia"/>
          <w:sz w:val="44"/>
          <w:szCs w:val="44"/>
        </w:rPr>
        <w:t>室事迹材料</w:t>
      </w:r>
    </w:p>
    <w:p w:rsidR="007F30F0" w:rsidRDefault="007F30F0">
      <w:pPr>
        <w:spacing w:line="580" w:lineRule="exact"/>
        <w:jc w:val="center"/>
        <w:rPr>
          <w:rFonts w:ascii="仿宋_GB2312" w:eastAsia="仿宋_GB2312"/>
          <w:sz w:val="32"/>
          <w:szCs w:val="32"/>
        </w:rPr>
      </w:pPr>
    </w:p>
    <w:p w:rsidR="007F30F0" w:rsidRDefault="00CD0B29">
      <w:pPr>
        <w:spacing w:line="580" w:lineRule="exact"/>
        <w:ind w:firstLine="600"/>
        <w:jc w:val="left"/>
        <w:rPr>
          <w:rFonts w:ascii="黑体" w:eastAsia="黑体" w:hAnsi="黑体"/>
          <w:sz w:val="32"/>
          <w:szCs w:val="32"/>
        </w:rPr>
      </w:pPr>
      <w:r>
        <w:rPr>
          <w:rFonts w:ascii="黑体" w:eastAsia="黑体" w:hAnsi="黑体" w:hint="eastAsia"/>
          <w:sz w:val="32"/>
          <w:szCs w:val="32"/>
        </w:rPr>
        <w:t>一、基本情况</w:t>
      </w:r>
    </w:p>
    <w:p w:rsidR="007F30F0" w:rsidRDefault="00CD0B29">
      <w:pPr>
        <w:spacing w:line="580" w:lineRule="exact"/>
        <w:ind w:firstLine="600"/>
        <w:jc w:val="left"/>
        <w:rPr>
          <w:rFonts w:ascii="仿宋_GB2312" w:eastAsia="仿宋_GB2312" w:hAnsi="黑体"/>
          <w:sz w:val="32"/>
          <w:szCs w:val="32"/>
        </w:rPr>
      </w:pPr>
      <w:r>
        <w:rPr>
          <w:rFonts w:ascii="仿宋_GB2312" w:eastAsia="仿宋_GB2312" w:hAnsi="黑体" w:hint="eastAsia"/>
          <w:sz w:val="32"/>
          <w:szCs w:val="32"/>
        </w:rPr>
        <w:t>海南省澄迈县市场监督管理局</w:t>
      </w:r>
      <w:r w:rsidR="00725483">
        <w:rPr>
          <w:rFonts w:ascii="仿宋" w:eastAsia="仿宋" w:hAnsi="仿宋" w:hint="eastAsia"/>
          <w:sz w:val="32"/>
          <w:szCs w:val="32"/>
        </w:rPr>
        <w:t>商标广告监管</w:t>
      </w:r>
      <w:r>
        <w:rPr>
          <w:rFonts w:ascii="仿宋" w:eastAsia="仿宋" w:hAnsi="仿宋" w:hint="eastAsia"/>
          <w:sz w:val="32"/>
          <w:szCs w:val="32"/>
        </w:rPr>
        <w:t>室</w:t>
      </w:r>
      <w:r>
        <w:rPr>
          <w:rFonts w:ascii="仿宋_GB2312" w:eastAsia="仿宋_GB2312" w:hAnsi="黑体" w:hint="eastAsia"/>
          <w:sz w:val="32"/>
          <w:szCs w:val="32"/>
        </w:rPr>
        <w:t>，为</w:t>
      </w:r>
      <w:r w:rsidR="00725483">
        <w:rPr>
          <w:rFonts w:ascii="仿宋_GB2312" w:eastAsia="仿宋_GB2312" w:hAnsi="黑体" w:hint="eastAsia"/>
          <w:sz w:val="32"/>
          <w:szCs w:val="32"/>
        </w:rPr>
        <w:t>原</w:t>
      </w:r>
      <w:r>
        <w:rPr>
          <w:rFonts w:ascii="仿宋_GB2312" w:eastAsia="仿宋_GB2312" w:hAnsi="黑体" w:hint="eastAsia"/>
          <w:sz w:val="32"/>
          <w:szCs w:val="32"/>
        </w:rPr>
        <w:t>海南省澄迈县</w:t>
      </w:r>
      <w:r w:rsidR="00725483">
        <w:rPr>
          <w:rFonts w:ascii="仿宋_GB2312" w:eastAsia="仿宋_GB2312" w:hAnsi="黑体" w:hint="eastAsia"/>
          <w:sz w:val="32"/>
          <w:szCs w:val="32"/>
        </w:rPr>
        <w:t>工商行政</w:t>
      </w:r>
      <w:r>
        <w:rPr>
          <w:rFonts w:ascii="仿宋_GB2312" w:eastAsia="仿宋_GB2312" w:hAnsi="黑体" w:hint="eastAsia"/>
          <w:sz w:val="32"/>
          <w:szCs w:val="32"/>
        </w:rPr>
        <w:t>管理局</w:t>
      </w:r>
      <w:r w:rsidR="00725483">
        <w:rPr>
          <w:rFonts w:ascii="仿宋_GB2312" w:eastAsia="仿宋_GB2312" w:hAnsi="黑体" w:hint="eastAsia"/>
          <w:sz w:val="32"/>
          <w:szCs w:val="32"/>
        </w:rPr>
        <w:t>内</w:t>
      </w:r>
      <w:r>
        <w:rPr>
          <w:rFonts w:ascii="仿宋_GB2312" w:eastAsia="仿宋_GB2312" w:hAnsi="黑体" w:hint="eastAsia"/>
          <w:sz w:val="32"/>
          <w:szCs w:val="32"/>
        </w:rPr>
        <w:t>设机构。编制4个人，现有人员</w:t>
      </w:r>
      <w:r w:rsidR="00725483">
        <w:rPr>
          <w:rFonts w:ascii="仿宋_GB2312" w:eastAsia="仿宋_GB2312" w:hAnsi="黑体" w:hint="eastAsia"/>
          <w:sz w:val="32"/>
          <w:szCs w:val="32"/>
        </w:rPr>
        <w:t>4</w:t>
      </w:r>
      <w:r>
        <w:rPr>
          <w:rFonts w:ascii="仿宋_GB2312" w:eastAsia="仿宋_GB2312" w:hAnsi="黑体" w:hint="eastAsia"/>
          <w:sz w:val="32"/>
          <w:szCs w:val="32"/>
        </w:rPr>
        <w:t>人。集体负责人王迪凯，</w:t>
      </w:r>
      <w:r w:rsidR="00725483">
        <w:rPr>
          <w:rFonts w:ascii="仿宋_GB2312" w:eastAsia="仿宋_GB2312" w:hAnsi="黑体" w:hint="eastAsia"/>
          <w:sz w:val="32"/>
          <w:szCs w:val="32"/>
        </w:rPr>
        <w:t>为商标广告监管</w:t>
      </w:r>
      <w:r>
        <w:rPr>
          <w:rFonts w:ascii="仿宋_GB2312" w:eastAsia="仿宋_GB2312" w:hAnsi="黑体" w:hint="eastAsia"/>
          <w:sz w:val="32"/>
          <w:szCs w:val="32"/>
        </w:rPr>
        <w:t>室主任。</w:t>
      </w:r>
    </w:p>
    <w:p w:rsidR="007F30F0" w:rsidRDefault="00CD0B29">
      <w:pPr>
        <w:spacing w:line="580" w:lineRule="exact"/>
        <w:ind w:firstLine="600"/>
        <w:jc w:val="left"/>
        <w:rPr>
          <w:rFonts w:ascii="仿宋_GB2312" w:eastAsia="仿宋_GB2312" w:hAnsi="黑体"/>
          <w:sz w:val="32"/>
          <w:szCs w:val="32"/>
        </w:rPr>
      </w:pPr>
      <w:r>
        <w:rPr>
          <w:rFonts w:ascii="仿宋_GB2312" w:eastAsia="仿宋_GB2312" w:hAnsi="黑体" w:hint="eastAsia"/>
          <w:sz w:val="32"/>
          <w:szCs w:val="32"/>
        </w:rPr>
        <w:t>2013年，海南省澄迈县工商行政管理局商标广告监管室荣获人力资源社会保障部和国家工商总局“全国工商行政管理系统先进集体”称号。</w:t>
      </w:r>
    </w:p>
    <w:p w:rsidR="007F30F0" w:rsidRDefault="00CD0B29">
      <w:pPr>
        <w:spacing w:line="580" w:lineRule="exact"/>
        <w:ind w:firstLine="600"/>
        <w:jc w:val="left"/>
        <w:rPr>
          <w:rFonts w:ascii="仿宋_GB2312" w:eastAsia="仿宋_GB2312" w:hAnsi="黑体"/>
          <w:sz w:val="32"/>
          <w:szCs w:val="32"/>
        </w:rPr>
      </w:pPr>
      <w:r>
        <w:rPr>
          <w:rFonts w:ascii="仿宋_GB2312" w:eastAsia="仿宋_GB2312" w:hAnsi="黑体" w:hint="eastAsia"/>
          <w:sz w:val="32"/>
          <w:szCs w:val="32"/>
        </w:rPr>
        <w:t>2018年，海南省澄迈县</w:t>
      </w:r>
      <w:bookmarkStart w:id="0" w:name="_GoBack"/>
      <w:bookmarkEnd w:id="0"/>
      <w:r>
        <w:rPr>
          <w:rFonts w:ascii="仿宋_GB2312" w:eastAsia="仿宋_GB2312" w:hAnsi="黑体" w:hint="eastAsia"/>
          <w:sz w:val="32"/>
          <w:szCs w:val="32"/>
        </w:rPr>
        <w:t>工商行政管理局获得国家工商总局“全国工商和市场监督管理部门广告工作表现突出单位”通报表扬。</w:t>
      </w:r>
    </w:p>
    <w:p w:rsidR="007F30F0" w:rsidRDefault="00CD0B29">
      <w:pPr>
        <w:numPr>
          <w:ilvl w:val="0"/>
          <w:numId w:val="1"/>
        </w:numPr>
        <w:spacing w:line="580" w:lineRule="exact"/>
        <w:ind w:firstLine="600"/>
        <w:jc w:val="left"/>
        <w:rPr>
          <w:rFonts w:ascii="黑体" w:eastAsia="黑体" w:hAnsi="黑体"/>
          <w:sz w:val="32"/>
          <w:szCs w:val="32"/>
        </w:rPr>
      </w:pPr>
      <w:r>
        <w:rPr>
          <w:rFonts w:ascii="黑体" w:eastAsia="黑体" w:hAnsi="黑体" w:hint="eastAsia"/>
          <w:sz w:val="32"/>
          <w:szCs w:val="32"/>
        </w:rPr>
        <w:t>主要事迹</w:t>
      </w:r>
    </w:p>
    <w:p w:rsidR="007F30F0" w:rsidRPr="00681F3D" w:rsidRDefault="00CD0B29" w:rsidP="00681F3D">
      <w:pPr>
        <w:pStyle w:val="a8"/>
        <w:numPr>
          <w:ilvl w:val="0"/>
          <w:numId w:val="3"/>
        </w:numPr>
        <w:spacing w:line="580" w:lineRule="exact"/>
        <w:ind w:firstLineChars="0"/>
        <w:rPr>
          <w:rFonts w:ascii="楷体" w:eastAsia="楷体" w:hAnsi="楷体" w:cs="仿宋_GB2312"/>
          <w:b/>
          <w:sz w:val="32"/>
          <w:szCs w:val="32"/>
        </w:rPr>
      </w:pPr>
      <w:r w:rsidRPr="00681F3D">
        <w:rPr>
          <w:rFonts w:ascii="楷体" w:eastAsia="楷体" w:hAnsi="楷体" w:cs="仿宋_GB2312" w:hint="eastAsia"/>
          <w:b/>
          <w:sz w:val="32"/>
          <w:szCs w:val="32"/>
        </w:rPr>
        <w:t>深入实施商标兴县战略和商标富农工程</w:t>
      </w:r>
    </w:p>
    <w:p w:rsidR="007F30F0" w:rsidRDefault="00CD0B29" w:rsidP="00271A44">
      <w:pPr>
        <w:spacing w:line="540" w:lineRule="exact"/>
        <w:ind w:firstLineChars="200" w:firstLine="640"/>
        <w:rPr>
          <w:rFonts w:ascii="仿宋_GB2312" w:eastAsia="仿宋_GB2312"/>
          <w:sz w:val="32"/>
          <w:szCs w:val="32"/>
        </w:rPr>
      </w:pPr>
      <w:r>
        <w:rPr>
          <w:rFonts w:ascii="仿宋_GB2312" w:eastAsia="仿宋_GB2312" w:hint="eastAsia"/>
          <w:sz w:val="32"/>
          <w:szCs w:val="32"/>
        </w:rPr>
        <w:t>2009年，澄迈县与海南省工商局签署合作协议，在全省率先实施“商标富农”示范县工程；因工作成效突出，2010年，澄迈县被国家工商总局授予全国唯一的“国家商标战略实施示范县”。使得澄迈县以商标为核心，创造性地提出了打造“政府+公司＋商标＋基地（农户）+金融+强势媒体”的澄迈农业发展新模式，充分发挥农业大县的优势，</w:t>
      </w:r>
      <w:r>
        <w:rPr>
          <w:rFonts w:ascii="仿宋_GB2312" w:eastAsia="仿宋_GB2312" w:hAnsi="仿宋_GB2312" w:cs="仿宋_GB2312" w:hint="eastAsia"/>
          <w:sz w:val="32"/>
          <w:szCs w:val="32"/>
        </w:rPr>
        <w:t>知识产权与广告监督管理室作为业务部门，</w:t>
      </w:r>
      <w:r>
        <w:rPr>
          <w:rFonts w:ascii="仿宋_GB2312" w:eastAsia="仿宋_GB2312" w:hint="eastAsia"/>
          <w:sz w:val="32"/>
          <w:szCs w:val="32"/>
        </w:rPr>
        <w:t>积极推进商标的注册、</w:t>
      </w:r>
      <w:r>
        <w:rPr>
          <w:rFonts w:ascii="仿宋_GB2312" w:eastAsia="仿宋_GB2312" w:hint="eastAsia"/>
          <w:sz w:val="32"/>
          <w:szCs w:val="32"/>
        </w:rPr>
        <w:lastRenderedPageBreak/>
        <w:t>运用、保护和管理工作，推动县委县政府以全县之力打造品牌澄迈。一是制订商标扶持发展政策。率先起草制定并颁布《澄迈县商标富农工程扶持办法》、《澄迈县商标注册鼓励办法》、《澄迈县争创驰名（著名）商标奖励办法》3个商标富农扶持办法，以及《澄迈县商标发展规划》，积极营造商标工作的政策环境。2018年，推动县委县政府重新修订商标扶持政策，单列出“全力支持脱贫攻坚”条款，全面细化了脱贫攻坚方面的具体工作举措；并加大商标品牌扶持的奖励标准，申请成功地理标志证明商标奖励50万元，不断强化商标政策扶持。二是加大商标品牌的资金扶持力度。将商标工作经费纳入县财政预算，对工作成效突出的单位和个人予以表彰和奖励，8年来，全县已投入超过2100万元用于实施商标战略和商标富农工程，为“澄迈福橙”等产业品牌化发展给予了强有力的政策土壤和发展环境。</w:t>
      </w:r>
    </w:p>
    <w:p w:rsidR="007F30F0" w:rsidRDefault="00725483" w:rsidP="00271A44">
      <w:pPr>
        <w:spacing w:line="540" w:lineRule="exact"/>
        <w:ind w:firstLineChars="200" w:firstLine="640"/>
        <w:rPr>
          <w:rFonts w:ascii="仿宋_GB2312" w:eastAsia="仿宋_GB2312" w:hAnsi="仿宋_GB2312" w:cs="仿宋_GB2312"/>
          <w:bCs/>
          <w:color w:val="000000"/>
          <w:sz w:val="32"/>
          <w:szCs w:val="32"/>
          <w:lang w:val="zh-CN"/>
        </w:rPr>
      </w:pPr>
      <w:r>
        <w:rPr>
          <w:rFonts w:ascii="仿宋_GB2312" w:eastAsia="仿宋_GB2312" w:hAnsi="仿宋_GB2312" w:cs="仿宋_GB2312" w:hint="eastAsia"/>
          <w:sz w:val="32"/>
          <w:szCs w:val="32"/>
        </w:rPr>
        <w:t>商标广告监管</w:t>
      </w:r>
      <w:proofErr w:type="gramStart"/>
      <w:r w:rsidR="00CD0B29">
        <w:rPr>
          <w:rFonts w:ascii="仿宋_GB2312" w:eastAsia="仿宋_GB2312" w:hAnsi="仿宋_GB2312" w:cs="仿宋_GB2312" w:hint="eastAsia"/>
          <w:sz w:val="32"/>
          <w:szCs w:val="32"/>
        </w:rPr>
        <w:t>室</w:t>
      </w:r>
      <w:r w:rsidR="00CD0B29">
        <w:rPr>
          <w:rFonts w:ascii="仿宋_GB2312" w:eastAsia="仿宋_GB2312" w:hAnsi="仿宋_GB2312" w:cs="仿宋_GB2312" w:hint="eastAsia"/>
          <w:bCs/>
          <w:color w:val="000000"/>
          <w:sz w:val="32"/>
          <w:szCs w:val="32"/>
        </w:rPr>
        <w:t>加强</w:t>
      </w:r>
      <w:proofErr w:type="gramEnd"/>
      <w:r w:rsidR="00CD0B29">
        <w:rPr>
          <w:rFonts w:ascii="仿宋_GB2312" w:eastAsia="仿宋_GB2312" w:hAnsi="仿宋_GB2312" w:cs="仿宋_GB2312" w:hint="eastAsia"/>
          <w:bCs/>
          <w:color w:val="000000"/>
          <w:sz w:val="32"/>
          <w:szCs w:val="32"/>
        </w:rPr>
        <w:t>对农产品商标注册引导的具体指导工作，鼓励和引导17家对外贸易企业开展商标国际注册，指导海南翔泰渔业股份有限公司、福山咖啡联合公司申请在商标异议程序中认定为驰名商标。截至2019年6月，全县累计有效注册商标达3666件，与2012年年底相比增长255%，其中农产品商标1013件，马德里商标国际注册2件，地理标志证明商标3件。持续加强地理标志商标等区域品牌的扶持力度，引导企业成功注册“澄迈桥头地瓜”地理标志证明商标。实施“瑞溪腊肠”“瑞溪牛肉干”“瑞溪粽子”“澄迈山茶油”“澄迈无核荔枝”等地理标志商标培育工作。</w:t>
      </w:r>
    </w:p>
    <w:p w:rsidR="007F30F0" w:rsidRPr="00681F3D" w:rsidRDefault="00CD0B29" w:rsidP="00271A44">
      <w:pPr>
        <w:pStyle w:val="a8"/>
        <w:numPr>
          <w:ilvl w:val="0"/>
          <w:numId w:val="3"/>
        </w:numPr>
        <w:spacing w:line="540" w:lineRule="exact"/>
        <w:ind w:firstLineChars="0"/>
        <w:rPr>
          <w:rFonts w:ascii="楷体" w:eastAsia="楷体" w:hAnsi="楷体"/>
          <w:b/>
          <w:bCs/>
          <w:sz w:val="32"/>
          <w:szCs w:val="32"/>
        </w:rPr>
      </w:pPr>
      <w:r w:rsidRPr="00681F3D">
        <w:rPr>
          <w:rFonts w:ascii="楷体" w:eastAsia="楷体" w:hAnsi="楷体" w:cs="仿宋_GB2312" w:hint="eastAsia"/>
          <w:b/>
          <w:sz w:val="32"/>
          <w:szCs w:val="32"/>
        </w:rPr>
        <w:t>强化</w:t>
      </w:r>
      <w:r w:rsidRPr="00681F3D">
        <w:rPr>
          <w:rFonts w:ascii="楷体" w:eastAsia="楷体" w:hAnsi="楷体" w:hint="eastAsia"/>
          <w:b/>
          <w:bCs/>
          <w:sz w:val="32"/>
          <w:szCs w:val="32"/>
        </w:rPr>
        <w:t>执法办案落实广告监管职责。</w:t>
      </w:r>
    </w:p>
    <w:p w:rsidR="007F30F0" w:rsidRDefault="00CD0B29" w:rsidP="00271A44">
      <w:pPr>
        <w:spacing w:line="540" w:lineRule="exact"/>
        <w:ind w:firstLineChars="200" w:firstLine="640"/>
        <w:rPr>
          <w:rFonts w:ascii="仿宋" w:eastAsia="仿宋" w:hAnsi="仿宋"/>
          <w:sz w:val="32"/>
          <w:szCs w:val="32"/>
        </w:rPr>
      </w:pPr>
      <w:r>
        <w:rPr>
          <w:rFonts w:ascii="仿宋_GB2312" w:eastAsia="仿宋_GB2312" w:hint="eastAsia"/>
          <w:sz w:val="32"/>
          <w:szCs w:val="32"/>
        </w:rPr>
        <w:lastRenderedPageBreak/>
        <w:t>1.推进广告普法工作。通过发放宣传图册、悬持宣传横幅，利用临街商铺LED屏滚动播放宣传标语、对辖区广告经营者、房地产企业、电信企业等重点行业进行约谈等多种方式，加强对消费者、经营者对《广告法》及广告违法行为的认知程度，发挥社会监督作用。</w:t>
      </w:r>
    </w:p>
    <w:p w:rsidR="007F30F0" w:rsidRDefault="00CD0B29" w:rsidP="00271A44">
      <w:pPr>
        <w:spacing w:line="540" w:lineRule="exact"/>
        <w:ind w:firstLineChars="200" w:firstLine="640"/>
        <w:rPr>
          <w:rFonts w:ascii="仿宋_GB2312" w:eastAsia="仿宋_GB2312"/>
          <w:sz w:val="32"/>
          <w:szCs w:val="32"/>
        </w:rPr>
      </w:pPr>
      <w:r>
        <w:rPr>
          <w:rFonts w:ascii="仿宋_GB2312" w:eastAsia="仿宋_GB2312" w:hint="eastAsia"/>
          <w:sz w:val="32"/>
          <w:szCs w:val="32"/>
        </w:rPr>
        <w:t>2.强化广告日常监管。认真落实省市监局广告</w:t>
      </w:r>
      <w:proofErr w:type="gramStart"/>
      <w:r>
        <w:rPr>
          <w:rFonts w:ascii="仿宋_GB2312" w:eastAsia="仿宋_GB2312" w:hint="eastAsia"/>
          <w:sz w:val="32"/>
          <w:szCs w:val="32"/>
        </w:rPr>
        <w:t>处各项</w:t>
      </w:r>
      <w:proofErr w:type="gramEnd"/>
      <w:r>
        <w:rPr>
          <w:rFonts w:ascii="仿宋_GB2312" w:eastAsia="仿宋_GB2312" w:hint="eastAsia"/>
          <w:sz w:val="32"/>
          <w:szCs w:val="32"/>
        </w:rPr>
        <w:t>工作部署，以省局广告监测中心移交的案件线索为关键点，认真落实有关加强互联网广告、非法集资广告监管等文件要求，组织各工商所重点检查节日期间促销广告、旅游广告、房地产广告、药品、保健食品、美容服务广告、有碍环境保护、生态文明、自然资源、文化遗产保护等违法广告行为，同时，积极处理各类广告投诉件，认真核实省局案件线索，对涉嫌违法的线索予以立案调查。</w:t>
      </w:r>
    </w:p>
    <w:p w:rsidR="007F30F0" w:rsidRDefault="00CD0B29" w:rsidP="00271A44">
      <w:pPr>
        <w:spacing w:line="540" w:lineRule="exact"/>
        <w:ind w:firstLineChars="200" w:firstLine="640"/>
        <w:rPr>
          <w:rFonts w:ascii="仿宋_GB2312" w:eastAsia="仿宋_GB2312" w:hAnsi="黑体"/>
          <w:sz w:val="32"/>
          <w:szCs w:val="32"/>
        </w:rPr>
      </w:pPr>
      <w:r>
        <w:rPr>
          <w:rFonts w:ascii="仿宋_GB2312" w:eastAsia="仿宋_GB2312" w:hint="eastAsia"/>
          <w:sz w:val="32"/>
          <w:szCs w:val="32"/>
        </w:rPr>
        <w:t>3.严厉查处虚假违法广告。</w:t>
      </w:r>
      <w:r>
        <w:rPr>
          <w:rFonts w:ascii="仿宋_GB2312" w:eastAsia="仿宋_GB2312" w:hAnsi="黑体" w:hint="eastAsia"/>
          <w:sz w:val="32"/>
          <w:szCs w:val="32"/>
        </w:rPr>
        <w:t>牢固树立守土有责、守土尽责的意识，</w:t>
      </w:r>
      <w:r>
        <w:rPr>
          <w:rFonts w:ascii="仿宋_GB2312" w:eastAsia="仿宋_GB2312" w:hint="eastAsia"/>
          <w:sz w:val="32"/>
          <w:szCs w:val="32"/>
        </w:rPr>
        <w:t>认真贯彻落实省局关于查处虚假违法广告的工作要求，</w:t>
      </w:r>
      <w:r>
        <w:rPr>
          <w:rFonts w:ascii="仿宋_GB2312" w:eastAsia="仿宋_GB2312" w:hAnsi="黑体" w:hint="eastAsia"/>
          <w:sz w:val="32"/>
          <w:szCs w:val="32"/>
        </w:rPr>
        <w:t>强化担当精神，对本辖区的违法广告严格履行属地监管的责任，把执法办案作为落实广告监管职责的第一要务，</w:t>
      </w:r>
      <w:r>
        <w:rPr>
          <w:rFonts w:ascii="仿宋_GB2312" w:eastAsia="仿宋_GB2312" w:hint="eastAsia"/>
          <w:sz w:val="32"/>
          <w:szCs w:val="32"/>
        </w:rPr>
        <w:t>严肃查处互联网领域虚假违法广告，依托其他部门移交线索、省工商局广告监测中心线索和自行广告监测线索，对虚假医疗广告、房地产广告、食品广告等重点领域案件从严查处，</w:t>
      </w:r>
      <w:r>
        <w:rPr>
          <w:rFonts w:ascii="仿宋_GB2312" w:eastAsia="仿宋_GB2312" w:hAnsi="黑体" w:hint="eastAsia"/>
          <w:sz w:val="32"/>
          <w:szCs w:val="32"/>
        </w:rPr>
        <w:t>2018年共查处广告违法案件10宗，罚款317.01万元，严厉打击违法广告行为，有效遏制违法广告行为发生，维护良好的广告市场秩序。</w:t>
      </w:r>
    </w:p>
    <w:p w:rsidR="007F30F0" w:rsidRDefault="007F30F0" w:rsidP="00271A44">
      <w:pPr>
        <w:spacing w:line="580" w:lineRule="exact"/>
      </w:pPr>
    </w:p>
    <w:sectPr w:rsidR="007F30F0" w:rsidSect="007F30F0">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C5" w:rsidRDefault="00E440C5" w:rsidP="007F30F0">
      <w:r>
        <w:separator/>
      </w:r>
    </w:p>
  </w:endnote>
  <w:endnote w:type="continuationSeparator" w:id="0">
    <w:p w:rsidR="00E440C5" w:rsidRDefault="00E440C5" w:rsidP="007F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F0" w:rsidRDefault="00D5081C">
    <w:pPr>
      <w:pStyle w:val="a3"/>
      <w:framePr w:wrap="around" w:vAnchor="text" w:hAnchor="margin" w:xAlign="center" w:y="1"/>
      <w:rPr>
        <w:rStyle w:val="a7"/>
      </w:rPr>
    </w:pPr>
    <w:r>
      <w:fldChar w:fldCharType="begin"/>
    </w:r>
    <w:r w:rsidR="00CD0B29">
      <w:rPr>
        <w:rStyle w:val="a7"/>
      </w:rPr>
      <w:instrText xml:space="preserve">PAGE  </w:instrText>
    </w:r>
    <w:r>
      <w:fldChar w:fldCharType="end"/>
    </w:r>
  </w:p>
  <w:p w:rsidR="007F30F0" w:rsidRDefault="007F30F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F0" w:rsidRDefault="00CD0B29">
    <w:pPr>
      <w:pStyle w:val="a3"/>
      <w:framePr w:wrap="around" w:vAnchor="text" w:hAnchor="margin" w:xAlign="center" w:y="1"/>
      <w:rPr>
        <w:rStyle w:val="a7"/>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D5081C">
      <w:rPr>
        <w:rFonts w:asciiTheme="minorEastAsia" w:eastAsiaTheme="minorEastAsia" w:hAnsiTheme="minorEastAsia" w:cstheme="minorEastAsia" w:hint="eastAsia"/>
        <w:sz w:val="28"/>
        <w:szCs w:val="28"/>
      </w:rPr>
      <w:fldChar w:fldCharType="begin"/>
    </w:r>
    <w:r>
      <w:rPr>
        <w:rStyle w:val="a7"/>
        <w:rFonts w:asciiTheme="minorEastAsia" w:eastAsiaTheme="minorEastAsia" w:hAnsiTheme="minorEastAsia" w:cstheme="minorEastAsia" w:hint="eastAsia"/>
        <w:sz w:val="28"/>
        <w:szCs w:val="28"/>
      </w:rPr>
      <w:instrText xml:space="preserve">PAGE  </w:instrText>
    </w:r>
    <w:r w:rsidR="00D5081C">
      <w:rPr>
        <w:rFonts w:asciiTheme="minorEastAsia" w:eastAsiaTheme="minorEastAsia" w:hAnsiTheme="minorEastAsia" w:cstheme="minorEastAsia" w:hint="eastAsia"/>
        <w:sz w:val="28"/>
        <w:szCs w:val="28"/>
      </w:rPr>
      <w:fldChar w:fldCharType="separate"/>
    </w:r>
    <w:r w:rsidR="00F61E3A">
      <w:rPr>
        <w:rStyle w:val="a7"/>
        <w:rFonts w:asciiTheme="minorEastAsia" w:eastAsiaTheme="minorEastAsia" w:hAnsiTheme="minorEastAsia" w:cstheme="minorEastAsia"/>
        <w:noProof/>
        <w:sz w:val="28"/>
        <w:szCs w:val="28"/>
      </w:rPr>
      <w:t>3</w:t>
    </w:r>
    <w:r w:rsidR="00D5081C">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p w:rsidR="007F30F0" w:rsidRDefault="007F30F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C5" w:rsidRDefault="00E440C5" w:rsidP="007F30F0">
      <w:r>
        <w:separator/>
      </w:r>
    </w:p>
  </w:footnote>
  <w:footnote w:type="continuationSeparator" w:id="0">
    <w:p w:rsidR="00E440C5" w:rsidRDefault="00E440C5" w:rsidP="007F3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30BC"/>
    <w:multiLevelType w:val="hybridMultilevel"/>
    <w:tmpl w:val="48928584"/>
    <w:lvl w:ilvl="0" w:tplc="69AEAD6A">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5D9BECCD"/>
    <w:multiLevelType w:val="singleLevel"/>
    <w:tmpl w:val="5D9BECCD"/>
    <w:lvl w:ilvl="0">
      <w:start w:val="2"/>
      <w:numFmt w:val="chineseCounting"/>
      <w:suff w:val="nothing"/>
      <w:lvlText w:val="%1、"/>
      <w:lvlJc w:val="left"/>
    </w:lvl>
  </w:abstractNum>
  <w:abstractNum w:abstractNumId="2">
    <w:nsid w:val="5DA94322"/>
    <w:multiLevelType w:val="singleLevel"/>
    <w:tmpl w:val="5DA94322"/>
    <w:lvl w:ilvl="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F0C"/>
    <w:rsid w:val="00004698"/>
    <w:rsid w:val="00013A27"/>
    <w:rsid w:val="00072109"/>
    <w:rsid w:val="00160EC6"/>
    <w:rsid w:val="00177878"/>
    <w:rsid w:val="00227391"/>
    <w:rsid w:val="00231B23"/>
    <w:rsid w:val="00271A44"/>
    <w:rsid w:val="003C1FDE"/>
    <w:rsid w:val="0047412D"/>
    <w:rsid w:val="004A7394"/>
    <w:rsid w:val="00540F0C"/>
    <w:rsid w:val="005C3F1D"/>
    <w:rsid w:val="00626055"/>
    <w:rsid w:val="00681F3D"/>
    <w:rsid w:val="00725483"/>
    <w:rsid w:val="00751A24"/>
    <w:rsid w:val="00756154"/>
    <w:rsid w:val="007A5E0E"/>
    <w:rsid w:val="007F30F0"/>
    <w:rsid w:val="00884267"/>
    <w:rsid w:val="009D2F50"/>
    <w:rsid w:val="009E3451"/>
    <w:rsid w:val="00A229EE"/>
    <w:rsid w:val="00A26906"/>
    <w:rsid w:val="00AC108B"/>
    <w:rsid w:val="00B64645"/>
    <w:rsid w:val="00BF589A"/>
    <w:rsid w:val="00C34A96"/>
    <w:rsid w:val="00CD0B29"/>
    <w:rsid w:val="00D5081C"/>
    <w:rsid w:val="00E440C5"/>
    <w:rsid w:val="00E506A7"/>
    <w:rsid w:val="00F071A2"/>
    <w:rsid w:val="00F61E3A"/>
    <w:rsid w:val="00FA3DEE"/>
    <w:rsid w:val="00FE6BDA"/>
    <w:rsid w:val="057A5475"/>
    <w:rsid w:val="0C4A6D70"/>
    <w:rsid w:val="0E977451"/>
    <w:rsid w:val="0FDA2141"/>
    <w:rsid w:val="11670C62"/>
    <w:rsid w:val="14625443"/>
    <w:rsid w:val="17DB502D"/>
    <w:rsid w:val="1A6B403D"/>
    <w:rsid w:val="1F4B3DF3"/>
    <w:rsid w:val="227F12E1"/>
    <w:rsid w:val="25A55C87"/>
    <w:rsid w:val="278F7EEF"/>
    <w:rsid w:val="27A6123D"/>
    <w:rsid w:val="29044C2E"/>
    <w:rsid w:val="2E157FE4"/>
    <w:rsid w:val="30BA159A"/>
    <w:rsid w:val="35F379E5"/>
    <w:rsid w:val="37162064"/>
    <w:rsid w:val="38371490"/>
    <w:rsid w:val="398E274F"/>
    <w:rsid w:val="3E66016B"/>
    <w:rsid w:val="3EB4386E"/>
    <w:rsid w:val="4053280B"/>
    <w:rsid w:val="4C6E2C2F"/>
    <w:rsid w:val="55A13ADF"/>
    <w:rsid w:val="58166814"/>
    <w:rsid w:val="5A9A1C38"/>
    <w:rsid w:val="61883AE5"/>
    <w:rsid w:val="61C141C5"/>
    <w:rsid w:val="629026E4"/>
    <w:rsid w:val="649D4928"/>
    <w:rsid w:val="6E8C6738"/>
    <w:rsid w:val="6F184A9B"/>
    <w:rsid w:val="6FC51DC1"/>
    <w:rsid w:val="728841EF"/>
    <w:rsid w:val="74FF4E34"/>
    <w:rsid w:val="75135426"/>
    <w:rsid w:val="77307D6F"/>
    <w:rsid w:val="78590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F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F30F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F30F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F30F0"/>
    <w:rPr>
      <w:rFonts w:ascii="宋体" w:eastAsia="Times New Roman" w:hAnsi="宋体"/>
      <w:sz w:val="24"/>
    </w:rPr>
  </w:style>
  <w:style w:type="character" w:styleId="a6">
    <w:name w:val="Strong"/>
    <w:basedOn w:val="a0"/>
    <w:uiPriority w:val="22"/>
    <w:qFormat/>
    <w:rsid w:val="007F30F0"/>
    <w:rPr>
      <w:b/>
      <w:bCs/>
    </w:rPr>
  </w:style>
  <w:style w:type="character" w:styleId="a7">
    <w:name w:val="page number"/>
    <w:basedOn w:val="a0"/>
    <w:qFormat/>
    <w:rsid w:val="007F30F0"/>
  </w:style>
  <w:style w:type="character" w:customStyle="1" w:styleId="Char">
    <w:name w:val="页脚 Char"/>
    <w:basedOn w:val="a0"/>
    <w:link w:val="a3"/>
    <w:qFormat/>
    <w:rsid w:val="007F30F0"/>
    <w:rPr>
      <w:rFonts w:ascii="Times New Roman" w:eastAsia="宋体" w:hAnsi="Times New Roman" w:cs="Times New Roman"/>
      <w:sz w:val="18"/>
      <w:szCs w:val="18"/>
    </w:rPr>
  </w:style>
  <w:style w:type="paragraph" w:customStyle="1" w:styleId="1">
    <w:name w:val="列出段落1"/>
    <w:basedOn w:val="a"/>
    <w:uiPriority w:val="99"/>
    <w:unhideWhenUsed/>
    <w:qFormat/>
    <w:rsid w:val="007F30F0"/>
    <w:pPr>
      <w:ind w:firstLineChars="200" w:firstLine="420"/>
    </w:pPr>
  </w:style>
  <w:style w:type="character" w:customStyle="1" w:styleId="Char0">
    <w:name w:val="页眉 Char"/>
    <w:basedOn w:val="a0"/>
    <w:link w:val="a4"/>
    <w:uiPriority w:val="99"/>
    <w:qFormat/>
    <w:rsid w:val="007F30F0"/>
    <w:rPr>
      <w:rFonts w:ascii="Times New Roman" w:eastAsia="宋体" w:hAnsi="Times New Roman" w:cs="Times New Roman"/>
      <w:kern w:val="2"/>
      <w:sz w:val="18"/>
      <w:szCs w:val="18"/>
    </w:rPr>
  </w:style>
  <w:style w:type="paragraph" w:customStyle="1" w:styleId="2">
    <w:name w:val="列出段落2"/>
    <w:basedOn w:val="a"/>
    <w:qFormat/>
    <w:rsid w:val="007F30F0"/>
    <w:pPr>
      <w:ind w:firstLineChars="200" w:firstLine="420"/>
    </w:pPr>
  </w:style>
  <w:style w:type="paragraph" w:styleId="a8">
    <w:name w:val="List Paragraph"/>
    <w:basedOn w:val="a"/>
    <w:uiPriority w:val="99"/>
    <w:unhideWhenUsed/>
    <w:rsid w:val="00681F3D"/>
    <w:pPr>
      <w:ind w:firstLineChars="200" w:firstLine="420"/>
    </w:pPr>
  </w:style>
  <w:style w:type="paragraph" w:styleId="a9">
    <w:name w:val="Balloon Text"/>
    <w:basedOn w:val="a"/>
    <w:link w:val="Char1"/>
    <w:uiPriority w:val="99"/>
    <w:semiHidden/>
    <w:unhideWhenUsed/>
    <w:rsid w:val="00F61E3A"/>
    <w:rPr>
      <w:sz w:val="18"/>
      <w:szCs w:val="18"/>
    </w:rPr>
  </w:style>
  <w:style w:type="character" w:customStyle="1" w:styleId="Char1">
    <w:name w:val="批注框文本 Char"/>
    <w:basedOn w:val="a0"/>
    <w:link w:val="a9"/>
    <w:uiPriority w:val="99"/>
    <w:semiHidden/>
    <w:rsid w:val="00F61E3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249</Words>
  <Characters>1420</Characters>
  <Application>Microsoft Office Word</Application>
  <DocSecurity>0</DocSecurity>
  <Lines>11</Lines>
  <Paragraphs>3</Paragraphs>
  <ScaleCrop>false</ScaleCrop>
  <Company>CHINA</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兰杏忠</cp:lastModifiedBy>
  <cp:revision>18</cp:revision>
  <cp:lastPrinted>2019-10-23T03:26:00Z</cp:lastPrinted>
  <dcterms:created xsi:type="dcterms:W3CDTF">2019-10-04T23:26:00Z</dcterms:created>
  <dcterms:modified xsi:type="dcterms:W3CDTF">2019-10-23T03:26:00Z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