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26F" w:rsidRDefault="00F2226F" w:rsidP="00F2226F">
      <w:pPr>
        <w:widowControl w:val="0"/>
        <w:autoSpaceDE w:val="0"/>
        <w:spacing w:line="660" w:lineRule="exact"/>
        <w:ind w:firstLineChars="200" w:firstLine="880"/>
        <w:jc w:val="both"/>
        <w:rPr>
          <w:rFonts w:ascii="黑体" w:eastAsia="黑体" w:hAnsi="黑体"/>
          <w:sz w:val="44"/>
          <w:szCs w:val="44"/>
        </w:rPr>
      </w:pPr>
      <w:bookmarkStart w:id="0" w:name="_Toc11440_WPSOffice_Type2"/>
    </w:p>
    <w:p w:rsidR="004175FD" w:rsidRPr="00F2226F" w:rsidRDefault="00686BD4" w:rsidP="00F2226F">
      <w:pPr>
        <w:widowControl w:val="0"/>
        <w:autoSpaceDE w:val="0"/>
        <w:spacing w:line="660" w:lineRule="exact"/>
        <w:jc w:val="center"/>
        <w:rPr>
          <w:rFonts w:ascii="黑体" w:eastAsia="黑体" w:hAnsi="黑体"/>
          <w:sz w:val="44"/>
          <w:szCs w:val="44"/>
        </w:rPr>
      </w:pPr>
      <w:r>
        <w:rPr>
          <w:rFonts w:ascii="黑体" w:eastAsia="黑体" w:hAnsi="黑体" w:hint="eastAsia"/>
          <w:sz w:val="44"/>
          <w:szCs w:val="44"/>
        </w:rPr>
        <w:t>海南省锅炉压力容器与特种设备检验所</w:t>
      </w:r>
      <w:r w:rsidR="00F2226F">
        <w:rPr>
          <w:rFonts w:ascii="黑体" w:eastAsia="黑体" w:hAnsi="黑体" w:hint="eastAsia"/>
          <w:sz w:val="44"/>
          <w:szCs w:val="44"/>
        </w:rPr>
        <w:t xml:space="preserve">    </w:t>
      </w:r>
      <w:r>
        <w:rPr>
          <w:rFonts w:ascii="黑体" w:eastAsia="黑体" w:hAnsi="ˎ̥" w:hint="eastAsia"/>
          <w:sz w:val="44"/>
          <w:szCs w:val="44"/>
        </w:rPr>
        <w:t>2022</w:t>
      </w:r>
      <w:r>
        <w:rPr>
          <w:rFonts w:ascii="黑体" w:eastAsia="黑体" w:hAnsi="黑体" w:hint="eastAsia"/>
          <w:sz w:val="44"/>
          <w:szCs w:val="44"/>
        </w:rPr>
        <w:t>年度决算公开报告</w:t>
      </w:r>
    </w:p>
    <w:p w:rsidR="004175FD" w:rsidRDefault="004175FD">
      <w:pPr>
        <w:spacing w:line="560" w:lineRule="exact"/>
        <w:jc w:val="center"/>
        <w:rPr>
          <w:rFonts w:ascii="黑体" w:eastAsia="黑体" w:hAnsi="黑体" w:cs="黑体"/>
          <w:color w:val="000000"/>
          <w:sz w:val="44"/>
          <w:szCs w:val="44"/>
        </w:rPr>
      </w:pPr>
    </w:p>
    <w:p w:rsidR="004175FD" w:rsidRDefault="00686BD4">
      <w:pPr>
        <w:spacing w:line="560" w:lineRule="exact"/>
        <w:jc w:val="center"/>
        <w:rPr>
          <w:rFonts w:ascii="黑体" w:eastAsia="黑体" w:hAnsi="黑体" w:cs="黑体"/>
          <w:color w:val="000000"/>
          <w:sz w:val="44"/>
          <w:szCs w:val="44"/>
        </w:rPr>
      </w:pPr>
      <w:r>
        <w:rPr>
          <w:rFonts w:ascii="黑体" w:eastAsia="黑体" w:hAnsi="黑体" w:cs="黑体" w:hint="eastAsia"/>
          <w:color w:val="000000"/>
          <w:sz w:val="44"/>
          <w:szCs w:val="44"/>
        </w:rPr>
        <w:t>目  录</w:t>
      </w:r>
    </w:p>
    <w:p w:rsidR="004175FD" w:rsidRDefault="004415AB">
      <w:pPr>
        <w:pStyle w:val="WPSOffice10"/>
        <w:tabs>
          <w:tab w:val="right" w:leader="dot" w:pos="8306"/>
        </w:tabs>
        <w:spacing w:line="560" w:lineRule="exact"/>
        <w:rPr>
          <w:color w:val="000000"/>
          <w:sz w:val="32"/>
          <w:szCs w:val="32"/>
        </w:rPr>
      </w:pPr>
      <w:hyperlink w:anchor="_Toc1704_WPSOffice_Level1" w:history="1">
        <w:r w:rsidR="00686BD4">
          <w:rPr>
            <w:rFonts w:ascii="黑体" w:eastAsia="黑体" w:hAnsi="ˎ̥" w:hint="eastAsia"/>
            <w:color w:val="000000"/>
            <w:sz w:val="32"/>
            <w:szCs w:val="32"/>
          </w:rPr>
          <w:t>第一部分 基本情况</w:t>
        </w:r>
        <w:r w:rsidR="00686BD4">
          <w:rPr>
            <w:color w:val="000000"/>
            <w:sz w:val="32"/>
            <w:szCs w:val="32"/>
          </w:rPr>
          <w:tab/>
        </w:r>
        <w:r w:rsidR="00686BD4">
          <w:rPr>
            <w:rFonts w:ascii="仿宋" w:eastAsia="仿宋" w:hAnsi="仿宋" w:cs="仿宋" w:hint="eastAsia"/>
            <w:color w:val="000000"/>
            <w:sz w:val="32"/>
            <w:szCs w:val="32"/>
          </w:rPr>
          <w:t>1</w:t>
        </w:r>
      </w:hyperlink>
    </w:p>
    <w:p w:rsidR="004175FD" w:rsidRDefault="004415AB">
      <w:pPr>
        <w:pStyle w:val="WPSOffice20"/>
        <w:tabs>
          <w:tab w:val="right" w:leader="dot" w:pos="8306"/>
        </w:tabs>
        <w:spacing w:line="560" w:lineRule="exact"/>
        <w:ind w:leftChars="0"/>
        <w:rPr>
          <w:rFonts w:ascii="仿宋" w:eastAsia="仿宋" w:hAnsi="仿宋" w:cs="仿宋"/>
          <w:color w:val="000000"/>
          <w:sz w:val="32"/>
          <w:szCs w:val="32"/>
        </w:rPr>
      </w:pPr>
      <w:hyperlink w:anchor="_Toc20274_WPSOffice_Level2" w:history="1">
        <w:r w:rsidR="00686BD4">
          <w:rPr>
            <w:rFonts w:ascii="仿宋" w:eastAsia="仿宋" w:hAnsi="仿宋" w:cs="仿宋" w:hint="eastAsia"/>
            <w:color w:val="000000"/>
            <w:sz w:val="32"/>
            <w:szCs w:val="32"/>
          </w:rPr>
          <w:t>一、单位职责</w:t>
        </w:r>
        <w:r w:rsidR="00686BD4">
          <w:rPr>
            <w:rFonts w:ascii="仿宋" w:eastAsia="仿宋" w:hAnsi="仿宋" w:cs="仿宋" w:hint="eastAsia"/>
            <w:color w:val="000000"/>
            <w:sz w:val="32"/>
            <w:szCs w:val="32"/>
          </w:rPr>
          <w:tab/>
          <w:t>1</w:t>
        </w:r>
      </w:hyperlink>
    </w:p>
    <w:p w:rsidR="004175FD" w:rsidRDefault="004415AB">
      <w:pPr>
        <w:pStyle w:val="WPSOffice20"/>
        <w:tabs>
          <w:tab w:val="right" w:leader="dot" w:pos="8306"/>
        </w:tabs>
        <w:spacing w:line="560" w:lineRule="exact"/>
        <w:ind w:leftChars="0"/>
        <w:rPr>
          <w:rFonts w:ascii="仿宋" w:eastAsia="仿宋" w:hAnsi="仿宋" w:cs="仿宋"/>
          <w:color w:val="000000"/>
          <w:sz w:val="32"/>
          <w:szCs w:val="32"/>
        </w:rPr>
      </w:pPr>
      <w:hyperlink w:anchor="_Toc4833_WPSOffice_Level2" w:history="1">
        <w:r w:rsidR="00686BD4">
          <w:rPr>
            <w:rFonts w:ascii="仿宋" w:eastAsia="仿宋" w:hAnsi="仿宋" w:cs="仿宋" w:hint="eastAsia"/>
            <w:color w:val="000000"/>
            <w:sz w:val="32"/>
            <w:szCs w:val="32"/>
          </w:rPr>
          <w:t>二、机构设置</w:t>
        </w:r>
        <w:r w:rsidR="00686BD4">
          <w:rPr>
            <w:rFonts w:ascii="仿宋" w:eastAsia="仿宋" w:hAnsi="仿宋" w:cs="仿宋" w:hint="eastAsia"/>
            <w:color w:val="000000"/>
            <w:sz w:val="32"/>
            <w:szCs w:val="32"/>
          </w:rPr>
          <w:tab/>
          <w:t>1</w:t>
        </w:r>
      </w:hyperlink>
    </w:p>
    <w:p w:rsidR="004175FD" w:rsidRDefault="004415AB">
      <w:pPr>
        <w:pStyle w:val="WPSOffice10"/>
        <w:tabs>
          <w:tab w:val="right" w:leader="dot" w:pos="8306"/>
        </w:tabs>
        <w:spacing w:line="560" w:lineRule="exact"/>
        <w:rPr>
          <w:color w:val="000000"/>
          <w:sz w:val="32"/>
          <w:szCs w:val="32"/>
        </w:rPr>
      </w:pPr>
      <w:hyperlink w:anchor="_Toc28253_WPSOffice_Level1" w:history="1">
        <w:r w:rsidR="00686BD4">
          <w:rPr>
            <w:rFonts w:ascii="黑体" w:eastAsia="黑体" w:hAnsi="ˎ̥" w:hint="eastAsia"/>
            <w:color w:val="000000"/>
            <w:sz w:val="32"/>
            <w:szCs w:val="32"/>
          </w:rPr>
          <w:t>第二部分 202</w:t>
        </w:r>
        <w:r w:rsidR="00686BD4">
          <w:rPr>
            <w:rFonts w:ascii="黑体" w:eastAsia="黑体" w:hAnsi="ˎ̥"/>
            <w:color w:val="000000"/>
            <w:sz w:val="32"/>
            <w:szCs w:val="32"/>
          </w:rPr>
          <w:t>2</w:t>
        </w:r>
        <w:r w:rsidR="00686BD4">
          <w:rPr>
            <w:rFonts w:ascii="黑体" w:eastAsia="黑体" w:hAnsi="ˎ̥" w:hint="eastAsia"/>
            <w:color w:val="000000"/>
            <w:sz w:val="32"/>
            <w:szCs w:val="32"/>
          </w:rPr>
          <w:t>年度单位决算公开表</w:t>
        </w:r>
        <w:r w:rsidR="00686BD4">
          <w:rPr>
            <w:color w:val="000000"/>
            <w:sz w:val="32"/>
            <w:szCs w:val="32"/>
          </w:rPr>
          <w:tab/>
        </w:r>
        <w:r w:rsidR="00686BD4">
          <w:rPr>
            <w:rFonts w:ascii="仿宋" w:eastAsia="仿宋" w:hAnsi="仿宋" w:cs="仿宋" w:hint="eastAsia"/>
            <w:color w:val="000000"/>
            <w:sz w:val="32"/>
            <w:szCs w:val="32"/>
          </w:rPr>
          <w:t>2</w:t>
        </w:r>
      </w:hyperlink>
    </w:p>
    <w:p w:rsidR="004175FD" w:rsidRDefault="004415AB">
      <w:pPr>
        <w:pStyle w:val="WPSOffice10"/>
        <w:tabs>
          <w:tab w:val="right" w:leader="dot" w:pos="8306"/>
        </w:tabs>
        <w:spacing w:line="560" w:lineRule="exact"/>
        <w:rPr>
          <w:color w:val="000000"/>
          <w:sz w:val="32"/>
          <w:szCs w:val="32"/>
        </w:rPr>
      </w:pPr>
      <w:hyperlink w:anchor="_Toc27590_WPSOffice_Level1" w:history="1">
        <w:r w:rsidR="00686BD4">
          <w:rPr>
            <w:rFonts w:ascii="黑体" w:eastAsia="黑体" w:hAnsi="黑体" w:cs="黑体" w:hint="eastAsia"/>
            <w:color w:val="000000"/>
            <w:sz w:val="32"/>
            <w:szCs w:val="32"/>
          </w:rPr>
          <w:t>第三部分</w:t>
        </w:r>
        <w:r w:rsidR="00686BD4">
          <w:rPr>
            <w:rFonts w:hint="eastAsia"/>
            <w:color w:val="000000"/>
            <w:sz w:val="32"/>
            <w:szCs w:val="32"/>
          </w:rPr>
          <w:t xml:space="preserve">  </w:t>
        </w:r>
        <w:r w:rsidR="00686BD4">
          <w:rPr>
            <w:rFonts w:ascii="黑体" w:eastAsia="黑体" w:hAnsi="ˎ̥" w:hint="eastAsia"/>
            <w:color w:val="000000"/>
            <w:sz w:val="32"/>
            <w:szCs w:val="32"/>
          </w:rPr>
          <w:t>2022年度单位决算情况说明</w:t>
        </w:r>
        <w:r w:rsidR="00686BD4">
          <w:rPr>
            <w:color w:val="000000"/>
            <w:sz w:val="32"/>
            <w:szCs w:val="32"/>
          </w:rPr>
          <w:tab/>
        </w:r>
        <w:r w:rsidR="00686BD4">
          <w:rPr>
            <w:rFonts w:ascii="仿宋" w:eastAsia="仿宋" w:hAnsi="仿宋" w:cs="仿宋" w:hint="eastAsia"/>
            <w:color w:val="000000"/>
            <w:sz w:val="32"/>
            <w:szCs w:val="32"/>
          </w:rPr>
          <w:t>2</w:t>
        </w:r>
      </w:hyperlink>
    </w:p>
    <w:p w:rsidR="004175FD" w:rsidRDefault="004415AB">
      <w:pPr>
        <w:pStyle w:val="WPSOffice20"/>
        <w:tabs>
          <w:tab w:val="right" w:leader="dot" w:pos="8306"/>
        </w:tabs>
        <w:spacing w:line="560" w:lineRule="exact"/>
        <w:ind w:leftChars="0"/>
        <w:rPr>
          <w:rFonts w:ascii="仿宋" w:eastAsia="仿宋" w:hAnsi="仿宋" w:cs="仿宋"/>
          <w:color w:val="000000"/>
          <w:sz w:val="32"/>
          <w:szCs w:val="32"/>
        </w:rPr>
      </w:pPr>
      <w:hyperlink w:anchor="_Toc21737_WPSOffice_Level2" w:history="1">
        <w:r w:rsidR="00686BD4">
          <w:rPr>
            <w:rFonts w:ascii="仿宋" w:eastAsia="仿宋" w:hAnsi="仿宋" w:cs="仿宋" w:hint="eastAsia"/>
            <w:bCs/>
            <w:color w:val="000000"/>
            <w:sz w:val="32"/>
            <w:szCs w:val="32"/>
          </w:rPr>
          <w:t>一、收入支出总体情况说明</w:t>
        </w:r>
        <w:r w:rsidR="00686BD4">
          <w:rPr>
            <w:rFonts w:ascii="仿宋" w:eastAsia="仿宋" w:hAnsi="仿宋" w:cs="仿宋" w:hint="eastAsia"/>
            <w:color w:val="000000"/>
            <w:sz w:val="32"/>
            <w:szCs w:val="32"/>
          </w:rPr>
          <w:tab/>
          <w:t>2</w:t>
        </w:r>
      </w:hyperlink>
    </w:p>
    <w:p w:rsidR="004175FD" w:rsidRDefault="004415AB">
      <w:pPr>
        <w:pStyle w:val="WPSOffice20"/>
        <w:tabs>
          <w:tab w:val="right" w:leader="dot" w:pos="8306"/>
        </w:tabs>
        <w:spacing w:line="560" w:lineRule="exact"/>
        <w:ind w:leftChars="0"/>
        <w:rPr>
          <w:rFonts w:ascii="仿宋" w:eastAsia="仿宋" w:hAnsi="仿宋" w:cs="仿宋"/>
          <w:color w:val="000000"/>
          <w:sz w:val="32"/>
          <w:szCs w:val="32"/>
        </w:rPr>
      </w:pPr>
      <w:hyperlink w:anchor="_Toc19535_WPSOffice_Level2" w:history="1">
        <w:r w:rsidR="00686BD4">
          <w:rPr>
            <w:rFonts w:ascii="仿宋" w:eastAsia="仿宋" w:hAnsi="仿宋" w:cs="仿宋" w:hint="eastAsia"/>
            <w:bCs/>
            <w:color w:val="000000"/>
            <w:sz w:val="32"/>
            <w:szCs w:val="32"/>
          </w:rPr>
          <w:t>二、收入决算情况说明</w:t>
        </w:r>
        <w:r w:rsidR="00686BD4">
          <w:rPr>
            <w:rFonts w:ascii="仿宋" w:eastAsia="仿宋" w:hAnsi="仿宋" w:cs="仿宋" w:hint="eastAsia"/>
            <w:color w:val="000000"/>
            <w:sz w:val="32"/>
            <w:szCs w:val="32"/>
          </w:rPr>
          <w:tab/>
          <w:t>3</w:t>
        </w:r>
      </w:hyperlink>
    </w:p>
    <w:p w:rsidR="004175FD" w:rsidRDefault="004415AB">
      <w:pPr>
        <w:pStyle w:val="WPSOffice20"/>
        <w:tabs>
          <w:tab w:val="right" w:leader="dot" w:pos="8306"/>
        </w:tabs>
        <w:spacing w:line="560" w:lineRule="exact"/>
        <w:ind w:leftChars="0"/>
        <w:rPr>
          <w:rFonts w:ascii="仿宋" w:eastAsia="仿宋" w:hAnsi="仿宋" w:cs="仿宋"/>
          <w:color w:val="000000"/>
          <w:sz w:val="32"/>
          <w:szCs w:val="32"/>
        </w:rPr>
      </w:pPr>
      <w:hyperlink w:anchor="_Toc19535_WPSOffice_Level2" w:history="1">
        <w:r w:rsidR="00686BD4">
          <w:rPr>
            <w:rFonts w:ascii="仿宋" w:eastAsia="仿宋" w:hAnsi="仿宋" w:cs="仿宋" w:hint="eastAsia"/>
            <w:bCs/>
            <w:color w:val="000000"/>
            <w:sz w:val="32"/>
            <w:szCs w:val="32"/>
          </w:rPr>
          <w:t>三、支出决算情况说明</w:t>
        </w:r>
        <w:r w:rsidR="00686BD4">
          <w:rPr>
            <w:rFonts w:ascii="仿宋" w:eastAsia="仿宋" w:hAnsi="仿宋" w:cs="仿宋" w:hint="eastAsia"/>
            <w:color w:val="000000"/>
            <w:sz w:val="32"/>
            <w:szCs w:val="32"/>
          </w:rPr>
          <w:tab/>
          <w:t>3</w:t>
        </w:r>
      </w:hyperlink>
    </w:p>
    <w:p w:rsidR="004175FD" w:rsidRDefault="004415AB">
      <w:pPr>
        <w:pStyle w:val="WPSOffice20"/>
        <w:tabs>
          <w:tab w:val="right" w:leader="dot" w:pos="8306"/>
        </w:tabs>
        <w:spacing w:line="560" w:lineRule="exact"/>
        <w:ind w:leftChars="0"/>
        <w:rPr>
          <w:rFonts w:ascii="仿宋" w:eastAsia="仿宋" w:hAnsi="仿宋" w:cs="仿宋"/>
          <w:color w:val="000000"/>
          <w:sz w:val="32"/>
          <w:szCs w:val="32"/>
        </w:rPr>
      </w:pPr>
      <w:hyperlink w:anchor="_Toc19535_WPSOffice_Level2" w:history="1">
        <w:r w:rsidR="00686BD4">
          <w:rPr>
            <w:rFonts w:ascii="仿宋" w:eastAsia="仿宋" w:hAnsi="仿宋" w:cs="仿宋" w:hint="eastAsia"/>
            <w:bCs/>
            <w:color w:val="000000"/>
            <w:sz w:val="32"/>
            <w:szCs w:val="32"/>
          </w:rPr>
          <w:t>四、财政拨款收入支出决算情况说明</w:t>
        </w:r>
        <w:r w:rsidR="00686BD4">
          <w:rPr>
            <w:rFonts w:ascii="仿宋" w:eastAsia="仿宋" w:hAnsi="仿宋" w:cs="仿宋" w:hint="eastAsia"/>
            <w:color w:val="000000"/>
            <w:sz w:val="32"/>
            <w:szCs w:val="32"/>
          </w:rPr>
          <w:tab/>
          <w:t>3</w:t>
        </w:r>
      </w:hyperlink>
    </w:p>
    <w:p w:rsidR="004175FD" w:rsidRDefault="004415AB">
      <w:pPr>
        <w:pStyle w:val="WPSOffice20"/>
        <w:tabs>
          <w:tab w:val="right" w:leader="dot" w:pos="8306"/>
        </w:tabs>
        <w:spacing w:line="560" w:lineRule="exact"/>
        <w:ind w:leftChars="0"/>
        <w:rPr>
          <w:rFonts w:ascii="仿宋" w:eastAsia="仿宋" w:hAnsi="仿宋" w:cs="仿宋"/>
          <w:color w:val="000000"/>
          <w:sz w:val="32"/>
          <w:szCs w:val="32"/>
        </w:rPr>
      </w:pPr>
      <w:hyperlink w:anchor="_Toc19535_WPSOffice_Level2" w:history="1">
        <w:r w:rsidR="00686BD4">
          <w:rPr>
            <w:rFonts w:ascii="仿宋" w:eastAsia="仿宋" w:hAnsi="仿宋" w:cs="仿宋" w:hint="eastAsia"/>
            <w:bCs/>
            <w:color w:val="000000"/>
            <w:sz w:val="32"/>
            <w:szCs w:val="32"/>
          </w:rPr>
          <w:t>五、一般公共预算财政拨款支出决算情况说明</w:t>
        </w:r>
        <w:r w:rsidR="003923E1" w:rsidRPr="003923E1">
          <w:rPr>
            <w:rFonts w:ascii="仿宋" w:eastAsia="仿宋" w:hAnsi="仿宋" w:cs="仿宋" w:hint="eastAsia"/>
            <w:bCs/>
            <w:color w:val="000000"/>
            <w:sz w:val="32"/>
            <w:szCs w:val="32"/>
          </w:rPr>
          <w:tab/>
        </w:r>
        <w:r w:rsidR="003923E1">
          <w:rPr>
            <w:rFonts w:ascii="仿宋" w:eastAsia="仿宋" w:hAnsi="仿宋" w:cs="仿宋"/>
            <w:color w:val="000000"/>
            <w:sz w:val="32"/>
            <w:szCs w:val="32"/>
          </w:rPr>
          <w:t>4</w:t>
        </w:r>
      </w:hyperlink>
    </w:p>
    <w:p w:rsidR="004175FD" w:rsidRDefault="004415AB">
      <w:pPr>
        <w:pStyle w:val="WPSOffice20"/>
        <w:tabs>
          <w:tab w:val="right" w:leader="dot" w:pos="8306"/>
        </w:tabs>
        <w:spacing w:line="560" w:lineRule="exact"/>
        <w:ind w:leftChars="0"/>
        <w:rPr>
          <w:rFonts w:ascii="仿宋" w:eastAsia="仿宋" w:hAnsi="仿宋" w:cs="仿宋"/>
          <w:color w:val="000000"/>
          <w:sz w:val="32"/>
          <w:szCs w:val="32"/>
        </w:rPr>
      </w:pPr>
      <w:hyperlink w:anchor="_Toc19535_WPSOffice_Level2" w:history="1">
        <w:r w:rsidR="00686BD4">
          <w:rPr>
            <w:rFonts w:ascii="仿宋" w:eastAsia="仿宋" w:hAnsi="仿宋" w:cs="仿宋" w:hint="eastAsia"/>
            <w:bCs/>
            <w:color w:val="000000"/>
            <w:sz w:val="32"/>
            <w:szCs w:val="32"/>
          </w:rPr>
          <w:t>六、一般公共预算财政拨款基本支出决算情况说明</w:t>
        </w:r>
      </w:hyperlink>
      <w:r w:rsidR="00686BD4">
        <w:rPr>
          <w:rFonts w:ascii="仿宋" w:eastAsia="仿宋" w:hAnsi="仿宋" w:cs="仿宋" w:hint="eastAsia"/>
          <w:color w:val="000000"/>
          <w:sz w:val="32"/>
          <w:szCs w:val="32"/>
        </w:rPr>
        <w:tab/>
      </w:r>
      <w:r w:rsidR="003923E1">
        <w:rPr>
          <w:rFonts w:ascii="仿宋" w:eastAsia="仿宋" w:hAnsi="仿宋" w:cs="仿宋"/>
          <w:color w:val="000000"/>
          <w:sz w:val="32"/>
          <w:szCs w:val="32"/>
        </w:rPr>
        <w:t>6</w:t>
      </w:r>
    </w:p>
    <w:p w:rsidR="004175FD" w:rsidRDefault="00686BD4">
      <w:pPr>
        <w:pStyle w:val="WPSOffice20"/>
        <w:numPr>
          <w:ilvl w:val="0"/>
          <w:numId w:val="1"/>
        </w:numPr>
        <w:tabs>
          <w:tab w:val="right" w:leader="dot" w:pos="8306"/>
        </w:tabs>
        <w:spacing w:line="560" w:lineRule="exact"/>
        <w:ind w:leftChars="0"/>
        <w:rPr>
          <w:rFonts w:ascii="仿宋" w:eastAsia="仿宋" w:hAnsi="仿宋" w:cs="仿宋"/>
          <w:color w:val="000000"/>
          <w:sz w:val="32"/>
          <w:szCs w:val="32"/>
        </w:rPr>
      </w:pPr>
      <w:r>
        <w:rPr>
          <w:rFonts w:ascii="仿宋" w:eastAsia="仿宋" w:hAnsi="仿宋" w:cs="仿宋" w:hint="eastAsia"/>
          <w:bCs/>
          <w:color w:val="000000"/>
          <w:sz w:val="32"/>
          <w:szCs w:val="32"/>
        </w:rPr>
        <w:t>政府性基金预算财政拨款支出决算情况说明</w:t>
      </w:r>
      <w:r>
        <w:rPr>
          <w:rFonts w:ascii="仿宋" w:eastAsia="仿宋" w:hAnsi="仿宋" w:cs="仿宋" w:hint="eastAsia"/>
          <w:color w:val="000000"/>
          <w:sz w:val="32"/>
          <w:szCs w:val="32"/>
        </w:rPr>
        <w:tab/>
        <w:t>6</w:t>
      </w:r>
    </w:p>
    <w:p w:rsidR="004175FD" w:rsidRDefault="00686BD4">
      <w:pPr>
        <w:pStyle w:val="WPSOffice20"/>
        <w:numPr>
          <w:ilvl w:val="0"/>
          <w:numId w:val="1"/>
        </w:numPr>
        <w:tabs>
          <w:tab w:val="right" w:leader="dot" w:pos="8306"/>
        </w:tabs>
        <w:spacing w:line="560" w:lineRule="exact"/>
        <w:ind w:leftChars="0"/>
        <w:rPr>
          <w:rFonts w:ascii="仿宋" w:eastAsia="仿宋" w:hAnsi="仿宋" w:cs="仿宋"/>
          <w:color w:val="000000"/>
          <w:sz w:val="32"/>
          <w:szCs w:val="32"/>
        </w:rPr>
      </w:pPr>
      <w:r>
        <w:rPr>
          <w:rFonts w:ascii="仿宋" w:eastAsia="仿宋" w:hAnsi="仿宋" w:cs="仿宋" w:hint="eastAsia"/>
          <w:bCs/>
          <w:color w:val="000000"/>
          <w:sz w:val="32"/>
          <w:szCs w:val="32"/>
        </w:rPr>
        <w:t>国有资本经营预算财政拨款支出决算情况说明</w:t>
      </w:r>
      <w:r>
        <w:rPr>
          <w:rFonts w:ascii="仿宋" w:eastAsia="仿宋" w:hAnsi="仿宋" w:cs="仿宋" w:hint="eastAsia"/>
          <w:color w:val="000000"/>
          <w:sz w:val="32"/>
          <w:szCs w:val="32"/>
        </w:rPr>
        <w:tab/>
        <w:t>6</w:t>
      </w:r>
    </w:p>
    <w:p w:rsidR="004175FD" w:rsidRDefault="004415AB">
      <w:pPr>
        <w:pStyle w:val="WPSOffice20"/>
        <w:tabs>
          <w:tab w:val="right" w:leader="dot" w:pos="8306"/>
        </w:tabs>
        <w:spacing w:line="560" w:lineRule="exact"/>
        <w:ind w:leftChars="0"/>
        <w:rPr>
          <w:rFonts w:ascii="仿宋" w:eastAsia="仿宋" w:hAnsi="仿宋" w:cs="仿宋"/>
          <w:color w:val="000000"/>
          <w:sz w:val="32"/>
          <w:szCs w:val="32"/>
        </w:rPr>
      </w:pPr>
      <w:hyperlink w:anchor="_Toc19535_WPSOffice_Level2" w:history="1">
        <w:r w:rsidR="00686BD4">
          <w:rPr>
            <w:rFonts w:ascii="仿宋" w:eastAsia="仿宋" w:hAnsi="仿宋" w:cs="仿宋" w:hint="eastAsia"/>
            <w:bCs/>
            <w:color w:val="000000"/>
            <w:sz w:val="32"/>
            <w:szCs w:val="32"/>
          </w:rPr>
          <w:t>九、财政拨款“三公”经费支出决算情况说明</w:t>
        </w:r>
        <w:r w:rsidR="00686BD4">
          <w:rPr>
            <w:rFonts w:ascii="仿宋" w:eastAsia="仿宋" w:hAnsi="仿宋" w:cs="仿宋" w:hint="eastAsia"/>
            <w:color w:val="000000"/>
            <w:sz w:val="32"/>
            <w:szCs w:val="32"/>
          </w:rPr>
          <w:tab/>
          <w:t>6</w:t>
        </w:r>
      </w:hyperlink>
    </w:p>
    <w:p w:rsidR="004175FD" w:rsidRDefault="004415AB">
      <w:pPr>
        <w:pStyle w:val="WPSOffice20"/>
        <w:tabs>
          <w:tab w:val="right" w:leader="dot" w:pos="8306"/>
        </w:tabs>
        <w:spacing w:line="560" w:lineRule="exact"/>
        <w:ind w:leftChars="0"/>
        <w:rPr>
          <w:rFonts w:ascii="仿宋" w:eastAsia="仿宋" w:hAnsi="仿宋" w:cs="仿宋"/>
          <w:color w:val="000000"/>
          <w:sz w:val="32"/>
          <w:szCs w:val="32"/>
        </w:rPr>
      </w:pPr>
      <w:hyperlink w:anchor="_Toc19535_WPSOffice_Level2" w:history="1">
        <w:r w:rsidR="00686BD4">
          <w:rPr>
            <w:rFonts w:ascii="仿宋" w:eastAsia="仿宋" w:hAnsi="仿宋" w:cs="仿宋" w:hint="eastAsia"/>
            <w:bCs/>
            <w:color w:val="000000"/>
            <w:sz w:val="32"/>
            <w:szCs w:val="32"/>
          </w:rPr>
          <w:t>十、预算绩效情况说明</w:t>
        </w:r>
        <w:r w:rsidR="00686BD4">
          <w:rPr>
            <w:rFonts w:ascii="仿宋" w:eastAsia="仿宋" w:hAnsi="仿宋" w:cs="仿宋" w:hint="eastAsia"/>
            <w:color w:val="000000"/>
            <w:sz w:val="32"/>
            <w:szCs w:val="32"/>
          </w:rPr>
          <w:tab/>
        </w:r>
      </w:hyperlink>
      <w:r w:rsidR="00686BD4">
        <w:rPr>
          <w:rFonts w:ascii="仿宋" w:eastAsia="仿宋" w:hAnsi="仿宋" w:cs="仿宋" w:hint="eastAsia"/>
          <w:color w:val="000000"/>
          <w:sz w:val="32"/>
          <w:szCs w:val="32"/>
        </w:rPr>
        <w:t>8</w:t>
      </w:r>
    </w:p>
    <w:p w:rsidR="004175FD" w:rsidRDefault="00686BD4">
      <w:pPr>
        <w:pStyle w:val="WPSOffice20"/>
        <w:tabs>
          <w:tab w:val="right" w:leader="dot" w:pos="8306"/>
        </w:tabs>
        <w:spacing w:line="560" w:lineRule="exact"/>
        <w:ind w:leftChars="0"/>
        <w:rPr>
          <w:rFonts w:ascii="仿宋" w:eastAsia="仿宋" w:hAnsi="仿宋" w:cs="仿宋"/>
          <w:color w:val="000000"/>
          <w:sz w:val="32"/>
          <w:szCs w:val="32"/>
        </w:rPr>
      </w:pPr>
      <w:r>
        <w:rPr>
          <w:rFonts w:ascii="仿宋" w:eastAsia="仿宋" w:hAnsi="仿宋" w:cs="仿宋" w:hint="eastAsia"/>
          <w:bCs/>
          <w:color w:val="000000"/>
          <w:sz w:val="32"/>
          <w:szCs w:val="32"/>
        </w:rPr>
        <w:t>十一、其他重要事项情况说明</w:t>
      </w:r>
      <w:r>
        <w:rPr>
          <w:rFonts w:ascii="仿宋" w:eastAsia="仿宋" w:hAnsi="仿宋" w:cs="仿宋" w:hint="eastAsia"/>
          <w:color w:val="000000"/>
          <w:sz w:val="32"/>
          <w:szCs w:val="32"/>
        </w:rPr>
        <w:tab/>
        <w:t>10</w:t>
      </w:r>
    </w:p>
    <w:p w:rsidR="004175FD" w:rsidRDefault="004415AB">
      <w:pPr>
        <w:pStyle w:val="WPSOffice10"/>
        <w:tabs>
          <w:tab w:val="right" w:leader="dot" w:pos="8306"/>
        </w:tabs>
        <w:spacing w:line="560" w:lineRule="exact"/>
        <w:rPr>
          <w:rFonts w:ascii="黑体" w:hAnsi="ˎ̥" w:hint="eastAsia"/>
          <w:b/>
          <w:color w:val="000000"/>
          <w:sz w:val="32"/>
          <w:szCs w:val="32"/>
        </w:rPr>
      </w:pPr>
      <w:hyperlink w:anchor="_Toc15425_WPSOffice_Level1" w:history="1">
        <w:r w:rsidR="00686BD4">
          <w:rPr>
            <w:rFonts w:ascii="黑体" w:eastAsia="黑体" w:hAnsi="ˎ̥" w:hint="eastAsia"/>
            <w:color w:val="000000"/>
            <w:sz w:val="32"/>
            <w:szCs w:val="32"/>
          </w:rPr>
          <w:t>第四部分  名词解释</w:t>
        </w:r>
        <w:r w:rsidR="00686BD4">
          <w:rPr>
            <w:color w:val="000000"/>
            <w:sz w:val="32"/>
            <w:szCs w:val="32"/>
          </w:rPr>
          <w:tab/>
        </w:r>
        <w:bookmarkStart w:id="1" w:name="_Toc15425_WPSOffice_Level1Page"/>
        <w:r w:rsidR="00686BD4">
          <w:rPr>
            <w:rFonts w:ascii="仿宋" w:eastAsia="仿宋" w:hAnsi="仿宋" w:cs="仿宋" w:hint="eastAsia"/>
            <w:color w:val="000000"/>
            <w:sz w:val="32"/>
            <w:szCs w:val="32"/>
          </w:rPr>
          <w:t>1</w:t>
        </w:r>
        <w:bookmarkEnd w:id="1"/>
      </w:hyperlink>
      <w:bookmarkEnd w:id="0"/>
      <w:r w:rsidR="00686BD4">
        <w:rPr>
          <w:rFonts w:ascii="仿宋" w:eastAsia="仿宋" w:hAnsi="仿宋" w:cs="仿宋" w:hint="eastAsia"/>
          <w:color w:val="000000"/>
          <w:sz w:val="32"/>
          <w:szCs w:val="32"/>
        </w:rPr>
        <w:t>1</w:t>
      </w:r>
    </w:p>
    <w:p w:rsidR="004175FD" w:rsidRDefault="00686BD4">
      <w:pPr>
        <w:pStyle w:val="wpsoffice1"/>
        <w:widowControl w:val="0"/>
        <w:autoSpaceDE w:val="0"/>
        <w:spacing w:before="0" w:beforeAutospacing="0" w:after="0" w:afterAutospacing="0" w:line="520" w:lineRule="exact"/>
        <w:rPr>
          <w:rFonts w:ascii="黑体" w:eastAsia="黑体" w:hAnsi="黑体"/>
          <w:sz w:val="32"/>
          <w:szCs w:val="32"/>
        </w:rPr>
        <w:sectPr w:rsidR="004175FD" w:rsidSect="00F2226F">
          <w:headerReference w:type="default" r:id="rId9"/>
          <w:footerReference w:type="default" r:id="rId10"/>
          <w:pgSz w:w="11915" w:h="16840"/>
          <w:pgMar w:top="1440" w:right="1797" w:bottom="1440" w:left="1797" w:header="851" w:footer="794" w:gutter="0"/>
          <w:cols w:space="425"/>
          <w:docGrid w:type="lines" w:linePitch="326"/>
        </w:sectPr>
      </w:pPr>
      <w:r>
        <w:rPr>
          <w:rFonts w:hint="eastAsia"/>
          <w:sz w:val="32"/>
          <w:szCs w:val="32"/>
        </w:rPr>
        <w:t xml:space="preserve">        </w:t>
      </w:r>
      <w:r>
        <w:rPr>
          <w:rFonts w:ascii="黑体" w:eastAsia="黑体" w:hint="eastAsia"/>
          <w:sz w:val="32"/>
          <w:szCs w:val="32"/>
        </w:rPr>
        <w:t xml:space="preserve"> </w:t>
      </w:r>
    </w:p>
    <w:p w:rsidR="004175FD" w:rsidRDefault="00686BD4">
      <w:pPr>
        <w:widowControl w:val="0"/>
        <w:autoSpaceDE w:val="0"/>
        <w:spacing w:line="576" w:lineRule="exact"/>
        <w:jc w:val="both"/>
        <w:rPr>
          <w:rFonts w:ascii="黑体" w:eastAsia="黑体" w:hAnsi="黑体"/>
          <w:sz w:val="32"/>
          <w:szCs w:val="32"/>
        </w:rPr>
      </w:pPr>
      <w:r>
        <w:rPr>
          <w:rFonts w:ascii="黑体" w:eastAsia="黑体" w:hAnsi="黑体" w:hint="eastAsia"/>
          <w:sz w:val="32"/>
          <w:szCs w:val="32"/>
        </w:rPr>
        <w:lastRenderedPageBreak/>
        <w:t>第一部分</w:t>
      </w:r>
      <w:r>
        <w:rPr>
          <w:rFonts w:ascii="黑体" w:eastAsia="黑体" w:hAnsi="ˎ̥" w:hint="eastAsia"/>
          <w:sz w:val="32"/>
          <w:szCs w:val="32"/>
        </w:rPr>
        <w:t xml:space="preserve">  </w:t>
      </w:r>
      <w:r>
        <w:rPr>
          <w:rFonts w:ascii="黑体" w:eastAsia="黑体" w:hAnsi="黑体" w:hint="eastAsia"/>
          <w:sz w:val="32"/>
          <w:szCs w:val="32"/>
        </w:rPr>
        <w:t>海南省锅炉压力容器与特种设备检验所基本情况</w:t>
      </w:r>
    </w:p>
    <w:p w:rsidR="004175FD" w:rsidRDefault="00686BD4">
      <w:pPr>
        <w:widowControl w:val="0"/>
        <w:autoSpaceDE w:val="0"/>
        <w:spacing w:line="576" w:lineRule="exact"/>
        <w:ind w:firstLineChars="200" w:firstLine="640"/>
        <w:rPr>
          <w:rFonts w:ascii="黑体" w:eastAsia="黑体"/>
          <w:sz w:val="32"/>
          <w:szCs w:val="32"/>
        </w:rPr>
      </w:pPr>
      <w:r>
        <w:rPr>
          <w:rFonts w:ascii="黑体" w:eastAsia="黑体" w:hAnsi="黑体" w:hint="eastAsia"/>
          <w:sz w:val="32"/>
          <w:szCs w:val="32"/>
        </w:rPr>
        <w:t>一、单位职责</w:t>
      </w:r>
    </w:p>
    <w:p w:rsidR="004175FD" w:rsidRDefault="00686BD4">
      <w:pPr>
        <w:shd w:val="clear" w:color="auto" w:fill="FFFFFF"/>
        <w:spacing w:line="576" w:lineRule="exact"/>
        <w:ind w:firstLineChars="200" w:firstLine="640"/>
        <w:rPr>
          <w:rFonts w:ascii="仿宋_GB2312" w:eastAsia="仿宋_GB2312" w:hAnsi="ˎ̥" w:cs="Times New Roman" w:hint="eastAsia"/>
          <w:color w:val="000000"/>
          <w:kern w:val="2"/>
          <w:sz w:val="32"/>
          <w:szCs w:val="32"/>
        </w:rPr>
      </w:pPr>
      <w:r>
        <w:rPr>
          <w:rFonts w:ascii="楷体" w:eastAsia="楷体" w:hAnsi="楷体" w:hint="eastAsia"/>
          <w:color w:val="000000"/>
          <w:sz w:val="32"/>
          <w:szCs w:val="32"/>
        </w:rPr>
        <w:t>（一）</w:t>
      </w:r>
      <w:r>
        <w:rPr>
          <w:rFonts w:ascii="仿宋_GB2312" w:eastAsia="仿宋_GB2312" w:hAnsi="ˎ̥" w:cs="Times New Roman" w:hint="eastAsia"/>
          <w:color w:val="000000"/>
          <w:kern w:val="2"/>
          <w:sz w:val="32"/>
          <w:szCs w:val="32"/>
        </w:rPr>
        <w:t>负责全省各类锅炉、压力容器、压力管道、电梯、起重机械、厂内机动车辆、大型游乐设施等特种设备的监督检验和定期检验工作。</w:t>
      </w:r>
    </w:p>
    <w:p w:rsidR="004175FD" w:rsidRDefault="00686BD4">
      <w:pPr>
        <w:pStyle w:val="a8"/>
        <w:widowControl w:val="0"/>
        <w:autoSpaceDE w:val="0"/>
        <w:spacing w:before="0" w:beforeAutospacing="0" w:after="0" w:afterAutospacing="0" w:line="576" w:lineRule="exact"/>
        <w:ind w:firstLine="641"/>
        <w:rPr>
          <w:rFonts w:ascii="仿宋_GB2312" w:eastAsia="仿宋_GB2312"/>
          <w:sz w:val="32"/>
          <w:szCs w:val="32"/>
        </w:rPr>
      </w:pPr>
      <w:r>
        <w:rPr>
          <w:rFonts w:ascii="楷体" w:eastAsia="楷体" w:hAnsi="楷体" w:hint="eastAsia"/>
          <w:color w:val="000000"/>
          <w:sz w:val="32"/>
          <w:szCs w:val="32"/>
        </w:rPr>
        <w:t>（二）</w:t>
      </w:r>
      <w:r>
        <w:rPr>
          <w:rFonts w:ascii="仿宋_GB2312" w:eastAsia="仿宋_GB2312" w:hAnsi="ˎ̥" w:cs="Times New Roman" w:hint="eastAsia"/>
          <w:color w:val="000000"/>
          <w:kern w:val="2"/>
          <w:sz w:val="32"/>
          <w:szCs w:val="32"/>
        </w:rPr>
        <w:t>负责锅炉给水和锅内水质的监测检验工作。</w:t>
      </w:r>
    </w:p>
    <w:p w:rsidR="004175FD" w:rsidRDefault="00686BD4">
      <w:pPr>
        <w:shd w:val="clear" w:color="auto" w:fill="FFFFFF"/>
        <w:spacing w:line="576" w:lineRule="exact"/>
        <w:ind w:firstLineChars="200" w:firstLine="640"/>
        <w:rPr>
          <w:rFonts w:ascii="仿宋_GB2312" w:eastAsia="仿宋_GB2312"/>
          <w:sz w:val="32"/>
          <w:szCs w:val="32"/>
        </w:rPr>
      </w:pPr>
      <w:r>
        <w:rPr>
          <w:rFonts w:ascii="楷体" w:eastAsia="楷体" w:hAnsi="楷体" w:hint="eastAsia"/>
          <w:color w:val="000000"/>
          <w:sz w:val="32"/>
          <w:szCs w:val="32"/>
        </w:rPr>
        <w:t>（三）</w:t>
      </w:r>
      <w:r>
        <w:rPr>
          <w:rFonts w:ascii="仿宋_GB2312" w:eastAsia="仿宋_GB2312" w:hint="eastAsia"/>
          <w:sz w:val="32"/>
          <w:szCs w:val="32"/>
        </w:rPr>
        <w:t>负</w:t>
      </w:r>
      <w:r>
        <w:rPr>
          <w:rFonts w:ascii="仿宋_GB2312" w:eastAsia="仿宋_GB2312" w:hAnsi="ˎ̥" w:cs="Times New Roman" w:hint="eastAsia"/>
          <w:color w:val="000000"/>
          <w:kern w:val="2"/>
          <w:sz w:val="32"/>
          <w:szCs w:val="32"/>
        </w:rPr>
        <w:t>责全省特种设备行政许可资质评审。</w:t>
      </w:r>
    </w:p>
    <w:p w:rsidR="004175FD" w:rsidRDefault="00686BD4">
      <w:pPr>
        <w:shd w:val="clear" w:color="auto" w:fill="FFFFFF"/>
        <w:spacing w:line="576" w:lineRule="exact"/>
        <w:ind w:firstLineChars="200" w:firstLine="640"/>
        <w:rPr>
          <w:rFonts w:ascii="仿宋_GB2312" w:eastAsia="仿宋_GB2312"/>
          <w:sz w:val="32"/>
          <w:szCs w:val="32"/>
        </w:rPr>
      </w:pPr>
      <w:r>
        <w:rPr>
          <w:rFonts w:ascii="楷体" w:eastAsia="楷体" w:hAnsi="楷体" w:hint="eastAsia"/>
          <w:color w:val="000000"/>
          <w:sz w:val="32"/>
          <w:szCs w:val="32"/>
        </w:rPr>
        <w:t>（四）</w:t>
      </w:r>
      <w:r>
        <w:rPr>
          <w:rFonts w:ascii="仿宋_GB2312" w:eastAsia="仿宋_GB2312" w:hint="eastAsia"/>
          <w:sz w:val="32"/>
          <w:szCs w:val="32"/>
        </w:rPr>
        <w:t>负责开展委托检验、技术鉴定、节能测试、技术咨询和科学研究。</w:t>
      </w:r>
    </w:p>
    <w:p w:rsidR="004175FD" w:rsidRDefault="00686BD4">
      <w:pPr>
        <w:shd w:val="clear" w:color="auto" w:fill="FFFFFF"/>
        <w:spacing w:line="576" w:lineRule="exact"/>
        <w:ind w:firstLineChars="200" w:firstLine="640"/>
        <w:rPr>
          <w:rFonts w:ascii="仿宋_GB2312" w:eastAsia="仿宋_GB2312"/>
          <w:sz w:val="32"/>
          <w:szCs w:val="32"/>
        </w:rPr>
      </w:pPr>
      <w:r>
        <w:rPr>
          <w:rFonts w:ascii="楷体" w:eastAsia="楷体" w:hAnsi="楷体" w:hint="eastAsia"/>
          <w:color w:val="000000"/>
          <w:sz w:val="32"/>
          <w:szCs w:val="32"/>
        </w:rPr>
        <w:t>（五）</w:t>
      </w:r>
      <w:r>
        <w:rPr>
          <w:rFonts w:ascii="仿宋_GB2312" w:eastAsia="仿宋_GB2312" w:hint="eastAsia"/>
          <w:sz w:val="32"/>
          <w:szCs w:val="32"/>
        </w:rPr>
        <w:t>承担全省重点项目、重大活动、重点场所的特种设备安全保障技术支撑工作。</w:t>
      </w:r>
    </w:p>
    <w:p w:rsidR="004175FD" w:rsidRDefault="00686BD4">
      <w:pPr>
        <w:shd w:val="clear" w:color="auto" w:fill="FFFFFF"/>
        <w:spacing w:line="536" w:lineRule="exact"/>
        <w:ind w:firstLineChars="200" w:firstLine="640"/>
        <w:rPr>
          <w:rFonts w:ascii="仿宋_GB2312" w:eastAsia="仿宋_GB2312"/>
          <w:sz w:val="32"/>
          <w:szCs w:val="32"/>
        </w:rPr>
      </w:pPr>
      <w:r>
        <w:rPr>
          <w:rFonts w:ascii="楷体" w:eastAsia="楷体" w:hAnsi="楷体" w:hint="eastAsia"/>
          <w:color w:val="000000"/>
          <w:sz w:val="32"/>
          <w:szCs w:val="32"/>
        </w:rPr>
        <w:t>（六）</w:t>
      </w:r>
      <w:r>
        <w:rPr>
          <w:rFonts w:ascii="仿宋_GB2312" w:eastAsia="仿宋_GB2312" w:hint="eastAsia"/>
          <w:sz w:val="32"/>
          <w:szCs w:val="32"/>
        </w:rPr>
        <w:t>负责对特种设备作业人员的考核工作，对管理使用特种设备的单位进行使用技能指导。</w:t>
      </w:r>
    </w:p>
    <w:p w:rsidR="004175FD" w:rsidRDefault="00686BD4">
      <w:pPr>
        <w:shd w:val="clear" w:color="auto" w:fill="FFFFFF"/>
        <w:spacing w:line="536" w:lineRule="exact"/>
        <w:ind w:firstLineChars="200" w:firstLine="640"/>
        <w:rPr>
          <w:rFonts w:ascii="仿宋_GB2312" w:eastAsia="仿宋_GB2312"/>
          <w:sz w:val="32"/>
          <w:szCs w:val="32"/>
        </w:rPr>
      </w:pPr>
      <w:r>
        <w:rPr>
          <w:rFonts w:ascii="楷体" w:eastAsia="楷体" w:hAnsi="楷体" w:hint="eastAsia"/>
          <w:color w:val="000000"/>
          <w:sz w:val="32"/>
          <w:szCs w:val="32"/>
        </w:rPr>
        <w:t>（七）</w:t>
      </w:r>
      <w:r>
        <w:rPr>
          <w:rFonts w:ascii="仿宋_GB2312" w:eastAsia="仿宋_GB2312" w:hint="eastAsia"/>
          <w:sz w:val="32"/>
          <w:szCs w:val="32"/>
        </w:rPr>
        <w:t>完成上级交办的其他任务。</w:t>
      </w:r>
    </w:p>
    <w:p w:rsidR="004175FD" w:rsidRDefault="00686BD4">
      <w:pPr>
        <w:widowControl w:val="0"/>
        <w:autoSpaceDE w:val="0"/>
        <w:spacing w:line="576" w:lineRule="exact"/>
        <w:ind w:firstLineChars="200" w:firstLine="640"/>
        <w:rPr>
          <w:rFonts w:ascii="黑体" w:eastAsia="黑体"/>
          <w:sz w:val="32"/>
          <w:szCs w:val="32"/>
        </w:rPr>
      </w:pPr>
      <w:r>
        <w:rPr>
          <w:rFonts w:ascii="黑体" w:eastAsia="黑体" w:hAnsi="黑体" w:hint="eastAsia"/>
          <w:sz w:val="32"/>
          <w:szCs w:val="32"/>
        </w:rPr>
        <w:t>二、机构设置</w:t>
      </w:r>
    </w:p>
    <w:p w:rsidR="004175FD" w:rsidRDefault="00686BD4">
      <w:pPr>
        <w:shd w:val="clear" w:color="auto" w:fill="FFFFFF"/>
        <w:spacing w:line="576" w:lineRule="exact"/>
        <w:rPr>
          <w:rFonts w:ascii="仿宋_GB2312" w:eastAsia="仿宋_GB2312"/>
          <w:sz w:val="32"/>
          <w:szCs w:val="32"/>
        </w:rPr>
      </w:pPr>
      <w:r>
        <w:rPr>
          <w:rFonts w:ascii="仿宋_GB2312" w:eastAsia="仿宋_GB2312" w:hint="eastAsia"/>
          <w:sz w:val="32"/>
          <w:szCs w:val="32"/>
        </w:rPr>
        <w:t>海南省锅炉压力容器与特种设备检验所下设7个科室，包括：</w:t>
      </w:r>
    </w:p>
    <w:p w:rsidR="004175FD" w:rsidRDefault="00686BD4">
      <w:pPr>
        <w:pStyle w:val="msolistparagraph0"/>
        <w:autoSpaceDE w:val="0"/>
        <w:spacing w:line="500" w:lineRule="exact"/>
        <w:ind w:firstLine="640"/>
        <w:jc w:val="left"/>
        <w:rPr>
          <w:rFonts w:ascii="仿宋_GB2312" w:eastAsia="仿宋_GB2312" w:hAnsi="宋体"/>
          <w:sz w:val="32"/>
          <w:szCs w:val="32"/>
        </w:rPr>
      </w:pPr>
      <w:r>
        <w:rPr>
          <w:rFonts w:ascii="仿宋_GB2312" w:eastAsia="仿宋_GB2312" w:hAnsi="宋体" w:hint="eastAsia"/>
          <w:sz w:val="32"/>
          <w:szCs w:val="32"/>
        </w:rPr>
        <w:t>（一）办公室</w:t>
      </w:r>
    </w:p>
    <w:p w:rsidR="004175FD" w:rsidRDefault="00686BD4">
      <w:pPr>
        <w:pStyle w:val="msolistparagraph0"/>
        <w:autoSpaceDE w:val="0"/>
        <w:spacing w:line="500" w:lineRule="exact"/>
        <w:ind w:firstLine="640"/>
        <w:jc w:val="left"/>
        <w:rPr>
          <w:rFonts w:ascii="仿宋_GB2312" w:eastAsia="仿宋_GB2312" w:hAnsi="宋体"/>
          <w:sz w:val="32"/>
          <w:szCs w:val="32"/>
        </w:rPr>
      </w:pPr>
      <w:r>
        <w:rPr>
          <w:rFonts w:ascii="仿宋_GB2312" w:eastAsia="仿宋_GB2312" w:hAnsi="宋体" w:hint="eastAsia"/>
          <w:sz w:val="32"/>
          <w:szCs w:val="32"/>
        </w:rPr>
        <w:t>（二）管道科</w:t>
      </w:r>
    </w:p>
    <w:p w:rsidR="004175FD" w:rsidRDefault="00686BD4">
      <w:pPr>
        <w:pStyle w:val="msolistparagraph0"/>
        <w:autoSpaceDE w:val="0"/>
        <w:spacing w:line="500" w:lineRule="exact"/>
        <w:ind w:firstLine="640"/>
        <w:jc w:val="left"/>
        <w:rPr>
          <w:rFonts w:ascii="仿宋_GB2312" w:eastAsia="仿宋_GB2312" w:hAnsi="宋体"/>
          <w:sz w:val="32"/>
          <w:szCs w:val="32"/>
        </w:rPr>
      </w:pPr>
      <w:r>
        <w:rPr>
          <w:rFonts w:ascii="仿宋_GB2312" w:eastAsia="仿宋_GB2312" w:hAnsi="宋体" w:hint="eastAsia"/>
          <w:sz w:val="32"/>
          <w:szCs w:val="32"/>
        </w:rPr>
        <w:t>（三）压力容器科</w:t>
      </w:r>
    </w:p>
    <w:p w:rsidR="004175FD" w:rsidRDefault="00686BD4">
      <w:pPr>
        <w:pStyle w:val="msolistparagraph0"/>
        <w:autoSpaceDE w:val="0"/>
        <w:spacing w:line="500" w:lineRule="exact"/>
        <w:ind w:firstLine="640"/>
        <w:jc w:val="left"/>
        <w:rPr>
          <w:rFonts w:ascii="仿宋_GB2312" w:eastAsia="仿宋_GB2312" w:hAnsi="宋体"/>
          <w:sz w:val="32"/>
          <w:szCs w:val="32"/>
        </w:rPr>
      </w:pPr>
      <w:r>
        <w:rPr>
          <w:rFonts w:ascii="仿宋_GB2312" w:eastAsia="仿宋_GB2312" w:hAnsi="宋体" w:hint="eastAsia"/>
          <w:sz w:val="32"/>
          <w:szCs w:val="32"/>
        </w:rPr>
        <w:t>（四）锅炉科</w:t>
      </w:r>
    </w:p>
    <w:p w:rsidR="004175FD" w:rsidRDefault="00686BD4">
      <w:pPr>
        <w:pStyle w:val="msolistparagraph0"/>
        <w:autoSpaceDE w:val="0"/>
        <w:spacing w:line="500" w:lineRule="exact"/>
        <w:ind w:firstLine="640"/>
        <w:jc w:val="left"/>
        <w:rPr>
          <w:rFonts w:ascii="仿宋_GB2312" w:eastAsia="仿宋_GB2312" w:hAnsi="宋体"/>
          <w:sz w:val="32"/>
          <w:szCs w:val="32"/>
        </w:rPr>
      </w:pPr>
      <w:r>
        <w:rPr>
          <w:rFonts w:ascii="仿宋_GB2312" w:eastAsia="仿宋_GB2312" w:hAnsi="宋体" w:hint="eastAsia"/>
          <w:sz w:val="32"/>
          <w:szCs w:val="32"/>
        </w:rPr>
        <w:t>（五）质量监督科</w:t>
      </w:r>
    </w:p>
    <w:p w:rsidR="004175FD" w:rsidRDefault="00686BD4">
      <w:pPr>
        <w:pStyle w:val="msolistparagraph0"/>
        <w:autoSpaceDE w:val="0"/>
        <w:spacing w:line="500" w:lineRule="exact"/>
        <w:ind w:firstLine="640"/>
        <w:jc w:val="left"/>
        <w:rPr>
          <w:rFonts w:ascii="仿宋_GB2312" w:eastAsia="仿宋_GB2312" w:hAnsi="宋体"/>
          <w:sz w:val="32"/>
          <w:szCs w:val="32"/>
        </w:rPr>
      </w:pPr>
      <w:r>
        <w:rPr>
          <w:rFonts w:ascii="仿宋_GB2312" w:eastAsia="仿宋_GB2312" w:hAnsi="宋体" w:hint="eastAsia"/>
          <w:sz w:val="32"/>
          <w:szCs w:val="32"/>
        </w:rPr>
        <w:t>（六）电梯检测科</w:t>
      </w:r>
    </w:p>
    <w:p w:rsidR="004175FD" w:rsidRDefault="00686BD4">
      <w:pPr>
        <w:pStyle w:val="msolistparagraph0"/>
        <w:autoSpaceDE w:val="0"/>
        <w:spacing w:line="576" w:lineRule="exact"/>
        <w:ind w:firstLine="640"/>
        <w:jc w:val="left"/>
        <w:rPr>
          <w:rFonts w:ascii="仿宋_GB2312" w:eastAsia="仿宋_GB2312" w:hAnsi="宋体"/>
          <w:sz w:val="32"/>
          <w:szCs w:val="32"/>
        </w:rPr>
      </w:pPr>
      <w:r>
        <w:rPr>
          <w:rFonts w:ascii="仿宋_GB2312" w:eastAsia="仿宋_GB2312" w:hAnsi="宋体" w:hint="eastAsia"/>
          <w:sz w:val="32"/>
          <w:szCs w:val="32"/>
        </w:rPr>
        <w:t>（七）综合检测科</w:t>
      </w:r>
    </w:p>
    <w:p w:rsidR="004175FD" w:rsidRDefault="00686BD4">
      <w:pPr>
        <w:widowControl w:val="0"/>
        <w:numPr>
          <w:ilvl w:val="0"/>
          <w:numId w:val="2"/>
        </w:numPr>
        <w:autoSpaceDE w:val="0"/>
        <w:spacing w:line="576" w:lineRule="exact"/>
        <w:jc w:val="center"/>
        <w:rPr>
          <w:rFonts w:ascii="黑体" w:eastAsia="黑体" w:hAnsi="黑体"/>
          <w:sz w:val="32"/>
          <w:szCs w:val="32"/>
        </w:rPr>
      </w:pPr>
      <w:r>
        <w:rPr>
          <w:rFonts w:ascii="黑体" w:eastAsia="黑体" w:hAnsi="ˎ̥" w:hint="eastAsia"/>
          <w:sz w:val="32"/>
          <w:szCs w:val="32"/>
        </w:rPr>
        <w:lastRenderedPageBreak/>
        <w:t>2022</w:t>
      </w:r>
      <w:r>
        <w:rPr>
          <w:rFonts w:ascii="黑体" w:eastAsia="黑体" w:hAnsi="黑体" w:hint="eastAsia"/>
          <w:sz w:val="32"/>
          <w:szCs w:val="32"/>
        </w:rPr>
        <w:t>年度单位决算公开报表</w:t>
      </w:r>
    </w:p>
    <w:p w:rsidR="004175FD" w:rsidRDefault="004175FD">
      <w:pPr>
        <w:widowControl w:val="0"/>
        <w:autoSpaceDE w:val="0"/>
        <w:spacing w:line="576" w:lineRule="exact"/>
        <w:ind w:left="546"/>
        <w:jc w:val="both"/>
        <w:rPr>
          <w:rFonts w:ascii="黑体" w:eastAsia="黑体" w:hAnsi="黑体"/>
          <w:sz w:val="32"/>
          <w:szCs w:val="32"/>
        </w:rPr>
      </w:pPr>
    </w:p>
    <w:p w:rsidR="004175FD" w:rsidRDefault="00686BD4">
      <w:pPr>
        <w:widowControl w:val="0"/>
        <w:autoSpaceDE w:val="0"/>
        <w:spacing w:line="576" w:lineRule="exact"/>
        <w:ind w:firstLine="645"/>
        <w:rPr>
          <w:rFonts w:ascii="黑体" w:eastAsia="黑体"/>
          <w:sz w:val="32"/>
          <w:szCs w:val="32"/>
        </w:rPr>
      </w:pPr>
      <w:r>
        <w:rPr>
          <w:rFonts w:ascii="黑体" w:eastAsia="黑体" w:hAnsi="黑体" w:hint="eastAsia"/>
          <w:sz w:val="32"/>
          <w:szCs w:val="32"/>
        </w:rPr>
        <w:t>一、收入支出决算公开表</w:t>
      </w:r>
    </w:p>
    <w:p w:rsidR="004175FD" w:rsidRDefault="00686BD4">
      <w:pPr>
        <w:widowControl w:val="0"/>
        <w:autoSpaceDE w:val="0"/>
        <w:spacing w:line="576" w:lineRule="exact"/>
        <w:ind w:firstLine="645"/>
        <w:rPr>
          <w:rFonts w:ascii="黑体" w:eastAsia="黑体"/>
          <w:sz w:val="32"/>
          <w:szCs w:val="32"/>
        </w:rPr>
      </w:pPr>
      <w:r>
        <w:rPr>
          <w:rFonts w:ascii="黑体" w:eastAsia="黑体" w:hAnsi="黑体" w:hint="eastAsia"/>
          <w:sz w:val="32"/>
          <w:szCs w:val="32"/>
        </w:rPr>
        <w:t>二、收入决算公开表</w:t>
      </w:r>
    </w:p>
    <w:p w:rsidR="004175FD" w:rsidRDefault="00686BD4">
      <w:pPr>
        <w:widowControl w:val="0"/>
        <w:autoSpaceDE w:val="0"/>
        <w:spacing w:line="576" w:lineRule="exact"/>
        <w:ind w:firstLine="645"/>
        <w:rPr>
          <w:rFonts w:ascii="黑体" w:eastAsia="黑体"/>
          <w:sz w:val="32"/>
          <w:szCs w:val="32"/>
        </w:rPr>
      </w:pPr>
      <w:r>
        <w:rPr>
          <w:rFonts w:ascii="黑体" w:eastAsia="黑体" w:hAnsi="黑体" w:hint="eastAsia"/>
          <w:sz w:val="32"/>
          <w:szCs w:val="32"/>
        </w:rPr>
        <w:t>三、支出决算公开表</w:t>
      </w:r>
    </w:p>
    <w:p w:rsidR="004175FD" w:rsidRDefault="00686BD4">
      <w:pPr>
        <w:widowControl w:val="0"/>
        <w:autoSpaceDE w:val="0"/>
        <w:spacing w:line="576" w:lineRule="exact"/>
        <w:ind w:firstLine="645"/>
        <w:rPr>
          <w:rFonts w:ascii="黑体" w:eastAsia="黑体"/>
          <w:sz w:val="32"/>
          <w:szCs w:val="32"/>
        </w:rPr>
      </w:pPr>
      <w:r>
        <w:rPr>
          <w:rFonts w:ascii="黑体" w:eastAsia="黑体" w:hAnsi="黑体" w:hint="eastAsia"/>
          <w:sz w:val="32"/>
          <w:szCs w:val="32"/>
        </w:rPr>
        <w:t>四、财政拨款收入支出决算公开表</w:t>
      </w:r>
    </w:p>
    <w:p w:rsidR="004175FD" w:rsidRDefault="00686BD4">
      <w:pPr>
        <w:widowControl w:val="0"/>
        <w:autoSpaceDE w:val="0"/>
        <w:spacing w:line="576" w:lineRule="exact"/>
        <w:ind w:firstLine="645"/>
        <w:rPr>
          <w:rFonts w:ascii="黑体" w:eastAsia="黑体"/>
          <w:sz w:val="32"/>
          <w:szCs w:val="32"/>
        </w:rPr>
      </w:pPr>
      <w:r>
        <w:rPr>
          <w:rFonts w:ascii="黑体" w:eastAsia="黑体" w:hAnsi="黑体" w:hint="eastAsia"/>
          <w:sz w:val="32"/>
          <w:szCs w:val="32"/>
        </w:rPr>
        <w:t>五、一般公共预算财政拨款收入支出决算公开表</w:t>
      </w:r>
    </w:p>
    <w:p w:rsidR="004175FD" w:rsidRDefault="00686BD4">
      <w:pPr>
        <w:widowControl w:val="0"/>
        <w:autoSpaceDE w:val="0"/>
        <w:spacing w:line="576" w:lineRule="exact"/>
        <w:ind w:firstLine="645"/>
        <w:rPr>
          <w:rFonts w:ascii="黑体" w:eastAsia="黑体"/>
          <w:sz w:val="32"/>
          <w:szCs w:val="32"/>
        </w:rPr>
      </w:pPr>
      <w:r>
        <w:rPr>
          <w:rFonts w:ascii="黑体" w:eastAsia="黑体" w:hAnsi="黑体" w:hint="eastAsia"/>
          <w:sz w:val="32"/>
          <w:szCs w:val="32"/>
        </w:rPr>
        <w:t>六、一般公共预算财政拨款基本支出决算公开表</w:t>
      </w:r>
    </w:p>
    <w:p w:rsidR="004175FD" w:rsidRDefault="00686BD4">
      <w:pPr>
        <w:widowControl w:val="0"/>
        <w:autoSpaceDE w:val="0"/>
        <w:spacing w:line="576" w:lineRule="exact"/>
        <w:ind w:firstLineChars="200" w:firstLine="640"/>
        <w:rPr>
          <w:rFonts w:ascii="黑体" w:eastAsia="黑体"/>
          <w:sz w:val="32"/>
          <w:szCs w:val="32"/>
        </w:rPr>
      </w:pPr>
      <w:r>
        <w:rPr>
          <w:rFonts w:ascii="黑体" w:eastAsia="黑体" w:hAnsi="黑体" w:hint="eastAsia"/>
          <w:sz w:val="32"/>
          <w:szCs w:val="32"/>
        </w:rPr>
        <w:t>七、政府性基金预算财政拨款收入支出决算公开表</w:t>
      </w:r>
    </w:p>
    <w:p w:rsidR="004175FD" w:rsidRDefault="00686BD4">
      <w:pPr>
        <w:widowControl w:val="0"/>
        <w:autoSpaceDE w:val="0"/>
        <w:spacing w:line="576" w:lineRule="exact"/>
        <w:ind w:firstLineChars="200" w:firstLine="640"/>
        <w:rPr>
          <w:rFonts w:ascii="黑体" w:eastAsia="黑体"/>
          <w:sz w:val="32"/>
          <w:szCs w:val="32"/>
        </w:rPr>
      </w:pPr>
      <w:r>
        <w:rPr>
          <w:rFonts w:ascii="黑体" w:eastAsia="黑体" w:hAnsi="黑体" w:hint="eastAsia"/>
          <w:sz w:val="32"/>
          <w:szCs w:val="32"/>
        </w:rPr>
        <w:t>八、国有资本经营预算财政拨款收入支出决算公开表</w:t>
      </w:r>
    </w:p>
    <w:p w:rsidR="004175FD" w:rsidRDefault="00686BD4">
      <w:pPr>
        <w:widowControl w:val="0"/>
        <w:autoSpaceDE w:val="0"/>
        <w:spacing w:line="576" w:lineRule="exact"/>
        <w:ind w:left="1120" w:hangingChars="350" w:hanging="1120"/>
        <w:rPr>
          <w:rFonts w:ascii="黑体" w:eastAsia="黑体"/>
          <w:sz w:val="32"/>
          <w:szCs w:val="32"/>
        </w:rPr>
      </w:pPr>
      <w:r>
        <w:rPr>
          <w:rFonts w:ascii="黑体" w:eastAsia="黑体" w:hint="eastAsia"/>
          <w:sz w:val="32"/>
          <w:szCs w:val="32"/>
        </w:rPr>
        <w:t xml:space="preserve">    </w:t>
      </w:r>
      <w:r>
        <w:rPr>
          <w:rFonts w:ascii="黑体" w:eastAsia="黑体" w:hAnsi="黑体" w:hint="eastAsia"/>
          <w:sz w:val="32"/>
          <w:szCs w:val="32"/>
        </w:rPr>
        <w:t>九、财政拨款</w:t>
      </w:r>
      <w:r>
        <w:rPr>
          <w:rFonts w:ascii="黑体" w:eastAsia="黑体" w:hint="eastAsia"/>
          <w:sz w:val="32"/>
          <w:szCs w:val="32"/>
        </w:rPr>
        <w:t>“三公”经费支出决算</w:t>
      </w:r>
      <w:r>
        <w:rPr>
          <w:rFonts w:ascii="黑体" w:eastAsia="黑体" w:hAnsi="黑体" w:hint="eastAsia"/>
          <w:sz w:val="32"/>
          <w:szCs w:val="32"/>
        </w:rPr>
        <w:t>公开表</w:t>
      </w:r>
    </w:p>
    <w:p w:rsidR="004175FD" w:rsidRDefault="00686BD4">
      <w:pPr>
        <w:widowControl w:val="0"/>
        <w:autoSpaceDE w:val="0"/>
        <w:spacing w:line="576" w:lineRule="exact"/>
        <w:rPr>
          <w:rFonts w:ascii="黑体" w:eastAsia="黑体"/>
          <w:sz w:val="32"/>
          <w:szCs w:val="32"/>
        </w:rPr>
      </w:pPr>
      <w:r>
        <w:rPr>
          <w:rFonts w:ascii="黑体" w:eastAsia="黑体" w:hint="eastAsia"/>
          <w:sz w:val="32"/>
          <w:szCs w:val="32"/>
        </w:rPr>
        <w:t xml:space="preserve">    </w:t>
      </w:r>
      <w:r>
        <w:rPr>
          <w:rFonts w:ascii="黑体" w:eastAsia="黑体" w:hAnsi="黑体" w:cs="黑体" w:hint="eastAsia"/>
          <w:color w:val="000000"/>
          <w:w w:val="96"/>
          <w:sz w:val="32"/>
          <w:szCs w:val="32"/>
        </w:rPr>
        <w:t>以上报表见附件1。</w:t>
      </w:r>
    </w:p>
    <w:p w:rsidR="004175FD" w:rsidRDefault="00686BD4">
      <w:pPr>
        <w:widowControl w:val="0"/>
        <w:autoSpaceDE w:val="0"/>
        <w:spacing w:line="576" w:lineRule="exact"/>
        <w:rPr>
          <w:rFonts w:ascii="黑体" w:eastAsia="黑体"/>
          <w:sz w:val="32"/>
          <w:szCs w:val="32"/>
        </w:rPr>
      </w:pPr>
      <w:r>
        <w:rPr>
          <w:rFonts w:ascii="黑体" w:eastAsia="黑体" w:hint="eastAsia"/>
          <w:sz w:val="32"/>
          <w:szCs w:val="32"/>
        </w:rPr>
        <w:t xml:space="preserve"> </w:t>
      </w:r>
    </w:p>
    <w:p w:rsidR="004175FD" w:rsidRDefault="00686BD4">
      <w:pPr>
        <w:widowControl w:val="0"/>
        <w:autoSpaceDE w:val="0"/>
        <w:spacing w:line="576" w:lineRule="exact"/>
        <w:jc w:val="center"/>
        <w:rPr>
          <w:rFonts w:ascii="黑体" w:eastAsia="黑体" w:hAnsi="黑体"/>
          <w:sz w:val="32"/>
          <w:szCs w:val="32"/>
        </w:rPr>
      </w:pPr>
      <w:r>
        <w:rPr>
          <w:rFonts w:ascii="黑体" w:eastAsia="黑体" w:hAnsi="黑体" w:hint="eastAsia"/>
          <w:sz w:val="32"/>
          <w:szCs w:val="32"/>
        </w:rPr>
        <w:t xml:space="preserve"> </w:t>
      </w:r>
    </w:p>
    <w:p w:rsidR="004175FD" w:rsidRDefault="00686BD4">
      <w:pPr>
        <w:widowControl w:val="0"/>
        <w:numPr>
          <w:ilvl w:val="0"/>
          <w:numId w:val="2"/>
        </w:numPr>
        <w:autoSpaceDE w:val="0"/>
        <w:spacing w:line="576" w:lineRule="exact"/>
        <w:jc w:val="center"/>
        <w:rPr>
          <w:rFonts w:ascii="黑体" w:eastAsia="黑体" w:hAnsi="ˎ̥" w:hint="eastAsia"/>
          <w:sz w:val="32"/>
          <w:szCs w:val="32"/>
        </w:rPr>
      </w:pPr>
      <w:r>
        <w:rPr>
          <w:rFonts w:ascii="黑体" w:eastAsia="黑体" w:hAnsi="ˎ̥" w:hint="eastAsia"/>
          <w:sz w:val="32"/>
          <w:szCs w:val="32"/>
        </w:rPr>
        <w:t xml:space="preserve"> 2022</w:t>
      </w:r>
      <w:r>
        <w:rPr>
          <w:rFonts w:ascii="黑体" w:eastAsia="黑体" w:hAnsi="黑体" w:hint="eastAsia"/>
          <w:sz w:val="32"/>
          <w:szCs w:val="32"/>
        </w:rPr>
        <w:t>年度单位决算情况说明</w:t>
      </w:r>
      <w:r>
        <w:rPr>
          <w:rFonts w:ascii="黑体" w:eastAsia="黑体" w:hAnsi="ˎ̥" w:hint="eastAsia"/>
          <w:sz w:val="32"/>
          <w:szCs w:val="32"/>
        </w:rPr>
        <w:t xml:space="preserve"> </w:t>
      </w:r>
    </w:p>
    <w:p w:rsidR="004175FD" w:rsidRDefault="004175FD">
      <w:pPr>
        <w:widowControl w:val="0"/>
        <w:autoSpaceDE w:val="0"/>
        <w:spacing w:line="576" w:lineRule="exact"/>
        <w:ind w:left="546"/>
        <w:jc w:val="both"/>
        <w:rPr>
          <w:rFonts w:ascii="黑体" w:eastAsia="黑体" w:hAnsi="黑体"/>
          <w:sz w:val="32"/>
          <w:szCs w:val="32"/>
        </w:rPr>
      </w:pPr>
    </w:p>
    <w:p w:rsidR="004175FD" w:rsidRDefault="00686BD4">
      <w:pPr>
        <w:widowControl w:val="0"/>
        <w:autoSpaceDE w:val="0"/>
        <w:spacing w:line="576" w:lineRule="exact"/>
        <w:ind w:left="546"/>
        <w:jc w:val="both"/>
        <w:rPr>
          <w:rFonts w:ascii="黑体" w:eastAsia="黑体"/>
          <w:sz w:val="32"/>
          <w:szCs w:val="32"/>
        </w:rPr>
      </w:pPr>
      <w:r>
        <w:rPr>
          <w:rFonts w:ascii="黑体" w:eastAsia="黑体" w:hAnsi="黑体" w:hint="eastAsia"/>
          <w:sz w:val="32"/>
          <w:szCs w:val="32"/>
        </w:rPr>
        <w:t>一、收入支出决算总体情况说明</w:t>
      </w:r>
    </w:p>
    <w:p w:rsidR="004175FD" w:rsidRDefault="00686BD4" w:rsidP="000D1991">
      <w:pPr>
        <w:spacing w:line="560" w:lineRule="exact"/>
        <w:jc w:val="both"/>
        <w:rPr>
          <w:rFonts w:ascii="仿宋_GB2312" w:eastAsia="仿宋_GB2312" w:hAnsi="ˎ̥" w:hint="eastAsia"/>
          <w:sz w:val="32"/>
          <w:szCs w:val="32"/>
        </w:rPr>
      </w:pPr>
      <w:r>
        <w:rPr>
          <w:rFonts w:ascii="仿宋_GB2312" w:eastAsia="仿宋_GB2312" w:hAnsi="ˎ̥" w:hint="eastAsia"/>
          <w:sz w:val="32"/>
          <w:szCs w:val="32"/>
        </w:rPr>
        <w:t xml:space="preserve">    2022</w:t>
      </w:r>
      <w:r w:rsidR="006A6EBE">
        <w:rPr>
          <w:rFonts w:ascii="仿宋_GB2312" w:eastAsia="仿宋_GB2312" w:hAnsi="ˎ̥" w:hint="eastAsia"/>
          <w:sz w:val="32"/>
          <w:szCs w:val="32"/>
        </w:rPr>
        <w:t>年度收入</w:t>
      </w:r>
      <w:r>
        <w:rPr>
          <w:rFonts w:ascii="仿宋_GB2312" w:eastAsia="仿宋_GB2312" w:hAnsi="ˎ̥" w:hint="eastAsia"/>
          <w:sz w:val="32"/>
          <w:szCs w:val="32"/>
        </w:rPr>
        <w:t>总计2,835.41万元，</w:t>
      </w:r>
      <w:r w:rsidR="006A6EBE">
        <w:rPr>
          <w:rFonts w:ascii="仿宋_GB2312" w:eastAsia="仿宋_GB2312" w:hAnsi="ˎ̥" w:hint="eastAsia"/>
          <w:sz w:val="32"/>
          <w:szCs w:val="32"/>
        </w:rPr>
        <w:t>支出总计2,835.41万元，</w:t>
      </w:r>
      <w:r>
        <w:rPr>
          <w:rFonts w:ascii="仿宋_GB2312" w:eastAsia="仿宋_GB2312" w:hAnsi="ˎ̥" w:hint="eastAsia"/>
          <w:sz w:val="32"/>
          <w:szCs w:val="32"/>
        </w:rPr>
        <w:t>与2021年度相比，收入、支出总计各增加41</w:t>
      </w:r>
      <w:r w:rsidR="0090555A">
        <w:rPr>
          <w:rFonts w:ascii="仿宋_GB2312" w:eastAsia="仿宋_GB2312" w:hAnsi="ˎ̥" w:hint="eastAsia"/>
          <w:sz w:val="32"/>
          <w:szCs w:val="32"/>
        </w:rPr>
        <w:t>万元。主要原因是</w:t>
      </w:r>
      <w:r>
        <w:rPr>
          <w:rFonts w:ascii="仿宋_GB2312" w:eastAsia="仿宋_GB2312" w:hAnsi="ˎ̥" w:hint="eastAsia"/>
          <w:sz w:val="32"/>
          <w:szCs w:val="32"/>
        </w:rPr>
        <w:t>一般公共服务预算财政拨款收入比2021年增加52.22万元</w:t>
      </w:r>
      <w:r w:rsidR="0090555A">
        <w:rPr>
          <w:rFonts w:ascii="仿宋_GB2312" w:eastAsia="仿宋_GB2312" w:hAnsi="ˎ̥" w:hint="eastAsia"/>
          <w:sz w:val="32"/>
          <w:szCs w:val="32"/>
        </w:rPr>
        <w:t>。</w:t>
      </w:r>
      <w:r>
        <w:rPr>
          <w:rFonts w:ascii="仿宋_GB2312" w:eastAsia="仿宋_GB2312" w:hAnsi="ˎ̥" w:hint="eastAsia"/>
          <w:sz w:val="32"/>
          <w:szCs w:val="32"/>
        </w:rPr>
        <w:t>年初结转结余13.97万元，</w:t>
      </w:r>
      <w:r w:rsidR="002D16AE">
        <w:rPr>
          <w:rFonts w:ascii="仿宋_GB2312" w:eastAsia="仿宋_GB2312" w:hAnsi="ˎ̥" w:hint="eastAsia"/>
          <w:sz w:val="32"/>
          <w:szCs w:val="32"/>
        </w:rPr>
        <w:t>主要是国家重点科研项目特种设备安全防护系统功能安全保障关键技术研究三个课题的经</w:t>
      </w:r>
      <w:r w:rsidR="002D16AE">
        <w:rPr>
          <w:rFonts w:ascii="仿宋_GB2312" w:eastAsia="仿宋_GB2312" w:hAnsi="ˎ̥" w:hint="eastAsia"/>
          <w:sz w:val="32"/>
          <w:szCs w:val="32"/>
        </w:rPr>
        <w:lastRenderedPageBreak/>
        <w:t>费</w:t>
      </w:r>
      <w:r w:rsidR="0090555A">
        <w:rPr>
          <w:rFonts w:ascii="仿宋_GB2312" w:eastAsia="仿宋_GB2312" w:hAnsi="ˎ̥" w:hint="eastAsia"/>
          <w:sz w:val="32"/>
          <w:szCs w:val="32"/>
        </w:rPr>
        <w:t>，</w:t>
      </w:r>
      <w:r w:rsidR="0090555A">
        <w:rPr>
          <w:rFonts w:ascii="仿宋_GB2312" w:eastAsia="仿宋_GB2312" w:hAnsi="ˎ̥"/>
          <w:sz w:val="32"/>
          <w:szCs w:val="32"/>
        </w:rPr>
        <w:t>课题项目</w:t>
      </w:r>
      <w:r w:rsidR="0090555A">
        <w:rPr>
          <w:rFonts w:ascii="仿宋_GB2312" w:eastAsia="仿宋_GB2312" w:hAnsi="ˎ̥" w:hint="eastAsia"/>
          <w:sz w:val="32"/>
          <w:szCs w:val="32"/>
        </w:rPr>
        <w:t>尚</w:t>
      </w:r>
      <w:r w:rsidR="0090555A">
        <w:rPr>
          <w:rFonts w:ascii="仿宋_GB2312" w:eastAsia="仿宋_GB2312" w:hAnsi="ˎ̥"/>
          <w:sz w:val="32"/>
          <w:szCs w:val="32"/>
        </w:rPr>
        <w:t>未完成</w:t>
      </w:r>
      <w:r w:rsidR="00787BB6">
        <w:rPr>
          <w:rFonts w:ascii="仿宋_GB2312" w:eastAsia="仿宋_GB2312" w:hAnsi="ˎ̥" w:hint="eastAsia"/>
          <w:sz w:val="32"/>
          <w:szCs w:val="32"/>
        </w:rPr>
        <w:t>，</w:t>
      </w:r>
      <w:r w:rsidR="002D16AE">
        <w:rPr>
          <w:rFonts w:ascii="仿宋_GB2312" w:eastAsia="仿宋_GB2312" w:hAnsi="ˎ̥" w:hint="eastAsia"/>
          <w:sz w:val="32"/>
          <w:szCs w:val="32"/>
        </w:rPr>
        <w:t>较2021年</w:t>
      </w:r>
      <w:r w:rsidR="002D16AE">
        <w:rPr>
          <w:rFonts w:ascii="仿宋_GB2312" w:eastAsia="仿宋_GB2312" w:hAnsi="ˎ̥"/>
          <w:sz w:val="32"/>
          <w:szCs w:val="32"/>
        </w:rPr>
        <w:t>度决算数</w:t>
      </w:r>
      <w:r w:rsidR="002D16AE">
        <w:rPr>
          <w:rFonts w:ascii="仿宋_GB2312" w:eastAsia="仿宋_GB2312" w:hAnsi="ˎ̥" w:hint="eastAsia"/>
          <w:sz w:val="32"/>
          <w:szCs w:val="32"/>
        </w:rPr>
        <w:t>下降44.54%</w:t>
      </w:r>
      <w:r w:rsidR="002D16AE">
        <w:rPr>
          <w:rFonts w:ascii="仿宋_GB2312" w:eastAsia="仿宋_GB2312" w:hAnsi="ˎ̥"/>
          <w:sz w:val="32"/>
          <w:szCs w:val="32"/>
        </w:rPr>
        <w:t>，</w:t>
      </w:r>
      <w:r w:rsidR="002D16AE">
        <w:rPr>
          <w:rFonts w:ascii="仿宋_GB2312" w:eastAsia="仿宋_GB2312" w:hAnsi="ˎ̥" w:hint="eastAsia"/>
          <w:sz w:val="32"/>
          <w:szCs w:val="32"/>
        </w:rPr>
        <w:t>主</w:t>
      </w:r>
      <w:r w:rsidR="002D16AE">
        <w:rPr>
          <w:rFonts w:ascii="仿宋_GB2312" w:eastAsia="仿宋_GB2312" w:hAnsi="ˎ̥"/>
          <w:sz w:val="32"/>
          <w:szCs w:val="32"/>
        </w:rPr>
        <w:t>要原因是科研项目</w:t>
      </w:r>
      <w:r w:rsidR="002D16AE">
        <w:rPr>
          <w:rFonts w:ascii="仿宋_GB2312" w:eastAsia="仿宋_GB2312" w:hAnsi="ˎ̥" w:hint="eastAsia"/>
          <w:sz w:val="32"/>
          <w:szCs w:val="32"/>
        </w:rPr>
        <w:t>正常</w:t>
      </w:r>
      <w:r w:rsidR="002D16AE">
        <w:rPr>
          <w:rFonts w:ascii="仿宋_GB2312" w:eastAsia="仿宋_GB2312" w:hAnsi="ˎ̥"/>
          <w:sz w:val="32"/>
          <w:szCs w:val="32"/>
        </w:rPr>
        <w:t>进行，经费</w:t>
      </w:r>
      <w:r w:rsidR="002D16AE">
        <w:rPr>
          <w:rFonts w:ascii="仿宋_GB2312" w:eastAsia="仿宋_GB2312" w:hAnsi="ˎ̥" w:hint="eastAsia"/>
          <w:sz w:val="32"/>
          <w:szCs w:val="32"/>
        </w:rPr>
        <w:t>按</w:t>
      </w:r>
      <w:r w:rsidR="002D16AE">
        <w:rPr>
          <w:rFonts w:ascii="仿宋_GB2312" w:eastAsia="仿宋_GB2312" w:hAnsi="ˎ̥"/>
          <w:sz w:val="32"/>
          <w:szCs w:val="32"/>
        </w:rPr>
        <w:t>进度支出。</w:t>
      </w:r>
      <w:r w:rsidR="006A6EBE">
        <w:rPr>
          <w:rFonts w:ascii="仿宋_GB2312" w:eastAsia="仿宋_GB2312" w:hAnsi="ˎ̥" w:hint="eastAsia"/>
          <w:sz w:val="32"/>
          <w:szCs w:val="32"/>
        </w:rPr>
        <w:t>年末结转结余</w:t>
      </w:r>
      <w:r w:rsidR="006A6EBE">
        <w:rPr>
          <w:rFonts w:ascii="仿宋_GB2312" w:eastAsia="仿宋_GB2312" w:hAnsi="ˎ̥"/>
          <w:sz w:val="32"/>
          <w:szCs w:val="32"/>
        </w:rPr>
        <w:t>2.44</w:t>
      </w:r>
      <w:r w:rsidR="006A6EBE">
        <w:rPr>
          <w:rFonts w:ascii="仿宋_GB2312" w:eastAsia="仿宋_GB2312" w:hAnsi="ˎ̥" w:hint="eastAsia"/>
          <w:sz w:val="32"/>
          <w:szCs w:val="32"/>
        </w:rPr>
        <w:t>万元，</w:t>
      </w:r>
      <w:r w:rsidR="00000EE1">
        <w:rPr>
          <w:rFonts w:ascii="仿宋_GB2312" w:eastAsia="仿宋_GB2312" w:hAnsi="ˎ̥" w:hint="eastAsia"/>
          <w:sz w:val="32"/>
          <w:szCs w:val="32"/>
        </w:rPr>
        <w:t>主要是国家重点科研项目特种设备安全防护系统功能安全保障关键技术研究三个课题的经费</w:t>
      </w:r>
      <w:r w:rsidR="002D16AE">
        <w:rPr>
          <w:rFonts w:ascii="仿宋_GB2312" w:eastAsia="仿宋_GB2312" w:hAnsi="ˎ̥"/>
          <w:sz w:val="32"/>
          <w:szCs w:val="32"/>
        </w:rPr>
        <w:t>，</w:t>
      </w:r>
      <w:r w:rsidR="002D16AE">
        <w:rPr>
          <w:rFonts w:ascii="仿宋_GB2312" w:eastAsia="仿宋_GB2312" w:hAnsi="ˎ̥" w:hint="eastAsia"/>
          <w:sz w:val="32"/>
          <w:szCs w:val="32"/>
        </w:rPr>
        <w:t>较2021年</w:t>
      </w:r>
      <w:r w:rsidR="002D16AE">
        <w:rPr>
          <w:rFonts w:ascii="仿宋_GB2312" w:eastAsia="仿宋_GB2312" w:hAnsi="ˎ̥"/>
          <w:sz w:val="32"/>
          <w:szCs w:val="32"/>
        </w:rPr>
        <w:t>度决算数</w:t>
      </w:r>
      <w:r w:rsidR="002D16AE">
        <w:rPr>
          <w:rFonts w:ascii="仿宋_GB2312" w:eastAsia="仿宋_GB2312" w:hAnsi="ˎ̥" w:hint="eastAsia"/>
          <w:sz w:val="32"/>
          <w:szCs w:val="32"/>
        </w:rPr>
        <w:t>下降</w:t>
      </w:r>
      <w:r w:rsidR="002D16AE">
        <w:rPr>
          <w:rFonts w:ascii="仿宋_GB2312" w:eastAsia="仿宋_GB2312" w:hAnsi="ˎ̥"/>
          <w:sz w:val="32"/>
          <w:szCs w:val="32"/>
        </w:rPr>
        <w:t>82.53</w:t>
      </w:r>
      <w:r w:rsidR="002D16AE">
        <w:rPr>
          <w:rFonts w:ascii="仿宋_GB2312" w:eastAsia="仿宋_GB2312" w:hAnsi="ˎ̥" w:hint="eastAsia"/>
          <w:sz w:val="32"/>
          <w:szCs w:val="32"/>
        </w:rPr>
        <w:t>%，</w:t>
      </w:r>
      <w:r w:rsidR="006A6EBE">
        <w:rPr>
          <w:rFonts w:ascii="仿宋_GB2312" w:eastAsia="仿宋_GB2312" w:hAnsi="ˎ̥" w:hint="eastAsia"/>
          <w:sz w:val="32"/>
          <w:szCs w:val="32"/>
        </w:rPr>
        <w:t>主</w:t>
      </w:r>
      <w:r w:rsidR="006A6EBE">
        <w:rPr>
          <w:rFonts w:ascii="仿宋_GB2312" w:eastAsia="仿宋_GB2312" w:hAnsi="ˎ̥"/>
          <w:sz w:val="32"/>
          <w:szCs w:val="32"/>
        </w:rPr>
        <w:t>要原因主要是</w:t>
      </w:r>
      <w:r>
        <w:rPr>
          <w:rFonts w:ascii="仿宋_GB2312" w:eastAsia="仿宋_GB2312" w:hAnsi="ˎ̥" w:hint="eastAsia"/>
          <w:sz w:val="32"/>
          <w:szCs w:val="32"/>
        </w:rPr>
        <w:t>科研项目</w:t>
      </w:r>
      <w:r w:rsidR="002D16AE">
        <w:rPr>
          <w:rFonts w:ascii="仿宋_GB2312" w:eastAsia="仿宋_GB2312" w:hAnsi="ˎ̥" w:hint="eastAsia"/>
          <w:sz w:val="32"/>
          <w:szCs w:val="32"/>
        </w:rPr>
        <w:t>正常</w:t>
      </w:r>
      <w:r w:rsidR="002D16AE">
        <w:rPr>
          <w:rFonts w:ascii="仿宋_GB2312" w:eastAsia="仿宋_GB2312" w:hAnsi="ˎ̥"/>
          <w:sz w:val="32"/>
          <w:szCs w:val="32"/>
        </w:rPr>
        <w:t>开展</w:t>
      </w:r>
      <w:r w:rsidR="006A6EBE">
        <w:rPr>
          <w:rFonts w:ascii="仿宋_GB2312" w:eastAsia="仿宋_GB2312" w:hAnsi="ˎ̥" w:hint="eastAsia"/>
          <w:sz w:val="32"/>
          <w:szCs w:val="32"/>
        </w:rPr>
        <w:t>，</w:t>
      </w:r>
      <w:r w:rsidR="002D16AE">
        <w:rPr>
          <w:rFonts w:ascii="仿宋_GB2312" w:eastAsia="仿宋_GB2312" w:hAnsi="ˎ̥" w:hint="eastAsia"/>
          <w:sz w:val="32"/>
          <w:szCs w:val="32"/>
        </w:rPr>
        <w:t>经</w:t>
      </w:r>
      <w:r w:rsidR="002D16AE">
        <w:rPr>
          <w:rFonts w:ascii="仿宋_GB2312" w:eastAsia="仿宋_GB2312" w:hAnsi="ˎ̥"/>
          <w:sz w:val="32"/>
          <w:szCs w:val="32"/>
        </w:rPr>
        <w:t>费正常支出</w:t>
      </w:r>
      <w:r>
        <w:rPr>
          <w:rFonts w:ascii="仿宋_GB2312" w:eastAsia="仿宋_GB2312" w:hAnsi="ˎ̥" w:hint="eastAsia"/>
          <w:sz w:val="32"/>
          <w:szCs w:val="32"/>
        </w:rPr>
        <w:t>。</w:t>
      </w:r>
    </w:p>
    <w:p w:rsidR="004175FD" w:rsidRDefault="00686BD4" w:rsidP="000D1991">
      <w:pPr>
        <w:widowControl w:val="0"/>
        <w:autoSpaceDE w:val="0"/>
        <w:spacing w:line="560" w:lineRule="exact"/>
        <w:ind w:firstLineChars="200" w:firstLine="640"/>
        <w:jc w:val="both"/>
        <w:rPr>
          <w:rFonts w:ascii="仿宋_GB2312" w:eastAsia="仿宋_GB2312" w:hAnsi="ˎ̥" w:hint="eastAsia"/>
          <w:sz w:val="32"/>
          <w:szCs w:val="32"/>
        </w:rPr>
      </w:pPr>
      <w:r>
        <w:rPr>
          <w:rFonts w:ascii="黑体" w:eastAsia="黑体" w:hAnsi="黑体" w:hint="eastAsia"/>
          <w:sz w:val="32"/>
          <w:szCs w:val="32"/>
        </w:rPr>
        <w:t>二、收入决算情况说明</w:t>
      </w:r>
      <w:r>
        <w:rPr>
          <w:rFonts w:ascii="黑体" w:eastAsia="黑体" w:hint="eastAsia"/>
          <w:sz w:val="32"/>
          <w:szCs w:val="32"/>
        </w:rPr>
        <w:br/>
      </w:r>
      <w:r>
        <w:rPr>
          <w:rFonts w:ascii="仿宋_GB2312" w:eastAsia="仿宋_GB2312" w:hAnsi="ˎ̥" w:hint="eastAsia"/>
          <w:sz w:val="32"/>
          <w:szCs w:val="32"/>
        </w:rPr>
        <w:t xml:space="preserve">    </w:t>
      </w:r>
      <w:r>
        <w:rPr>
          <w:rFonts w:ascii="仿宋_GB2312" w:eastAsia="仿宋_GB2312" w:hAnsi="ˎ̥" w:hint="eastAsia"/>
          <w:spacing w:val="-10"/>
          <w:sz w:val="32"/>
          <w:szCs w:val="32"/>
        </w:rPr>
        <w:t>本年收入合计2,821.44万元，其中：财政拨款收入2,821.44</w:t>
      </w:r>
      <w:r>
        <w:rPr>
          <w:rFonts w:ascii="仿宋_GB2312" w:eastAsia="仿宋_GB2312" w:hAnsi="ˎ̥" w:hint="eastAsia"/>
          <w:spacing w:val="-20"/>
          <w:sz w:val="32"/>
          <w:szCs w:val="32"/>
        </w:rPr>
        <w:t>万</w:t>
      </w:r>
      <w:r>
        <w:rPr>
          <w:rFonts w:ascii="仿宋_GB2312" w:eastAsia="仿宋_GB2312" w:hAnsi="ˎ̥" w:hint="eastAsia"/>
          <w:sz w:val="32"/>
          <w:szCs w:val="32"/>
        </w:rPr>
        <w:t>元，占100%；上级补助收入0万元，占0%；</w:t>
      </w:r>
      <w:r>
        <w:rPr>
          <w:rFonts w:ascii="仿宋_GB2312" w:eastAsia="仿宋_GB2312" w:hAnsi="ˎ̥" w:hint="eastAsia"/>
          <w:spacing w:val="-10"/>
          <w:sz w:val="32"/>
          <w:szCs w:val="32"/>
        </w:rPr>
        <w:t>事业收入0万元，占0%；经营收入0万元，占0%；其他收入0万元，占</w:t>
      </w:r>
      <w:r>
        <w:rPr>
          <w:rFonts w:ascii="仿宋_GB2312" w:eastAsia="仿宋_GB2312" w:hAnsi="ˎ̥" w:hint="eastAsia"/>
          <w:sz w:val="32"/>
          <w:szCs w:val="32"/>
        </w:rPr>
        <w:t>0%。</w:t>
      </w:r>
    </w:p>
    <w:p w:rsidR="004175FD" w:rsidRDefault="00686BD4">
      <w:pPr>
        <w:widowControl w:val="0"/>
        <w:autoSpaceDE w:val="0"/>
        <w:spacing w:line="576" w:lineRule="exact"/>
        <w:ind w:firstLineChars="196" w:firstLine="627"/>
        <w:rPr>
          <w:rFonts w:ascii="黑体" w:eastAsia="黑体"/>
          <w:sz w:val="32"/>
          <w:szCs w:val="32"/>
        </w:rPr>
      </w:pPr>
      <w:r>
        <w:rPr>
          <w:rFonts w:ascii="黑体" w:eastAsia="黑体" w:hAnsi="黑体" w:hint="eastAsia"/>
          <w:sz w:val="32"/>
          <w:szCs w:val="32"/>
        </w:rPr>
        <w:t>三、支出决算情况说明</w:t>
      </w:r>
    </w:p>
    <w:p w:rsidR="004175FD" w:rsidRDefault="00686BD4" w:rsidP="000D1991">
      <w:pPr>
        <w:widowControl w:val="0"/>
        <w:autoSpaceDE w:val="0"/>
        <w:spacing w:line="56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本年支出合计2,832.97万元，其中：基本支出1,912.66万元，占67.51%；项目支出920.32万元，占32.49%；上缴上级支出0万元，占0%；经营支出0万元，占0%；对附属单位补助支出0万元，占0%。</w:t>
      </w:r>
    </w:p>
    <w:p w:rsidR="004175FD" w:rsidRDefault="00686BD4">
      <w:pPr>
        <w:widowControl w:val="0"/>
        <w:autoSpaceDE w:val="0"/>
        <w:spacing w:line="576" w:lineRule="exact"/>
        <w:ind w:firstLineChars="196" w:firstLine="627"/>
        <w:rPr>
          <w:rFonts w:ascii="黑体" w:eastAsia="黑体"/>
          <w:sz w:val="32"/>
          <w:szCs w:val="32"/>
        </w:rPr>
      </w:pPr>
      <w:r>
        <w:rPr>
          <w:rFonts w:ascii="黑体" w:eastAsia="黑体" w:hAnsi="黑体" w:hint="eastAsia"/>
          <w:sz w:val="32"/>
          <w:szCs w:val="32"/>
        </w:rPr>
        <w:t>四、财政拨款收入支出决算总体情况说明</w:t>
      </w:r>
    </w:p>
    <w:p w:rsidR="004175FD" w:rsidRDefault="00686BD4" w:rsidP="000D1991">
      <w:pPr>
        <w:widowControl w:val="0"/>
        <w:autoSpaceDE w:val="0"/>
        <w:spacing w:line="56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2022</w:t>
      </w:r>
      <w:r w:rsidR="00CE36FD">
        <w:rPr>
          <w:rFonts w:ascii="仿宋_GB2312" w:eastAsia="仿宋_GB2312" w:hAnsi="ˎ̥" w:hint="eastAsia"/>
          <w:sz w:val="32"/>
          <w:szCs w:val="32"/>
        </w:rPr>
        <w:t>年度财政拨款收入</w:t>
      </w:r>
      <w:r>
        <w:rPr>
          <w:rFonts w:ascii="仿宋_GB2312" w:eastAsia="仿宋_GB2312" w:hAnsi="ˎ̥" w:hint="eastAsia"/>
          <w:sz w:val="32"/>
          <w:szCs w:val="32"/>
        </w:rPr>
        <w:t>2,821.44</w:t>
      </w:r>
      <w:r w:rsidR="00CE36FD">
        <w:rPr>
          <w:rFonts w:ascii="仿宋_GB2312" w:eastAsia="仿宋_GB2312" w:hAnsi="ˎ̥" w:hint="eastAsia"/>
          <w:sz w:val="32"/>
          <w:szCs w:val="32"/>
        </w:rPr>
        <w:t>万元，财政拨款支出2,821.44万元。</w:t>
      </w:r>
      <w:r>
        <w:rPr>
          <w:rFonts w:ascii="仿宋_GB2312" w:eastAsia="仿宋_GB2312" w:hAnsi="ˎ̥" w:hint="eastAsia"/>
          <w:sz w:val="32"/>
          <w:szCs w:val="32"/>
        </w:rPr>
        <w:t>与2021年度相比，财政拨款收入、支出总计各增加52.22万元，增长1.89%。主要原因：2022年一般公共预算财政拨款增加44.26万元。</w:t>
      </w:r>
    </w:p>
    <w:p w:rsidR="00550C8E" w:rsidRPr="00550C8E" w:rsidRDefault="00550C8E" w:rsidP="000D1991">
      <w:pPr>
        <w:pStyle w:val="a0"/>
        <w:spacing w:line="560" w:lineRule="exact"/>
        <w:ind w:firstLineChars="200" w:firstLine="640"/>
        <w:rPr>
          <w:rFonts w:ascii="仿宋_GB2312" w:eastAsia="仿宋_GB2312" w:hAnsi="ˎ̥" w:hint="eastAsia"/>
          <w:sz w:val="32"/>
          <w:szCs w:val="32"/>
        </w:rPr>
      </w:pPr>
      <w:r w:rsidRPr="00550C8E">
        <w:rPr>
          <w:rFonts w:ascii="仿宋_GB2312" w:eastAsia="仿宋_GB2312" w:hAnsi="ˎ̥" w:hint="eastAsia"/>
          <w:sz w:val="32"/>
          <w:szCs w:val="32"/>
        </w:rPr>
        <w:t>财政拨</w:t>
      </w:r>
      <w:r w:rsidRPr="00550C8E">
        <w:rPr>
          <w:rFonts w:ascii="仿宋_GB2312" w:eastAsia="仿宋_GB2312" w:hAnsi="ˎ̥"/>
          <w:sz w:val="32"/>
          <w:szCs w:val="32"/>
        </w:rPr>
        <w:t>款</w:t>
      </w:r>
      <w:r w:rsidRPr="00550C8E">
        <w:rPr>
          <w:rFonts w:ascii="仿宋_GB2312" w:eastAsia="仿宋_GB2312" w:hAnsi="ˎ̥" w:hint="eastAsia"/>
          <w:sz w:val="32"/>
          <w:szCs w:val="32"/>
        </w:rPr>
        <w:t>年</w:t>
      </w:r>
      <w:r w:rsidRPr="00550C8E">
        <w:rPr>
          <w:rFonts w:ascii="仿宋_GB2312" w:eastAsia="仿宋_GB2312" w:hAnsi="ˎ̥"/>
          <w:sz w:val="32"/>
          <w:szCs w:val="32"/>
        </w:rPr>
        <w:t>初结</w:t>
      </w:r>
      <w:r w:rsidRPr="00550C8E">
        <w:rPr>
          <w:rFonts w:ascii="仿宋_GB2312" w:eastAsia="仿宋_GB2312" w:hAnsi="ˎ̥" w:hint="eastAsia"/>
          <w:sz w:val="32"/>
          <w:szCs w:val="32"/>
        </w:rPr>
        <w:t>转</w:t>
      </w:r>
      <w:r w:rsidRPr="00550C8E">
        <w:rPr>
          <w:rFonts w:ascii="仿宋_GB2312" w:eastAsia="仿宋_GB2312" w:hAnsi="ˎ̥"/>
          <w:sz w:val="32"/>
          <w:szCs w:val="32"/>
        </w:rPr>
        <w:t>结余</w:t>
      </w:r>
      <w:r w:rsidRPr="00550C8E">
        <w:rPr>
          <w:rFonts w:ascii="仿宋_GB2312" w:eastAsia="仿宋_GB2312" w:hAnsi="ˎ̥" w:hint="eastAsia"/>
          <w:sz w:val="32"/>
          <w:szCs w:val="32"/>
        </w:rPr>
        <w:t>0万</w:t>
      </w:r>
      <w:r w:rsidRPr="00550C8E">
        <w:rPr>
          <w:rFonts w:ascii="仿宋_GB2312" w:eastAsia="仿宋_GB2312" w:hAnsi="ˎ̥"/>
          <w:sz w:val="32"/>
          <w:szCs w:val="32"/>
        </w:rPr>
        <w:t>元。</w:t>
      </w:r>
    </w:p>
    <w:p w:rsidR="00550C8E" w:rsidRPr="00550C8E" w:rsidRDefault="00550C8E" w:rsidP="000D1991">
      <w:pPr>
        <w:spacing w:line="560" w:lineRule="exact"/>
        <w:ind w:firstLineChars="200" w:firstLine="640"/>
        <w:rPr>
          <w:rFonts w:ascii="仿宋_GB2312" w:eastAsia="仿宋_GB2312" w:hAnsi="ˎ̥" w:hint="eastAsia"/>
          <w:sz w:val="32"/>
          <w:szCs w:val="32"/>
        </w:rPr>
      </w:pPr>
      <w:r w:rsidRPr="00550C8E">
        <w:rPr>
          <w:rFonts w:ascii="仿宋_GB2312" w:eastAsia="仿宋_GB2312" w:hAnsi="ˎ̥" w:hint="eastAsia"/>
          <w:sz w:val="32"/>
          <w:szCs w:val="32"/>
        </w:rPr>
        <w:t>财政拨</w:t>
      </w:r>
      <w:r w:rsidRPr="00550C8E">
        <w:rPr>
          <w:rFonts w:ascii="仿宋_GB2312" w:eastAsia="仿宋_GB2312" w:hAnsi="ˎ̥"/>
          <w:sz w:val="32"/>
          <w:szCs w:val="32"/>
        </w:rPr>
        <w:t>款</w:t>
      </w:r>
      <w:r w:rsidRPr="00550C8E">
        <w:rPr>
          <w:rFonts w:ascii="仿宋_GB2312" w:eastAsia="仿宋_GB2312" w:hAnsi="ˎ̥" w:hint="eastAsia"/>
          <w:sz w:val="32"/>
          <w:szCs w:val="32"/>
        </w:rPr>
        <w:t>年末</w:t>
      </w:r>
      <w:r w:rsidRPr="00550C8E">
        <w:rPr>
          <w:rFonts w:ascii="仿宋_GB2312" w:eastAsia="仿宋_GB2312" w:hAnsi="ˎ̥"/>
          <w:sz w:val="32"/>
          <w:szCs w:val="32"/>
        </w:rPr>
        <w:t>结</w:t>
      </w:r>
      <w:r w:rsidRPr="00550C8E">
        <w:rPr>
          <w:rFonts w:ascii="仿宋_GB2312" w:eastAsia="仿宋_GB2312" w:hAnsi="ˎ̥" w:hint="eastAsia"/>
          <w:sz w:val="32"/>
          <w:szCs w:val="32"/>
        </w:rPr>
        <w:t>转</w:t>
      </w:r>
      <w:r w:rsidRPr="00550C8E">
        <w:rPr>
          <w:rFonts w:ascii="仿宋_GB2312" w:eastAsia="仿宋_GB2312" w:hAnsi="ˎ̥"/>
          <w:sz w:val="32"/>
          <w:szCs w:val="32"/>
        </w:rPr>
        <w:t>结余</w:t>
      </w:r>
      <w:r w:rsidRPr="00550C8E">
        <w:rPr>
          <w:rFonts w:ascii="仿宋_GB2312" w:eastAsia="仿宋_GB2312" w:hAnsi="ˎ̥" w:hint="eastAsia"/>
          <w:sz w:val="32"/>
          <w:szCs w:val="32"/>
        </w:rPr>
        <w:t>0万</w:t>
      </w:r>
      <w:r w:rsidRPr="00550C8E">
        <w:rPr>
          <w:rFonts w:ascii="仿宋_GB2312" w:eastAsia="仿宋_GB2312" w:hAnsi="ˎ̥"/>
          <w:sz w:val="32"/>
          <w:szCs w:val="32"/>
        </w:rPr>
        <w:t>元。</w:t>
      </w:r>
    </w:p>
    <w:p w:rsidR="004175FD" w:rsidRDefault="00686BD4">
      <w:pPr>
        <w:widowControl w:val="0"/>
        <w:autoSpaceDE w:val="0"/>
        <w:spacing w:line="576" w:lineRule="exact"/>
        <w:ind w:firstLineChars="196" w:firstLine="627"/>
        <w:rPr>
          <w:rFonts w:ascii="黑体" w:eastAsia="黑体"/>
          <w:sz w:val="32"/>
          <w:szCs w:val="32"/>
        </w:rPr>
      </w:pPr>
      <w:r>
        <w:rPr>
          <w:rFonts w:ascii="黑体" w:eastAsia="黑体" w:hAnsi="黑体" w:hint="eastAsia"/>
          <w:sz w:val="32"/>
          <w:szCs w:val="32"/>
        </w:rPr>
        <w:lastRenderedPageBreak/>
        <w:t>五、一般公共预算财政拨款支出决算情况说明</w:t>
      </w:r>
    </w:p>
    <w:p w:rsidR="004175FD" w:rsidRDefault="00686BD4">
      <w:pPr>
        <w:widowControl w:val="0"/>
        <w:autoSpaceDE w:val="0"/>
        <w:spacing w:line="576" w:lineRule="exact"/>
        <w:ind w:firstLineChars="200" w:firstLine="640"/>
        <w:rPr>
          <w:rFonts w:ascii="楷体" w:eastAsia="楷体" w:hAnsi="楷体"/>
          <w:sz w:val="32"/>
          <w:szCs w:val="32"/>
        </w:rPr>
      </w:pPr>
      <w:r>
        <w:rPr>
          <w:rFonts w:ascii="楷体" w:eastAsia="楷体" w:hAnsi="楷体" w:hint="eastAsia"/>
          <w:sz w:val="32"/>
          <w:szCs w:val="32"/>
        </w:rPr>
        <w:t>（一）一般公共预算财政拨款支出决算总体情况。</w:t>
      </w:r>
    </w:p>
    <w:p w:rsidR="004175FD" w:rsidRDefault="00686BD4">
      <w:pPr>
        <w:widowControl w:val="0"/>
        <w:autoSpaceDE w:val="0"/>
        <w:spacing w:line="576"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2022年度一般公共预算财政拨款支出2,821.44万元，占本年支出合计的100%。与2021年度相比，一般公共预算财政拨款支出增加52.22万元，增长1.89%，主要原因是2022年人员经费、</w:t>
      </w:r>
      <w:r>
        <w:rPr>
          <w:rFonts w:ascii="仿宋_GB2312" w:eastAsia="仿宋_GB2312" w:hAnsi="ˎ̥" w:cs="仿宋_GB2312" w:hint="eastAsia"/>
          <w:sz w:val="32"/>
          <w:szCs w:val="32"/>
          <w:lang w:bidi="ar"/>
        </w:rPr>
        <w:t>社会保障和就业支出</w:t>
      </w:r>
      <w:r>
        <w:rPr>
          <w:rFonts w:ascii="仿宋_GB2312" w:eastAsia="仿宋_GB2312" w:hAnsi="ˎ̥" w:hint="eastAsia"/>
          <w:sz w:val="32"/>
          <w:szCs w:val="32"/>
        </w:rPr>
        <w:t>增加。</w:t>
      </w:r>
    </w:p>
    <w:p w:rsidR="004175FD" w:rsidRDefault="00686BD4">
      <w:pPr>
        <w:widowControl w:val="0"/>
        <w:autoSpaceDE w:val="0"/>
        <w:spacing w:line="576" w:lineRule="exact"/>
        <w:ind w:firstLineChars="200" w:firstLine="640"/>
        <w:jc w:val="both"/>
        <w:rPr>
          <w:rFonts w:ascii="楷体" w:eastAsia="楷体" w:hAnsi="楷体"/>
          <w:sz w:val="32"/>
          <w:szCs w:val="32"/>
        </w:rPr>
      </w:pPr>
      <w:r>
        <w:rPr>
          <w:rFonts w:ascii="楷体" w:eastAsia="楷体" w:hAnsi="楷体" w:hint="eastAsia"/>
          <w:sz w:val="32"/>
          <w:szCs w:val="32"/>
        </w:rPr>
        <w:t>（二）一般公共预算财政拨款支出决算结构情况。</w:t>
      </w:r>
    </w:p>
    <w:p w:rsidR="004175FD" w:rsidRDefault="00686BD4">
      <w:pPr>
        <w:widowControl w:val="0"/>
        <w:autoSpaceDE w:val="0"/>
        <w:spacing w:line="576"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2022年度一般公共预算财政拨款支出2,821.44万元，主要用于以下方面：</w:t>
      </w:r>
      <w:r>
        <w:rPr>
          <w:rFonts w:ascii="仿宋_GB2312" w:eastAsia="仿宋_GB2312" w:hAnsi="ˎ̥" w:hint="eastAsia"/>
          <w:b/>
          <w:bCs/>
          <w:sz w:val="32"/>
          <w:szCs w:val="32"/>
        </w:rPr>
        <w:t>一般公共服务（类）</w:t>
      </w:r>
      <w:r>
        <w:rPr>
          <w:rFonts w:ascii="仿宋_GB2312" w:eastAsia="仿宋_GB2312" w:hAnsi="ˎ̥" w:hint="eastAsia"/>
          <w:sz w:val="32"/>
          <w:szCs w:val="32"/>
        </w:rPr>
        <w:t>支出2,582.91万元，占91.55%；</w:t>
      </w:r>
      <w:r>
        <w:rPr>
          <w:rFonts w:ascii="仿宋_GB2312" w:eastAsia="仿宋_GB2312" w:hAnsi="ˎ̥" w:hint="eastAsia"/>
          <w:b/>
          <w:bCs/>
          <w:sz w:val="32"/>
          <w:szCs w:val="32"/>
        </w:rPr>
        <w:t>社会保障和就业（类）</w:t>
      </w:r>
      <w:r>
        <w:rPr>
          <w:rFonts w:ascii="仿宋_GB2312" w:eastAsia="仿宋_GB2312" w:hAnsi="ˎ̥" w:hint="eastAsia"/>
          <w:sz w:val="32"/>
          <w:szCs w:val="32"/>
        </w:rPr>
        <w:t>支出101.99万元，占3.61%；</w:t>
      </w:r>
      <w:r>
        <w:rPr>
          <w:rFonts w:ascii="仿宋_GB2312" w:eastAsia="仿宋_GB2312" w:hAnsi="ˎ̥" w:hint="eastAsia"/>
          <w:b/>
          <w:bCs/>
          <w:sz w:val="32"/>
          <w:szCs w:val="32"/>
        </w:rPr>
        <w:t>卫生健康</w:t>
      </w:r>
      <w:r>
        <w:rPr>
          <w:rFonts w:ascii="仿宋_GB2312" w:eastAsia="仿宋_GB2312" w:hAnsi="ˎ̥" w:hint="eastAsia"/>
          <w:sz w:val="32"/>
          <w:szCs w:val="32"/>
        </w:rPr>
        <w:t>支出84.65万元，占3%，</w:t>
      </w:r>
      <w:r>
        <w:rPr>
          <w:rFonts w:ascii="仿宋_GB2312" w:eastAsia="仿宋_GB2312" w:hAnsi="ˎ̥" w:hint="eastAsia"/>
          <w:b/>
          <w:bCs/>
          <w:sz w:val="32"/>
          <w:szCs w:val="32"/>
        </w:rPr>
        <w:t>住房保障（类）</w:t>
      </w:r>
      <w:r>
        <w:rPr>
          <w:rFonts w:ascii="仿宋_GB2312" w:eastAsia="仿宋_GB2312" w:hAnsi="ˎ̥" w:hint="eastAsia"/>
          <w:sz w:val="32"/>
          <w:szCs w:val="32"/>
        </w:rPr>
        <w:t>支出51.9万元，占1.84%。</w:t>
      </w:r>
    </w:p>
    <w:p w:rsidR="004175FD" w:rsidRDefault="00686BD4">
      <w:pPr>
        <w:widowControl w:val="0"/>
        <w:autoSpaceDE w:val="0"/>
        <w:spacing w:line="576" w:lineRule="exact"/>
        <w:ind w:firstLineChars="200" w:firstLine="640"/>
        <w:rPr>
          <w:rFonts w:ascii="楷体" w:eastAsia="楷体" w:hAnsi="楷体"/>
          <w:sz w:val="32"/>
          <w:szCs w:val="32"/>
        </w:rPr>
      </w:pPr>
      <w:r>
        <w:rPr>
          <w:rFonts w:ascii="楷体" w:eastAsia="楷体" w:hAnsi="楷体" w:hint="eastAsia"/>
          <w:sz w:val="32"/>
          <w:szCs w:val="32"/>
        </w:rPr>
        <w:t>（三）一般公共预算财政拨款支出决算具体情况。</w:t>
      </w:r>
    </w:p>
    <w:p w:rsidR="004175FD" w:rsidRDefault="00686BD4">
      <w:pPr>
        <w:widowControl w:val="0"/>
        <w:autoSpaceDE w:val="0"/>
        <w:spacing w:line="576"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2022年度一般公共预算财政拨款支出年初预算为2,826.64万元，支出决算为2,821.44万元，完成年初预算的99.82%。其中：</w:t>
      </w:r>
    </w:p>
    <w:p w:rsidR="004175FD" w:rsidRDefault="00686BD4">
      <w:pPr>
        <w:widowControl w:val="0"/>
        <w:numPr>
          <w:ilvl w:val="0"/>
          <w:numId w:val="3"/>
        </w:numPr>
        <w:autoSpaceDE w:val="0"/>
        <w:spacing w:line="576" w:lineRule="exact"/>
        <w:ind w:firstLineChars="200" w:firstLine="643"/>
        <w:jc w:val="both"/>
        <w:rPr>
          <w:rFonts w:ascii="仿宋_GB2312" w:eastAsia="仿宋_GB2312" w:hAnsi="ˎ̥" w:hint="eastAsia"/>
          <w:sz w:val="32"/>
          <w:szCs w:val="32"/>
        </w:rPr>
      </w:pPr>
      <w:r>
        <w:rPr>
          <w:rFonts w:ascii="仿宋_GB2312" w:eastAsia="仿宋_GB2312" w:hAnsi="ˎ̥" w:hint="eastAsia"/>
          <w:b/>
          <w:bCs/>
          <w:sz w:val="32"/>
          <w:szCs w:val="32"/>
        </w:rPr>
        <w:t>一般公共服务（类）市场监督管理事务（款）事业运行(项)</w:t>
      </w:r>
      <w:r>
        <w:rPr>
          <w:rFonts w:ascii="仿宋_GB2312" w:eastAsia="仿宋_GB2312" w:hAnsi="ˎ̥" w:hint="eastAsia"/>
          <w:sz w:val="32"/>
          <w:szCs w:val="32"/>
        </w:rPr>
        <w:t>年初预算为2,643.82万元，支出决算为2,532.46万元，完成年初预算的95.79%。决算数与预算数基本持平。</w:t>
      </w:r>
    </w:p>
    <w:p w:rsidR="004175FD" w:rsidRDefault="00686BD4">
      <w:pPr>
        <w:widowControl w:val="0"/>
        <w:autoSpaceDE w:val="0"/>
        <w:spacing w:line="576" w:lineRule="exact"/>
        <w:ind w:firstLineChars="200" w:firstLine="643"/>
        <w:jc w:val="both"/>
        <w:rPr>
          <w:rFonts w:ascii="仿宋_GB2312" w:eastAsia="仿宋_GB2312" w:hAnsi="ˎ̥" w:hint="eastAsia"/>
          <w:sz w:val="32"/>
          <w:szCs w:val="32"/>
        </w:rPr>
      </w:pPr>
      <w:r>
        <w:rPr>
          <w:rFonts w:ascii="仿宋_GB2312" w:eastAsia="仿宋_GB2312" w:hAnsi="ˎ̥" w:hint="eastAsia"/>
          <w:b/>
          <w:bCs/>
          <w:sz w:val="32"/>
          <w:szCs w:val="32"/>
        </w:rPr>
        <w:t>2.一般公共服务（类）市场监督管理事务（款）其他市场监督管理事务(项)</w:t>
      </w:r>
      <w:r>
        <w:rPr>
          <w:rFonts w:ascii="仿宋_GB2312" w:eastAsia="仿宋_GB2312" w:hAnsi="ˎ̥" w:hint="eastAsia"/>
          <w:sz w:val="32"/>
          <w:szCs w:val="32"/>
        </w:rPr>
        <w:t>年初预算为66.12万元，支出决算为50.45万元，完成年初预算的76.3%。决算数小于预算数的主要原</w:t>
      </w:r>
      <w:r>
        <w:rPr>
          <w:rFonts w:ascii="仿宋_GB2312" w:eastAsia="仿宋_GB2312" w:hAnsi="ˎ̥" w:hint="eastAsia"/>
          <w:sz w:val="32"/>
          <w:szCs w:val="32"/>
        </w:rPr>
        <w:lastRenderedPageBreak/>
        <w:t>因：受疫情影响，科研项目推进较慢。</w:t>
      </w:r>
    </w:p>
    <w:p w:rsidR="004175FD" w:rsidRDefault="00686BD4">
      <w:pPr>
        <w:widowControl w:val="0"/>
        <w:spacing w:line="560" w:lineRule="exact"/>
        <w:ind w:firstLineChars="200" w:firstLine="643"/>
        <w:rPr>
          <w:rFonts w:ascii="仿宋_GB2312" w:eastAsia="仿宋_GB2312" w:hAnsi="ˎ̥" w:hint="eastAsia"/>
          <w:b/>
          <w:bCs/>
          <w:sz w:val="32"/>
          <w:szCs w:val="32"/>
        </w:rPr>
      </w:pPr>
      <w:r>
        <w:rPr>
          <w:rFonts w:ascii="仿宋_GB2312" w:eastAsia="仿宋_GB2312" w:hAnsi="ˎ̥" w:hint="eastAsia"/>
          <w:b/>
          <w:bCs/>
          <w:sz w:val="32"/>
          <w:szCs w:val="32"/>
        </w:rPr>
        <w:t xml:space="preserve">3. </w:t>
      </w:r>
      <w:r>
        <w:rPr>
          <w:rFonts w:ascii="仿宋_GB2312" w:eastAsia="仿宋_GB2312" w:hAnsi="ˎ̥" w:hint="eastAsia"/>
          <w:b/>
          <w:bCs/>
          <w:color w:val="000000" w:themeColor="text1"/>
          <w:spacing w:val="-20"/>
          <w:sz w:val="32"/>
          <w:szCs w:val="32"/>
        </w:rPr>
        <w:t>社会保障和就业支出（类）行政事业单位养老支出（款）</w:t>
      </w:r>
      <w:r>
        <w:rPr>
          <w:rFonts w:ascii="仿宋_GB2312" w:eastAsia="仿宋_GB2312" w:hAnsi="ˎ̥" w:hint="eastAsia"/>
          <w:b/>
          <w:bCs/>
          <w:color w:val="000000" w:themeColor="text1"/>
          <w:sz w:val="32"/>
          <w:szCs w:val="32"/>
        </w:rPr>
        <w:t>机关事业单位基本养老保险缴费支出（项）</w:t>
      </w:r>
      <w:r>
        <w:rPr>
          <w:rFonts w:ascii="仿宋_GB2312" w:eastAsia="仿宋_GB2312" w:hAnsi="ˎ̥" w:hint="eastAsia"/>
          <w:color w:val="000000" w:themeColor="text1"/>
          <w:sz w:val="32"/>
          <w:szCs w:val="32"/>
        </w:rPr>
        <w:t>年初预算为53.17万元，支出决算为60.94万元，完成年初预算的114.61%。决算数比预算数增加,主要原因：</w:t>
      </w:r>
      <w:r>
        <w:rPr>
          <w:rFonts w:ascii="仿宋_GB2312" w:eastAsia="仿宋_GB2312" w:hAnsi="ˎ̥" w:cs="仿宋_GB2312" w:hint="eastAsia"/>
          <w:sz w:val="32"/>
          <w:szCs w:val="32"/>
        </w:rPr>
        <w:t>省财政厅追加机关事业单位基本养老保险缴费支出预算。</w:t>
      </w:r>
    </w:p>
    <w:p w:rsidR="004175FD" w:rsidRDefault="00686BD4">
      <w:pPr>
        <w:widowControl w:val="0"/>
        <w:spacing w:line="560" w:lineRule="exact"/>
        <w:ind w:firstLineChars="200" w:firstLine="643"/>
        <w:jc w:val="both"/>
        <w:rPr>
          <w:rFonts w:ascii="仿宋_GB2312" w:eastAsia="仿宋_GB2312" w:hAnsi="ˎ̥" w:hint="eastAsia"/>
          <w:sz w:val="32"/>
          <w:szCs w:val="32"/>
        </w:rPr>
      </w:pPr>
      <w:r>
        <w:rPr>
          <w:rFonts w:ascii="仿宋_GB2312" w:eastAsia="仿宋_GB2312" w:hAnsi="ˎ̥" w:hint="eastAsia"/>
          <w:b/>
          <w:bCs/>
          <w:sz w:val="32"/>
          <w:szCs w:val="32"/>
        </w:rPr>
        <w:t>4.社会保障和就业支出（类）行政</w:t>
      </w:r>
      <w:r>
        <w:rPr>
          <w:rFonts w:ascii="仿宋_GB2312" w:eastAsia="仿宋_GB2312" w:hAnsi="ˎ̥" w:hint="eastAsia"/>
          <w:sz w:val="32"/>
          <w:szCs w:val="32"/>
        </w:rPr>
        <w:t>事业单位养老支出</w:t>
      </w:r>
      <w:r>
        <w:rPr>
          <w:rFonts w:ascii="仿宋_GB2312" w:eastAsia="仿宋_GB2312" w:hAnsi="ˎ̥" w:hint="eastAsia"/>
          <w:b/>
          <w:bCs/>
          <w:sz w:val="32"/>
          <w:szCs w:val="32"/>
        </w:rPr>
        <w:t>（款）机关事业单位职业年金缴费支出（项）</w:t>
      </w:r>
      <w:r>
        <w:rPr>
          <w:rFonts w:ascii="仿宋_GB2312" w:eastAsia="仿宋_GB2312" w:hAnsi="ˎ̥" w:hint="eastAsia"/>
          <w:sz w:val="32"/>
          <w:szCs w:val="32"/>
        </w:rPr>
        <w:t>年初预算为11.02万元，支出决算为39.42万元，完成年初预算的357.71%。主要原因：</w:t>
      </w:r>
      <w:r>
        <w:rPr>
          <w:rFonts w:ascii="仿宋_GB2312" w:eastAsia="仿宋_GB2312" w:hAnsi="ˎ̥" w:cs="仿宋_GB2312" w:hint="eastAsia"/>
          <w:sz w:val="32"/>
          <w:szCs w:val="32"/>
        </w:rPr>
        <w:t>省财政厅追加机关事业单位职业年金缴费支出预算。</w:t>
      </w:r>
    </w:p>
    <w:p w:rsidR="004175FD" w:rsidRDefault="00686BD4">
      <w:pPr>
        <w:widowControl w:val="0"/>
        <w:autoSpaceDE w:val="0"/>
        <w:spacing w:line="576" w:lineRule="exact"/>
        <w:ind w:firstLineChars="200" w:firstLine="643"/>
        <w:jc w:val="both"/>
        <w:rPr>
          <w:rFonts w:ascii="仿宋_GB2312" w:eastAsia="仿宋_GB2312" w:hAnsi="ˎ̥" w:hint="eastAsia"/>
          <w:sz w:val="32"/>
          <w:szCs w:val="32"/>
        </w:rPr>
      </w:pPr>
      <w:r>
        <w:rPr>
          <w:rFonts w:ascii="仿宋_GB2312" w:eastAsia="仿宋_GB2312" w:hAnsi="ˎ̥" w:hint="eastAsia"/>
          <w:b/>
          <w:bCs/>
          <w:color w:val="000000" w:themeColor="text1"/>
          <w:sz w:val="32"/>
          <w:szCs w:val="32"/>
        </w:rPr>
        <w:t xml:space="preserve">5. </w:t>
      </w:r>
      <w:r>
        <w:rPr>
          <w:rFonts w:ascii="仿宋_GB2312" w:eastAsia="仿宋_GB2312" w:hAnsi="ˎ̥" w:hint="eastAsia"/>
          <w:b/>
          <w:bCs/>
          <w:sz w:val="32"/>
          <w:szCs w:val="32"/>
        </w:rPr>
        <w:t>社会保障和就业支出（类）抚恤（款）其他抚恤支出（项）</w:t>
      </w:r>
      <w:r>
        <w:rPr>
          <w:rFonts w:ascii="仿宋_GB2312" w:eastAsia="仿宋_GB2312" w:hAnsi="ˎ̥" w:hint="eastAsia"/>
          <w:sz w:val="32"/>
          <w:szCs w:val="32"/>
        </w:rPr>
        <w:t>年初预算为1.63万元，支出决算为1.63万元，完成年初预算的100%。决算数与预算数持平。</w:t>
      </w:r>
    </w:p>
    <w:p w:rsidR="004175FD" w:rsidRDefault="00686BD4">
      <w:pPr>
        <w:widowControl w:val="0"/>
        <w:autoSpaceDE w:val="0"/>
        <w:spacing w:line="576" w:lineRule="exact"/>
        <w:ind w:firstLineChars="200" w:firstLine="643"/>
        <w:jc w:val="both"/>
        <w:rPr>
          <w:rFonts w:ascii="仿宋_GB2312" w:eastAsia="仿宋_GB2312" w:hAnsi="ˎ̥" w:hint="eastAsia"/>
          <w:sz w:val="32"/>
          <w:szCs w:val="32"/>
        </w:rPr>
      </w:pPr>
      <w:r>
        <w:rPr>
          <w:rFonts w:ascii="仿宋_GB2312" w:eastAsia="仿宋_GB2312" w:hAnsi="ˎ̥" w:hint="eastAsia"/>
          <w:b/>
          <w:bCs/>
          <w:sz w:val="32"/>
          <w:szCs w:val="32"/>
        </w:rPr>
        <w:t>6.卫生健康支出（类）行政事业单位医疗（款）事业单位医疗（项）</w:t>
      </w:r>
      <w:r>
        <w:rPr>
          <w:rFonts w:ascii="仿宋_GB2312" w:eastAsia="仿宋_GB2312" w:hAnsi="ˎ̥" w:hint="eastAsia"/>
          <w:sz w:val="32"/>
          <w:szCs w:val="32"/>
        </w:rPr>
        <w:t>年初预算为28.25万元，支出决算为27.17万元，完成年初预算的96.18%。决算数与预算数持平。</w:t>
      </w:r>
    </w:p>
    <w:p w:rsidR="004175FD" w:rsidRDefault="00686BD4">
      <w:pPr>
        <w:widowControl w:val="0"/>
        <w:autoSpaceDE w:val="0"/>
        <w:spacing w:line="576" w:lineRule="exact"/>
        <w:ind w:firstLineChars="200" w:firstLine="643"/>
        <w:jc w:val="both"/>
        <w:rPr>
          <w:rFonts w:ascii="仿宋_GB2312" w:eastAsia="仿宋_GB2312" w:hAnsi="ˎ̥" w:hint="eastAsia"/>
          <w:b/>
          <w:bCs/>
          <w:sz w:val="32"/>
          <w:szCs w:val="32"/>
        </w:rPr>
      </w:pPr>
      <w:r>
        <w:rPr>
          <w:rFonts w:ascii="仿宋_GB2312" w:eastAsia="仿宋_GB2312" w:hAnsi="ˎ̥" w:hint="eastAsia"/>
          <w:b/>
          <w:bCs/>
          <w:sz w:val="32"/>
          <w:szCs w:val="32"/>
        </w:rPr>
        <w:t>7.卫生健康支出（类）行政事业单位医疗（款）公务员医疗补助（项）</w:t>
      </w:r>
      <w:r>
        <w:rPr>
          <w:rFonts w:ascii="仿宋_GB2312" w:eastAsia="仿宋_GB2312" w:hAnsi="ˎ̥" w:hint="eastAsia"/>
          <w:sz w:val="32"/>
          <w:szCs w:val="32"/>
        </w:rPr>
        <w:t>年初预算为46.5万元，支出决算为57.48万元。决算数大于预算数的主要原因：</w:t>
      </w:r>
      <w:r>
        <w:rPr>
          <w:rFonts w:ascii="仿宋_GB2312" w:eastAsia="仿宋_GB2312" w:hAnsi="ˎ̥" w:cs="仿宋_GB2312" w:hint="eastAsia"/>
          <w:sz w:val="32"/>
          <w:szCs w:val="32"/>
        </w:rPr>
        <w:t>省财政厅</w:t>
      </w:r>
      <w:r>
        <w:rPr>
          <w:rFonts w:ascii="仿宋_GB2312" w:eastAsia="仿宋_GB2312" w:hAnsi="ˎ̥" w:hint="eastAsia"/>
          <w:sz w:val="32"/>
          <w:szCs w:val="32"/>
        </w:rPr>
        <w:t>追加公务员医疗补助缴费支出预算。</w:t>
      </w:r>
    </w:p>
    <w:p w:rsidR="004175FD" w:rsidRDefault="00686BD4">
      <w:pPr>
        <w:widowControl w:val="0"/>
        <w:spacing w:line="560" w:lineRule="exact"/>
        <w:ind w:firstLineChars="200" w:firstLine="643"/>
        <w:jc w:val="both"/>
        <w:rPr>
          <w:rFonts w:ascii="仿宋_GB2312" w:eastAsia="仿宋_GB2312" w:hAnsi="ˎ̥" w:hint="eastAsia"/>
          <w:b/>
          <w:bCs/>
          <w:sz w:val="32"/>
          <w:szCs w:val="32"/>
        </w:rPr>
      </w:pPr>
      <w:r>
        <w:rPr>
          <w:rFonts w:ascii="仿宋_GB2312" w:eastAsia="仿宋_GB2312" w:hAnsi="ˎ̥" w:hint="eastAsia"/>
          <w:b/>
          <w:bCs/>
          <w:sz w:val="32"/>
          <w:szCs w:val="32"/>
        </w:rPr>
        <w:t>8.住房保障支出（类）住房改革支出（款）住房公积金</w:t>
      </w:r>
      <w:r>
        <w:rPr>
          <w:rFonts w:ascii="仿宋_GB2312" w:eastAsia="仿宋_GB2312" w:hAnsi="ˎ̥" w:hint="eastAsia"/>
          <w:b/>
          <w:bCs/>
          <w:sz w:val="32"/>
          <w:szCs w:val="32"/>
        </w:rPr>
        <w:lastRenderedPageBreak/>
        <w:t>（项）</w:t>
      </w:r>
      <w:r>
        <w:rPr>
          <w:rFonts w:ascii="仿宋_GB2312" w:eastAsia="仿宋_GB2312" w:hAnsi="ˎ̥" w:hint="eastAsia"/>
          <w:sz w:val="32"/>
          <w:szCs w:val="32"/>
        </w:rPr>
        <w:t>年初预算为42.24万元，支出决算为51.9万元，完成年初预算的122.87%。决算数大于预算数的主要原因：</w:t>
      </w:r>
      <w:r>
        <w:rPr>
          <w:rFonts w:ascii="仿宋_GB2312" w:eastAsia="仿宋_GB2312" w:hAnsi="ˎ̥" w:cs="仿宋_GB2312" w:hint="eastAsia"/>
          <w:sz w:val="32"/>
          <w:szCs w:val="32"/>
        </w:rPr>
        <w:t>省财政厅追加我所住房公积金预算。</w:t>
      </w:r>
    </w:p>
    <w:p w:rsidR="004175FD" w:rsidRDefault="00686BD4">
      <w:pPr>
        <w:widowControl w:val="0"/>
        <w:autoSpaceDE w:val="0"/>
        <w:spacing w:line="576" w:lineRule="exact"/>
        <w:ind w:firstLineChars="196" w:firstLine="627"/>
        <w:jc w:val="both"/>
        <w:rPr>
          <w:rFonts w:ascii="黑体" w:eastAsia="黑体"/>
          <w:sz w:val="32"/>
          <w:szCs w:val="32"/>
        </w:rPr>
      </w:pPr>
      <w:r>
        <w:rPr>
          <w:rFonts w:ascii="黑体" w:eastAsia="黑体" w:hAnsi="黑体" w:hint="eastAsia"/>
          <w:sz w:val="32"/>
          <w:szCs w:val="32"/>
        </w:rPr>
        <w:t>六、一般公共预算财政拨款基本支出决算情况说明。</w:t>
      </w:r>
    </w:p>
    <w:p w:rsidR="004175FD" w:rsidRDefault="00686BD4">
      <w:pPr>
        <w:widowControl w:val="0"/>
        <w:autoSpaceDE w:val="0"/>
        <w:spacing w:line="576"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2022年度财政拨款基本支出1,912.65万元，其中：人员经费1,666.91万元，主要包括：基本工资、津贴补贴、绩效工资、机关事业单位基本养老保险缴费、职业年金缴费、职工基本医疗保险缴费、公务员医疗补助缴费、其他社会保障缴费、住房公积金、医疗费、其他工资福利支出、对个人和家庭的补助、生活补助、奖励金、其他对个人和家庭的补助等。公用经费245.74万元，主要包括：办公费、印刷费、手续费、水费、电费、邮电费、物业管理费、差旅费、维修（护）费、租赁费、培训费、公务接待费、委托业务费、工会经费、公务用车运行维护费、其他交通费用、其他商品和服务支出、办公设备购置等。</w:t>
      </w:r>
    </w:p>
    <w:p w:rsidR="004175FD" w:rsidRDefault="00686BD4">
      <w:pPr>
        <w:widowControl w:val="0"/>
        <w:autoSpaceDE w:val="0"/>
        <w:spacing w:line="576" w:lineRule="exact"/>
        <w:ind w:firstLineChars="196" w:firstLine="627"/>
        <w:jc w:val="both"/>
        <w:rPr>
          <w:rFonts w:ascii="黑体" w:eastAsia="黑体"/>
          <w:sz w:val="32"/>
          <w:szCs w:val="32"/>
        </w:rPr>
      </w:pPr>
      <w:r>
        <w:rPr>
          <w:rFonts w:ascii="黑体" w:eastAsia="黑体" w:hAnsi="黑体" w:hint="eastAsia"/>
          <w:sz w:val="32"/>
          <w:szCs w:val="32"/>
        </w:rPr>
        <w:t>七、政府性基金预算财政拨款支出决算情况说明</w:t>
      </w:r>
    </w:p>
    <w:p w:rsidR="004175FD" w:rsidRDefault="00686BD4">
      <w:pPr>
        <w:widowControl w:val="0"/>
        <w:autoSpaceDE w:val="0"/>
        <w:spacing w:line="576" w:lineRule="exact"/>
        <w:ind w:firstLineChars="200" w:firstLine="640"/>
        <w:jc w:val="both"/>
        <w:rPr>
          <w:rFonts w:ascii="仿宋_GB2312" w:eastAsia="仿宋_GB2312" w:hAnsi="ˎ̥" w:hint="eastAsia"/>
          <w:sz w:val="32"/>
          <w:szCs w:val="32"/>
        </w:rPr>
      </w:pPr>
      <w:r>
        <w:rPr>
          <w:rFonts w:ascii="仿宋_GB2312" w:eastAsia="仿宋_GB2312" w:hAnsi="楷体" w:cs="楷体" w:hint="eastAsia"/>
          <w:sz w:val="32"/>
          <w:szCs w:val="32"/>
        </w:rPr>
        <w:t>海南省锅炉压力容器与特种设备检验所无政府性基金预算财政拨款支出。</w:t>
      </w:r>
    </w:p>
    <w:p w:rsidR="004175FD" w:rsidRDefault="00686BD4">
      <w:pPr>
        <w:widowControl w:val="0"/>
        <w:autoSpaceDE w:val="0"/>
        <w:spacing w:line="576" w:lineRule="exact"/>
        <w:ind w:firstLineChars="196" w:firstLine="627"/>
        <w:jc w:val="both"/>
        <w:rPr>
          <w:rFonts w:ascii="黑体" w:eastAsia="黑体"/>
          <w:sz w:val="32"/>
          <w:szCs w:val="32"/>
        </w:rPr>
      </w:pPr>
      <w:r>
        <w:rPr>
          <w:rFonts w:ascii="黑体" w:eastAsia="黑体" w:hAnsi="黑体" w:hint="eastAsia"/>
          <w:sz w:val="32"/>
          <w:szCs w:val="32"/>
        </w:rPr>
        <w:t>八、国有资本经营预算财政拨款支出决算情况说明</w:t>
      </w:r>
    </w:p>
    <w:p w:rsidR="004175FD" w:rsidRDefault="00686BD4">
      <w:pPr>
        <w:widowControl w:val="0"/>
        <w:autoSpaceDE w:val="0"/>
        <w:spacing w:line="576" w:lineRule="exact"/>
        <w:ind w:firstLineChars="196" w:firstLine="627"/>
        <w:jc w:val="both"/>
        <w:rPr>
          <w:rFonts w:ascii="仿宋_GB2312" w:eastAsia="仿宋_GB2312" w:hAnsi="楷体" w:cs="楷体"/>
          <w:sz w:val="32"/>
          <w:szCs w:val="32"/>
        </w:rPr>
      </w:pPr>
      <w:r>
        <w:rPr>
          <w:rFonts w:ascii="仿宋_GB2312" w:eastAsia="仿宋_GB2312" w:hAnsi="楷体" w:cs="楷体" w:hint="eastAsia"/>
          <w:sz w:val="32"/>
          <w:szCs w:val="32"/>
        </w:rPr>
        <w:t>海南省锅炉压力容器与特种设备检验所无国有资本经营预算财政拨款支出。</w:t>
      </w:r>
    </w:p>
    <w:p w:rsidR="004175FD" w:rsidRDefault="00686BD4">
      <w:pPr>
        <w:widowControl w:val="0"/>
        <w:autoSpaceDE w:val="0"/>
        <w:spacing w:line="576" w:lineRule="exact"/>
        <w:ind w:firstLineChars="196" w:firstLine="627"/>
        <w:jc w:val="both"/>
        <w:rPr>
          <w:rFonts w:ascii="仿宋_GB2312" w:hAnsi="ˎ̥" w:cs="仿宋_GB2312" w:hint="eastAsia"/>
          <w:sz w:val="32"/>
          <w:szCs w:val="32"/>
        </w:rPr>
      </w:pPr>
      <w:r>
        <w:rPr>
          <w:rFonts w:ascii="黑体" w:eastAsia="黑体" w:hAnsi="黑体" w:hint="eastAsia"/>
          <w:sz w:val="32"/>
          <w:szCs w:val="32"/>
        </w:rPr>
        <w:t>九、财政拨款</w:t>
      </w:r>
      <w:r>
        <w:rPr>
          <w:rFonts w:ascii="黑体" w:eastAsia="黑体" w:hint="eastAsia"/>
          <w:sz w:val="32"/>
          <w:szCs w:val="32"/>
        </w:rPr>
        <w:t>“三公”经费支出决算情况说明</w:t>
      </w:r>
    </w:p>
    <w:p w:rsidR="004175FD" w:rsidRDefault="00686BD4">
      <w:pPr>
        <w:widowControl w:val="0"/>
        <w:autoSpaceDE w:val="0"/>
        <w:spacing w:line="576" w:lineRule="exact"/>
        <w:ind w:firstLineChars="200" w:firstLine="640"/>
        <w:jc w:val="both"/>
        <w:rPr>
          <w:rFonts w:ascii="楷体" w:eastAsia="楷体" w:hAnsi="楷体"/>
          <w:sz w:val="32"/>
          <w:szCs w:val="32"/>
        </w:rPr>
      </w:pPr>
      <w:r>
        <w:rPr>
          <w:rFonts w:ascii="楷体" w:eastAsia="楷体" w:hAnsi="楷体" w:hint="eastAsia"/>
          <w:sz w:val="32"/>
          <w:szCs w:val="32"/>
        </w:rPr>
        <w:lastRenderedPageBreak/>
        <w:t>（一）财政拨款“三公”经费支出决算总体情况说明。</w:t>
      </w:r>
    </w:p>
    <w:p w:rsidR="004175FD" w:rsidRDefault="00686BD4">
      <w:pPr>
        <w:widowControl w:val="0"/>
        <w:autoSpaceDE w:val="0"/>
        <w:spacing w:line="576" w:lineRule="exact"/>
        <w:jc w:val="both"/>
        <w:rPr>
          <w:rFonts w:ascii="仿宋_GB2312" w:eastAsia="仿宋_GB2312" w:hAnsi="ˎ̥" w:hint="eastAsia"/>
          <w:sz w:val="32"/>
          <w:szCs w:val="32"/>
        </w:rPr>
      </w:pPr>
      <w:r>
        <w:rPr>
          <w:rFonts w:ascii="仿宋_GB2312" w:eastAsia="仿宋_GB2312" w:hAnsi="ˎ̥" w:hint="eastAsia"/>
          <w:sz w:val="32"/>
          <w:szCs w:val="32"/>
        </w:rPr>
        <w:t xml:space="preserve">    2022年度财政拨款“三公”经费支出预算为21.17万元，支出决算为12.51万元，完成预算的59.09%。</w:t>
      </w:r>
    </w:p>
    <w:p w:rsidR="004175FD" w:rsidRDefault="00686BD4">
      <w:pPr>
        <w:widowControl w:val="0"/>
        <w:autoSpaceDE w:val="0"/>
        <w:spacing w:line="576" w:lineRule="exact"/>
        <w:jc w:val="both"/>
        <w:rPr>
          <w:rFonts w:ascii="楷体" w:eastAsia="楷体" w:hAnsi="楷体"/>
          <w:sz w:val="32"/>
          <w:szCs w:val="32"/>
        </w:rPr>
      </w:pPr>
      <w:r>
        <w:rPr>
          <w:rFonts w:ascii="楷体" w:eastAsia="楷体" w:hAnsi="楷体" w:hint="eastAsia"/>
          <w:b/>
          <w:bCs/>
          <w:sz w:val="32"/>
          <w:szCs w:val="32"/>
        </w:rPr>
        <w:t xml:space="preserve">    </w:t>
      </w:r>
      <w:r>
        <w:rPr>
          <w:rFonts w:ascii="楷体" w:eastAsia="楷体" w:hAnsi="楷体" w:hint="eastAsia"/>
          <w:sz w:val="32"/>
          <w:szCs w:val="32"/>
        </w:rPr>
        <w:t>（二）财政拨款“三公”经费支出决算具体情况说明。</w:t>
      </w:r>
    </w:p>
    <w:p w:rsidR="004175FD" w:rsidRDefault="00686BD4">
      <w:pPr>
        <w:widowControl w:val="0"/>
        <w:autoSpaceDE w:val="0"/>
        <w:spacing w:line="576"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2022年度财政拨款“三公”</w:t>
      </w:r>
      <w:r>
        <w:rPr>
          <w:rFonts w:ascii="仿宋_GB2312" w:eastAsia="仿宋_GB2312" w:hAnsi="ˎ̥" w:hint="eastAsia"/>
          <w:spacing w:val="30"/>
          <w:sz w:val="32"/>
          <w:szCs w:val="32"/>
        </w:rPr>
        <w:t>经费支出决算中，</w:t>
      </w:r>
      <w:r>
        <w:rPr>
          <w:rFonts w:ascii="仿宋_GB2312" w:eastAsia="仿宋_GB2312" w:hAnsi="ˎ̥" w:hint="eastAsia"/>
          <w:sz w:val="32"/>
          <w:szCs w:val="32"/>
        </w:rPr>
        <w:t>因公出国（境）费支出决算0万元，占0%；公务用车购置及运行费支出决算12.04万元，占96.24%；公务接待费支出决算0.47万元，占3.76%。具体情况如下：</w:t>
      </w:r>
    </w:p>
    <w:p w:rsidR="004175FD" w:rsidRDefault="00686BD4">
      <w:pPr>
        <w:widowControl w:val="0"/>
        <w:autoSpaceDE w:val="0"/>
        <w:spacing w:line="576" w:lineRule="exact"/>
        <w:ind w:firstLineChars="200" w:firstLine="643"/>
        <w:jc w:val="both"/>
        <w:rPr>
          <w:rFonts w:ascii="仿宋_GB2312" w:eastAsia="仿宋_GB2312" w:hAnsi="ˎ̥" w:hint="eastAsia"/>
          <w:sz w:val="32"/>
          <w:szCs w:val="32"/>
        </w:rPr>
      </w:pPr>
      <w:r>
        <w:rPr>
          <w:rFonts w:ascii="仿宋_GB2312" w:eastAsia="仿宋_GB2312" w:hAnsi="ˎ̥" w:hint="eastAsia"/>
          <w:b/>
          <w:bCs/>
          <w:sz w:val="32"/>
          <w:szCs w:val="32"/>
        </w:rPr>
        <w:t>1.因公出国（境）费</w:t>
      </w:r>
      <w:r>
        <w:rPr>
          <w:rFonts w:ascii="仿宋_GB2312" w:eastAsia="仿宋_GB2312" w:hAnsi="ˎ̥" w:hint="eastAsia"/>
          <w:sz w:val="32"/>
          <w:szCs w:val="32"/>
        </w:rPr>
        <w:t>支出0万元。全年安排因公出国（境）团组0个，因公出国（境）0人次。</w:t>
      </w:r>
    </w:p>
    <w:p w:rsidR="004175FD" w:rsidRDefault="00686BD4">
      <w:pPr>
        <w:pStyle w:val="a0"/>
        <w:rPr>
          <w:rFonts w:ascii="仿宋_GB2312" w:eastAsia="仿宋_GB2312" w:hAnsi="ˎ̥" w:hint="eastAsia"/>
          <w:sz w:val="32"/>
          <w:szCs w:val="32"/>
        </w:rPr>
      </w:pPr>
      <w:r>
        <w:rPr>
          <w:rFonts w:ascii="仿宋_GB2312" w:eastAsia="仿宋_GB2312" w:hAnsi="ˎ̥" w:hint="eastAsia"/>
          <w:sz w:val="32"/>
          <w:szCs w:val="32"/>
        </w:rPr>
        <w:t xml:space="preserve">      因公出国（境）费支出决算与预算数持平。</w:t>
      </w:r>
    </w:p>
    <w:p w:rsidR="004175FD" w:rsidRDefault="00686BD4">
      <w:pPr>
        <w:widowControl w:val="0"/>
        <w:autoSpaceDE w:val="0"/>
        <w:spacing w:line="576" w:lineRule="exact"/>
        <w:jc w:val="both"/>
        <w:rPr>
          <w:rFonts w:ascii="仿宋_GB2312" w:eastAsia="仿宋_GB2312" w:hAnsi="ˎ̥" w:hint="eastAsia"/>
          <w:sz w:val="32"/>
          <w:szCs w:val="32"/>
        </w:rPr>
      </w:pPr>
      <w:r>
        <w:rPr>
          <w:rFonts w:ascii="仿宋_GB2312" w:eastAsia="仿宋_GB2312" w:hAnsi="ˎ̥" w:hint="eastAsia"/>
          <w:b/>
          <w:bCs/>
          <w:sz w:val="32"/>
          <w:szCs w:val="32"/>
        </w:rPr>
        <w:t xml:space="preserve">    2.公务用车购置及运行费支出</w:t>
      </w:r>
      <w:r>
        <w:rPr>
          <w:rFonts w:ascii="仿宋_GB2312" w:eastAsia="仿宋_GB2312" w:hAnsi="ˎ̥" w:hint="eastAsia"/>
          <w:sz w:val="32"/>
          <w:szCs w:val="32"/>
        </w:rPr>
        <w:t>12.04万元。其中：</w:t>
      </w:r>
    </w:p>
    <w:p w:rsidR="004175FD" w:rsidRDefault="00686BD4">
      <w:pPr>
        <w:widowControl w:val="0"/>
        <w:autoSpaceDE w:val="0"/>
        <w:spacing w:line="576" w:lineRule="exact"/>
        <w:ind w:firstLineChars="200" w:firstLine="643"/>
        <w:jc w:val="both"/>
        <w:rPr>
          <w:rFonts w:ascii="仿宋_GB2312" w:eastAsia="仿宋_GB2312" w:hAnsi="ˎ̥" w:hint="eastAsia"/>
          <w:sz w:val="32"/>
          <w:szCs w:val="32"/>
        </w:rPr>
      </w:pPr>
      <w:r>
        <w:rPr>
          <w:rFonts w:ascii="仿宋_GB2312" w:eastAsia="仿宋_GB2312" w:hAnsi="ˎ̥" w:hint="eastAsia"/>
          <w:b/>
          <w:bCs/>
          <w:sz w:val="32"/>
          <w:szCs w:val="32"/>
        </w:rPr>
        <w:t>公务用车购置支出</w:t>
      </w:r>
      <w:r>
        <w:rPr>
          <w:rFonts w:ascii="仿宋_GB2312" w:eastAsia="仿宋_GB2312" w:hAnsi="ˎ̥" w:hint="eastAsia"/>
          <w:sz w:val="32"/>
          <w:szCs w:val="32"/>
        </w:rPr>
        <w:t>0万元，全年购置公务用车0辆，年末公务用车保有4辆。</w:t>
      </w:r>
    </w:p>
    <w:p w:rsidR="004175FD" w:rsidRDefault="00686BD4">
      <w:pPr>
        <w:widowControl w:val="0"/>
        <w:autoSpaceDE w:val="0"/>
        <w:spacing w:line="576" w:lineRule="exact"/>
        <w:ind w:firstLineChars="200" w:firstLine="643"/>
        <w:jc w:val="both"/>
        <w:rPr>
          <w:rFonts w:ascii="仿宋_GB2312" w:eastAsia="仿宋_GB2312" w:hAnsi="ˎ̥" w:hint="eastAsia"/>
          <w:sz w:val="32"/>
          <w:szCs w:val="32"/>
        </w:rPr>
      </w:pPr>
      <w:r>
        <w:rPr>
          <w:rFonts w:ascii="仿宋_GB2312" w:eastAsia="仿宋_GB2312" w:hAnsi="ˎ̥" w:hint="eastAsia"/>
          <w:b/>
          <w:bCs/>
          <w:sz w:val="32"/>
          <w:szCs w:val="32"/>
        </w:rPr>
        <w:t>公务用车运行维护费</w:t>
      </w:r>
      <w:r>
        <w:rPr>
          <w:rFonts w:ascii="仿宋_GB2312" w:eastAsia="仿宋_GB2312" w:hAnsi="ˎ̥" w:hint="eastAsia"/>
          <w:sz w:val="32"/>
          <w:szCs w:val="32"/>
        </w:rPr>
        <w:t>支出12.04万元，主要用于单位业务4辆公车的燃料费、维修费、停车费、通行费、保险费、审验费等开支。</w:t>
      </w:r>
    </w:p>
    <w:p w:rsidR="004175FD" w:rsidRDefault="00686BD4">
      <w:pPr>
        <w:widowControl w:val="0"/>
        <w:autoSpaceDE w:val="0"/>
        <w:spacing w:line="576"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公务用车购置及运行费支出决算数比预算数减少8.66万元，下降40.9%。主要原因：一是因疫情原因，减少了公务车辆使用；二是车辆实有数减少，维修费和燃料费相应减少。</w:t>
      </w:r>
    </w:p>
    <w:p w:rsidR="004175FD" w:rsidRDefault="00686BD4">
      <w:pPr>
        <w:widowControl w:val="0"/>
        <w:autoSpaceDE w:val="0"/>
        <w:spacing w:line="576" w:lineRule="exact"/>
        <w:jc w:val="both"/>
        <w:rPr>
          <w:rFonts w:ascii="仿宋_GB2312" w:eastAsia="仿宋_GB2312" w:hAnsi="ˎ̥" w:hint="eastAsia"/>
          <w:sz w:val="32"/>
          <w:szCs w:val="32"/>
        </w:rPr>
      </w:pPr>
      <w:r>
        <w:rPr>
          <w:rFonts w:ascii="仿宋_GB2312" w:eastAsia="仿宋_GB2312" w:hAnsi="ˎ̥" w:hint="eastAsia"/>
          <w:b/>
          <w:bCs/>
          <w:sz w:val="32"/>
          <w:szCs w:val="32"/>
        </w:rPr>
        <w:t xml:space="preserve">    3.公务接待费支出</w:t>
      </w:r>
      <w:r>
        <w:rPr>
          <w:rFonts w:ascii="仿宋_GB2312" w:eastAsia="仿宋_GB2312" w:hAnsi="ˎ̥" w:hint="eastAsia"/>
          <w:sz w:val="32"/>
          <w:szCs w:val="32"/>
        </w:rPr>
        <w:t>0.47万元，其中：</w:t>
      </w:r>
    </w:p>
    <w:p w:rsidR="004175FD" w:rsidRDefault="00686BD4">
      <w:pPr>
        <w:widowControl w:val="0"/>
        <w:autoSpaceDE w:val="0"/>
        <w:spacing w:line="576" w:lineRule="exact"/>
        <w:ind w:firstLineChars="200" w:firstLine="643"/>
        <w:jc w:val="both"/>
        <w:rPr>
          <w:rFonts w:ascii="仿宋_GB2312" w:eastAsia="仿宋_GB2312" w:hAnsi="ˎ̥" w:hint="eastAsia"/>
          <w:sz w:val="32"/>
          <w:szCs w:val="32"/>
        </w:rPr>
      </w:pPr>
      <w:r>
        <w:rPr>
          <w:rFonts w:ascii="仿宋_GB2312" w:eastAsia="仿宋_GB2312" w:hAnsi="ˎ̥" w:hint="eastAsia"/>
          <w:b/>
          <w:bCs/>
          <w:sz w:val="32"/>
          <w:szCs w:val="32"/>
        </w:rPr>
        <w:t>国内接待费</w:t>
      </w:r>
      <w:r>
        <w:rPr>
          <w:rFonts w:ascii="仿宋_GB2312" w:eastAsia="仿宋_GB2312" w:hAnsi="ˎ̥" w:hint="eastAsia"/>
          <w:sz w:val="32"/>
          <w:szCs w:val="32"/>
        </w:rPr>
        <w:t>支出0.47万元，国内公务接待10批次，接待</w:t>
      </w:r>
      <w:r>
        <w:rPr>
          <w:rFonts w:ascii="仿宋_GB2312" w:eastAsia="仿宋_GB2312" w:hAnsi="ˎ̥" w:hint="eastAsia"/>
          <w:sz w:val="32"/>
          <w:szCs w:val="32"/>
        </w:rPr>
        <w:lastRenderedPageBreak/>
        <w:t>30人次；</w:t>
      </w:r>
      <w:r>
        <w:rPr>
          <w:rFonts w:ascii="仿宋_GB2312" w:eastAsia="仿宋_GB2312" w:hAnsi="ˎ̥" w:hint="eastAsia"/>
          <w:spacing w:val="-20"/>
          <w:sz w:val="32"/>
          <w:szCs w:val="32"/>
        </w:rPr>
        <w:t>主要用于省（内）外相关部门检查指导、考察、调研</w:t>
      </w:r>
      <w:r>
        <w:rPr>
          <w:rFonts w:ascii="仿宋_GB2312" w:eastAsia="仿宋_GB2312" w:hAnsi="ˎ̥" w:hint="eastAsia"/>
          <w:sz w:val="32"/>
          <w:szCs w:val="32"/>
        </w:rPr>
        <w:t>、交流等开支。</w:t>
      </w:r>
    </w:p>
    <w:p w:rsidR="004175FD" w:rsidRDefault="00686BD4">
      <w:pPr>
        <w:widowControl w:val="0"/>
        <w:autoSpaceDE w:val="0"/>
        <w:spacing w:line="576"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国（境）外接待费支出0万元，2022年无国（境）外公务接待任务。</w:t>
      </w:r>
    </w:p>
    <w:p w:rsidR="004175FD" w:rsidRDefault="00686BD4">
      <w:pPr>
        <w:widowControl w:val="0"/>
        <w:autoSpaceDE w:val="0"/>
        <w:spacing w:line="576"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公务接待费支出决算数比预算数减少0.53万元，下降53%。主要原因是因疫情原因，来琼检查指导、考察、调研人员减少。</w:t>
      </w:r>
    </w:p>
    <w:p w:rsidR="004175FD" w:rsidRDefault="00686BD4">
      <w:pPr>
        <w:widowControl w:val="0"/>
        <w:autoSpaceDE w:val="0"/>
        <w:spacing w:line="576" w:lineRule="exact"/>
        <w:ind w:firstLineChars="200" w:firstLine="640"/>
        <w:rPr>
          <w:rFonts w:ascii="黑体" w:eastAsia="黑体"/>
          <w:sz w:val="32"/>
          <w:szCs w:val="32"/>
        </w:rPr>
      </w:pPr>
      <w:r>
        <w:rPr>
          <w:rFonts w:ascii="黑体" w:eastAsia="黑体" w:hAnsi="黑体" w:hint="eastAsia"/>
          <w:sz w:val="32"/>
          <w:szCs w:val="32"/>
        </w:rPr>
        <w:t>十、预算绩效情况说明。</w:t>
      </w:r>
    </w:p>
    <w:p w:rsidR="004175FD" w:rsidRDefault="00686BD4">
      <w:pPr>
        <w:widowControl w:val="0"/>
        <w:autoSpaceDE w:val="0"/>
        <w:spacing w:line="576" w:lineRule="exact"/>
        <w:ind w:firstLineChars="200" w:firstLine="643"/>
        <w:rPr>
          <w:rFonts w:ascii="楷体" w:eastAsia="楷体" w:hAnsi="楷体"/>
          <w:b/>
          <w:bCs/>
          <w:sz w:val="32"/>
          <w:szCs w:val="32"/>
        </w:rPr>
      </w:pPr>
      <w:r>
        <w:rPr>
          <w:rFonts w:ascii="楷体" w:eastAsia="楷体" w:hAnsi="楷体" w:hint="eastAsia"/>
          <w:b/>
          <w:bCs/>
          <w:sz w:val="32"/>
          <w:szCs w:val="32"/>
        </w:rPr>
        <w:t>（一）绩效管理工作开展情况。</w:t>
      </w:r>
    </w:p>
    <w:p w:rsidR="004175FD" w:rsidRDefault="00686BD4">
      <w:pPr>
        <w:widowControl w:val="0"/>
        <w:autoSpaceDE w:val="0"/>
        <w:spacing w:line="576" w:lineRule="exact"/>
        <w:ind w:firstLineChars="200" w:firstLine="640"/>
        <w:jc w:val="both"/>
        <w:rPr>
          <w:rFonts w:ascii="仿宋_GB2312" w:eastAsia="仿宋_GB2312" w:hAnsi="楷体" w:cs="楷体"/>
          <w:sz w:val="32"/>
          <w:szCs w:val="32"/>
        </w:rPr>
      </w:pPr>
      <w:r>
        <w:rPr>
          <w:rFonts w:ascii="仿宋_GB2312" w:eastAsia="仿宋_GB2312" w:hAnsi="楷体" w:cs="楷体" w:hint="eastAsia"/>
          <w:sz w:val="32"/>
          <w:szCs w:val="32"/>
        </w:rPr>
        <w:t>根据财政预算管理要求，我单位组织对2022年度一般公共预算项目支出全面开展绩效自评。自评项目7个，共涉及资金962.1万元，自评覆盖率达到100%。</w:t>
      </w:r>
    </w:p>
    <w:p w:rsidR="004175FD" w:rsidRDefault="00686BD4">
      <w:pPr>
        <w:widowControl w:val="0"/>
        <w:autoSpaceDE w:val="0"/>
        <w:spacing w:line="576" w:lineRule="exact"/>
        <w:ind w:firstLineChars="200" w:firstLine="640"/>
        <w:jc w:val="both"/>
        <w:rPr>
          <w:sz w:val="32"/>
          <w:szCs w:val="32"/>
        </w:rPr>
      </w:pPr>
      <w:r>
        <w:rPr>
          <w:rFonts w:ascii="仿宋_GB2312" w:eastAsia="仿宋_GB2312" w:hAnsi="楷体" w:cs="楷体" w:hint="eastAsia"/>
          <w:sz w:val="32"/>
          <w:szCs w:val="32"/>
        </w:rPr>
        <w:t>我单位对2个其他运转类、5个部门项目，共计7个项目开展自评，自评结果主要通过项目支出绩效自评表的形式反映。从评价情况来看，我单位严格按照财政支出绩效评价指标及评价标准对项目完成情况进行评价打分，完成信息系统填报，并按照时间节点在本单位门户网站公开评价结果，接受社会监督。</w:t>
      </w:r>
    </w:p>
    <w:p w:rsidR="004175FD" w:rsidRDefault="00686BD4">
      <w:pPr>
        <w:widowControl w:val="0"/>
        <w:autoSpaceDE w:val="0"/>
        <w:spacing w:line="576" w:lineRule="exact"/>
        <w:ind w:firstLineChars="200" w:firstLine="643"/>
        <w:rPr>
          <w:rFonts w:ascii="楷体" w:eastAsia="楷体" w:hAnsi="楷体"/>
          <w:b/>
          <w:bCs/>
          <w:sz w:val="32"/>
          <w:szCs w:val="32"/>
        </w:rPr>
      </w:pPr>
      <w:r>
        <w:rPr>
          <w:rFonts w:ascii="楷体" w:eastAsia="楷体" w:hAnsi="楷体" w:hint="eastAsia"/>
          <w:b/>
          <w:bCs/>
          <w:sz w:val="32"/>
          <w:szCs w:val="32"/>
        </w:rPr>
        <w:t>（二）部门决算中项目绩效自评结果。</w:t>
      </w:r>
    </w:p>
    <w:p w:rsidR="004175FD" w:rsidRDefault="00686BD4">
      <w:pPr>
        <w:widowControl w:val="0"/>
        <w:autoSpaceDE w:val="0"/>
        <w:spacing w:line="576" w:lineRule="exact"/>
        <w:ind w:firstLineChars="200" w:firstLine="640"/>
        <w:jc w:val="both"/>
        <w:rPr>
          <w:rFonts w:ascii="仿宋_GB2312" w:eastAsia="仿宋_GB2312" w:hAnsi="楷体" w:cs="楷体"/>
          <w:sz w:val="32"/>
          <w:szCs w:val="32"/>
        </w:rPr>
      </w:pPr>
      <w:r>
        <w:rPr>
          <w:rFonts w:ascii="仿宋_GB2312" w:eastAsia="仿宋_GB2312" w:hAnsi="楷体" w:cs="楷体" w:hint="eastAsia"/>
          <w:sz w:val="32"/>
          <w:szCs w:val="32"/>
        </w:rPr>
        <w:t>我单位</w:t>
      </w:r>
      <w:r>
        <w:rPr>
          <w:rFonts w:ascii="仿宋_GB2312" w:eastAsia="仿宋_GB2312" w:hAnsi="楷体" w:cs="楷体"/>
          <w:sz w:val="32"/>
          <w:szCs w:val="32"/>
        </w:rPr>
        <w:t>今年在省本级部门决算中反映</w:t>
      </w:r>
      <w:r>
        <w:rPr>
          <w:rFonts w:ascii="仿宋_GB2312" w:eastAsia="仿宋_GB2312" w:hAnsi="楷体" w:cs="楷体" w:hint="eastAsia"/>
          <w:sz w:val="32"/>
          <w:szCs w:val="32"/>
        </w:rPr>
        <w:t>“事业运行”</w:t>
      </w:r>
      <w:r>
        <w:rPr>
          <w:rFonts w:ascii="仿宋_GB2312" w:eastAsia="仿宋_GB2312" w:hAnsi="楷体" w:cs="楷体"/>
          <w:sz w:val="32"/>
          <w:szCs w:val="32"/>
        </w:rPr>
        <w:t>项目绩效自评结果。</w:t>
      </w:r>
    </w:p>
    <w:p w:rsidR="0016127C" w:rsidRPr="0016127C" w:rsidRDefault="0016127C" w:rsidP="0016127C">
      <w:pPr>
        <w:pStyle w:val="a0"/>
        <w:rPr>
          <w:rFonts w:hint="eastAsia"/>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1"/>
        <w:gridCol w:w="671"/>
        <w:gridCol w:w="132"/>
        <w:gridCol w:w="1549"/>
        <w:gridCol w:w="632"/>
        <w:gridCol w:w="167"/>
        <w:gridCol w:w="697"/>
        <w:gridCol w:w="555"/>
        <w:gridCol w:w="697"/>
        <w:gridCol w:w="444"/>
        <w:gridCol w:w="358"/>
        <w:gridCol w:w="565"/>
        <w:gridCol w:w="242"/>
        <w:gridCol w:w="661"/>
        <w:gridCol w:w="217"/>
        <w:gridCol w:w="1089"/>
      </w:tblGrid>
      <w:tr w:rsidR="004175FD" w:rsidTr="0016127C">
        <w:trPr>
          <w:trHeight w:val="234"/>
          <w:jc w:val="center"/>
        </w:trPr>
        <w:tc>
          <w:tcPr>
            <w:tcW w:w="1241" w:type="dxa"/>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lastRenderedPageBreak/>
              <w:t>项目名称:</w:t>
            </w:r>
          </w:p>
        </w:tc>
        <w:tc>
          <w:tcPr>
            <w:tcW w:w="8676" w:type="dxa"/>
            <w:gridSpan w:val="15"/>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事业运行</w:t>
            </w:r>
          </w:p>
        </w:tc>
      </w:tr>
      <w:tr w:rsidR="004175FD" w:rsidTr="0016127C">
        <w:trPr>
          <w:trHeight w:val="158"/>
          <w:jc w:val="center"/>
        </w:trPr>
        <w:tc>
          <w:tcPr>
            <w:tcW w:w="1241" w:type="dxa"/>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主管部门:</w:t>
            </w:r>
          </w:p>
        </w:tc>
        <w:tc>
          <w:tcPr>
            <w:tcW w:w="2352" w:type="dxa"/>
            <w:gridSpan w:val="3"/>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127-省市场监督管理局</w:t>
            </w:r>
          </w:p>
        </w:tc>
        <w:tc>
          <w:tcPr>
            <w:tcW w:w="1496" w:type="dxa"/>
            <w:gridSpan w:val="3"/>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实施单位:</w:t>
            </w:r>
          </w:p>
        </w:tc>
        <w:tc>
          <w:tcPr>
            <w:tcW w:w="4828" w:type="dxa"/>
            <w:gridSpan w:val="9"/>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127009-省锅炉压力容器与特种设备检验所</w:t>
            </w:r>
          </w:p>
        </w:tc>
      </w:tr>
      <w:tr w:rsidR="004175FD" w:rsidTr="0016127C">
        <w:trPr>
          <w:trHeight w:val="158"/>
          <w:jc w:val="center"/>
        </w:trPr>
        <w:tc>
          <w:tcPr>
            <w:tcW w:w="1241" w:type="dxa"/>
            <w:shd w:val="clear" w:color="auto" w:fill="auto"/>
            <w:noWrap/>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是否公开：</w:t>
            </w:r>
          </w:p>
        </w:tc>
        <w:tc>
          <w:tcPr>
            <w:tcW w:w="2352" w:type="dxa"/>
            <w:gridSpan w:val="3"/>
            <w:shd w:val="clear" w:color="auto" w:fill="auto"/>
            <w:noWrap/>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否</w:t>
            </w:r>
          </w:p>
        </w:tc>
        <w:tc>
          <w:tcPr>
            <w:tcW w:w="1496" w:type="dxa"/>
            <w:gridSpan w:val="3"/>
            <w:shd w:val="clear" w:color="auto" w:fill="auto"/>
            <w:noWrap/>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网址：</w:t>
            </w:r>
          </w:p>
        </w:tc>
        <w:tc>
          <w:tcPr>
            <w:tcW w:w="4828" w:type="dxa"/>
            <w:gridSpan w:val="9"/>
            <w:shd w:val="clear" w:color="auto" w:fill="auto"/>
            <w:noWrap/>
            <w:tcMar>
              <w:top w:w="15" w:type="dxa"/>
              <w:left w:w="15" w:type="dxa"/>
              <w:right w:w="15" w:type="dxa"/>
            </w:tcMar>
            <w:vAlign w:val="center"/>
          </w:tcPr>
          <w:p w:rsidR="004175FD" w:rsidRDefault="004175FD" w:rsidP="0016127C">
            <w:pPr>
              <w:spacing w:line="400" w:lineRule="atLeast"/>
              <w:rPr>
                <w:rFonts w:ascii="DengXian" w:eastAsia="DengXian" w:hAnsi="DengXian" w:cs="DengXian"/>
                <w:color w:val="000000"/>
                <w:sz w:val="22"/>
                <w:szCs w:val="22"/>
              </w:rPr>
            </w:pPr>
          </w:p>
        </w:tc>
      </w:tr>
      <w:tr w:rsidR="004175FD" w:rsidTr="0016127C">
        <w:trPr>
          <w:trHeight w:val="465"/>
          <w:jc w:val="center"/>
        </w:trPr>
        <w:tc>
          <w:tcPr>
            <w:tcW w:w="2044" w:type="dxa"/>
            <w:gridSpan w:val="3"/>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资金构成(元)</w:t>
            </w:r>
          </w:p>
        </w:tc>
        <w:tc>
          <w:tcPr>
            <w:tcW w:w="1549" w:type="dxa"/>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年初预算数</w:t>
            </w:r>
          </w:p>
        </w:tc>
        <w:tc>
          <w:tcPr>
            <w:tcW w:w="1496" w:type="dxa"/>
            <w:gridSpan w:val="3"/>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全年预算数</w:t>
            </w:r>
          </w:p>
        </w:tc>
        <w:tc>
          <w:tcPr>
            <w:tcW w:w="1696" w:type="dxa"/>
            <w:gridSpan w:val="3"/>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执行数</w:t>
            </w:r>
          </w:p>
        </w:tc>
        <w:tc>
          <w:tcPr>
            <w:tcW w:w="923" w:type="dxa"/>
            <w:gridSpan w:val="2"/>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分值</w:t>
            </w:r>
          </w:p>
        </w:tc>
        <w:tc>
          <w:tcPr>
            <w:tcW w:w="1120" w:type="dxa"/>
            <w:gridSpan w:val="3"/>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执行率（%）</w:t>
            </w:r>
          </w:p>
        </w:tc>
        <w:tc>
          <w:tcPr>
            <w:tcW w:w="1089" w:type="dxa"/>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得分</w:t>
            </w:r>
          </w:p>
        </w:tc>
      </w:tr>
      <w:tr w:rsidR="004175FD" w:rsidTr="0016127C">
        <w:trPr>
          <w:trHeight w:val="121"/>
          <w:jc w:val="center"/>
        </w:trPr>
        <w:tc>
          <w:tcPr>
            <w:tcW w:w="2044" w:type="dxa"/>
            <w:gridSpan w:val="3"/>
            <w:shd w:val="clear" w:color="auto" w:fill="auto"/>
            <w:tcMar>
              <w:top w:w="15" w:type="dxa"/>
              <w:left w:w="15" w:type="dxa"/>
              <w:right w:w="15" w:type="dxa"/>
            </w:tcMar>
            <w:vAlign w:val="center"/>
          </w:tcPr>
          <w:p w:rsidR="004175FD" w:rsidRDefault="00686BD4" w:rsidP="0016127C">
            <w:pPr>
              <w:spacing w:line="400" w:lineRule="atLeast"/>
              <w:jc w:val="both"/>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资金总额：</w:t>
            </w:r>
          </w:p>
        </w:tc>
        <w:tc>
          <w:tcPr>
            <w:tcW w:w="1549" w:type="dxa"/>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6,336,600.00</w:t>
            </w:r>
          </w:p>
        </w:tc>
        <w:tc>
          <w:tcPr>
            <w:tcW w:w="1496" w:type="dxa"/>
            <w:gridSpan w:val="3"/>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6,206,600.00</w:t>
            </w:r>
          </w:p>
        </w:tc>
        <w:tc>
          <w:tcPr>
            <w:tcW w:w="1696" w:type="dxa"/>
            <w:gridSpan w:val="3"/>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5,805,667.69</w:t>
            </w:r>
          </w:p>
        </w:tc>
        <w:tc>
          <w:tcPr>
            <w:tcW w:w="923" w:type="dxa"/>
            <w:gridSpan w:val="2"/>
            <w:shd w:val="clear" w:color="auto" w:fill="auto"/>
            <w:noWrap/>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 xml:space="preserve">10.00 </w:t>
            </w:r>
          </w:p>
        </w:tc>
        <w:tc>
          <w:tcPr>
            <w:tcW w:w="1120" w:type="dxa"/>
            <w:gridSpan w:val="3"/>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93.54</w:t>
            </w:r>
          </w:p>
        </w:tc>
        <w:tc>
          <w:tcPr>
            <w:tcW w:w="1089" w:type="dxa"/>
            <w:shd w:val="clear" w:color="auto" w:fill="auto"/>
            <w:noWrap/>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9.35</w:t>
            </w:r>
          </w:p>
        </w:tc>
      </w:tr>
      <w:tr w:rsidR="004175FD" w:rsidTr="0016127C">
        <w:trPr>
          <w:trHeight w:val="121"/>
          <w:jc w:val="center"/>
        </w:trPr>
        <w:tc>
          <w:tcPr>
            <w:tcW w:w="2044" w:type="dxa"/>
            <w:gridSpan w:val="3"/>
            <w:shd w:val="clear" w:color="auto" w:fill="auto"/>
            <w:tcMar>
              <w:top w:w="15" w:type="dxa"/>
              <w:left w:w="15" w:type="dxa"/>
              <w:right w:w="15" w:type="dxa"/>
            </w:tcMar>
            <w:vAlign w:val="center"/>
          </w:tcPr>
          <w:p w:rsidR="004175FD" w:rsidRDefault="00686BD4" w:rsidP="0016127C">
            <w:pPr>
              <w:spacing w:line="400" w:lineRule="atLeast"/>
              <w:jc w:val="both"/>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其中：财政资金：</w:t>
            </w:r>
          </w:p>
        </w:tc>
        <w:tc>
          <w:tcPr>
            <w:tcW w:w="1549" w:type="dxa"/>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6,336,600.00</w:t>
            </w:r>
          </w:p>
        </w:tc>
        <w:tc>
          <w:tcPr>
            <w:tcW w:w="1496" w:type="dxa"/>
            <w:gridSpan w:val="3"/>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6,206,600.00</w:t>
            </w:r>
          </w:p>
        </w:tc>
        <w:tc>
          <w:tcPr>
            <w:tcW w:w="1696" w:type="dxa"/>
            <w:gridSpan w:val="3"/>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5,805,667.69</w:t>
            </w:r>
          </w:p>
        </w:tc>
        <w:tc>
          <w:tcPr>
            <w:tcW w:w="923" w:type="dxa"/>
            <w:gridSpan w:val="2"/>
            <w:shd w:val="clear" w:color="auto" w:fill="auto"/>
            <w:tcMar>
              <w:top w:w="15" w:type="dxa"/>
              <w:left w:w="15" w:type="dxa"/>
              <w:right w:w="15" w:type="dxa"/>
            </w:tcMar>
            <w:vAlign w:val="center"/>
          </w:tcPr>
          <w:p w:rsidR="004175FD" w:rsidRDefault="004175FD" w:rsidP="0016127C">
            <w:pPr>
              <w:spacing w:line="400" w:lineRule="atLeast"/>
              <w:jc w:val="right"/>
              <w:rPr>
                <w:rFonts w:ascii="DengXian" w:eastAsia="DengXian" w:hAnsi="DengXian" w:cs="DengXian"/>
                <w:color w:val="000000"/>
                <w:sz w:val="22"/>
                <w:szCs w:val="22"/>
              </w:rPr>
            </w:pPr>
          </w:p>
        </w:tc>
        <w:tc>
          <w:tcPr>
            <w:tcW w:w="1120" w:type="dxa"/>
            <w:gridSpan w:val="3"/>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93.54</w:t>
            </w:r>
          </w:p>
        </w:tc>
        <w:tc>
          <w:tcPr>
            <w:tcW w:w="1089" w:type="dxa"/>
            <w:shd w:val="clear" w:color="auto" w:fill="auto"/>
            <w:tcMar>
              <w:top w:w="15" w:type="dxa"/>
              <w:left w:w="15" w:type="dxa"/>
              <w:right w:w="15" w:type="dxa"/>
            </w:tcMar>
            <w:vAlign w:val="center"/>
          </w:tcPr>
          <w:p w:rsidR="004175FD" w:rsidRDefault="004175FD" w:rsidP="0016127C">
            <w:pPr>
              <w:spacing w:line="400" w:lineRule="atLeast"/>
              <w:jc w:val="right"/>
              <w:rPr>
                <w:rFonts w:ascii="DengXian" w:eastAsia="DengXian" w:hAnsi="DengXian" w:cs="DengXian"/>
                <w:color w:val="000000"/>
                <w:sz w:val="22"/>
                <w:szCs w:val="22"/>
              </w:rPr>
            </w:pPr>
          </w:p>
        </w:tc>
      </w:tr>
      <w:tr w:rsidR="004175FD" w:rsidTr="0016127C">
        <w:trPr>
          <w:trHeight w:val="121"/>
          <w:jc w:val="center"/>
        </w:trPr>
        <w:tc>
          <w:tcPr>
            <w:tcW w:w="2044" w:type="dxa"/>
            <w:gridSpan w:val="3"/>
            <w:shd w:val="clear" w:color="auto" w:fill="auto"/>
            <w:tcMar>
              <w:top w:w="15" w:type="dxa"/>
              <w:left w:w="15" w:type="dxa"/>
              <w:right w:w="15" w:type="dxa"/>
            </w:tcMar>
            <w:vAlign w:val="center"/>
          </w:tcPr>
          <w:p w:rsidR="004175FD" w:rsidRDefault="00686BD4" w:rsidP="0016127C">
            <w:pPr>
              <w:spacing w:line="400" w:lineRule="atLeast"/>
              <w:jc w:val="both"/>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单位资金：</w:t>
            </w:r>
          </w:p>
        </w:tc>
        <w:tc>
          <w:tcPr>
            <w:tcW w:w="1549" w:type="dxa"/>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0.00</w:t>
            </w:r>
          </w:p>
        </w:tc>
        <w:tc>
          <w:tcPr>
            <w:tcW w:w="1496" w:type="dxa"/>
            <w:gridSpan w:val="3"/>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0.00</w:t>
            </w:r>
          </w:p>
        </w:tc>
        <w:tc>
          <w:tcPr>
            <w:tcW w:w="1696" w:type="dxa"/>
            <w:gridSpan w:val="3"/>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0.00</w:t>
            </w:r>
          </w:p>
        </w:tc>
        <w:tc>
          <w:tcPr>
            <w:tcW w:w="923" w:type="dxa"/>
            <w:gridSpan w:val="2"/>
            <w:shd w:val="clear" w:color="auto" w:fill="auto"/>
            <w:tcMar>
              <w:top w:w="15" w:type="dxa"/>
              <w:left w:w="15" w:type="dxa"/>
              <w:right w:w="15" w:type="dxa"/>
            </w:tcMar>
            <w:vAlign w:val="center"/>
          </w:tcPr>
          <w:p w:rsidR="004175FD" w:rsidRDefault="004175FD" w:rsidP="0016127C">
            <w:pPr>
              <w:spacing w:line="400" w:lineRule="atLeast"/>
              <w:jc w:val="right"/>
              <w:rPr>
                <w:rFonts w:ascii="DengXian" w:eastAsia="DengXian" w:hAnsi="DengXian" w:cs="DengXian"/>
                <w:color w:val="000000"/>
                <w:sz w:val="22"/>
                <w:szCs w:val="22"/>
              </w:rPr>
            </w:pPr>
          </w:p>
        </w:tc>
        <w:tc>
          <w:tcPr>
            <w:tcW w:w="1120" w:type="dxa"/>
            <w:gridSpan w:val="3"/>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0</w:t>
            </w:r>
          </w:p>
        </w:tc>
        <w:tc>
          <w:tcPr>
            <w:tcW w:w="1089" w:type="dxa"/>
            <w:shd w:val="clear" w:color="auto" w:fill="auto"/>
            <w:tcMar>
              <w:top w:w="15" w:type="dxa"/>
              <w:left w:w="15" w:type="dxa"/>
              <w:right w:w="15" w:type="dxa"/>
            </w:tcMar>
            <w:vAlign w:val="center"/>
          </w:tcPr>
          <w:p w:rsidR="004175FD" w:rsidRDefault="004175FD" w:rsidP="0016127C">
            <w:pPr>
              <w:spacing w:line="400" w:lineRule="atLeast"/>
              <w:jc w:val="right"/>
              <w:rPr>
                <w:rFonts w:ascii="DengXian" w:eastAsia="DengXian" w:hAnsi="DengXian" w:cs="DengXian"/>
                <w:color w:val="000000"/>
                <w:sz w:val="22"/>
                <w:szCs w:val="22"/>
              </w:rPr>
            </w:pPr>
          </w:p>
        </w:tc>
      </w:tr>
      <w:tr w:rsidR="004175FD" w:rsidTr="0016127C">
        <w:trPr>
          <w:trHeight w:val="232"/>
          <w:jc w:val="center"/>
        </w:trPr>
        <w:tc>
          <w:tcPr>
            <w:tcW w:w="2044" w:type="dxa"/>
            <w:gridSpan w:val="3"/>
            <w:shd w:val="clear" w:color="auto" w:fill="auto"/>
            <w:tcMar>
              <w:top w:w="15" w:type="dxa"/>
              <w:left w:w="15" w:type="dxa"/>
              <w:right w:w="15" w:type="dxa"/>
            </w:tcMar>
            <w:vAlign w:val="center"/>
          </w:tcPr>
          <w:p w:rsidR="004175FD" w:rsidRDefault="00686BD4" w:rsidP="0016127C">
            <w:pPr>
              <w:spacing w:line="400" w:lineRule="atLeast"/>
              <w:jc w:val="both"/>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财政专户管理资金：</w:t>
            </w:r>
          </w:p>
        </w:tc>
        <w:tc>
          <w:tcPr>
            <w:tcW w:w="1549" w:type="dxa"/>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0.00</w:t>
            </w:r>
          </w:p>
        </w:tc>
        <w:tc>
          <w:tcPr>
            <w:tcW w:w="1496" w:type="dxa"/>
            <w:gridSpan w:val="3"/>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0.00</w:t>
            </w:r>
          </w:p>
        </w:tc>
        <w:tc>
          <w:tcPr>
            <w:tcW w:w="1696" w:type="dxa"/>
            <w:gridSpan w:val="3"/>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0.00</w:t>
            </w:r>
          </w:p>
        </w:tc>
        <w:tc>
          <w:tcPr>
            <w:tcW w:w="923" w:type="dxa"/>
            <w:gridSpan w:val="2"/>
            <w:shd w:val="clear" w:color="auto" w:fill="auto"/>
            <w:tcMar>
              <w:top w:w="15" w:type="dxa"/>
              <w:left w:w="15" w:type="dxa"/>
              <w:right w:w="15" w:type="dxa"/>
            </w:tcMar>
            <w:vAlign w:val="center"/>
          </w:tcPr>
          <w:p w:rsidR="004175FD" w:rsidRDefault="004175FD" w:rsidP="0016127C">
            <w:pPr>
              <w:spacing w:line="400" w:lineRule="atLeast"/>
              <w:jc w:val="right"/>
              <w:rPr>
                <w:rFonts w:ascii="DengXian" w:eastAsia="DengXian" w:hAnsi="DengXian" w:cs="DengXian"/>
                <w:color w:val="000000"/>
                <w:sz w:val="22"/>
                <w:szCs w:val="22"/>
              </w:rPr>
            </w:pPr>
          </w:p>
        </w:tc>
        <w:tc>
          <w:tcPr>
            <w:tcW w:w="1120" w:type="dxa"/>
            <w:gridSpan w:val="3"/>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0</w:t>
            </w:r>
          </w:p>
        </w:tc>
        <w:tc>
          <w:tcPr>
            <w:tcW w:w="1089" w:type="dxa"/>
            <w:shd w:val="clear" w:color="auto" w:fill="auto"/>
            <w:tcMar>
              <w:top w:w="15" w:type="dxa"/>
              <w:left w:w="15" w:type="dxa"/>
              <w:right w:w="15" w:type="dxa"/>
            </w:tcMar>
            <w:vAlign w:val="center"/>
          </w:tcPr>
          <w:p w:rsidR="004175FD" w:rsidRDefault="004175FD" w:rsidP="0016127C">
            <w:pPr>
              <w:spacing w:line="400" w:lineRule="atLeast"/>
              <w:jc w:val="right"/>
              <w:rPr>
                <w:rFonts w:ascii="DengXian" w:eastAsia="DengXian" w:hAnsi="DengXian" w:cs="DengXian"/>
                <w:color w:val="000000"/>
                <w:sz w:val="22"/>
                <w:szCs w:val="22"/>
              </w:rPr>
            </w:pPr>
          </w:p>
        </w:tc>
      </w:tr>
      <w:tr w:rsidR="004175FD" w:rsidTr="0016127C">
        <w:trPr>
          <w:trHeight w:val="131"/>
          <w:jc w:val="center"/>
        </w:trPr>
        <w:tc>
          <w:tcPr>
            <w:tcW w:w="4392" w:type="dxa"/>
            <w:gridSpan w:val="6"/>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年度目标</w:t>
            </w:r>
          </w:p>
        </w:tc>
        <w:tc>
          <w:tcPr>
            <w:tcW w:w="5525" w:type="dxa"/>
            <w:gridSpan w:val="10"/>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年度目标完成情况</w:t>
            </w:r>
          </w:p>
        </w:tc>
      </w:tr>
      <w:tr w:rsidR="004175FD" w:rsidTr="0016127C">
        <w:trPr>
          <w:trHeight w:val="525"/>
          <w:jc w:val="center"/>
        </w:trPr>
        <w:tc>
          <w:tcPr>
            <w:tcW w:w="4392" w:type="dxa"/>
            <w:gridSpan w:val="6"/>
            <w:shd w:val="clear" w:color="auto" w:fill="auto"/>
            <w:tcMar>
              <w:top w:w="15" w:type="dxa"/>
              <w:left w:w="15" w:type="dxa"/>
              <w:right w:w="15" w:type="dxa"/>
            </w:tcMar>
          </w:tcPr>
          <w:p w:rsidR="004175FD" w:rsidRDefault="00686BD4" w:rsidP="0016127C">
            <w:pPr>
              <w:spacing w:line="400" w:lineRule="atLeast"/>
              <w:textAlignment w:val="top"/>
              <w:rPr>
                <w:rFonts w:ascii="DengXian" w:eastAsia="DengXian" w:hAnsi="DengXian" w:cs="DengXian"/>
                <w:color w:val="000000"/>
                <w:sz w:val="22"/>
                <w:szCs w:val="22"/>
              </w:rPr>
            </w:pPr>
            <w:r>
              <w:rPr>
                <w:rFonts w:ascii="DengXian" w:eastAsia="DengXian" w:hAnsi="DengXian" w:cs="DengXian"/>
                <w:color w:val="000000"/>
                <w:sz w:val="22"/>
                <w:szCs w:val="22"/>
                <w:lang w:bidi="ar"/>
              </w:rPr>
              <w:t>特种设备检验数量达60000台/套，检验员持证上岗率100%，确保特种设备安全运行。</w:t>
            </w:r>
          </w:p>
        </w:tc>
        <w:tc>
          <w:tcPr>
            <w:tcW w:w="5525" w:type="dxa"/>
            <w:gridSpan w:val="10"/>
            <w:shd w:val="clear" w:color="auto" w:fill="auto"/>
            <w:tcMar>
              <w:top w:w="15" w:type="dxa"/>
              <w:left w:w="15" w:type="dxa"/>
              <w:right w:w="15" w:type="dxa"/>
            </w:tcMar>
          </w:tcPr>
          <w:p w:rsidR="004175FD" w:rsidRDefault="00686BD4" w:rsidP="0016127C">
            <w:pPr>
              <w:spacing w:line="400" w:lineRule="atLeast"/>
              <w:textAlignment w:val="top"/>
              <w:rPr>
                <w:rFonts w:ascii="DengXian" w:eastAsia="DengXian" w:hAnsi="DengXian" w:cs="DengXian"/>
                <w:color w:val="000000"/>
                <w:sz w:val="22"/>
                <w:szCs w:val="22"/>
              </w:rPr>
            </w:pPr>
            <w:r>
              <w:rPr>
                <w:rFonts w:ascii="DengXian" w:eastAsia="DengXian" w:hAnsi="DengXian" w:cs="DengXian"/>
                <w:color w:val="000000"/>
                <w:sz w:val="22"/>
                <w:szCs w:val="22"/>
                <w:lang w:bidi="ar"/>
              </w:rPr>
              <w:t>全年完成73238台/套特种设备检验任务，检验员持证上岗率100%，确保了全省特种设备的安全运行。</w:t>
            </w:r>
          </w:p>
        </w:tc>
      </w:tr>
      <w:tr w:rsidR="004175FD" w:rsidTr="0016127C">
        <w:trPr>
          <w:trHeight w:val="432"/>
          <w:jc w:val="center"/>
        </w:trPr>
        <w:tc>
          <w:tcPr>
            <w:tcW w:w="1241" w:type="dxa"/>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一级指标</w:t>
            </w:r>
          </w:p>
        </w:tc>
        <w:tc>
          <w:tcPr>
            <w:tcW w:w="671" w:type="dxa"/>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二级指标</w:t>
            </w:r>
          </w:p>
        </w:tc>
        <w:tc>
          <w:tcPr>
            <w:tcW w:w="1681" w:type="dxa"/>
            <w:gridSpan w:val="2"/>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三级指标</w:t>
            </w:r>
          </w:p>
        </w:tc>
        <w:tc>
          <w:tcPr>
            <w:tcW w:w="632" w:type="dxa"/>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指标性质</w:t>
            </w:r>
          </w:p>
        </w:tc>
        <w:tc>
          <w:tcPr>
            <w:tcW w:w="864" w:type="dxa"/>
            <w:gridSpan w:val="2"/>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年度指标值</w:t>
            </w:r>
          </w:p>
        </w:tc>
        <w:tc>
          <w:tcPr>
            <w:tcW w:w="555" w:type="dxa"/>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度量单位</w:t>
            </w:r>
          </w:p>
        </w:tc>
        <w:tc>
          <w:tcPr>
            <w:tcW w:w="697" w:type="dxa"/>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实际完成值</w:t>
            </w:r>
          </w:p>
        </w:tc>
        <w:tc>
          <w:tcPr>
            <w:tcW w:w="802" w:type="dxa"/>
            <w:gridSpan w:val="2"/>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完成率</w:t>
            </w:r>
          </w:p>
        </w:tc>
        <w:tc>
          <w:tcPr>
            <w:tcW w:w="807" w:type="dxa"/>
            <w:gridSpan w:val="2"/>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分值</w:t>
            </w:r>
          </w:p>
        </w:tc>
        <w:tc>
          <w:tcPr>
            <w:tcW w:w="661" w:type="dxa"/>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得分</w:t>
            </w:r>
          </w:p>
        </w:tc>
        <w:tc>
          <w:tcPr>
            <w:tcW w:w="1306" w:type="dxa"/>
            <w:gridSpan w:val="2"/>
            <w:shd w:val="clear" w:color="auto" w:fill="auto"/>
            <w:tcMar>
              <w:top w:w="15" w:type="dxa"/>
              <w:left w:w="15" w:type="dxa"/>
              <w:right w:w="15" w:type="dxa"/>
            </w:tcMar>
            <w:vAlign w:val="center"/>
          </w:tcPr>
          <w:p w:rsidR="004175FD" w:rsidRDefault="00686BD4" w:rsidP="0016127C">
            <w:pPr>
              <w:spacing w:line="400" w:lineRule="atLeast"/>
              <w:jc w:val="center"/>
              <w:textAlignment w:val="center"/>
              <w:rPr>
                <w:rFonts w:ascii="DengXian" w:eastAsia="DengXian" w:hAnsi="DengXian" w:cs="DengXian"/>
                <w:b/>
                <w:color w:val="000000"/>
              </w:rPr>
            </w:pPr>
            <w:r>
              <w:rPr>
                <w:rFonts w:ascii="DengXian" w:eastAsia="DengXian" w:hAnsi="DengXian" w:cs="DengXian"/>
                <w:b/>
                <w:color w:val="000000"/>
                <w:lang w:bidi="ar"/>
              </w:rPr>
              <w:t>未完成原因分析</w:t>
            </w:r>
          </w:p>
        </w:tc>
      </w:tr>
      <w:tr w:rsidR="004175FD" w:rsidTr="0016127C">
        <w:trPr>
          <w:trHeight w:val="346"/>
          <w:jc w:val="center"/>
        </w:trPr>
        <w:tc>
          <w:tcPr>
            <w:tcW w:w="1241" w:type="dxa"/>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产出指标</w:t>
            </w:r>
          </w:p>
        </w:tc>
        <w:tc>
          <w:tcPr>
            <w:tcW w:w="671" w:type="dxa"/>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数量指标</w:t>
            </w:r>
          </w:p>
        </w:tc>
        <w:tc>
          <w:tcPr>
            <w:tcW w:w="1681" w:type="dxa"/>
            <w:gridSpan w:val="2"/>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检验员接受培训人次</w:t>
            </w:r>
          </w:p>
        </w:tc>
        <w:tc>
          <w:tcPr>
            <w:tcW w:w="632" w:type="dxa"/>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w:t>
            </w:r>
          </w:p>
        </w:tc>
        <w:tc>
          <w:tcPr>
            <w:tcW w:w="864" w:type="dxa"/>
            <w:gridSpan w:val="2"/>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80</w:t>
            </w:r>
          </w:p>
        </w:tc>
        <w:tc>
          <w:tcPr>
            <w:tcW w:w="555" w:type="dxa"/>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人/次</w:t>
            </w:r>
          </w:p>
        </w:tc>
        <w:tc>
          <w:tcPr>
            <w:tcW w:w="697" w:type="dxa"/>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61</w:t>
            </w:r>
          </w:p>
        </w:tc>
        <w:tc>
          <w:tcPr>
            <w:tcW w:w="802" w:type="dxa"/>
            <w:gridSpan w:val="2"/>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76.25%</w:t>
            </w:r>
          </w:p>
        </w:tc>
        <w:tc>
          <w:tcPr>
            <w:tcW w:w="807" w:type="dxa"/>
            <w:gridSpan w:val="2"/>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25.00</w:t>
            </w:r>
          </w:p>
        </w:tc>
        <w:tc>
          <w:tcPr>
            <w:tcW w:w="661" w:type="dxa"/>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19.06</w:t>
            </w:r>
          </w:p>
        </w:tc>
        <w:tc>
          <w:tcPr>
            <w:tcW w:w="1306" w:type="dxa"/>
            <w:gridSpan w:val="2"/>
            <w:vMerge w:val="restart"/>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bidi="ar"/>
              </w:rPr>
              <w:t>受</w:t>
            </w:r>
            <w:r>
              <w:rPr>
                <w:rFonts w:ascii="DengXian" w:eastAsia="DengXian" w:hAnsi="DengXian" w:cs="DengXian"/>
                <w:color w:val="000000"/>
                <w:sz w:val="22"/>
                <w:szCs w:val="22"/>
                <w:lang w:bidi="ar"/>
              </w:rPr>
              <w:t>疫情影响，全国培训班举办减少，人员外出学习相应减少。</w:t>
            </w:r>
          </w:p>
        </w:tc>
      </w:tr>
      <w:tr w:rsidR="004175FD" w:rsidTr="0016127C">
        <w:trPr>
          <w:trHeight w:val="242"/>
          <w:jc w:val="center"/>
        </w:trPr>
        <w:tc>
          <w:tcPr>
            <w:tcW w:w="1241" w:type="dxa"/>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产出指标</w:t>
            </w:r>
          </w:p>
        </w:tc>
        <w:tc>
          <w:tcPr>
            <w:tcW w:w="671" w:type="dxa"/>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数量指标</w:t>
            </w:r>
          </w:p>
        </w:tc>
        <w:tc>
          <w:tcPr>
            <w:tcW w:w="1681" w:type="dxa"/>
            <w:gridSpan w:val="2"/>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特种设备检验数量</w:t>
            </w:r>
          </w:p>
        </w:tc>
        <w:tc>
          <w:tcPr>
            <w:tcW w:w="632" w:type="dxa"/>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w:t>
            </w:r>
          </w:p>
        </w:tc>
        <w:tc>
          <w:tcPr>
            <w:tcW w:w="864" w:type="dxa"/>
            <w:gridSpan w:val="2"/>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60000</w:t>
            </w:r>
          </w:p>
        </w:tc>
        <w:tc>
          <w:tcPr>
            <w:tcW w:w="555" w:type="dxa"/>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台/套</w:t>
            </w:r>
          </w:p>
        </w:tc>
        <w:tc>
          <w:tcPr>
            <w:tcW w:w="697" w:type="dxa"/>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73238</w:t>
            </w:r>
          </w:p>
        </w:tc>
        <w:tc>
          <w:tcPr>
            <w:tcW w:w="802" w:type="dxa"/>
            <w:gridSpan w:val="2"/>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100.00%</w:t>
            </w:r>
          </w:p>
        </w:tc>
        <w:tc>
          <w:tcPr>
            <w:tcW w:w="807" w:type="dxa"/>
            <w:gridSpan w:val="2"/>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40.00</w:t>
            </w:r>
          </w:p>
        </w:tc>
        <w:tc>
          <w:tcPr>
            <w:tcW w:w="661" w:type="dxa"/>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40</w:t>
            </w:r>
          </w:p>
        </w:tc>
        <w:tc>
          <w:tcPr>
            <w:tcW w:w="1306" w:type="dxa"/>
            <w:gridSpan w:val="2"/>
            <w:vMerge/>
            <w:shd w:val="clear" w:color="auto" w:fill="auto"/>
            <w:noWrap/>
            <w:tcMar>
              <w:top w:w="15" w:type="dxa"/>
              <w:left w:w="15" w:type="dxa"/>
              <w:right w:w="15" w:type="dxa"/>
            </w:tcMar>
            <w:vAlign w:val="center"/>
          </w:tcPr>
          <w:p w:rsidR="004175FD" w:rsidRDefault="004175FD" w:rsidP="0016127C">
            <w:pPr>
              <w:spacing w:line="400" w:lineRule="atLeast"/>
              <w:rPr>
                <w:rFonts w:ascii="DengXian" w:eastAsia="DengXian" w:hAnsi="DengXian" w:cs="DengXian"/>
                <w:color w:val="000000"/>
                <w:sz w:val="22"/>
                <w:szCs w:val="22"/>
              </w:rPr>
            </w:pPr>
          </w:p>
        </w:tc>
      </w:tr>
      <w:tr w:rsidR="004175FD" w:rsidTr="0016127C">
        <w:trPr>
          <w:trHeight w:val="242"/>
          <w:jc w:val="center"/>
        </w:trPr>
        <w:tc>
          <w:tcPr>
            <w:tcW w:w="1241" w:type="dxa"/>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效益指标</w:t>
            </w:r>
          </w:p>
        </w:tc>
        <w:tc>
          <w:tcPr>
            <w:tcW w:w="671" w:type="dxa"/>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社会效益指标</w:t>
            </w:r>
          </w:p>
        </w:tc>
        <w:tc>
          <w:tcPr>
            <w:tcW w:w="1681" w:type="dxa"/>
            <w:gridSpan w:val="2"/>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检验员持证上岗率</w:t>
            </w:r>
          </w:p>
        </w:tc>
        <w:tc>
          <w:tcPr>
            <w:tcW w:w="632" w:type="dxa"/>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w:t>
            </w:r>
          </w:p>
        </w:tc>
        <w:tc>
          <w:tcPr>
            <w:tcW w:w="864" w:type="dxa"/>
            <w:gridSpan w:val="2"/>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100</w:t>
            </w:r>
          </w:p>
        </w:tc>
        <w:tc>
          <w:tcPr>
            <w:tcW w:w="555" w:type="dxa"/>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w:t>
            </w:r>
          </w:p>
        </w:tc>
        <w:tc>
          <w:tcPr>
            <w:tcW w:w="697" w:type="dxa"/>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100</w:t>
            </w:r>
          </w:p>
        </w:tc>
        <w:tc>
          <w:tcPr>
            <w:tcW w:w="802" w:type="dxa"/>
            <w:gridSpan w:val="2"/>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100.00%</w:t>
            </w:r>
          </w:p>
        </w:tc>
        <w:tc>
          <w:tcPr>
            <w:tcW w:w="807" w:type="dxa"/>
            <w:gridSpan w:val="2"/>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25.00</w:t>
            </w:r>
          </w:p>
        </w:tc>
        <w:tc>
          <w:tcPr>
            <w:tcW w:w="661" w:type="dxa"/>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25</w:t>
            </w:r>
          </w:p>
        </w:tc>
        <w:tc>
          <w:tcPr>
            <w:tcW w:w="1306" w:type="dxa"/>
            <w:gridSpan w:val="2"/>
            <w:vMerge/>
            <w:shd w:val="clear" w:color="auto" w:fill="auto"/>
            <w:noWrap/>
            <w:tcMar>
              <w:top w:w="15" w:type="dxa"/>
              <w:left w:w="15" w:type="dxa"/>
              <w:right w:w="15" w:type="dxa"/>
            </w:tcMar>
            <w:vAlign w:val="center"/>
          </w:tcPr>
          <w:p w:rsidR="004175FD" w:rsidRDefault="004175FD" w:rsidP="0016127C">
            <w:pPr>
              <w:spacing w:line="400" w:lineRule="atLeast"/>
              <w:rPr>
                <w:rFonts w:ascii="DengXian" w:eastAsia="DengXian" w:hAnsi="DengXian" w:cs="DengXian"/>
                <w:color w:val="000000"/>
                <w:sz w:val="22"/>
                <w:szCs w:val="22"/>
              </w:rPr>
            </w:pPr>
          </w:p>
        </w:tc>
      </w:tr>
      <w:tr w:rsidR="004175FD" w:rsidTr="0016127C">
        <w:trPr>
          <w:trHeight w:val="246"/>
          <w:jc w:val="center"/>
        </w:trPr>
        <w:tc>
          <w:tcPr>
            <w:tcW w:w="7143" w:type="dxa"/>
            <w:gridSpan w:val="11"/>
            <w:shd w:val="clear" w:color="auto" w:fill="auto"/>
            <w:tcMar>
              <w:top w:w="15" w:type="dxa"/>
              <w:left w:w="15" w:type="dxa"/>
              <w:right w:w="15" w:type="dxa"/>
            </w:tcMar>
            <w:vAlign w:val="center"/>
          </w:tcPr>
          <w:p w:rsidR="004175FD" w:rsidRDefault="00686BD4" w:rsidP="0016127C">
            <w:pPr>
              <w:spacing w:line="400" w:lineRule="atLeas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合计</w:t>
            </w:r>
          </w:p>
        </w:tc>
        <w:tc>
          <w:tcPr>
            <w:tcW w:w="807" w:type="dxa"/>
            <w:gridSpan w:val="2"/>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100.00</w:t>
            </w:r>
          </w:p>
        </w:tc>
        <w:tc>
          <w:tcPr>
            <w:tcW w:w="661" w:type="dxa"/>
            <w:shd w:val="clear" w:color="auto" w:fill="auto"/>
            <w:tcMar>
              <w:top w:w="15" w:type="dxa"/>
              <w:left w:w="15" w:type="dxa"/>
              <w:right w:w="15" w:type="dxa"/>
            </w:tcMar>
            <w:vAlign w:val="center"/>
          </w:tcPr>
          <w:p w:rsidR="004175FD" w:rsidRDefault="00686BD4" w:rsidP="0016127C">
            <w:pPr>
              <w:spacing w:line="400" w:lineRule="atLeast"/>
              <w:jc w:val="right"/>
              <w:textAlignment w:val="center"/>
              <w:rPr>
                <w:rFonts w:ascii="DengXian" w:eastAsia="DengXian" w:hAnsi="DengXian" w:cs="DengXian"/>
                <w:color w:val="000000"/>
                <w:sz w:val="22"/>
                <w:szCs w:val="22"/>
              </w:rPr>
            </w:pPr>
            <w:r>
              <w:rPr>
                <w:rFonts w:ascii="DengXian" w:eastAsia="DengXian" w:hAnsi="DengXian" w:cs="DengXian"/>
                <w:color w:val="000000"/>
                <w:sz w:val="22"/>
                <w:szCs w:val="22"/>
                <w:lang w:bidi="ar"/>
              </w:rPr>
              <w:t>93.41</w:t>
            </w:r>
          </w:p>
        </w:tc>
        <w:tc>
          <w:tcPr>
            <w:tcW w:w="1306" w:type="dxa"/>
            <w:gridSpan w:val="2"/>
            <w:vMerge/>
            <w:shd w:val="clear" w:color="auto" w:fill="auto"/>
            <w:noWrap/>
            <w:tcMar>
              <w:top w:w="15" w:type="dxa"/>
              <w:left w:w="15" w:type="dxa"/>
              <w:right w:w="15" w:type="dxa"/>
            </w:tcMar>
            <w:vAlign w:val="center"/>
          </w:tcPr>
          <w:p w:rsidR="004175FD" w:rsidRDefault="004175FD" w:rsidP="0016127C">
            <w:pPr>
              <w:spacing w:line="400" w:lineRule="atLeast"/>
              <w:rPr>
                <w:rFonts w:ascii="DengXian" w:eastAsia="DengXian" w:hAnsi="DengXian" w:cs="DengXian"/>
                <w:color w:val="000000"/>
                <w:sz w:val="22"/>
                <w:szCs w:val="22"/>
              </w:rPr>
            </w:pPr>
          </w:p>
        </w:tc>
      </w:tr>
    </w:tbl>
    <w:p w:rsidR="004175FD" w:rsidRDefault="004175FD" w:rsidP="0016127C">
      <w:pPr>
        <w:pStyle w:val="a0"/>
        <w:spacing w:line="400" w:lineRule="atLeast"/>
      </w:pPr>
    </w:p>
    <w:p w:rsidR="004175FD" w:rsidRDefault="004175FD">
      <w:pPr>
        <w:pStyle w:val="a0"/>
      </w:pPr>
    </w:p>
    <w:p w:rsidR="004175FD" w:rsidRDefault="00686BD4" w:rsidP="0016127C">
      <w:pPr>
        <w:widowControl w:val="0"/>
        <w:autoSpaceDE w:val="0"/>
        <w:spacing w:line="576" w:lineRule="exact"/>
        <w:jc w:val="both"/>
        <w:rPr>
          <w:rFonts w:ascii="仿宋_GB2312" w:eastAsia="仿宋_GB2312" w:hAnsi="楷体" w:cs="楷体"/>
          <w:sz w:val="32"/>
          <w:szCs w:val="32"/>
        </w:rPr>
      </w:pPr>
      <w:r>
        <w:rPr>
          <w:rFonts w:ascii="仿宋_GB2312" w:eastAsia="仿宋_GB2312" w:hAnsi="楷体" w:cs="楷体" w:hint="eastAsia"/>
          <w:sz w:val="32"/>
          <w:szCs w:val="32"/>
        </w:rPr>
        <w:t>“事业运行”</w:t>
      </w:r>
      <w:r>
        <w:rPr>
          <w:rFonts w:ascii="仿宋_GB2312" w:eastAsia="仿宋_GB2312" w:hAnsi="楷体" w:cs="楷体"/>
          <w:sz w:val="32"/>
          <w:szCs w:val="32"/>
        </w:rPr>
        <w:t>项目绩效自评综述：根据年初设定的绩效目标，</w:t>
      </w:r>
      <w:r>
        <w:rPr>
          <w:rFonts w:ascii="仿宋_GB2312" w:eastAsia="仿宋_GB2312" w:hAnsi="楷体" w:cs="楷体"/>
          <w:sz w:val="32"/>
          <w:szCs w:val="32"/>
        </w:rPr>
        <w:lastRenderedPageBreak/>
        <w:t>项目自评得分为</w:t>
      </w:r>
      <w:r>
        <w:rPr>
          <w:rFonts w:ascii="仿宋_GB2312" w:eastAsia="仿宋_GB2312" w:hAnsi="楷体" w:cs="楷体" w:hint="eastAsia"/>
          <w:sz w:val="32"/>
          <w:szCs w:val="32"/>
        </w:rPr>
        <w:t>93.41</w:t>
      </w:r>
      <w:r>
        <w:rPr>
          <w:rFonts w:ascii="仿宋_GB2312" w:eastAsia="仿宋_GB2312" w:hAnsi="楷体" w:cs="楷体"/>
          <w:sz w:val="32"/>
          <w:szCs w:val="32"/>
        </w:rPr>
        <w:t>分。全年预算数为</w:t>
      </w:r>
      <w:r>
        <w:rPr>
          <w:rFonts w:ascii="仿宋_GB2312" w:eastAsia="仿宋_GB2312" w:hAnsi="楷体" w:cs="楷体" w:hint="eastAsia"/>
          <w:sz w:val="32"/>
          <w:szCs w:val="32"/>
        </w:rPr>
        <w:t>620.66</w:t>
      </w:r>
      <w:r>
        <w:rPr>
          <w:rFonts w:ascii="仿宋_GB2312" w:eastAsia="仿宋_GB2312" w:hAnsi="楷体" w:cs="楷体"/>
          <w:sz w:val="32"/>
          <w:szCs w:val="32"/>
        </w:rPr>
        <w:t>万元，执行数为</w:t>
      </w:r>
      <w:r>
        <w:rPr>
          <w:rFonts w:ascii="仿宋_GB2312" w:eastAsia="仿宋_GB2312" w:hAnsi="楷体" w:cs="楷体" w:hint="eastAsia"/>
          <w:sz w:val="32"/>
          <w:szCs w:val="32"/>
        </w:rPr>
        <w:t>580.56</w:t>
      </w:r>
      <w:r>
        <w:rPr>
          <w:rFonts w:ascii="仿宋_GB2312" w:eastAsia="仿宋_GB2312" w:hAnsi="楷体" w:cs="楷体"/>
          <w:sz w:val="32"/>
          <w:szCs w:val="32"/>
        </w:rPr>
        <w:t>万元，完成预算的</w:t>
      </w:r>
      <w:r>
        <w:rPr>
          <w:rFonts w:ascii="仿宋_GB2312" w:eastAsia="仿宋_GB2312" w:hAnsi="楷体" w:cs="楷体" w:hint="eastAsia"/>
          <w:sz w:val="32"/>
          <w:szCs w:val="32"/>
        </w:rPr>
        <w:t>93.54</w:t>
      </w:r>
      <w:r>
        <w:rPr>
          <w:rFonts w:ascii="仿宋_GB2312" w:eastAsia="仿宋_GB2312" w:hAnsi="楷体" w:cs="楷体"/>
          <w:sz w:val="32"/>
          <w:szCs w:val="32"/>
        </w:rPr>
        <w:t>%。项目绩效目标完成情况：一是</w:t>
      </w:r>
      <w:r>
        <w:rPr>
          <w:rFonts w:ascii="仿宋_GB2312" w:eastAsia="仿宋_GB2312" w:hAnsi="楷体" w:cs="楷体" w:hint="eastAsia"/>
          <w:sz w:val="32"/>
          <w:szCs w:val="32"/>
        </w:rPr>
        <w:t>完成了73000台/套在用特种设备安全技术检验工作，完成了年初检验60000台/套在用特种设备的目标</w:t>
      </w:r>
      <w:r>
        <w:rPr>
          <w:rFonts w:ascii="仿宋_GB2312" w:eastAsia="仿宋_GB2312" w:hAnsi="楷体" w:cs="楷体"/>
          <w:sz w:val="32"/>
          <w:szCs w:val="32"/>
        </w:rPr>
        <w:t>；二是</w:t>
      </w:r>
      <w:r>
        <w:rPr>
          <w:rFonts w:ascii="仿宋_GB2312" w:eastAsia="仿宋_GB2312" w:hAnsi="楷体" w:cs="楷体" w:hint="eastAsia"/>
          <w:sz w:val="32"/>
          <w:szCs w:val="32"/>
        </w:rPr>
        <w:t>人员外出学习培训100人/次/项，达到年初设定的培训100人次的目标</w:t>
      </w:r>
      <w:r>
        <w:rPr>
          <w:rFonts w:ascii="仿宋_GB2312" w:eastAsia="仿宋_GB2312" w:hAnsi="楷体" w:cs="楷体"/>
          <w:sz w:val="32"/>
          <w:szCs w:val="32"/>
        </w:rPr>
        <w:t>。发现的主要问题及原因：一是</w:t>
      </w:r>
      <w:r>
        <w:rPr>
          <w:rFonts w:ascii="仿宋_GB2312" w:eastAsia="仿宋_GB2312" w:hAnsi="楷体" w:cs="楷体" w:hint="eastAsia"/>
          <w:sz w:val="32"/>
          <w:szCs w:val="32"/>
        </w:rPr>
        <w:t>特种设备数量不断增加，我省特种设备检验任务越来越重，人机不匹配的矛盾越来越突出；二是体制机制制约，激励机制不活，无法体现多劳多得的分配制度，难以调动职工的工作积极性及创新精神。</w:t>
      </w:r>
      <w:r>
        <w:rPr>
          <w:rFonts w:ascii="仿宋_GB2312" w:eastAsia="仿宋_GB2312" w:hAnsi="楷体" w:cs="楷体"/>
          <w:sz w:val="32"/>
          <w:szCs w:val="32"/>
        </w:rPr>
        <w:t>建议：</w:t>
      </w:r>
      <w:r>
        <w:rPr>
          <w:rFonts w:ascii="仿宋_GB2312" w:eastAsia="仿宋_GB2312" w:hAnsi="楷体" w:cs="楷体" w:hint="eastAsia"/>
          <w:sz w:val="32"/>
          <w:szCs w:val="32"/>
        </w:rPr>
        <w:t>加大特种设备安全监管项目经费投入，加强高精尖人才引进及体制活力，增强单位激励分配机制自主权，保障特种设备安全运行，实现我省特检事业科学、和谐发展。</w:t>
      </w:r>
    </w:p>
    <w:p w:rsidR="003C63BD" w:rsidRDefault="00686BD4">
      <w:pPr>
        <w:widowControl w:val="0"/>
        <w:autoSpaceDE w:val="0"/>
        <w:spacing w:line="576" w:lineRule="exact"/>
        <w:ind w:firstLineChars="200" w:firstLine="643"/>
        <w:rPr>
          <w:rFonts w:ascii="楷体" w:eastAsia="楷体" w:hAnsi="楷体" w:hint="eastAsia"/>
          <w:b/>
          <w:bCs/>
          <w:sz w:val="32"/>
          <w:szCs w:val="32"/>
        </w:rPr>
      </w:pPr>
      <w:r>
        <w:rPr>
          <w:rFonts w:ascii="楷体" w:eastAsia="楷体" w:hAnsi="楷体" w:hint="eastAsia"/>
          <w:b/>
          <w:bCs/>
          <w:sz w:val="32"/>
          <w:szCs w:val="32"/>
        </w:rPr>
        <w:t>（三）</w:t>
      </w:r>
      <w:r w:rsidR="003C63BD">
        <w:rPr>
          <w:rFonts w:ascii="楷体" w:eastAsia="楷体" w:hAnsi="楷体" w:hint="eastAsia"/>
          <w:b/>
          <w:bCs/>
          <w:sz w:val="32"/>
          <w:szCs w:val="32"/>
        </w:rPr>
        <w:t>部</w:t>
      </w:r>
      <w:r w:rsidR="003C63BD">
        <w:rPr>
          <w:rFonts w:ascii="楷体" w:eastAsia="楷体" w:hAnsi="楷体"/>
          <w:b/>
          <w:bCs/>
          <w:sz w:val="32"/>
          <w:szCs w:val="32"/>
        </w:rPr>
        <w:t>门评价结果</w:t>
      </w:r>
      <w:r w:rsidR="003C63BD">
        <w:rPr>
          <w:rFonts w:ascii="楷体" w:eastAsia="楷体" w:hAnsi="楷体" w:hint="eastAsia"/>
          <w:b/>
          <w:bCs/>
          <w:sz w:val="32"/>
          <w:szCs w:val="32"/>
        </w:rPr>
        <w:t>。</w:t>
      </w:r>
    </w:p>
    <w:p w:rsidR="003C63BD" w:rsidRPr="00E4753A" w:rsidRDefault="003C63BD" w:rsidP="00E4753A">
      <w:pPr>
        <w:widowControl w:val="0"/>
        <w:autoSpaceDE w:val="0"/>
        <w:spacing w:line="576" w:lineRule="exact"/>
        <w:ind w:firstLineChars="300" w:firstLine="960"/>
        <w:rPr>
          <w:rFonts w:ascii="仿宋_GB2312" w:eastAsia="仿宋_GB2312" w:hAnsi="楷体" w:cs="楷体" w:hint="eastAsia"/>
          <w:sz w:val="32"/>
          <w:szCs w:val="32"/>
        </w:rPr>
      </w:pPr>
      <w:r>
        <w:rPr>
          <w:rFonts w:ascii="仿宋_GB2312" w:eastAsia="仿宋_GB2312" w:hAnsi="楷体" w:cs="楷体" w:hint="eastAsia"/>
          <w:sz w:val="32"/>
          <w:szCs w:val="32"/>
        </w:rPr>
        <w:t>无</w:t>
      </w:r>
    </w:p>
    <w:p w:rsidR="004175FD" w:rsidRDefault="003C63BD">
      <w:pPr>
        <w:widowControl w:val="0"/>
        <w:autoSpaceDE w:val="0"/>
        <w:spacing w:line="576" w:lineRule="exact"/>
        <w:ind w:firstLineChars="200" w:firstLine="643"/>
        <w:rPr>
          <w:rFonts w:ascii="楷体" w:eastAsia="楷体" w:hAnsi="楷体"/>
          <w:b/>
          <w:bCs/>
          <w:sz w:val="32"/>
          <w:szCs w:val="32"/>
        </w:rPr>
      </w:pPr>
      <w:r>
        <w:rPr>
          <w:rFonts w:ascii="楷体" w:eastAsia="楷体" w:hAnsi="楷体" w:hint="eastAsia"/>
          <w:b/>
          <w:bCs/>
          <w:sz w:val="32"/>
          <w:szCs w:val="32"/>
        </w:rPr>
        <w:t>（四）</w:t>
      </w:r>
      <w:r w:rsidR="00686BD4">
        <w:rPr>
          <w:rFonts w:ascii="楷体" w:eastAsia="楷体" w:hAnsi="楷体" w:hint="eastAsia"/>
          <w:b/>
          <w:bCs/>
          <w:sz w:val="32"/>
          <w:szCs w:val="32"/>
        </w:rPr>
        <w:t>财政评价结果。</w:t>
      </w:r>
    </w:p>
    <w:p w:rsidR="004175FD" w:rsidRDefault="00686BD4">
      <w:pPr>
        <w:widowControl w:val="0"/>
        <w:autoSpaceDE w:val="0"/>
        <w:spacing w:line="576" w:lineRule="exact"/>
        <w:ind w:firstLineChars="300" w:firstLine="960"/>
        <w:rPr>
          <w:rFonts w:ascii="仿宋_GB2312" w:eastAsia="仿宋_GB2312" w:hAnsi="楷体" w:cs="楷体"/>
          <w:sz w:val="32"/>
          <w:szCs w:val="32"/>
        </w:rPr>
      </w:pPr>
      <w:r>
        <w:rPr>
          <w:rFonts w:ascii="仿宋_GB2312" w:eastAsia="仿宋_GB2312" w:hAnsi="楷体" w:cs="楷体" w:hint="eastAsia"/>
          <w:sz w:val="32"/>
          <w:szCs w:val="32"/>
        </w:rPr>
        <w:t>无</w:t>
      </w:r>
    </w:p>
    <w:p w:rsidR="004175FD" w:rsidRDefault="00686BD4">
      <w:pPr>
        <w:widowControl w:val="0"/>
        <w:numPr>
          <w:ilvl w:val="0"/>
          <w:numId w:val="4"/>
        </w:numPr>
        <w:autoSpaceDE w:val="0"/>
        <w:spacing w:line="576" w:lineRule="exact"/>
        <w:ind w:firstLineChars="200" w:firstLine="640"/>
        <w:rPr>
          <w:rFonts w:ascii="黑体" w:eastAsia="黑体" w:hAnsi="黑体"/>
          <w:sz w:val="32"/>
          <w:szCs w:val="32"/>
        </w:rPr>
      </w:pPr>
      <w:r>
        <w:rPr>
          <w:rFonts w:ascii="黑体" w:eastAsia="黑体" w:hAnsi="黑体" w:hint="eastAsia"/>
          <w:sz w:val="32"/>
          <w:szCs w:val="32"/>
        </w:rPr>
        <w:t>其他重要事项情况说明。</w:t>
      </w:r>
    </w:p>
    <w:p w:rsidR="004175FD" w:rsidRDefault="00686BD4">
      <w:pPr>
        <w:widowControl w:val="0"/>
        <w:autoSpaceDE w:val="0"/>
        <w:spacing w:line="576" w:lineRule="exact"/>
        <w:ind w:firstLineChars="200" w:firstLine="643"/>
        <w:rPr>
          <w:rFonts w:ascii="楷体" w:eastAsia="楷体" w:hAnsi="楷体"/>
          <w:b/>
          <w:bCs/>
          <w:sz w:val="32"/>
          <w:szCs w:val="32"/>
        </w:rPr>
      </w:pPr>
      <w:r>
        <w:rPr>
          <w:rFonts w:ascii="楷体" w:eastAsia="楷体" w:hAnsi="楷体" w:hint="eastAsia"/>
          <w:b/>
          <w:bCs/>
          <w:sz w:val="32"/>
          <w:szCs w:val="32"/>
        </w:rPr>
        <w:t>（一）机关运行经费支出情况。</w:t>
      </w:r>
    </w:p>
    <w:p w:rsidR="004175FD" w:rsidRDefault="00686BD4">
      <w:pPr>
        <w:widowControl w:val="0"/>
        <w:autoSpaceDE w:val="0"/>
        <w:spacing w:line="576" w:lineRule="exact"/>
        <w:ind w:firstLineChars="200" w:firstLine="640"/>
        <w:rPr>
          <w:rFonts w:ascii="楷体" w:eastAsia="楷体" w:hAnsi="楷体"/>
          <w:b/>
          <w:bCs/>
          <w:sz w:val="32"/>
          <w:szCs w:val="32"/>
        </w:rPr>
      </w:pPr>
      <w:r>
        <w:rPr>
          <w:rFonts w:ascii="仿宋_GB2312" w:eastAsia="仿宋_GB2312" w:hAnsi="ˎ̥" w:hint="eastAsia"/>
          <w:sz w:val="32"/>
          <w:szCs w:val="32"/>
        </w:rPr>
        <w:t>海南省锅炉压力容器与特种设备检验所为财政全额拨款事业单位，2022年度无机关运行经费。</w:t>
      </w:r>
    </w:p>
    <w:p w:rsidR="004175FD" w:rsidRDefault="00686BD4">
      <w:pPr>
        <w:widowControl w:val="0"/>
        <w:autoSpaceDE w:val="0"/>
        <w:spacing w:line="576" w:lineRule="exact"/>
        <w:ind w:firstLineChars="200" w:firstLine="643"/>
        <w:rPr>
          <w:rFonts w:ascii="楷体" w:eastAsia="楷体" w:hAnsi="楷体"/>
          <w:b/>
          <w:bCs/>
          <w:sz w:val="32"/>
          <w:szCs w:val="32"/>
        </w:rPr>
      </w:pPr>
      <w:r>
        <w:rPr>
          <w:rFonts w:ascii="楷体" w:eastAsia="楷体" w:hAnsi="楷体" w:hint="eastAsia"/>
          <w:b/>
          <w:bCs/>
          <w:sz w:val="32"/>
          <w:szCs w:val="32"/>
        </w:rPr>
        <w:t>（二）政府采购支出情况。</w:t>
      </w:r>
    </w:p>
    <w:p w:rsidR="004175FD" w:rsidRDefault="00686BD4">
      <w:pPr>
        <w:widowControl w:val="0"/>
        <w:autoSpaceDE w:val="0"/>
        <w:spacing w:line="56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2022年度海南省锅炉压力容器与特种设备检验所政府采购</w:t>
      </w:r>
      <w:r>
        <w:rPr>
          <w:rFonts w:ascii="仿宋_GB2312" w:eastAsia="仿宋_GB2312" w:hAnsi="ˎ̥" w:hint="eastAsia"/>
          <w:sz w:val="32"/>
          <w:szCs w:val="32"/>
        </w:rPr>
        <w:lastRenderedPageBreak/>
        <w:t>支出总额277.76万元，其中：政府采购货物支出277.76万元。授</w:t>
      </w:r>
      <w:r>
        <w:rPr>
          <w:rFonts w:ascii="仿宋_GB2312" w:eastAsia="仿宋_GB2312" w:hAnsi="ˎ̥" w:hint="eastAsia"/>
          <w:spacing w:val="-10"/>
          <w:sz w:val="32"/>
          <w:szCs w:val="32"/>
        </w:rPr>
        <w:t>予中小企业合同金额0万元，占政府采购支出总额的0%，其中：</w:t>
      </w:r>
      <w:r>
        <w:rPr>
          <w:rFonts w:ascii="仿宋_GB2312" w:eastAsia="仿宋_GB2312" w:hAnsi="ˎ̥" w:hint="eastAsia"/>
          <w:sz w:val="32"/>
          <w:szCs w:val="32"/>
        </w:rPr>
        <w:t>授予小微企业合同金额0万元，占政府采购支出总额的0%。</w:t>
      </w:r>
    </w:p>
    <w:p w:rsidR="004175FD" w:rsidRDefault="00686BD4">
      <w:pPr>
        <w:widowControl w:val="0"/>
        <w:autoSpaceDE w:val="0"/>
        <w:spacing w:line="560" w:lineRule="exact"/>
        <w:ind w:firstLineChars="200" w:firstLine="643"/>
        <w:jc w:val="both"/>
        <w:rPr>
          <w:rFonts w:ascii="楷体" w:eastAsia="楷体" w:hAnsi="楷体"/>
          <w:b/>
          <w:bCs/>
          <w:sz w:val="32"/>
          <w:szCs w:val="32"/>
        </w:rPr>
      </w:pPr>
      <w:r>
        <w:rPr>
          <w:rFonts w:ascii="楷体" w:eastAsia="楷体" w:hAnsi="楷体" w:hint="eastAsia"/>
          <w:b/>
          <w:bCs/>
          <w:sz w:val="32"/>
          <w:szCs w:val="32"/>
        </w:rPr>
        <w:t>（三）国有资产占用情况。</w:t>
      </w:r>
    </w:p>
    <w:p w:rsidR="004175FD" w:rsidRDefault="00686BD4">
      <w:pPr>
        <w:widowControl w:val="0"/>
        <w:autoSpaceDE w:val="0"/>
        <w:spacing w:line="560" w:lineRule="exact"/>
        <w:ind w:firstLineChars="200" w:firstLine="640"/>
        <w:jc w:val="both"/>
        <w:rPr>
          <w:rFonts w:ascii="仿宋_GB2312" w:eastAsia="仿宋_GB2312" w:hAnsi="ˎ̥" w:hint="eastAsia"/>
          <w:sz w:val="32"/>
          <w:szCs w:val="32"/>
        </w:rPr>
      </w:pPr>
      <w:bookmarkStart w:id="2" w:name="_GoBack"/>
      <w:r>
        <w:rPr>
          <w:rFonts w:ascii="仿宋_GB2312" w:eastAsia="仿宋_GB2312" w:hAnsi="ˎ̥" w:hint="eastAsia"/>
          <w:sz w:val="32"/>
          <w:szCs w:val="32"/>
        </w:rPr>
        <w:t>截至2022年12月31日，本单位占用房屋面积10,920.61</w:t>
      </w:r>
      <w:bookmarkEnd w:id="2"/>
      <w:r>
        <w:rPr>
          <w:rFonts w:ascii="仿宋_GB2312" w:eastAsia="仿宋_GB2312" w:hAnsi="ˎ̥" w:hint="eastAsia"/>
          <w:sz w:val="32"/>
          <w:szCs w:val="32"/>
        </w:rPr>
        <w:t>平方米，其中：业务用房10,380平方米，其他（不含构筑物）540.61平方米。</w:t>
      </w:r>
    </w:p>
    <w:p w:rsidR="004175FD" w:rsidRDefault="00686BD4">
      <w:pPr>
        <w:widowControl w:val="0"/>
        <w:autoSpaceDE w:val="0"/>
        <w:spacing w:line="560" w:lineRule="exact"/>
        <w:ind w:firstLineChars="200" w:firstLine="624"/>
        <w:jc w:val="both"/>
        <w:rPr>
          <w:rFonts w:ascii="仿宋_GB2312" w:eastAsia="仿宋_GB2312" w:hAnsi="ˎ̥" w:hint="eastAsia"/>
          <w:sz w:val="32"/>
          <w:szCs w:val="32"/>
        </w:rPr>
      </w:pPr>
      <w:r>
        <w:rPr>
          <w:rFonts w:ascii="仿宋_GB2312" w:eastAsia="仿宋_GB2312" w:hAnsi="ˎ̥" w:hint="eastAsia"/>
          <w:spacing w:val="-8"/>
          <w:sz w:val="32"/>
          <w:szCs w:val="32"/>
        </w:rPr>
        <w:t>本单位共有车辆4辆，其中：从车辆种类说明：轿车1辆，</w:t>
      </w:r>
      <w:r>
        <w:rPr>
          <w:rFonts w:ascii="仿宋_GB2312" w:eastAsia="仿宋_GB2312" w:hAnsi="ˎ̥" w:hint="eastAsia"/>
          <w:sz w:val="32"/>
          <w:szCs w:val="32"/>
        </w:rPr>
        <w:t>其他车型3辆，其他车型主要是检验检测用车。</w:t>
      </w:r>
    </w:p>
    <w:p w:rsidR="004175FD" w:rsidRDefault="00686BD4">
      <w:pPr>
        <w:widowControl w:val="0"/>
        <w:autoSpaceDE w:val="0"/>
        <w:spacing w:line="56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100万元（含）以上专用设备0台（套）。</w:t>
      </w:r>
    </w:p>
    <w:p w:rsidR="004175FD" w:rsidRDefault="00686BD4">
      <w:pPr>
        <w:widowControl w:val="0"/>
        <w:autoSpaceDE w:val="0"/>
        <w:spacing w:line="560" w:lineRule="exact"/>
        <w:ind w:firstLineChars="200" w:firstLine="640"/>
        <w:jc w:val="both"/>
        <w:rPr>
          <w:rFonts w:ascii="黑体" w:eastAsia="黑体" w:hAnsi="黑体"/>
          <w:sz w:val="32"/>
          <w:szCs w:val="32"/>
        </w:rPr>
      </w:pPr>
      <w:r>
        <w:rPr>
          <w:rFonts w:ascii="仿宋_GB2312" w:eastAsia="仿宋_GB2312" w:hAnsi="ˎ̥" w:hint="eastAsia"/>
          <w:sz w:val="32"/>
          <w:szCs w:val="32"/>
        </w:rPr>
        <w:t>年末在建工程0万元。</w:t>
      </w:r>
    </w:p>
    <w:p w:rsidR="004175FD" w:rsidRDefault="004175FD">
      <w:pPr>
        <w:widowControl w:val="0"/>
        <w:autoSpaceDE w:val="0"/>
        <w:spacing w:line="576" w:lineRule="exact"/>
        <w:ind w:left="546"/>
        <w:jc w:val="both"/>
        <w:rPr>
          <w:rFonts w:ascii="黑体" w:eastAsia="黑体" w:hAnsi="ˎ̥" w:hint="eastAsia"/>
          <w:sz w:val="32"/>
          <w:szCs w:val="32"/>
        </w:rPr>
      </w:pPr>
    </w:p>
    <w:p w:rsidR="004175FD" w:rsidRDefault="00686BD4">
      <w:pPr>
        <w:widowControl w:val="0"/>
        <w:autoSpaceDE w:val="0"/>
        <w:spacing w:line="576" w:lineRule="exact"/>
        <w:ind w:left="546"/>
        <w:jc w:val="both"/>
        <w:rPr>
          <w:rFonts w:ascii="仿宋_GB2312" w:eastAsia="仿宋_GB2312" w:hAnsi="ˎ̥" w:hint="eastAsia"/>
          <w:sz w:val="32"/>
          <w:szCs w:val="32"/>
        </w:rPr>
      </w:pPr>
      <w:r>
        <w:rPr>
          <w:rFonts w:ascii="黑体" w:eastAsia="黑体" w:hAnsi="ˎ̥" w:hint="eastAsia"/>
          <w:sz w:val="32"/>
          <w:szCs w:val="32"/>
        </w:rPr>
        <w:t xml:space="preserve">              第四部分   </w:t>
      </w:r>
      <w:r>
        <w:rPr>
          <w:rFonts w:ascii="黑体" w:eastAsia="黑体" w:hAnsi="黑体" w:hint="eastAsia"/>
          <w:sz w:val="32"/>
          <w:szCs w:val="32"/>
        </w:rPr>
        <w:t>名词解释</w:t>
      </w:r>
    </w:p>
    <w:p w:rsidR="004175FD" w:rsidRDefault="00686BD4">
      <w:pPr>
        <w:widowControl w:val="0"/>
        <w:autoSpaceDE w:val="0"/>
        <w:spacing w:line="56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一、财政拨款收入：指本级财政当年拨付的资金。</w:t>
      </w:r>
    </w:p>
    <w:p w:rsidR="004175FD" w:rsidRDefault="00686BD4">
      <w:pPr>
        <w:widowControl w:val="0"/>
        <w:autoSpaceDE w:val="0"/>
        <w:spacing w:line="56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二、事业收入：指事业单位开展专业业务活动及辅助活动取得的收入。</w:t>
      </w:r>
    </w:p>
    <w:p w:rsidR="004175FD" w:rsidRDefault="00686BD4">
      <w:pPr>
        <w:widowControl w:val="0"/>
        <w:autoSpaceDE w:val="0"/>
        <w:spacing w:line="56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三、经营收入：指事业单位在专业业务活动及其辅助活动之外开展非独立核算经营活动取得的收入。</w:t>
      </w:r>
    </w:p>
    <w:p w:rsidR="004175FD" w:rsidRDefault="00686BD4">
      <w:pPr>
        <w:widowControl w:val="0"/>
        <w:autoSpaceDE w:val="0"/>
        <w:spacing w:line="56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四、其他收入：指除上述“财政拨款收入”“事业收入”“经营收入”等以外的收入。</w:t>
      </w:r>
    </w:p>
    <w:p w:rsidR="004175FD" w:rsidRDefault="00686BD4">
      <w:pPr>
        <w:widowControl w:val="0"/>
        <w:autoSpaceDE w:val="0"/>
        <w:spacing w:line="56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五、年初结转和结余：指以前年度尚未完成、结转到本年</w:t>
      </w:r>
      <w:r>
        <w:rPr>
          <w:rFonts w:ascii="仿宋_GB2312" w:eastAsia="仿宋_GB2312" w:hAnsi="ˎ̥" w:hint="eastAsia"/>
          <w:sz w:val="32"/>
          <w:szCs w:val="32"/>
        </w:rPr>
        <w:lastRenderedPageBreak/>
        <w:t>按有关规定继续使用的资金。</w:t>
      </w:r>
    </w:p>
    <w:p w:rsidR="004175FD" w:rsidRDefault="00686BD4">
      <w:pPr>
        <w:widowControl w:val="0"/>
        <w:autoSpaceDE w:val="0"/>
        <w:spacing w:line="56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六、年末结转和结余：指本年度或以前年度预算安排、因客观条件发生变化无法按原计划实施，需要延迟到以后年度按有关规定继续使用的资金。</w:t>
      </w:r>
    </w:p>
    <w:p w:rsidR="004175FD" w:rsidRDefault="00686BD4">
      <w:pPr>
        <w:widowControl w:val="0"/>
        <w:autoSpaceDE w:val="0"/>
        <w:spacing w:line="56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七、基本支出：指为保障机构正常运转、完成日常工作任务而发生的人员支出和公用支出。</w:t>
      </w:r>
    </w:p>
    <w:p w:rsidR="004175FD" w:rsidRDefault="00686BD4">
      <w:pPr>
        <w:widowControl w:val="0"/>
        <w:autoSpaceDE w:val="0"/>
        <w:spacing w:line="56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八、项目支出：指在基本支出之外为完成特定行政任务和事业发展目标所发生的支出。</w:t>
      </w:r>
    </w:p>
    <w:p w:rsidR="004175FD" w:rsidRDefault="00686BD4">
      <w:pPr>
        <w:widowControl w:val="0"/>
        <w:autoSpaceDE w:val="0"/>
        <w:spacing w:line="56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九、经营支出：指事业单位在专业业务活动及其辅助活动之外开展非独立核算经营活动发生的支出。</w:t>
      </w:r>
    </w:p>
    <w:p w:rsidR="004175FD" w:rsidRDefault="00686BD4">
      <w:pPr>
        <w:widowControl w:val="0"/>
        <w:autoSpaceDE w:val="0"/>
        <w:spacing w:line="56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十、“三公”经费：纳入本级财政预决算管理的“三公”经费，是指本级部门用一般公共预算财政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4175FD" w:rsidRDefault="00686BD4">
      <w:pPr>
        <w:widowControl w:val="0"/>
        <w:autoSpaceDE w:val="0"/>
        <w:spacing w:line="56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十一、信息化建设：反映市场监督管理、药品监督管理部门用于信息化建设方面的支出。</w:t>
      </w:r>
    </w:p>
    <w:p w:rsidR="004175FD" w:rsidRDefault="00686BD4">
      <w:pPr>
        <w:widowControl w:val="0"/>
        <w:autoSpaceDE w:val="0"/>
        <w:spacing w:line="56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十二、质量安全监管：反映质量安全监管、特种设备安全</w:t>
      </w:r>
      <w:r>
        <w:rPr>
          <w:rFonts w:ascii="仿宋_GB2312" w:eastAsia="仿宋_GB2312" w:hAnsi="ˎ̥" w:hint="eastAsia"/>
          <w:sz w:val="32"/>
          <w:szCs w:val="32"/>
        </w:rPr>
        <w:lastRenderedPageBreak/>
        <w:t>监管等质量监管专项工作支出。</w:t>
      </w:r>
    </w:p>
    <w:p w:rsidR="004175FD" w:rsidRDefault="00686BD4">
      <w:pPr>
        <w:widowControl w:val="0"/>
        <w:autoSpaceDE w:val="0"/>
        <w:spacing w:line="55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十三、事业运行：反映事业单位的基本支出，不包括行政单位（包括实行公务员管理的事业单位）后勤服务中心、医务室等附属事业单位。</w:t>
      </w:r>
    </w:p>
    <w:p w:rsidR="004175FD" w:rsidRDefault="00686BD4">
      <w:pPr>
        <w:widowControl w:val="0"/>
        <w:autoSpaceDE w:val="0"/>
        <w:spacing w:line="55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十四、其他市场监督管理事务支出：反映用于除上述项目以外其他市场监督管理事务方面的支出。</w:t>
      </w:r>
    </w:p>
    <w:p w:rsidR="004175FD" w:rsidRDefault="00686BD4">
      <w:pPr>
        <w:widowControl w:val="0"/>
        <w:autoSpaceDE w:val="0"/>
        <w:spacing w:line="550" w:lineRule="exact"/>
        <w:ind w:firstLineChars="200" w:firstLine="640"/>
        <w:jc w:val="both"/>
        <w:rPr>
          <w:rFonts w:ascii="仿宋_GB2312" w:eastAsia="仿宋_GB2312"/>
        </w:rPr>
      </w:pPr>
      <w:r>
        <w:rPr>
          <w:rFonts w:ascii="仿宋_GB2312" w:eastAsia="仿宋_GB2312" w:hAnsi="ˎ̥" w:hint="eastAsia"/>
          <w:sz w:val="32"/>
          <w:szCs w:val="32"/>
        </w:rPr>
        <w:t>十五、培训支出：反映各部门安排的用于培训的支出。</w:t>
      </w:r>
    </w:p>
    <w:p w:rsidR="004175FD" w:rsidRDefault="00686BD4">
      <w:pPr>
        <w:widowControl w:val="0"/>
        <w:autoSpaceDE w:val="0"/>
        <w:spacing w:line="550" w:lineRule="exact"/>
        <w:ind w:firstLineChars="200" w:firstLine="640"/>
        <w:jc w:val="both"/>
        <w:rPr>
          <w:rFonts w:ascii="仿宋_GB2312" w:eastAsia="仿宋_GB2312"/>
        </w:rPr>
      </w:pPr>
      <w:r>
        <w:rPr>
          <w:rFonts w:ascii="仿宋_GB2312" w:eastAsia="仿宋_GB2312" w:hAnsi="ˎ̥" w:hint="eastAsia"/>
          <w:sz w:val="32"/>
          <w:szCs w:val="32"/>
        </w:rPr>
        <w:t>十六、机关事业单位基本养老保险缴费支出：反映机关事业单位实施养老保险制度由单位缴纳的基本养老保险费的支出。</w:t>
      </w:r>
    </w:p>
    <w:p w:rsidR="004175FD" w:rsidRDefault="00686BD4">
      <w:pPr>
        <w:widowControl w:val="0"/>
        <w:autoSpaceDE w:val="0"/>
        <w:spacing w:line="55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十七、机关事业单位职业年金缴费支出：反映机关事业单位实施养老保险制度由单位实际缴纳的职业年金支出。</w:t>
      </w:r>
    </w:p>
    <w:p w:rsidR="004175FD" w:rsidRDefault="00686BD4">
      <w:pPr>
        <w:widowControl w:val="0"/>
        <w:autoSpaceDE w:val="0"/>
        <w:spacing w:line="55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十八、其他优抚支出：反映除上述项目以外其他用于优抚方面的支出。</w:t>
      </w:r>
    </w:p>
    <w:p w:rsidR="004175FD" w:rsidRDefault="00686BD4">
      <w:pPr>
        <w:widowControl w:val="0"/>
        <w:autoSpaceDE w:val="0"/>
        <w:spacing w:line="55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十九、事业单位医疗：反映财政部门集中安排的事业单位基本医疗保险缴费经费，未参加医疗保险的事业单位的公费医疗经费，按国家规定享受离休人员待遇的医疗经费。</w:t>
      </w:r>
    </w:p>
    <w:p w:rsidR="004175FD" w:rsidRDefault="00686BD4">
      <w:pPr>
        <w:widowControl w:val="0"/>
        <w:autoSpaceDE w:val="0"/>
        <w:spacing w:line="55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二十、公务员医疗补助：反映财政部门集中安排的公务员医疗补助经费。</w:t>
      </w:r>
    </w:p>
    <w:p w:rsidR="004175FD" w:rsidRDefault="00686BD4">
      <w:pPr>
        <w:widowControl w:val="0"/>
        <w:autoSpaceDE w:val="0"/>
        <w:spacing w:line="55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二十一、其他行政事业单位医疗支出：反映除上述项目以外的其他用于行政事业单位医疗方面的支出。</w:t>
      </w:r>
    </w:p>
    <w:p w:rsidR="004175FD" w:rsidRDefault="00686BD4">
      <w:pPr>
        <w:widowControl w:val="0"/>
        <w:autoSpaceDE w:val="0"/>
        <w:spacing w:line="550" w:lineRule="exact"/>
        <w:ind w:firstLineChars="200" w:firstLine="640"/>
        <w:jc w:val="both"/>
        <w:rPr>
          <w:rFonts w:ascii="仿宋_GB2312" w:eastAsia="仿宋_GB2312" w:hAnsi="ˎ̥" w:hint="eastAsia"/>
          <w:sz w:val="32"/>
          <w:szCs w:val="32"/>
        </w:rPr>
      </w:pPr>
      <w:r>
        <w:rPr>
          <w:rFonts w:ascii="仿宋_GB2312" w:eastAsia="仿宋_GB2312" w:hAnsi="ˎ̥" w:hint="eastAsia"/>
          <w:sz w:val="32"/>
          <w:szCs w:val="32"/>
        </w:rPr>
        <w:t>二十二、住房公积金：反映行政事业单位按人力资源和社会保障部、财政部规定的基本工资和津贴以及规定比例为职工</w:t>
      </w:r>
      <w:r>
        <w:rPr>
          <w:rFonts w:ascii="仿宋_GB2312" w:eastAsia="仿宋_GB2312" w:hAnsi="ˎ̥" w:hint="eastAsia"/>
          <w:sz w:val="32"/>
          <w:szCs w:val="32"/>
        </w:rPr>
        <w:lastRenderedPageBreak/>
        <w:t>缴纳的住房公积金。</w:t>
      </w:r>
    </w:p>
    <w:sectPr w:rsidR="004175FD">
      <w:footerReference w:type="default" r:id="rId11"/>
      <w:pgSz w:w="11915" w:h="16840"/>
      <w:pgMar w:top="2098" w:right="1474" w:bottom="1984" w:left="1588" w:header="851" w:footer="794" w:gutter="0"/>
      <w:pgNumType w:fmt="numberInDash" w:start="1"/>
      <w:cols w:space="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5AB" w:rsidRDefault="004415AB">
      <w:r>
        <w:separator/>
      </w:r>
    </w:p>
  </w:endnote>
  <w:endnote w:type="continuationSeparator" w:id="0">
    <w:p w:rsidR="004415AB" w:rsidRDefault="0044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ˎ̥">
    <w:altName w:val="汉仪新人文宋简"/>
    <w:charset w:val="00"/>
    <w:family w:val="auto"/>
    <w:pitch w:val="default"/>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DengXian">
    <w:altName w:val="Meiryo"/>
    <w:panose1 w:val="02010600030101010101"/>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FD" w:rsidRDefault="00686BD4">
    <w:pPr>
      <w:pStyle w:val="a4"/>
      <w:jc w:val="center"/>
    </w:pPr>
    <w:r>
      <w:rPr>
        <w:rFonts w:hint="eastAsia"/>
      </w:rPr>
      <w:t xml:space="preserve">                                                 </w:t>
    </w:r>
  </w:p>
  <w:p w:rsidR="004175FD" w:rsidRDefault="004175F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FD" w:rsidRDefault="00686BD4">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175FD" w:rsidRDefault="00686BD4">
                          <w:pPr>
                            <w:pStyle w:val="a4"/>
                          </w:pPr>
                          <w:r>
                            <w:rPr>
                              <w:rFonts w:hint="eastAsia"/>
                            </w:rPr>
                            <w:fldChar w:fldCharType="begin"/>
                          </w:r>
                          <w:r>
                            <w:rPr>
                              <w:rFonts w:hint="eastAsia"/>
                            </w:rPr>
                            <w:instrText xml:space="preserve"> PAGE  \* MERGEFORMAT </w:instrText>
                          </w:r>
                          <w:r>
                            <w:rPr>
                              <w:rFonts w:hint="eastAsia"/>
                            </w:rPr>
                            <w:fldChar w:fldCharType="separate"/>
                          </w:r>
                          <w:r w:rsidR="00E4753A">
                            <w:rPr>
                              <w:noProof/>
                            </w:rPr>
                            <w:t>- 8 -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4175FD" w:rsidRDefault="00686BD4">
                    <w:pPr>
                      <w:pStyle w:val="a4"/>
                    </w:pPr>
                    <w:r>
                      <w:rPr>
                        <w:rFonts w:hint="eastAsia"/>
                      </w:rPr>
                      <w:fldChar w:fldCharType="begin"/>
                    </w:r>
                    <w:r>
                      <w:rPr>
                        <w:rFonts w:hint="eastAsia"/>
                      </w:rPr>
                      <w:instrText xml:space="preserve"> PAGE  \* MERGEFORMAT </w:instrText>
                    </w:r>
                    <w:r>
                      <w:rPr>
                        <w:rFonts w:hint="eastAsia"/>
                      </w:rPr>
                      <w:fldChar w:fldCharType="separate"/>
                    </w:r>
                    <w:r w:rsidR="00E4753A">
                      <w:rPr>
                        <w:noProof/>
                      </w:rPr>
                      <w:t>- 8 -</w:t>
                    </w:r>
                    <w:r>
                      <w:rPr>
                        <w:rFonts w:hint="eastAsia"/>
                      </w:rPr>
                      <w:fldChar w:fldCharType="end"/>
                    </w:r>
                  </w:p>
                </w:txbxContent>
              </v:textbox>
              <w10:wrap anchorx="margin"/>
            </v:shape>
          </w:pict>
        </mc:Fallback>
      </mc:AlternateContent>
    </w:r>
    <w:r>
      <w:rPr>
        <w:rFonts w:hint="eastAsia"/>
      </w:rPr>
      <w:t xml:space="preserve">                                               </w:t>
    </w:r>
  </w:p>
  <w:p w:rsidR="004175FD" w:rsidRDefault="004175F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5AB" w:rsidRDefault="004415AB">
      <w:r>
        <w:separator/>
      </w:r>
    </w:p>
  </w:footnote>
  <w:footnote w:type="continuationSeparator" w:id="0">
    <w:p w:rsidR="004415AB" w:rsidRDefault="0044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FD" w:rsidRDefault="004175FD">
    <w:pPr>
      <w:pStyle w:val="a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8986DA"/>
    <w:multiLevelType w:val="singleLevel"/>
    <w:tmpl w:val="D88986DA"/>
    <w:lvl w:ilvl="0">
      <w:start w:val="2"/>
      <w:numFmt w:val="chineseCounting"/>
      <w:suff w:val="space"/>
      <w:lvlText w:val="第%1部分"/>
      <w:lvlJc w:val="left"/>
      <w:pPr>
        <w:ind w:left="546" w:firstLine="0"/>
      </w:pPr>
      <w:rPr>
        <w:rFonts w:hint="eastAsia"/>
      </w:rPr>
    </w:lvl>
  </w:abstractNum>
  <w:abstractNum w:abstractNumId="1" w15:restartNumberingAfterBreak="0">
    <w:nsid w:val="3A6FFE5A"/>
    <w:multiLevelType w:val="singleLevel"/>
    <w:tmpl w:val="3A6FFE5A"/>
    <w:lvl w:ilvl="0">
      <w:start w:val="1"/>
      <w:numFmt w:val="decimal"/>
      <w:suff w:val="space"/>
      <w:lvlText w:val="%1."/>
      <w:lvlJc w:val="left"/>
    </w:lvl>
  </w:abstractNum>
  <w:abstractNum w:abstractNumId="2" w15:restartNumberingAfterBreak="0">
    <w:nsid w:val="3BBB8176"/>
    <w:multiLevelType w:val="singleLevel"/>
    <w:tmpl w:val="3BBB8176"/>
    <w:lvl w:ilvl="0">
      <w:start w:val="11"/>
      <w:numFmt w:val="chineseCounting"/>
      <w:suff w:val="nothing"/>
      <w:lvlText w:val="%1、"/>
      <w:lvlJc w:val="left"/>
      <w:rPr>
        <w:rFonts w:hint="eastAsia"/>
      </w:rPr>
    </w:lvl>
  </w:abstractNum>
  <w:abstractNum w:abstractNumId="3" w15:restartNumberingAfterBreak="0">
    <w:nsid w:val="72109F8D"/>
    <w:multiLevelType w:val="singleLevel"/>
    <w:tmpl w:val="72109F8D"/>
    <w:lvl w:ilvl="0">
      <w:start w:val="7"/>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20"/>
  <w:drawingGridVerticalSpacing w:val="163"/>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kZGI4NzcyNDc5MzQyNWRmODQ0YzY5OGNmMzY1ZGEifQ=="/>
  </w:docVars>
  <w:rsids>
    <w:rsidRoot w:val="0080109A"/>
    <w:rsid w:val="BF1DDA11"/>
    <w:rsid w:val="00000EE1"/>
    <w:rsid w:val="0001694D"/>
    <w:rsid w:val="0002257E"/>
    <w:rsid w:val="00035086"/>
    <w:rsid w:val="000505BA"/>
    <w:rsid w:val="0005710F"/>
    <w:rsid w:val="00057BC4"/>
    <w:rsid w:val="0007273B"/>
    <w:rsid w:val="000729BC"/>
    <w:rsid w:val="00091D59"/>
    <w:rsid w:val="000946F1"/>
    <w:rsid w:val="00094877"/>
    <w:rsid w:val="00095026"/>
    <w:rsid w:val="000B14B9"/>
    <w:rsid w:val="000C40E4"/>
    <w:rsid w:val="000D1991"/>
    <w:rsid w:val="000D673C"/>
    <w:rsid w:val="000E2166"/>
    <w:rsid w:val="000F06ED"/>
    <w:rsid w:val="001219D4"/>
    <w:rsid w:val="00122DC0"/>
    <w:rsid w:val="0013415D"/>
    <w:rsid w:val="001449E6"/>
    <w:rsid w:val="0014779A"/>
    <w:rsid w:val="00155D80"/>
    <w:rsid w:val="0016127C"/>
    <w:rsid w:val="00164F28"/>
    <w:rsid w:val="00194A4E"/>
    <w:rsid w:val="00196AE3"/>
    <w:rsid w:val="001B1BFC"/>
    <w:rsid w:val="001B3F58"/>
    <w:rsid w:val="001C0BAD"/>
    <w:rsid w:val="001E60D5"/>
    <w:rsid w:val="00203DF5"/>
    <w:rsid w:val="00206C64"/>
    <w:rsid w:val="00235A0A"/>
    <w:rsid w:val="0024256C"/>
    <w:rsid w:val="002446CE"/>
    <w:rsid w:val="0026471B"/>
    <w:rsid w:val="0027406B"/>
    <w:rsid w:val="002949BF"/>
    <w:rsid w:val="00295CA5"/>
    <w:rsid w:val="002B2068"/>
    <w:rsid w:val="002C46B6"/>
    <w:rsid w:val="002D16AE"/>
    <w:rsid w:val="002D40C3"/>
    <w:rsid w:val="002D53EA"/>
    <w:rsid w:val="002D6B48"/>
    <w:rsid w:val="002E09E4"/>
    <w:rsid w:val="0030363C"/>
    <w:rsid w:val="00313792"/>
    <w:rsid w:val="003222EA"/>
    <w:rsid w:val="0032320A"/>
    <w:rsid w:val="0034673E"/>
    <w:rsid w:val="00383076"/>
    <w:rsid w:val="00383D1E"/>
    <w:rsid w:val="00385AFC"/>
    <w:rsid w:val="00390052"/>
    <w:rsid w:val="003923E1"/>
    <w:rsid w:val="003C5F79"/>
    <w:rsid w:val="003C63BD"/>
    <w:rsid w:val="00405794"/>
    <w:rsid w:val="004175FD"/>
    <w:rsid w:val="004237A4"/>
    <w:rsid w:val="004323F2"/>
    <w:rsid w:val="004415AB"/>
    <w:rsid w:val="004645C4"/>
    <w:rsid w:val="00467C57"/>
    <w:rsid w:val="00470A23"/>
    <w:rsid w:val="00477CCF"/>
    <w:rsid w:val="00482AA9"/>
    <w:rsid w:val="00487D1F"/>
    <w:rsid w:val="004A5A21"/>
    <w:rsid w:val="004D2BC4"/>
    <w:rsid w:val="004F52D8"/>
    <w:rsid w:val="005260A3"/>
    <w:rsid w:val="00527B54"/>
    <w:rsid w:val="00550C8E"/>
    <w:rsid w:val="005965E3"/>
    <w:rsid w:val="005A097B"/>
    <w:rsid w:val="005D5136"/>
    <w:rsid w:val="00616F25"/>
    <w:rsid w:val="006844C6"/>
    <w:rsid w:val="00686BD4"/>
    <w:rsid w:val="00691D15"/>
    <w:rsid w:val="00696CD3"/>
    <w:rsid w:val="006A6EBE"/>
    <w:rsid w:val="006F3263"/>
    <w:rsid w:val="006F4559"/>
    <w:rsid w:val="00716F20"/>
    <w:rsid w:val="00720655"/>
    <w:rsid w:val="007219C2"/>
    <w:rsid w:val="00741834"/>
    <w:rsid w:val="0074269E"/>
    <w:rsid w:val="00763581"/>
    <w:rsid w:val="00770571"/>
    <w:rsid w:val="007748F4"/>
    <w:rsid w:val="00787BB6"/>
    <w:rsid w:val="00790C87"/>
    <w:rsid w:val="007A03E4"/>
    <w:rsid w:val="007B4692"/>
    <w:rsid w:val="0080109A"/>
    <w:rsid w:val="00805C99"/>
    <w:rsid w:val="008079C7"/>
    <w:rsid w:val="00813010"/>
    <w:rsid w:val="00817ABB"/>
    <w:rsid w:val="00834E47"/>
    <w:rsid w:val="008408D4"/>
    <w:rsid w:val="0085094F"/>
    <w:rsid w:val="00862258"/>
    <w:rsid w:val="008804B9"/>
    <w:rsid w:val="00880EBC"/>
    <w:rsid w:val="008C53CA"/>
    <w:rsid w:val="008D437B"/>
    <w:rsid w:val="008D66F4"/>
    <w:rsid w:val="00902A88"/>
    <w:rsid w:val="0090555A"/>
    <w:rsid w:val="0091323C"/>
    <w:rsid w:val="00921FE3"/>
    <w:rsid w:val="009317C1"/>
    <w:rsid w:val="0096202E"/>
    <w:rsid w:val="00963C75"/>
    <w:rsid w:val="0098160F"/>
    <w:rsid w:val="00981AC6"/>
    <w:rsid w:val="009C6B67"/>
    <w:rsid w:val="009D4723"/>
    <w:rsid w:val="00A00D06"/>
    <w:rsid w:val="00A27542"/>
    <w:rsid w:val="00A644EF"/>
    <w:rsid w:val="00AA0E59"/>
    <w:rsid w:val="00AA385D"/>
    <w:rsid w:val="00AC33D9"/>
    <w:rsid w:val="00AD427F"/>
    <w:rsid w:val="00B01055"/>
    <w:rsid w:val="00B03C2F"/>
    <w:rsid w:val="00B07FD2"/>
    <w:rsid w:val="00B16526"/>
    <w:rsid w:val="00B31CCF"/>
    <w:rsid w:val="00B538FB"/>
    <w:rsid w:val="00B732AF"/>
    <w:rsid w:val="00B81A28"/>
    <w:rsid w:val="00BA1DA0"/>
    <w:rsid w:val="00BA3369"/>
    <w:rsid w:val="00BA4E81"/>
    <w:rsid w:val="00BC6B4C"/>
    <w:rsid w:val="00BD1426"/>
    <w:rsid w:val="00BE0CAF"/>
    <w:rsid w:val="00BF1DB0"/>
    <w:rsid w:val="00BF672F"/>
    <w:rsid w:val="00C046D4"/>
    <w:rsid w:val="00C1235E"/>
    <w:rsid w:val="00C8049B"/>
    <w:rsid w:val="00C919A1"/>
    <w:rsid w:val="00C91FCA"/>
    <w:rsid w:val="00CE04B6"/>
    <w:rsid w:val="00CE36FD"/>
    <w:rsid w:val="00CF496F"/>
    <w:rsid w:val="00D0705B"/>
    <w:rsid w:val="00D3404C"/>
    <w:rsid w:val="00D41838"/>
    <w:rsid w:val="00D4242E"/>
    <w:rsid w:val="00D74F58"/>
    <w:rsid w:val="00D764F0"/>
    <w:rsid w:val="00D766EE"/>
    <w:rsid w:val="00D9534B"/>
    <w:rsid w:val="00DB5E21"/>
    <w:rsid w:val="00DD1757"/>
    <w:rsid w:val="00E22C16"/>
    <w:rsid w:val="00E24325"/>
    <w:rsid w:val="00E24A0D"/>
    <w:rsid w:val="00E4753A"/>
    <w:rsid w:val="00E50BEA"/>
    <w:rsid w:val="00E512C1"/>
    <w:rsid w:val="00E64EB1"/>
    <w:rsid w:val="00E73C71"/>
    <w:rsid w:val="00EB4F24"/>
    <w:rsid w:val="00EE7823"/>
    <w:rsid w:val="00EF5779"/>
    <w:rsid w:val="00F2226F"/>
    <w:rsid w:val="00F253B9"/>
    <w:rsid w:val="00F37EEC"/>
    <w:rsid w:val="00F51676"/>
    <w:rsid w:val="00F62839"/>
    <w:rsid w:val="00F96049"/>
    <w:rsid w:val="00F97A49"/>
    <w:rsid w:val="00FC1ED9"/>
    <w:rsid w:val="00FD412F"/>
    <w:rsid w:val="00FE24FD"/>
    <w:rsid w:val="02640A26"/>
    <w:rsid w:val="02E93F7E"/>
    <w:rsid w:val="03214018"/>
    <w:rsid w:val="03504ECB"/>
    <w:rsid w:val="046203F3"/>
    <w:rsid w:val="04761390"/>
    <w:rsid w:val="04846599"/>
    <w:rsid w:val="04CD7FA9"/>
    <w:rsid w:val="053A49B9"/>
    <w:rsid w:val="05A1102E"/>
    <w:rsid w:val="06E755D0"/>
    <w:rsid w:val="08C53134"/>
    <w:rsid w:val="096426BC"/>
    <w:rsid w:val="0A363F62"/>
    <w:rsid w:val="0A7A7131"/>
    <w:rsid w:val="0AEE089F"/>
    <w:rsid w:val="0AEE4667"/>
    <w:rsid w:val="0B3F3405"/>
    <w:rsid w:val="0BA20207"/>
    <w:rsid w:val="0D435C6A"/>
    <w:rsid w:val="0E0013EF"/>
    <w:rsid w:val="0EFD561E"/>
    <w:rsid w:val="0F376996"/>
    <w:rsid w:val="116D7086"/>
    <w:rsid w:val="117A1992"/>
    <w:rsid w:val="1213527F"/>
    <w:rsid w:val="123665FC"/>
    <w:rsid w:val="13767A5D"/>
    <w:rsid w:val="138E7AC2"/>
    <w:rsid w:val="13E73547"/>
    <w:rsid w:val="13F84916"/>
    <w:rsid w:val="14B718E5"/>
    <w:rsid w:val="15E76D06"/>
    <w:rsid w:val="16AB5CB7"/>
    <w:rsid w:val="16D611CB"/>
    <w:rsid w:val="1862182D"/>
    <w:rsid w:val="18C33437"/>
    <w:rsid w:val="190C3240"/>
    <w:rsid w:val="190E4CF3"/>
    <w:rsid w:val="19192E33"/>
    <w:rsid w:val="1963349A"/>
    <w:rsid w:val="19B10BEA"/>
    <w:rsid w:val="1A607867"/>
    <w:rsid w:val="1AF7608E"/>
    <w:rsid w:val="1BB90A49"/>
    <w:rsid w:val="1BF051B5"/>
    <w:rsid w:val="1C0B1542"/>
    <w:rsid w:val="1C2904A1"/>
    <w:rsid w:val="1C3A455D"/>
    <w:rsid w:val="1D6A4416"/>
    <w:rsid w:val="1DFE02C2"/>
    <w:rsid w:val="1E4C7488"/>
    <w:rsid w:val="1F6B47E8"/>
    <w:rsid w:val="2130620A"/>
    <w:rsid w:val="21802209"/>
    <w:rsid w:val="21D93C77"/>
    <w:rsid w:val="21E305A5"/>
    <w:rsid w:val="21FB6297"/>
    <w:rsid w:val="22A6414F"/>
    <w:rsid w:val="22CE6879"/>
    <w:rsid w:val="233912BA"/>
    <w:rsid w:val="235D3F83"/>
    <w:rsid w:val="24665CBE"/>
    <w:rsid w:val="2717128C"/>
    <w:rsid w:val="28416C3B"/>
    <w:rsid w:val="289A3D51"/>
    <w:rsid w:val="29657647"/>
    <w:rsid w:val="29854F85"/>
    <w:rsid w:val="2989740C"/>
    <w:rsid w:val="2A6D427E"/>
    <w:rsid w:val="2AB87E81"/>
    <w:rsid w:val="2ACC77C5"/>
    <w:rsid w:val="2BC730F4"/>
    <w:rsid w:val="2C621127"/>
    <w:rsid w:val="2D7C3A6A"/>
    <w:rsid w:val="2D7C4B33"/>
    <w:rsid w:val="2E7D6EB2"/>
    <w:rsid w:val="2EF46A74"/>
    <w:rsid w:val="2FA4043A"/>
    <w:rsid w:val="30597822"/>
    <w:rsid w:val="30C707B5"/>
    <w:rsid w:val="31AE3914"/>
    <w:rsid w:val="322E5C7B"/>
    <w:rsid w:val="325F6C63"/>
    <w:rsid w:val="32613632"/>
    <w:rsid w:val="32FC1D30"/>
    <w:rsid w:val="33A37643"/>
    <w:rsid w:val="341A36D8"/>
    <w:rsid w:val="342E036F"/>
    <w:rsid w:val="346A5213"/>
    <w:rsid w:val="34CB605D"/>
    <w:rsid w:val="35D271A0"/>
    <w:rsid w:val="379422FE"/>
    <w:rsid w:val="37C57707"/>
    <w:rsid w:val="382C3D5E"/>
    <w:rsid w:val="385E7FE4"/>
    <w:rsid w:val="38653207"/>
    <w:rsid w:val="39357DF3"/>
    <w:rsid w:val="398811B6"/>
    <w:rsid w:val="39AC77DB"/>
    <w:rsid w:val="3A2E7FDD"/>
    <w:rsid w:val="3ABB6F0F"/>
    <w:rsid w:val="3BE5054C"/>
    <w:rsid w:val="3CB45B9F"/>
    <w:rsid w:val="3F68078F"/>
    <w:rsid w:val="3FD41A7F"/>
    <w:rsid w:val="42CC344B"/>
    <w:rsid w:val="434011E9"/>
    <w:rsid w:val="43936F3B"/>
    <w:rsid w:val="44CB34CB"/>
    <w:rsid w:val="452F14CD"/>
    <w:rsid w:val="460C14A9"/>
    <w:rsid w:val="48520700"/>
    <w:rsid w:val="48C973F7"/>
    <w:rsid w:val="49723CE5"/>
    <w:rsid w:val="4A11128D"/>
    <w:rsid w:val="4B897326"/>
    <w:rsid w:val="4B976D93"/>
    <w:rsid w:val="4BBF532A"/>
    <w:rsid w:val="4BC56109"/>
    <w:rsid w:val="4D1F478F"/>
    <w:rsid w:val="4EA210FA"/>
    <w:rsid w:val="4F0733F5"/>
    <w:rsid w:val="50332BF4"/>
    <w:rsid w:val="504C6A38"/>
    <w:rsid w:val="50C14805"/>
    <w:rsid w:val="50D457E8"/>
    <w:rsid w:val="50DE6667"/>
    <w:rsid w:val="525E4A6D"/>
    <w:rsid w:val="53A374B0"/>
    <w:rsid w:val="55032881"/>
    <w:rsid w:val="554F6C30"/>
    <w:rsid w:val="55DB0E06"/>
    <w:rsid w:val="57260688"/>
    <w:rsid w:val="57F87DE5"/>
    <w:rsid w:val="5864134D"/>
    <w:rsid w:val="599E63D6"/>
    <w:rsid w:val="5A9552DA"/>
    <w:rsid w:val="5AAE0B9F"/>
    <w:rsid w:val="5B9E6546"/>
    <w:rsid w:val="5BC20889"/>
    <w:rsid w:val="5C7165E1"/>
    <w:rsid w:val="5C9D3CBF"/>
    <w:rsid w:val="5E287354"/>
    <w:rsid w:val="5E820D1E"/>
    <w:rsid w:val="5EFA5CD3"/>
    <w:rsid w:val="5F0F0853"/>
    <w:rsid w:val="5FC644AE"/>
    <w:rsid w:val="60591E6F"/>
    <w:rsid w:val="61DC62AA"/>
    <w:rsid w:val="62340816"/>
    <w:rsid w:val="62E0001C"/>
    <w:rsid w:val="63201B7D"/>
    <w:rsid w:val="63633AA7"/>
    <w:rsid w:val="63D539D0"/>
    <w:rsid w:val="644C51C3"/>
    <w:rsid w:val="648A12CC"/>
    <w:rsid w:val="65BD406C"/>
    <w:rsid w:val="65EC1E02"/>
    <w:rsid w:val="65FB60AA"/>
    <w:rsid w:val="660F139B"/>
    <w:rsid w:val="664650C9"/>
    <w:rsid w:val="67436315"/>
    <w:rsid w:val="679A7D0A"/>
    <w:rsid w:val="681638CC"/>
    <w:rsid w:val="68C54A59"/>
    <w:rsid w:val="6A6F23D2"/>
    <w:rsid w:val="6A9A2E96"/>
    <w:rsid w:val="6ABC0E26"/>
    <w:rsid w:val="6B4436A1"/>
    <w:rsid w:val="6C3C7807"/>
    <w:rsid w:val="6CAC30AF"/>
    <w:rsid w:val="6DE87C6D"/>
    <w:rsid w:val="6F7719EE"/>
    <w:rsid w:val="70393BE0"/>
    <w:rsid w:val="70656A03"/>
    <w:rsid w:val="706A7AA7"/>
    <w:rsid w:val="71830860"/>
    <w:rsid w:val="71D83A79"/>
    <w:rsid w:val="72991A54"/>
    <w:rsid w:val="72B1489E"/>
    <w:rsid w:val="7355581F"/>
    <w:rsid w:val="73BF4107"/>
    <w:rsid w:val="73CA7830"/>
    <w:rsid w:val="75A419E4"/>
    <w:rsid w:val="7692768E"/>
    <w:rsid w:val="780A0D2E"/>
    <w:rsid w:val="79C656B9"/>
    <w:rsid w:val="79F04B91"/>
    <w:rsid w:val="79F75339"/>
    <w:rsid w:val="79FD16DD"/>
    <w:rsid w:val="7B31720F"/>
    <w:rsid w:val="7B964470"/>
    <w:rsid w:val="7C2F7ACB"/>
    <w:rsid w:val="7C3D2D46"/>
    <w:rsid w:val="7C944241"/>
    <w:rsid w:val="7D247713"/>
    <w:rsid w:val="7DDE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366C9"/>
  <w15:docId w15:val="{923CB871-5370-43B2-B3AF-75552CBB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semiHidden="1" w:unhideWhenUsed="1" w:qFormat="1"/>
    <w:lsdException w:name="footer" w:uiPriority="99" w:unhideWhenUsed="1" w:qFormat="1"/>
    <w:lsdException w:name="index heading" w:unhideWhenUsed="1"/>
    <w:lsdException w:name="caption" w:semiHidden="1"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unhideWhenUsed="1"/>
    <w:lsdException w:name="Signature" w:unhideWhenUsed="1"/>
    <w:lsdException w:name="Default Paragraph Font" w:semiHidden="1" w:uiPriority="1" w:unhideWhenUsed="1" w:qFormat="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qFormat="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1" w:unhideWhenUsed="1" w:qFormat="1"/>
    <w:lsdException w:name="HTML Sample" w:unhideWhenUsed="1"/>
    <w:lsdException w:name="HTML Typewriter" w:unhideWhenUsed="1"/>
    <w:lsdException w:name="HTML Variable" w:unhideWhenUsed="1"/>
    <w:lsdException w:name="Normal Table" w:semiHidden="1" w:uiPriority="99" w:unhideWhenUsed="1" w:qFormat="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ascii="宋体" w:hAnsi="宋体" w:cs="宋体"/>
      <w:sz w:val="24"/>
      <w:szCs w:val="24"/>
    </w:rPr>
  </w:style>
  <w:style w:type="paragraph" w:styleId="1">
    <w:name w:val="heading 1"/>
    <w:basedOn w:val="a"/>
    <w:next w:val="a"/>
    <w:link w:val="10"/>
    <w:uiPriority w:val="9"/>
    <w:qFormat/>
    <w:pPr>
      <w:spacing w:before="100" w:beforeAutospacing="1" w:after="100" w:afterAutospacing="1"/>
      <w:outlineLvl w:val="0"/>
    </w:pPr>
    <w:rPr>
      <w:b/>
      <w:bCs/>
      <w:kern w:val="44"/>
      <w:sz w:val="48"/>
      <w:szCs w:val="48"/>
    </w:rPr>
  </w:style>
  <w:style w:type="paragraph" w:styleId="2">
    <w:name w:val="heading 2"/>
    <w:basedOn w:val="a"/>
    <w:next w:val="a"/>
    <w:link w:val="20"/>
    <w:uiPriority w:val="9"/>
    <w:qFormat/>
    <w:pPr>
      <w:spacing w:before="100" w:beforeAutospacing="1" w:after="100" w:afterAutospacing="1"/>
      <w:outlineLvl w:val="1"/>
    </w:pPr>
    <w:rPr>
      <w:b/>
      <w:bCs/>
      <w:sz w:val="36"/>
      <w:szCs w:val="36"/>
    </w:rPr>
  </w:style>
  <w:style w:type="paragraph" w:styleId="3">
    <w:name w:val="heading 3"/>
    <w:basedOn w:val="a"/>
    <w:next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qFormat/>
    <w:pPr>
      <w:spacing w:before="100" w:beforeAutospacing="1" w:after="100" w:afterAutospacing="1"/>
      <w:outlineLvl w:val="3"/>
    </w:pPr>
    <w:rPr>
      <w:b/>
      <w:bCs/>
    </w:rPr>
  </w:style>
  <w:style w:type="paragraph" w:styleId="5">
    <w:name w:val="heading 5"/>
    <w:basedOn w:val="a"/>
    <w:next w:val="a"/>
    <w:link w:val="50"/>
    <w:uiPriority w:val="9"/>
    <w:qFormat/>
    <w:pPr>
      <w:spacing w:before="100" w:beforeAutospacing="1" w:after="100" w:afterAutospacing="1"/>
      <w:outlineLvl w:val="4"/>
    </w:pPr>
    <w:rPr>
      <w:b/>
      <w:bCs/>
      <w:sz w:val="20"/>
      <w:szCs w:val="20"/>
    </w:rPr>
  </w:style>
  <w:style w:type="paragraph" w:styleId="6">
    <w:name w:val="heading 6"/>
    <w:basedOn w:val="a"/>
    <w:next w:val="a"/>
    <w:link w:val="60"/>
    <w:uiPriority w:val="9"/>
    <w:qFormat/>
    <w:pPr>
      <w:spacing w:before="100" w:beforeAutospacing="1" w:after="100" w:afterAutospacing="1"/>
      <w:outlineLvl w:val="5"/>
    </w:pPr>
    <w:rPr>
      <w:b/>
      <w:bCs/>
      <w:sz w:val="15"/>
      <w:szCs w:val="15"/>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qFormat/>
  </w:style>
  <w:style w:type="paragraph" w:styleId="a4">
    <w:name w:val="footer"/>
    <w:basedOn w:val="a"/>
    <w:link w:val="a5"/>
    <w:uiPriority w:val="99"/>
    <w:unhideWhenUsed/>
    <w:qFormat/>
    <w:pPr>
      <w:snapToGrid w:val="0"/>
    </w:pPr>
    <w:rPr>
      <w:sz w:val="18"/>
      <w:szCs w:val="18"/>
    </w:rPr>
  </w:style>
  <w:style w:type="paragraph" w:styleId="a6">
    <w:name w:val="header"/>
    <w:basedOn w:val="a"/>
    <w:link w:val="a7"/>
    <w:semiHidden/>
    <w:unhideWhenUsed/>
    <w:qFormat/>
    <w:pPr>
      <w:pBdr>
        <w:bottom w:val="single" w:sz="6" w:space="1" w:color="auto"/>
      </w:pBdr>
      <w:snapToGrid w:val="0"/>
      <w:jc w:val="center"/>
    </w:pPr>
    <w:rPr>
      <w:sz w:val="18"/>
      <w:szCs w:val="18"/>
    </w:rPr>
  </w:style>
  <w:style w:type="paragraph" w:styleId="HTML">
    <w:name w:val="HTML Preformatted"/>
    <w:basedOn w:val="a"/>
    <w:link w:val="HTML0"/>
    <w:semiHidden/>
    <w:unhideWhenUsed/>
    <w:qFormat/>
    <w:rPr>
      <w:rFonts w:ascii="Courier New" w:hAnsi="Courier New" w:cs="Courier New"/>
      <w:sz w:val="20"/>
      <w:szCs w:val="20"/>
    </w:rPr>
  </w:style>
  <w:style w:type="paragraph" w:styleId="a8">
    <w:name w:val="Normal (Web)"/>
    <w:basedOn w:val="a"/>
    <w:semiHidden/>
    <w:unhideWhenUsed/>
    <w:qFormat/>
    <w:pPr>
      <w:spacing w:before="100" w:beforeAutospacing="1" w:after="100" w:afterAutospacing="1"/>
    </w:pPr>
  </w:style>
  <w:style w:type="table" w:styleId="a9">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uiPriority w:val="9"/>
    <w:qFormat/>
    <w:rPr>
      <w:rFonts w:ascii="宋体" w:eastAsia="宋体" w:hAnsi="宋体" w:cs="宋体"/>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qFormat/>
    <w:rPr>
      <w:rFonts w:ascii="宋体" w:eastAsia="宋体" w:hAnsi="宋体" w:cs="宋体"/>
      <w:b/>
      <w:bCs/>
      <w:sz w:val="32"/>
      <w:szCs w:val="32"/>
    </w:rPr>
  </w:style>
  <w:style w:type="character" w:customStyle="1" w:styleId="40">
    <w:name w:val="标题 4 字符"/>
    <w:basedOn w:val="a1"/>
    <w:link w:val="4"/>
    <w:uiPriority w:val="9"/>
    <w:qFormat/>
    <w:rPr>
      <w:rFonts w:asciiTheme="majorHAnsi" w:eastAsiaTheme="majorEastAsia" w:hAnsiTheme="majorHAnsi" w:cstheme="majorBidi"/>
      <w:b/>
      <w:bCs/>
      <w:sz w:val="28"/>
      <w:szCs w:val="28"/>
    </w:rPr>
  </w:style>
  <w:style w:type="character" w:customStyle="1" w:styleId="50">
    <w:name w:val="标题 5 字符"/>
    <w:basedOn w:val="a1"/>
    <w:link w:val="5"/>
    <w:uiPriority w:val="9"/>
    <w:qFormat/>
    <w:rPr>
      <w:rFonts w:ascii="宋体" w:eastAsia="宋体" w:hAnsi="宋体" w:cs="宋体"/>
      <w:b/>
      <w:bCs/>
      <w:sz w:val="28"/>
      <w:szCs w:val="28"/>
    </w:rPr>
  </w:style>
  <w:style w:type="character" w:customStyle="1" w:styleId="60">
    <w:name w:val="标题 6 字符"/>
    <w:basedOn w:val="a1"/>
    <w:link w:val="6"/>
    <w:uiPriority w:val="9"/>
    <w:qFormat/>
    <w:rPr>
      <w:rFonts w:asciiTheme="majorHAnsi" w:eastAsiaTheme="majorEastAsia" w:hAnsiTheme="majorHAnsi" w:cstheme="majorBidi"/>
      <w:b/>
      <w:bCs/>
      <w:sz w:val="24"/>
      <w:szCs w:val="24"/>
    </w:rPr>
  </w:style>
  <w:style w:type="character" w:customStyle="1" w:styleId="a7">
    <w:name w:val="页眉 字符"/>
    <w:basedOn w:val="a1"/>
    <w:link w:val="a6"/>
    <w:qFormat/>
    <w:rPr>
      <w:rFonts w:ascii="宋体" w:eastAsia="宋体" w:hAnsi="宋体" w:cs="宋体"/>
      <w:sz w:val="18"/>
      <w:szCs w:val="18"/>
    </w:rPr>
  </w:style>
  <w:style w:type="character" w:customStyle="1" w:styleId="a5">
    <w:name w:val="页脚 字符"/>
    <w:basedOn w:val="a1"/>
    <w:link w:val="a4"/>
    <w:uiPriority w:val="99"/>
    <w:qFormat/>
    <w:rPr>
      <w:rFonts w:ascii="宋体" w:eastAsia="宋体" w:hAnsi="宋体" w:cs="宋体"/>
      <w:sz w:val="18"/>
      <w:szCs w:val="18"/>
    </w:rPr>
  </w:style>
  <w:style w:type="character" w:customStyle="1" w:styleId="HTML0">
    <w:name w:val="HTML 预设格式 字符"/>
    <w:basedOn w:val="a1"/>
    <w:link w:val="HTML"/>
    <w:qFormat/>
    <w:rPr>
      <w:rFonts w:ascii="Courier New" w:eastAsia="宋体" w:hAnsi="Courier New" w:cs="Courier New"/>
    </w:rPr>
  </w:style>
  <w:style w:type="paragraph" w:customStyle="1" w:styleId="msolistparagraph0">
    <w:name w:val="msolistparagraph"/>
    <w:basedOn w:val="a"/>
    <w:qFormat/>
    <w:pPr>
      <w:widowControl w:val="0"/>
      <w:ind w:firstLineChars="200" w:firstLine="420"/>
      <w:jc w:val="both"/>
    </w:pPr>
    <w:rPr>
      <w:rFonts w:ascii="Calibri" w:hAnsi="Calibri" w:cs="Times New Roman"/>
      <w:kern w:val="2"/>
      <w:sz w:val="21"/>
      <w:szCs w:val="21"/>
    </w:rPr>
  </w:style>
  <w:style w:type="paragraph" w:customStyle="1" w:styleId="wpsoffice2">
    <w:name w:val="wpsoffice2"/>
    <w:basedOn w:val="a"/>
    <w:qFormat/>
    <w:pPr>
      <w:spacing w:before="100" w:beforeAutospacing="1" w:after="100" w:afterAutospacing="1"/>
    </w:pPr>
  </w:style>
  <w:style w:type="paragraph" w:customStyle="1" w:styleId="wpsoffice1">
    <w:name w:val="wpsoffice1"/>
    <w:basedOn w:val="a"/>
    <w:qFormat/>
    <w:pPr>
      <w:spacing w:before="100" w:beforeAutospacing="1" w:after="100" w:afterAutospacing="1"/>
    </w:pPr>
  </w:style>
  <w:style w:type="paragraph" w:customStyle="1" w:styleId="1CharCharChar">
    <w:name w:val="正文1 Char Char Char"/>
    <w:basedOn w:val="a"/>
    <w:qFormat/>
    <w:pPr>
      <w:widowControl w:val="0"/>
      <w:spacing w:line="360" w:lineRule="auto"/>
      <w:ind w:firstLineChars="200" w:firstLine="200"/>
      <w:jc w:val="both"/>
    </w:pPr>
    <w:rPr>
      <w:rFonts w:ascii="Times New Roman" w:hAnsi="Times New Roman" w:cs="Times New Roman"/>
      <w:kern w:val="2"/>
      <w:sz w:val="21"/>
      <w:szCs w:val="21"/>
    </w:rPr>
  </w:style>
  <w:style w:type="character" w:customStyle="1" w:styleId="100">
    <w:name w:val="10"/>
    <w:basedOn w:val="a1"/>
    <w:qFormat/>
    <w:rPr>
      <w:rFonts w:ascii="Times New Roman" w:hAnsi="Times New Roman" w:cs="Times New Roman" w:hint="default"/>
    </w:rPr>
  </w:style>
  <w:style w:type="character" w:customStyle="1" w:styleId="15">
    <w:name w:val="15"/>
    <w:basedOn w:val="a1"/>
    <w:qFormat/>
    <w:rPr>
      <w:rFonts w:ascii="宋体" w:eastAsia="宋体" w:hAnsi="宋体" w:hint="eastAsia"/>
      <w:sz w:val="18"/>
      <w:szCs w:val="18"/>
    </w:rPr>
  </w:style>
  <w:style w:type="character" w:customStyle="1" w:styleId="16">
    <w:name w:val="16"/>
    <w:basedOn w:val="a1"/>
    <w:qFormat/>
    <w:rPr>
      <w:rFonts w:ascii="宋体" w:eastAsia="宋体" w:hAnsi="宋体" w:hint="eastAsia"/>
      <w:sz w:val="18"/>
      <w:szCs w:val="18"/>
    </w:rPr>
  </w:style>
  <w:style w:type="paragraph" w:styleId="aa">
    <w:name w:val="List Paragraph"/>
    <w:basedOn w:val="a"/>
    <w:uiPriority w:val="99"/>
    <w:qFormat/>
    <w:pPr>
      <w:ind w:firstLineChars="200" w:firstLine="420"/>
    </w:pPr>
  </w:style>
  <w:style w:type="paragraph" w:customStyle="1" w:styleId="WPSOffice10">
    <w:name w:val="WPSOffice手动目录 1"/>
    <w:qFormat/>
  </w:style>
  <w:style w:type="paragraph" w:customStyle="1" w:styleId="WPSOffice20">
    <w:name w:val="WPSOffice手动目录 2"/>
    <w:qFormat/>
    <w:pPr>
      <w:ind w:leftChars="200" w:left="200"/>
    </w:pPr>
  </w:style>
  <w:style w:type="paragraph" w:styleId="ab">
    <w:name w:val="Balloon Text"/>
    <w:basedOn w:val="a"/>
    <w:link w:val="ac"/>
    <w:unhideWhenUsed/>
    <w:rsid w:val="00CF496F"/>
    <w:rPr>
      <w:sz w:val="18"/>
      <w:szCs w:val="18"/>
    </w:rPr>
  </w:style>
  <w:style w:type="character" w:customStyle="1" w:styleId="ac">
    <w:name w:val="批注框文本 字符"/>
    <w:basedOn w:val="a1"/>
    <w:link w:val="ab"/>
    <w:rsid w:val="00CF496F"/>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D89452-3D67-45F4-AE2E-CF30DB92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1113</Words>
  <Characters>6350</Characters>
  <Application>Microsoft Office Word</Application>
  <DocSecurity>0</DocSecurity>
  <Lines>52</Lines>
  <Paragraphs>14</Paragraphs>
  <ScaleCrop>false</ScaleCrop>
  <Company>微软中国</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dc:creator>
  <cp:lastModifiedBy>Administrator</cp:lastModifiedBy>
  <cp:revision>159</cp:revision>
  <cp:lastPrinted>2022-08-30T10:43:00Z</cp:lastPrinted>
  <dcterms:created xsi:type="dcterms:W3CDTF">2021-08-26T09:28:00Z</dcterms:created>
  <dcterms:modified xsi:type="dcterms:W3CDTF">2024-06-18T08:23:00Z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13619C517EE544CA889F546141FD8E67_13</vt:lpwstr>
  </property>
</Properties>
</file>