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sz w:val="84"/>
          <w:szCs w:val="84"/>
          <w:highlight w:val="none"/>
          <w:u w:val="none"/>
          <w14:textFill>
            <w14:solidFill>
              <w14:schemeClr w14:val="tx1"/>
            </w14:solidFill>
          </w14:textFill>
        </w:rPr>
      </w:pPr>
    </w:p>
    <w:p>
      <w:pPr>
        <w:rPr>
          <w:color w:val="000000" w:themeColor="text1"/>
          <w:sz w:val="84"/>
          <w:szCs w:val="84"/>
          <w:highlight w:val="none"/>
          <w:u w:val="none"/>
          <w14:textFill>
            <w14:solidFill>
              <w14:schemeClr w14:val="tx1"/>
            </w14:solidFill>
          </w14:textFill>
        </w:rPr>
      </w:pPr>
    </w:p>
    <w:p>
      <w:pPr>
        <w:rPr>
          <w:color w:val="000000" w:themeColor="text1"/>
          <w:sz w:val="84"/>
          <w:szCs w:val="84"/>
          <w:highlight w:val="none"/>
          <w:u w:val="none"/>
          <w14:textFill>
            <w14:solidFill>
              <w14:schemeClr w14:val="tx1"/>
            </w14:solidFill>
          </w14:textFill>
        </w:rPr>
      </w:pPr>
    </w:p>
    <w:p>
      <w:pPr>
        <w:ind w:firstLine="780" w:firstLineChars="150"/>
        <w:jc w:val="center"/>
        <w:rPr>
          <w:rFonts w:hint="eastAsia" w:ascii="方正小标宋简体" w:hAnsi="方正小标宋简体" w:eastAsia="方正小标宋简体" w:cs="方正小标宋简体"/>
          <w:color w:val="000000" w:themeColor="text1"/>
          <w:sz w:val="52"/>
          <w:szCs w:val="52"/>
          <w:highlight w:val="none"/>
          <w:u w:val="none"/>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52"/>
          <w:szCs w:val="52"/>
          <w:highlight w:val="none"/>
          <w:u w:val="none"/>
          <w:lang w:eastAsia="zh-CN"/>
          <w14:textFill>
            <w14:solidFill>
              <w14:schemeClr w14:val="tx1"/>
            </w14:solidFill>
          </w14:textFill>
        </w:rPr>
        <w:t>202</w:t>
      </w:r>
      <w:r>
        <w:rPr>
          <w:rFonts w:hint="eastAsia" w:ascii="方正小标宋简体" w:hAnsi="方正小标宋简体" w:eastAsia="方正小标宋简体" w:cs="方正小标宋简体"/>
          <w:color w:val="000000" w:themeColor="text1"/>
          <w:sz w:val="52"/>
          <w:szCs w:val="52"/>
          <w:highlight w:val="none"/>
          <w:u w:val="none"/>
          <w:lang w:val="en-US" w:eastAsia="zh-CN"/>
          <w14:textFill>
            <w14:solidFill>
              <w14:schemeClr w14:val="tx1"/>
            </w14:solidFill>
          </w14:textFill>
        </w:rPr>
        <w:t>4</w:t>
      </w:r>
      <w:r>
        <w:rPr>
          <w:rFonts w:hint="eastAsia" w:ascii="方正小标宋简体" w:hAnsi="方正小标宋简体" w:eastAsia="方正小标宋简体" w:cs="方正小标宋简体"/>
          <w:color w:val="000000" w:themeColor="text1"/>
          <w:sz w:val="52"/>
          <w:szCs w:val="52"/>
          <w:highlight w:val="none"/>
          <w:u w:val="none"/>
          <w:lang w:eastAsia="zh-CN"/>
          <w14:textFill>
            <w14:solidFill>
              <w14:schemeClr w14:val="tx1"/>
            </w14:solidFill>
          </w14:textFill>
        </w:rPr>
        <w:t>年海南省检验检测研究院</w:t>
      </w:r>
    </w:p>
    <w:p>
      <w:pPr>
        <w:ind w:firstLine="0"/>
        <w:jc w:val="center"/>
        <w:rPr>
          <w:color w:val="000000" w:themeColor="text1"/>
          <w:sz w:val="84"/>
          <w:szCs w:val="84"/>
          <w:highlight w:val="none"/>
          <w:u w:val="none"/>
          <w14:textFill>
            <w14:solidFill>
              <w14:schemeClr w14:val="tx1"/>
            </w14:solidFill>
          </w14:textFill>
        </w:rPr>
      </w:pPr>
      <w:r>
        <w:rPr>
          <w:rFonts w:hint="eastAsia" w:ascii="方正小标宋简体" w:hAnsi="方正小标宋简体" w:eastAsia="方正小标宋简体" w:cs="方正小标宋简体"/>
          <w:color w:val="000000" w:themeColor="text1"/>
          <w:sz w:val="52"/>
          <w:szCs w:val="52"/>
          <w:highlight w:val="none"/>
          <w:u w:val="none"/>
          <w:lang w:eastAsia="zh-CN"/>
          <w14:textFill>
            <w14:solidFill>
              <w14:schemeClr w14:val="tx1"/>
            </w14:solidFill>
          </w14:textFill>
        </w:rPr>
        <w:t>预算</w:t>
      </w:r>
    </w:p>
    <w:p>
      <w:pPr>
        <w:ind w:firstLine="1680"/>
        <w:jc w:val="center"/>
        <w:rPr>
          <w:color w:val="000000" w:themeColor="text1"/>
          <w:sz w:val="84"/>
          <w:szCs w:val="84"/>
          <w:highlight w:val="none"/>
          <w:u w:val="none"/>
          <w14:textFill>
            <w14:solidFill>
              <w14:schemeClr w14:val="tx1"/>
            </w14:solidFill>
          </w14:textFill>
        </w:rPr>
      </w:pPr>
    </w:p>
    <w:p>
      <w:pPr>
        <w:ind w:firstLine="1680"/>
        <w:jc w:val="center"/>
        <w:rPr>
          <w:color w:val="000000" w:themeColor="text1"/>
          <w:sz w:val="84"/>
          <w:szCs w:val="84"/>
          <w:highlight w:val="none"/>
          <w:u w:val="none"/>
          <w14:textFill>
            <w14:solidFill>
              <w14:schemeClr w14:val="tx1"/>
            </w14:solidFill>
          </w14:textFill>
        </w:rPr>
      </w:pPr>
    </w:p>
    <w:p>
      <w:pPr>
        <w:ind w:firstLine="1680"/>
        <w:jc w:val="center"/>
        <w:rPr>
          <w:color w:val="000000" w:themeColor="text1"/>
          <w:sz w:val="84"/>
          <w:szCs w:val="84"/>
          <w:highlight w:val="none"/>
          <w:u w:val="none"/>
          <w14:textFill>
            <w14:solidFill>
              <w14:schemeClr w14:val="tx1"/>
            </w14:solidFill>
          </w14:textFill>
        </w:rPr>
      </w:pPr>
    </w:p>
    <w:p>
      <w:pPr>
        <w:rPr>
          <w:color w:val="000000" w:themeColor="text1"/>
          <w:sz w:val="84"/>
          <w:szCs w:val="84"/>
          <w:highlight w:val="none"/>
          <w:u w:val="none"/>
          <w14:textFill>
            <w14:solidFill>
              <w14:schemeClr w14:val="tx1"/>
            </w14:solidFill>
          </w14:textFill>
        </w:rPr>
      </w:pPr>
    </w:p>
    <w:p>
      <w:pPr>
        <w:rPr>
          <w:color w:val="000000" w:themeColor="text1"/>
          <w:sz w:val="84"/>
          <w:szCs w:val="84"/>
          <w:highlight w:val="none"/>
          <w:u w:val="none"/>
          <w14:textFill>
            <w14:solidFill>
              <w14:schemeClr w14:val="tx1"/>
            </w14:solidFill>
          </w14:textFill>
        </w:rPr>
      </w:pPr>
    </w:p>
    <w:p>
      <w:pPr>
        <w:jc w:val="both"/>
        <w:rPr>
          <w:rFonts w:hint="eastAsia" w:ascii="黑体" w:hAnsi="黑体" w:eastAsia="黑体"/>
          <w:color w:val="000000" w:themeColor="text1"/>
          <w:sz w:val="52"/>
          <w:szCs w:val="52"/>
          <w:highlight w:val="none"/>
          <w:u w:val="none"/>
          <w14:textFill>
            <w14:solidFill>
              <w14:schemeClr w14:val="tx1"/>
            </w14:solidFill>
          </w14:textFill>
        </w:rPr>
      </w:pPr>
    </w:p>
    <w:p>
      <w:pPr>
        <w:jc w:val="center"/>
        <w:rPr>
          <w:rFonts w:hint="eastAsia" w:ascii="黑体" w:hAnsi="黑体" w:eastAsia="黑体"/>
          <w:color w:val="000000" w:themeColor="text1"/>
          <w:sz w:val="52"/>
          <w:szCs w:val="52"/>
          <w:highlight w:val="none"/>
          <w:u w:val="none"/>
          <w14:textFill>
            <w14:solidFill>
              <w14:schemeClr w14:val="tx1"/>
            </w14:solidFill>
          </w14:textFill>
        </w:rPr>
      </w:pPr>
      <w:r>
        <w:rPr>
          <w:rFonts w:hint="eastAsia" w:ascii="黑体" w:hAnsi="黑体" w:eastAsia="黑体"/>
          <w:color w:val="000000" w:themeColor="text1"/>
          <w:sz w:val="52"/>
          <w:szCs w:val="52"/>
          <w:highlight w:val="none"/>
          <w:u w:val="none"/>
          <w14:textFill>
            <w14:solidFill>
              <w14:schemeClr w14:val="tx1"/>
            </w14:solidFill>
          </w14:textFill>
        </w:rPr>
        <w:t>目</w:t>
      </w:r>
      <w:r>
        <w:rPr>
          <w:rFonts w:hint="eastAsia" w:ascii="黑体" w:hAnsi="黑体" w:eastAsia="黑体"/>
          <w:color w:val="000000" w:themeColor="text1"/>
          <w:sz w:val="52"/>
          <w:szCs w:val="52"/>
          <w:highlight w:val="none"/>
          <w:u w:val="none"/>
          <w:lang w:val="en-US" w:eastAsia="zh-CN"/>
          <w14:textFill>
            <w14:solidFill>
              <w14:schemeClr w14:val="tx1"/>
            </w14:solidFill>
          </w14:textFill>
        </w:rPr>
        <w:t xml:space="preserve">  </w:t>
      </w:r>
      <w:r>
        <w:rPr>
          <w:rFonts w:hint="eastAsia" w:ascii="黑体" w:hAnsi="黑体" w:eastAsia="黑体"/>
          <w:color w:val="000000" w:themeColor="text1"/>
          <w:sz w:val="52"/>
          <w:szCs w:val="52"/>
          <w:highlight w:val="none"/>
          <w:u w:val="none"/>
          <w14:textFill>
            <w14:solidFill>
              <w14:schemeClr w14:val="tx1"/>
            </w14:solidFill>
          </w14:textFill>
        </w:rPr>
        <w:t>录</w:t>
      </w:r>
    </w:p>
    <w:p>
      <w:pPr>
        <w:jc w:val="center"/>
        <w:rPr>
          <w:rFonts w:hint="eastAsia" w:ascii="黑体" w:hAnsi="黑体" w:eastAsia="黑体"/>
          <w:color w:val="000000" w:themeColor="text1"/>
          <w:sz w:val="52"/>
          <w:szCs w:val="52"/>
          <w:highlight w:val="none"/>
          <w:u w:val="none"/>
          <w14:textFill>
            <w14:solidFill>
              <w14:schemeClr w14:val="tx1"/>
            </w14:solidFill>
          </w14:textFill>
        </w:rPr>
      </w:pPr>
    </w:p>
    <w:p>
      <w:pPr>
        <w:pStyle w:val="6"/>
        <w:numPr>
          <w:ilvl w:val="0"/>
          <w:numId w:val="1"/>
        </w:numPr>
        <w:ind w:firstLineChars="0"/>
        <w:jc w:val="left"/>
        <w:rPr>
          <w:rFonts w:ascii="黑体" w:hAnsi="黑体" w:eastAsia="黑体"/>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14:textFill>
            <w14:solidFill>
              <w14:schemeClr w14:val="tx1"/>
            </w14:solidFill>
          </w14:textFill>
        </w:rPr>
        <w:t xml:space="preserve">  </w:t>
      </w:r>
      <w:r>
        <w:rPr>
          <w:rFonts w:hint="eastAsia" w:ascii="黑体" w:hAnsi="黑体" w:eastAsia="黑体" w:cs="黑体"/>
          <w:color w:val="000000" w:themeColor="text1"/>
          <w:kern w:val="2"/>
          <w:sz w:val="32"/>
          <w:szCs w:val="32"/>
          <w:highlight w:val="none"/>
          <w:u w:val="none"/>
          <w:lang w:val="en-US" w:eastAsia="zh-CN" w:bidi="ar-SA"/>
          <w14:textFill>
            <w14:solidFill>
              <w14:schemeClr w14:val="tx1"/>
            </w14:solidFill>
          </w14:textFill>
        </w:rPr>
        <w:t>海南省检验检测研究院</w:t>
      </w:r>
      <w:r>
        <w:rPr>
          <w:rFonts w:hint="eastAsia" w:ascii="黑体" w:hAnsi="黑体" w:eastAsia="黑体"/>
          <w:color w:val="000000" w:themeColor="text1"/>
          <w:sz w:val="32"/>
          <w:szCs w:val="32"/>
          <w:highlight w:val="none"/>
          <w:u w:val="none"/>
          <w14:textFill>
            <w14:solidFill>
              <w14:schemeClr w14:val="tx1"/>
            </w14:solidFill>
          </w14:textFill>
        </w:rPr>
        <w:t>概况</w:t>
      </w:r>
    </w:p>
    <w:p>
      <w:pPr>
        <w:pStyle w:val="6"/>
        <w:numPr>
          <w:ilvl w:val="0"/>
          <w:numId w:val="2"/>
        </w:numPr>
        <w:ind w:firstLineChars="0"/>
        <w:jc w:val="left"/>
        <w:rPr>
          <w:rFonts w:hint="eastAsia"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主要职能</w:t>
      </w:r>
    </w:p>
    <w:p>
      <w:pPr>
        <w:pStyle w:val="6"/>
        <w:numPr>
          <w:ilvl w:val="0"/>
          <w:numId w:val="1"/>
        </w:numPr>
        <w:ind w:firstLineChars="0"/>
        <w:rPr>
          <w:rFonts w:ascii="黑体" w:hAnsi="黑体" w:eastAsia="黑体"/>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14:textFill>
            <w14:solidFill>
              <w14:schemeClr w14:val="tx1"/>
            </w14:solidFill>
          </w14:textFill>
        </w:rPr>
        <w:t xml:space="preserve">  </w:t>
      </w:r>
      <w:r>
        <w:rPr>
          <w:rFonts w:hint="eastAsia" w:ascii="黑体" w:hAnsi="黑体" w:eastAsia="黑体" w:cs="黑体"/>
          <w:color w:val="000000" w:themeColor="text1"/>
          <w:kern w:val="2"/>
          <w:sz w:val="32"/>
          <w:szCs w:val="32"/>
          <w:highlight w:val="none"/>
          <w:u w:val="none"/>
          <w:lang w:val="en-US" w:eastAsia="zh-CN" w:bidi="ar-SA"/>
          <w14:textFill>
            <w14:solidFill>
              <w14:schemeClr w14:val="tx1"/>
            </w14:solidFill>
          </w14:textFill>
        </w:rPr>
        <w:t>海南省检验检测研究院2024</w:t>
      </w:r>
      <w:r>
        <w:rPr>
          <w:rFonts w:hint="eastAsia" w:ascii="黑体" w:hAnsi="黑体" w:eastAsia="黑体"/>
          <w:color w:val="000000" w:themeColor="text1"/>
          <w:sz w:val="32"/>
          <w:szCs w:val="32"/>
          <w:highlight w:val="none"/>
          <w:u w:val="none"/>
          <w14:textFill>
            <w14:solidFill>
              <w14:schemeClr w14:val="tx1"/>
            </w14:solidFill>
          </w14:textFill>
        </w:rPr>
        <w:t>年预算表</w:t>
      </w:r>
    </w:p>
    <w:p>
      <w:pPr>
        <w:pStyle w:val="6"/>
        <w:numPr>
          <w:ilvl w:val="0"/>
          <w:numId w:val="3"/>
        </w:numPr>
        <w:ind w:firstLineChars="0"/>
        <w:rPr>
          <w:rFonts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财政拨款收支总表</w:t>
      </w:r>
    </w:p>
    <w:p>
      <w:pPr>
        <w:pStyle w:val="6"/>
        <w:numPr>
          <w:ilvl w:val="0"/>
          <w:numId w:val="3"/>
        </w:numPr>
        <w:ind w:firstLineChars="0"/>
        <w:rPr>
          <w:rFonts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一般公共预算支出表</w:t>
      </w:r>
    </w:p>
    <w:p>
      <w:pPr>
        <w:pStyle w:val="6"/>
        <w:numPr>
          <w:ilvl w:val="0"/>
          <w:numId w:val="3"/>
        </w:numPr>
        <w:ind w:firstLineChars="0"/>
        <w:rPr>
          <w:rFonts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一般公共预算基本支出表</w:t>
      </w:r>
    </w:p>
    <w:p>
      <w:pPr>
        <w:pStyle w:val="6"/>
        <w:numPr>
          <w:ilvl w:val="0"/>
          <w:numId w:val="3"/>
        </w:numPr>
        <w:ind w:firstLineChars="0"/>
        <w:rPr>
          <w:rFonts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一般公共预算“三公”经费支出表</w:t>
      </w:r>
    </w:p>
    <w:p>
      <w:pPr>
        <w:pStyle w:val="6"/>
        <w:numPr>
          <w:ilvl w:val="0"/>
          <w:numId w:val="3"/>
        </w:numPr>
        <w:ind w:firstLineChars="0"/>
        <w:rPr>
          <w:rFonts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政府性基金预算支出表。</w:t>
      </w:r>
    </w:p>
    <w:p>
      <w:pPr>
        <w:pStyle w:val="6"/>
        <w:numPr>
          <w:ilvl w:val="0"/>
          <w:numId w:val="3"/>
        </w:numPr>
        <w:ind w:firstLineChars="0"/>
        <w:rPr>
          <w:rFonts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政府性基金预算“三公”经费支出表</w:t>
      </w:r>
    </w:p>
    <w:p>
      <w:pPr>
        <w:pStyle w:val="6"/>
        <w:numPr>
          <w:ilvl w:val="0"/>
          <w:numId w:val="3"/>
        </w:numPr>
        <w:ind w:firstLineChars="0"/>
        <w:jc w:val="left"/>
        <w:rPr>
          <w:rFonts w:ascii="黑体" w:hAnsi="黑体" w:eastAsia="黑体"/>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部门</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收支总表</w:t>
      </w:r>
    </w:p>
    <w:p>
      <w:pPr>
        <w:pStyle w:val="6"/>
        <w:numPr>
          <w:ilvl w:val="0"/>
          <w:numId w:val="3"/>
        </w:numPr>
        <w:ind w:firstLineChars="0"/>
        <w:jc w:val="left"/>
        <w:rPr>
          <w:rFonts w:ascii="黑体" w:hAnsi="黑体" w:eastAsia="黑体"/>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部门</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收入总表</w:t>
      </w:r>
    </w:p>
    <w:p>
      <w:pPr>
        <w:pStyle w:val="6"/>
        <w:numPr>
          <w:ilvl w:val="0"/>
          <w:numId w:val="3"/>
        </w:numPr>
        <w:ind w:firstLineChars="0"/>
        <w:jc w:val="left"/>
        <w:rPr>
          <w:rFonts w:ascii="黑体" w:hAnsi="黑体" w:eastAsia="黑体"/>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部门</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支出总表</w:t>
      </w:r>
    </w:p>
    <w:p>
      <w:pPr>
        <w:pStyle w:val="6"/>
        <w:numPr>
          <w:ilvl w:val="0"/>
          <w:numId w:val="3"/>
        </w:numPr>
        <w:ind w:firstLineChars="0"/>
        <w:jc w:val="left"/>
        <w:rPr>
          <w:rFonts w:ascii="黑体" w:hAnsi="黑体" w:eastAsia="黑体"/>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项目支出绩效信息表</w:t>
      </w:r>
    </w:p>
    <w:p>
      <w:pPr>
        <w:pStyle w:val="6"/>
        <w:numPr>
          <w:ilvl w:val="0"/>
          <w:numId w:val="1"/>
        </w:numPr>
        <w:ind w:firstLineChars="0"/>
        <w:jc w:val="left"/>
        <w:rPr>
          <w:rFonts w:hint="eastAsia" w:ascii="黑体" w:hAnsi="黑体" w:eastAsia="黑体" w:cs="黑体"/>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14:textFill>
            <w14:solidFill>
              <w14:schemeClr w14:val="tx1"/>
            </w14:solidFill>
          </w14:textFill>
        </w:rPr>
        <w:t xml:space="preserve">  </w:t>
      </w:r>
      <w:r>
        <w:rPr>
          <w:rFonts w:hint="eastAsia" w:ascii="黑体" w:hAnsi="黑体" w:eastAsia="黑体" w:cs="黑体"/>
          <w:color w:val="000000" w:themeColor="text1"/>
          <w:kern w:val="2"/>
          <w:sz w:val="32"/>
          <w:szCs w:val="32"/>
          <w:highlight w:val="none"/>
          <w:u w:val="none"/>
          <w:lang w:val="en-US" w:eastAsia="zh-CN" w:bidi="ar-SA"/>
          <w14:textFill>
            <w14:solidFill>
              <w14:schemeClr w14:val="tx1"/>
            </w14:solidFill>
          </w14:textFill>
        </w:rPr>
        <w:t>海南省检验检测研究院</w:t>
      </w:r>
      <w:r>
        <w:rPr>
          <w:rFonts w:hint="eastAsia" w:ascii="黑体" w:hAnsi="黑体" w:eastAsia="黑体" w:cs="黑体"/>
          <w:b w:val="0"/>
          <w:bCs w:val="0"/>
          <w:color w:val="000000" w:themeColor="text1"/>
          <w:sz w:val="32"/>
          <w:szCs w:val="32"/>
          <w:highlight w:val="none"/>
          <w:u w:val="none"/>
          <w:lang w:val="en-US" w:eastAsia="zh-CN"/>
          <w14:textFill>
            <w14:solidFill>
              <w14:schemeClr w14:val="tx1"/>
            </w14:solidFill>
          </w14:textFill>
        </w:rPr>
        <w:t>2024</w:t>
      </w:r>
      <w:r>
        <w:rPr>
          <w:rFonts w:hint="eastAsia" w:ascii="黑体" w:hAnsi="黑体" w:eastAsia="黑体"/>
          <w:color w:val="000000" w:themeColor="text1"/>
          <w:sz w:val="32"/>
          <w:szCs w:val="32"/>
          <w:highlight w:val="none"/>
          <w:u w:val="none"/>
          <w14:textFill>
            <w14:solidFill>
              <w14:schemeClr w14:val="tx1"/>
            </w14:solidFill>
          </w14:textFill>
        </w:rPr>
        <w:t>年预算情况说明</w:t>
      </w:r>
    </w:p>
    <w:p>
      <w:pPr>
        <w:pStyle w:val="6"/>
        <w:numPr>
          <w:ilvl w:val="0"/>
          <w:numId w:val="1"/>
        </w:numPr>
        <w:ind w:firstLineChars="0"/>
        <w:jc w:val="left"/>
        <w:rPr>
          <w:rFonts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14:textFill>
            <w14:solidFill>
              <w14:schemeClr w14:val="tx1"/>
            </w14:solidFill>
          </w14:textFill>
        </w:rPr>
        <w:t xml:space="preserve">  名词解释</w:t>
      </w:r>
    </w:p>
    <w:p>
      <w:pPr>
        <w:pStyle w:val="6"/>
        <w:ind w:left="1320" w:firstLine="0" w:firstLineChars="0"/>
        <w:jc w:val="left"/>
        <w:rPr>
          <w:rFonts w:ascii="黑体" w:hAnsi="黑体" w:eastAsia="黑体"/>
          <w:color w:val="000000" w:themeColor="text1"/>
          <w:sz w:val="32"/>
          <w:szCs w:val="32"/>
          <w:highlight w:val="none"/>
          <w:u w:val="none"/>
          <w14:textFill>
            <w14:solidFill>
              <w14:schemeClr w14:val="tx1"/>
            </w14:solidFill>
          </w14:textFill>
        </w:rPr>
      </w:pPr>
    </w:p>
    <w:p>
      <w:pPr>
        <w:pStyle w:val="6"/>
        <w:keepNext w:val="0"/>
        <w:keepLines w:val="0"/>
        <w:pageBreakBefore w:val="0"/>
        <w:numPr>
          <w:ilvl w:val="0"/>
          <w:numId w:val="4"/>
        </w:numPr>
        <w:kinsoku/>
        <w:wordWrap/>
        <w:overflowPunct/>
        <w:topLinePunct w:val="0"/>
        <w:autoSpaceDE/>
        <w:autoSpaceDN/>
        <w:bidi w:val="0"/>
        <w:adjustRightInd/>
        <w:snapToGrid/>
        <w:spacing w:line="560" w:lineRule="exact"/>
        <w:ind w:left="0" w:firstLineChars="0"/>
        <w:jc w:val="center"/>
        <w:textAlignment w:val="auto"/>
        <w:rPr>
          <w:rFonts w:ascii="仿宋_GB2312" w:hAnsi="仿宋_GB2312" w:eastAsia="仿宋_GB2312" w:cs="仿宋_GB2312"/>
          <w:color w:val="000000" w:themeColor="text1"/>
          <w:sz w:val="32"/>
          <w:szCs w:val="32"/>
          <w:highlight w:val="none"/>
          <w:u w:val="none"/>
          <w14:textFill>
            <w14:solidFill>
              <w14:schemeClr w14:val="tx1"/>
            </w14:solidFill>
          </w14:textFill>
        </w:rPr>
        <w:sectPr>
          <w:pgSz w:w="11906" w:h="16838"/>
          <w:pgMar w:top="2098" w:right="1474" w:bottom="1984" w:left="1587" w:header="851" w:footer="992" w:gutter="0"/>
          <w:cols w:space="720" w:num="1"/>
          <w:docGrid w:type="lines" w:linePitch="312" w:charSpace="0"/>
        </w:sectPr>
      </w:pPr>
    </w:p>
    <w:p>
      <w:pPr>
        <w:pStyle w:val="6"/>
        <w:keepNext w:val="0"/>
        <w:keepLines w:val="0"/>
        <w:pageBreakBefore w:val="0"/>
        <w:numPr>
          <w:ilvl w:val="0"/>
          <w:numId w:val="4"/>
        </w:numPr>
        <w:kinsoku/>
        <w:wordWrap/>
        <w:overflowPunct/>
        <w:topLinePunct w:val="0"/>
        <w:autoSpaceDE/>
        <w:autoSpaceDN/>
        <w:bidi w:val="0"/>
        <w:adjustRightInd/>
        <w:snapToGrid/>
        <w:spacing w:line="560" w:lineRule="exact"/>
        <w:ind w:left="0" w:leftChars="0" w:right="0" w:rightChars="0" w:firstLineChars="0"/>
        <w:jc w:val="center"/>
        <w:textAlignment w:val="auto"/>
        <w:outlineLvl w:val="9"/>
        <w:rPr>
          <w:rFonts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14:textFill>
            <w14:solidFill>
              <w14:schemeClr w14:val="tx1"/>
            </w14:solidFill>
          </w14:textFill>
        </w:rPr>
        <w:t xml:space="preserve">  </w:t>
      </w:r>
      <w:r>
        <w:rPr>
          <w:rFonts w:hint="eastAsia" w:ascii="黑体" w:hAnsi="黑体" w:eastAsia="黑体" w:cs="黑体"/>
          <w:color w:val="000000" w:themeColor="text1"/>
          <w:kern w:val="2"/>
          <w:sz w:val="32"/>
          <w:szCs w:val="32"/>
          <w:highlight w:val="none"/>
          <w:u w:val="none"/>
          <w:lang w:val="en-US" w:eastAsia="zh-CN" w:bidi="ar-SA"/>
          <w14:textFill>
            <w14:solidFill>
              <w14:schemeClr w14:val="tx1"/>
            </w14:solidFill>
          </w14:textFill>
        </w:rPr>
        <w:t>海南省检验检测研究院</w:t>
      </w:r>
      <w:r>
        <w:rPr>
          <w:rFonts w:hint="eastAsia" w:ascii="黑体" w:hAnsi="黑体" w:eastAsia="黑体"/>
          <w:color w:val="000000" w:themeColor="text1"/>
          <w:sz w:val="32"/>
          <w:szCs w:val="32"/>
          <w:highlight w:val="none"/>
          <w:u w:val="none"/>
          <w14:textFill>
            <w14:solidFill>
              <w14:schemeClr w14:val="tx1"/>
            </w14:solidFill>
          </w14:textFill>
        </w:rPr>
        <w:t>概况</w:t>
      </w:r>
    </w:p>
    <w:p>
      <w:pPr>
        <w:keepNext w:val="0"/>
        <w:keepLines w:val="0"/>
        <w:pageBreakBefore w:val="0"/>
        <w:kinsoku/>
        <w:wordWrap/>
        <w:overflowPunct/>
        <w:topLinePunct w:val="0"/>
        <w:autoSpaceDE/>
        <w:autoSpaceDN/>
        <w:bidi w:val="0"/>
        <w:adjustRightInd/>
        <w:snapToGrid/>
        <w:spacing w:line="560" w:lineRule="exact"/>
        <w:ind w:left="0" w:leftChars="0" w:right="0" w:rightChars="0"/>
        <w:jc w:val="left"/>
        <w:textAlignment w:val="auto"/>
        <w:outlineLvl w:val="9"/>
        <w:rPr>
          <w:rFonts w:ascii="仿宋_GB2312" w:hAnsi="仿宋_GB2312" w:eastAsia="仿宋_GB2312" w:cs="仿宋_GB2312"/>
          <w:color w:val="000000" w:themeColor="text1"/>
          <w:sz w:val="32"/>
          <w:szCs w:val="32"/>
          <w:highlight w:val="none"/>
          <w:u w:val="none"/>
          <w14:textFill>
            <w14:solidFill>
              <w14:schemeClr w14:val="tx1"/>
            </w14:solidFill>
          </w14:textFill>
        </w:rPr>
      </w:pPr>
    </w:p>
    <w:p>
      <w:pPr>
        <w:pStyle w:val="6"/>
        <w:keepNext w:val="0"/>
        <w:keepLines w:val="0"/>
        <w:pageBreakBefore w:val="0"/>
        <w:numPr>
          <w:ilvl w:val="-1"/>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s="仿宋_GB2312"/>
          <w:color w:val="000000" w:themeColor="text1"/>
          <w:sz w:val="32"/>
          <w:szCs w:val="32"/>
          <w:highlight w:val="none"/>
          <w:u w:val="none"/>
          <w14:textFill>
            <w14:solidFill>
              <w14:schemeClr w14:val="tx1"/>
            </w14:solidFill>
          </w14:textFill>
        </w:rPr>
      </w:pPr>
      <w:r>
        <w:rPr>
          <w:rFonts w:hint="eastAsia" w:ascii="黑体" w:hAnsi="黑体" w:eastAsia="黑体" w:cs="仿宋_GB2312"/>
          <w:color w:val="000000" w:themeColor="text1"/>
          <w:sz w:val="32"/>
          <w:szCs w:val="32"/>
          <w:highlight w:val="none"/>
          <w:u w:val="none"/>
          <w14:textFill>
            <w14:solidFill>
              <w14:schemeClr w14:val="tx1"/>
            </w14:solidFill>
          </w14:textFill>
        </w:rPr>
        <w:t>主要职能</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right="0" w:rightChars="0" w:firstLine="640" w:firstLineChars="200"/>
        <w:jc w:val="left"/>
        <w:textAlignment w:val="auto"/>
        <w:outlineLvl w:val="9"/>
        <w:rPr>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（一）</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 xml:space="preserve">贯彻执行党中央、国务院关于质量基础设施建设的方针政策、法律法规和省委、省政府决策部署，建立国家质量基础公共技术服务平台，为推进质量强省提供决策支持、技术支持、服务支持。 </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（二）</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开展工业品、消费品的检验检测、风险监测等相关工作，为缺陷产品召回提供技术支持。</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（三）</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开展研究、建立、保存和维护计量标准，进行量值传递和溯源，计量检定、型式评价和其他校准、比对、测试，计量检定规程、技术规范及校准方法起草等工作，为实施计量监督提供技术支持。</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（四）</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开展特种设备的检验检测、节能测试、锅炉介质检测、事故调查、电梯监控、作业人员考核等相关工作，为特种设备安全提供技术支持。</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（五）</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开展标准化项目研究、标准制定修订、标准文献馆藏、标准信息服务、标准应用与推广等相关工作。负责全省统一社会信用代码资源、物品编码管理工作。负责海南省WTO/TBT-SPS 通报评议工作</w:t>
      </w: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54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（六）</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开展食品、食用农产品、食品添加剂及食品相关产品的检验检测、风险监测、安全评估、毒理和功能学评价等相关工作，为食品安全监管提供技术支持</w:t>
      </w: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（七）</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开展药品、医疗器械、化妆品及有关药用辅料、包装材料与容器的检验检测、安全性评价和质量分析等相关工作，为监管工作提供技术支持</w:t>
      </w: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（八）</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开展食品行政许可事项的技术审评工作，为行政决策和建立行政审批监管体系提供技术支持</w:t>
      </w: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（九）</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开展工业品、消费品、特种设备、食品及相关产品、 药品、医疗器械、化妆品等标准制定修订，开展检验检测技术和方法研究，开展基础科学与应用研究，开展不良反应和事件原因的技术支持等工作。开展科研攻关、技术引进、科技普及、成果应用、技术改进和装备改造等相关工作</w:t>
      </w: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（十）</w:t>
      </w:r>
      <w:r>
        <w:rPr>
          <w:rFonts w:hint="eastAsia" w:ascii="仿宋_GB2312" w:hAnsi="宋体" w:eastAsia="仿宋_GB2312" w:cs="仿宋_GB2312"/>
          <w:color w:val="000000" w:themeColor="text1"/>
          <w:kern w:val="0"/>
          <w:sz w:val="32"/>
          <w:szCs w:val="32"/>
          <w:highlight w:val="none"/>
          <w:lang w:val="en-US" w:eastAsia="zh-CN" w:bidi="ar"/>
          <w14:textFill>
            <w14:solidFill>
              <w14:schemeClr w14:val="tx1"/>
            </w14:solidFill>
          </w14:textFill>
        </w:rPr>
        <w:t>承办上级主管部门和业务指导部门交办的其他工作</w:t>
      </w:r>
      <w:r>
        <w:rPr>
          <w:rFonts w:hint="eastAsia" w:ascii="仿宋_GB2312" w:hAnsi="仿宋_GB2312" w:eastAsia="仿宋_GB2312" w:cs="仿宋_GB2312"/>
          <w:color w:val="000000" w:themeColor="text1"/>
          <w:kern w:val="0"/>
          <w:sz w:val="32"/>
          <w:szCs w:val="32"/>
          <w:highlight w:val="none"/>
          <w:lang w:val="en"/>
          <w14:textFill>
            <w14:solidFill>
              <w14:schemeClr w14:val="tx1"/>
            </w14:solidFill>
          </w14:textFill>
        </w:rPr>
        <w:t>。</w:t>
      </w:r>
    </w:p>
    <w:p>
      <w:pPr>
        <w:keepNext w:val="0"/>
        <w:keepLines w:val="0"/>
        <w:pageBreakBefore w:val="0"/>
        <w:numPr>
          <w:ilvl w:val="-1"/>
          <w:numId w:val="0"/>
        </w:numPr>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14:textFill>
            <w14:solidFill>
              <w14:schemeClr w14:val="tx1"/>
            </w14:solidFill>
          </w14:textFill>
        </w:rPr>
        <w:t xml:space="preserve">第二部分 </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 xml:space="preserve"> </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lang w:eastAsia="zh-CN"/>
          <w14:textFill>
            <w14:solidFill>
              <w14:schemeClr w14:val="tx1"/>
            </w14:solidFill>
          </w14:textFill>
        </w:rPr>
        <w:t>年</w:t>
      </w:r>
      <w:r>
        <w:rPr>
          <w:rFonts w:hint="eastAsia" w:ascii="黑体" w:hAnsi="黑体" w:eastAsia="黑体"/>
          <w:color w:val="000000" w:themeColor="text1"/>
          <w:sz w:val="32"/>
          <w:szCs w:val="32"/>
          <w:highlight w:val="none"/>
          <w:u w:val="none"/>
          <w14:textFill>
            <w14:solidFill>
              <w14:schemeClr w14:val="tx1"/>
            </w14:solidFill>
          </w14:textFill>
        </w:rPr>
        <w:t>部门预算表</w:t>
      </w:r>
    </w:p>
    <w:p>
      <w:pPr>
        <w:keepNext w:val="0"/>
        <w:keepLines w:val="0"/>
        <w:widowControl/>
        <w:suppressLineNumbers w:val="0"/>
        <w:ind w:firstLine="620" w:firstLineChars="200"/>
        <w:jc w:val="left"/>
        <w:rPr>
          <w:rFonts w:hint="eastAsia"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ascii="仿宋_GB2312" w:hAnsi="黑体" w:eastAsia="仿宋_GB2312"/>
          <w:b/>
          <w:color w:val="000000" w:themeColor="text1"/>
          <w:sz w:val="32"/>
          <w:szCs w:val="32"/>
          <w:highlight w:val="none"/>
          <w:u w:val="none"/>
          <w14:textFill>
            <w14:solidFill>
              <w14:schemeClr w14:val="tx1"/>
            </w14:solidFill>
          </w14:textFill>
        </w:rPr>
      </w:pPr>
      <w:r>
        <w:rPr>
          <w:rFonts w:hint="eastAsia" w:ascii="仿宋_GB2312" w:hAnsi="黑体" w:eastAsia="仿宋_GB2312"/>
          <w:b/>
          <w:color w:val="000000" w:themeColor="text1"/>
          <w:sz w:val="32"/>
          <w:szCs w:val="32"/>
          <w:highlight w:val="none"/>
          <w:u w:val="none"/>
          <w14:textFill>
            <w14:solidFill>
              <w14:schemeClr w14:val="tx1"/>
            </w14:solidFill>
          </w14:textFill>
        </w:rPr>
        <w:t>（此部分内容即为单位预算公开表）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ascii="黑体" w:hAnsi="黑体" w:eastAsia="黑体"/>
          <w:color w:val="000000" w:themeColor="text1"/>
          <w:sz w:val="32"/>
          <w:szCs w:val="32"/>
          <w:highlight w:val="none"/>
          <w:u w:val="none"/>
          <w:lang w:val="en-US" w:eastAsia="zh-CN"/>
          <w14:textFill>
            <w14:solidFill>
              <w14:schemeClr w14:val="tx1"/>
            </w14:solidFill>
          </w14:textFill>
        </w:rPr>
      </w:pPr>
      <w:r>
        <w:rPr>
          <w:rFonts w:hint="eastAsia" w:ascii="黑体" w:hAnsi="黑体" w:eastAsia="黑体"/>
          <w:color w:val="000000" w:themeColor="text1"/>
          <w:sz w:val="32"/>
          <w:szCs w:val="32"/>
          <w:highlight w:val="none"/>
          <w:u w:val="none"/>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ascii="黑体" w:hAnsi="黑体" w:eastAsia="黑体"/>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lang w:val="en-US" w:eastAsia="zh-CN"/>
          <w14:textFill>
            <w14:solidFill>
              <w14:schemeClr w14:val="tx1"/>
            </w14:solidFill>
          </w14:textFill>
        </w:rPr>
        <w:t xml:space="preserve">    </w:t>
      </w:r>
      <w:r>
        <w:rPr>
          <w:rFonts w:hint="eastAsia" w:ascii="黑体" w:hAnsi="黑体" w:eastAsia="黑体"/>
          <w:color w:val="000000" w:themeColor="text1"/>
          <w:sz w:val="32"/>
          <w:szCs w:val="32"/>
          <w:highlight w:val="none"/>
          <w:u w:val="none"/>
          <w14:textFill>
            <w14:solidFill>
              <w14:schemeClr w14:val="tx1"/>
            </w14:solidFill>
          </w14:textFill>
        </w:rPr>
        <w:t xml:space="preserve">第三部分   </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lang w:eastAsia="zh-CN"/>
          <w14:textFill>
            <w14:solidFill>
              <w14:schemeClr w14:val="tx1"/>
            </w14:solidFill>
          </w14:textFill>
        </w:rPr>
        <w:t>年</w:t>
      </w:r>
      <w:r>
        <w:rPr>
          <w:rFonts w:hint="eastAsia" w:ascii="黑体" w:hAnsi="黑体" w:eastAsia="黑体"/>
          <w:color w:val="000000" w:themeColor="text1"/>
          <w:sz w:val="32"/>
          <w:szCs w:val="32"/>
          <w:highlight w:val="none"/>
          <w:u w:val="none"/>
          <w14:textFill>
            <w14:solidFill>
              <w14:schemeClr w14:val="tx1"/>
            </w14:solidFill>
          </w14:textFill>
        </w:rPr>
        <w:t>预算情况说明</w:t>
      </w: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ascii="黑体" w:hAnsi="黑体" w:eastAsia="黑体"/>
          <w:color w:val="000000" w:themeColor="text1"/>
          <w:sz w:val="32"/>
          <w:szCs w:val="32"/>
          <w:highlight w:val="none"/>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黑体" w:hAnsi="黑体" w:eastAsia="黑体"/>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14:textFill>
            <w14:solidFill>
              <w14:schemeClr w14:val="tx1"/>
            </w14:solidFill>
          </w14:textFill>
        </w:rPr>
        <w:t>一、关于</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14:textFill>
            <w14:solidFill>
              <w14:schemeClr w14:val="tx1"/>
            </w14:solidFill>
          </w14:textFill>
        </w:rPr>
        <w:t>年财政拨款收支预算情况的总体说明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海南省检验检测研究院202</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4</w:t>
      </w:r>
      <w:r>
        <w:rPr>
          <w:rFonts w:hint="eastAsia" w:ascii="仿宋_GB2312" w:hAnsi="黑体" w:eastAsia="仿宋_GB2312"/>
          <w:color w:val="000000" w:themeColor="text1"/>
          <w:sz w:val="32"/>
          <w:szCs w:val="32"/>
          <w:highlight w:val="none"/>
          <w:u w:val="none"/>
          <w14:textFill>
            <w14:solidFill>
              <w14:schemeClr w14:val="tx1"/>
            </w14:solidFill>
          </w14:textFill>
        </w:rPr>
        <w:t>年财政拨款收支总预算</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20,631.74</w:t>
      </w:r>
      <w:r>
        <w:rPr>
          <w:rFonts w:hint="eastAsia" w:ascii="仿宋_GB2312" w:hAnsi="黑体" w:eastAsia="仿宋_GB2312"/>
          <w:color w:val="000000" w:themeColor="text1"/>
          <w:sz w:val="32"/>
          <w:szCs w:val="32"/>
          <w:highlight w:val="none"/>
          <w:u w:val="none"/>
          <w14:textFill>
            <w14:solidFill>
              <w14:schemeClr w14:val="tx1"/>
            </w14:solidFill>
          </w14:textFill>
        </w:rPr>
        <w:t>万元</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u w:val="none"/>
          <w14:textFill>
            <w14:solidFill>
              <w14:schemeClr w14:val="tx1"/>
            </w14:solidFill>
          </w14:textFill>
        </w:rPr>
        <w:t>比上年预算数</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增加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1,715.58</w:t>
      </w:r>
      <w:r>
        <w:rPr>
          <w:rFonts w:hint="eastAsia" w:ascii="仿宋_GB2312" w:hAnsi="黑体" w:eastAsia="仿宋_GB2312"/>
          <w:color w:val="000000" w:themeColor="text1"/>
          <w:sz w:val="32"/>
          <w:szCs w:val="32"/>
          <w:highlight w:val="none"/>
          <w:u w:val="none"/>
          <w14:textFill>
            <w14:solidFill>
              <w14:schemeClr w14:val="tx1"/>
            </w14:solidFill>
          </w14:textFill>
        </w:rPr>
        <w:t>万元，主要</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原因是省检验检测研究院整合单位之一原省药品检验所</w:t>
      </w: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2024年新增药品监管能力建设预算项目。</w:t>
      </w:r>
      <w:r>
        <w:rPr>
          <w:rFonts w:hint="eastAsia" w:ascii="仿宋_GB2312" w:hAnsi="黑体" w:eastAsia="仿宋_GB2312"/>
          <w:color w:val="000000" w:themeColor="text1"/>
          <w:sz w:val="32"/>
          <w:szCs w:val="32"/>
          <w:highlight w:val="none"/>
          <w:u w:val="none"/>
          <w14:textFill>
            <w14:solidFill>
              <w14:schemeClr w14:val="tx1"/>
            </w14:solidFill>
          </w14:textFill>
        </w:rPr>
        <w:t>其中，收入总计</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20,631.74</w:t>
      </w:r>
      <w:r>
        <w:rPr>
          <w:rFonts w:hint="eastAsia" w:ascii="仿宋_GB2312" w:hAnsi="黑体" w:eastAsia="仿宋_GB2312"/>
          <w:color w:val="000000" w:themeColor="text1"/>
          <w:sz w:val="32"/>
          <w:szCs w:val="32"/>
          <w:highlight w:val="none"/>
          <w:u w:val="none"/>
          <w14:textFill>
            <w14:solidFill>
              <w14:schemeClr w14:val="tx1"/>
            </w14:solidFill>
          </w14:textFill>
        </w:rPr>
        <w:t>万元，包括一般公共预算本年收入</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20,569.67</w:t>
      </w:r>
      <w:r>
        <w:rPr>
          <w:rFonts w:hint="eastAsia" w:ascii="仿宋_GB2312" w:hAnsi="黑体" w:eastAsia="仿宋_GB2312"/>
          <w:color w:val="000000" w:themeColor="text1"/>
          <w:sz w:val="32"/>
          <w:szCs w:val="32"/>
          <w:highlight w:val="none"/>
          <w:u w:val="none"/>
          <w14:textFill>
            <w14:solidFill>
              <w14:schemeClr w14:val="tx1"/>
            </w14:solidFill>
          </w14:textFill>
        </w:rPr>
        <w:t>万元、上年结转</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62.07</w:t>
      </w:r>
      <w:r>
        <w:rPr>
          <w:rFonts w:hint="eastAsia" w:ascii="仿宋_GB2312" w:hAnsi="黑体" w:eastAsia="仿宋_GB2312"/>
          <w:color w:val="000000" w:themeColor="text1"/>
          <w:sz w:val="32"/>
          <w:szCs w:val="32"/>
          <w:highlight w:val="none"/>
          <w:u w:val="none"/>
          <w14:textFill>
            <w14:solidFill>
              <w14:schemeClr w14:val="tx1"/>
            </w14:solidFill>
          </w14:textFill>
        </w:rPr>
        <w:t>万元，政府性基金预算本年收入</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万元、上年结转</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万元；支出总计</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20,631.74</w:t>
      </w:r>
      <w:r>
        <w:rPr>
          <w:rFonts w:hint="eastAsia" w:ascii="仿宋_GB2312" w:hAnsi="黑体" w:eastAsia="仿宋_GB2312"/>
          <w:color w:val="000000" w:themeColor="text1"/>
          <w:sz w:val="32"/>
          <w:szCs w:val="32"/>
          <w:highlight w:val="none"/>
          <w:u w:val="none"/>
          <w14:textFill>
            <w14:solidFill>
              <w14:schemeClr w14:val="tx1"/>
            </w14:solidFill>
          </w14:textFill>
        </w:rPr>
        <w:t>万元，包括一般公共服务支出</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17,562.86</w:t>
      </w:r>
      <w:r>
        <w:rPr>
          <w:rFonts w:hint="eastAsia" w:ascii="仿宋_GB2312" w:hAnsi="黑体" w:eastAsia="仿宋_GB2312"/>
          <w:color w:val="000000" w:themeColor="text1"/>
          <w:sz w:val="32"/>
          <w:szCs w:val="32"/>
          <w:highlight w:val="none"/>
          <w:u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外交支出</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31.57</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科学技术支出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64.58万元、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社会保障和就业支出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1,998.00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万元、卫生健康支出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342.8</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万元、住房保障支出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631.94</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黑体" w:eastAsia="仿宋_GB2312"/>
          <w:color w:val="000000" w:themeColor="text1"/>
          <w:sz w:val="32"/>
          <w:szCs w:val="32"/>
          <w:highlight w:val="none"/>
          <w:u w:val="none"/>
          <w14:textFill>
            <w14:solidFill>
              <w14:schemeClr w14:val="tx1"/>
            </w14:solidFill>
          </w14:textFill>
        </w:rPr>
      </w:pP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海南省检验检测研究院是根据《中共海南省委机构编制委员会关于整合组建海南省检验检测研究院的批复》（琼编〔2023〕70号），由原省计量测试所、省质量技术监督标准与信息所、省产品质量监督检验所、省锅炉压力容器与特种设备检验所、省药品检验所，省食品药品检验海口分所、三亚分所、儋州分所、琼海分所、五指山分所11个检验检测事业单位整合组建而成，于2023年7月10日正式挂牌成立，为省市场监管局二级预算单位。海南省检验检测研究院2024年预算情况说明中，上年预算数取自11个整合组建单位2023年的预算数之和</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ascii="黑体" w:hAnsi="黑体" w:eastAsia="黑体"/>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14:textFill>
            <w14:solidFill>
              <w14:schemeClr w14:val="tx1"/>
            </w14:solidFill>
          </w14:textFill>
        </w:rPr>
        <w:t>二、关于</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14:textFill>
            <w14:solidFill>
              <w14:schemeClr w14:val="tx1"/>
            </w14:solidFill>
          </w14:textFill>
        </w:rPr>
        <w:t>年一般公共预算当年拨款情况说明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ascii="楷体" w:hAnsi="楷体" w:eastAsia="楷体"/>
          <w:color w:val="000000" w:themeColor="text1"/>
          <w:sz w:val="32"/>
          <w:szCs w:val="32"/>
          <w:highlight w:val="none"/>
          <w:u w:val="none"/>
          <w14:textFill>
            <w14:solidFill>
              <w14:schemeClr w14:val="tx1"/>
            </w14:solidFill>
          </w14:textFill>
        </w:rPr>
      </w:pPr>
      <w:r>
        <w:rPr>
          <w:rFonts w:hint="eastAsia" w:ascii="楷体" w:hAnsi="楷体" w:eastAsia="楷体"/>
          <w:color w:val="000000" w:themeColor="text1"/>
          <w:sz w:val="32"/>
          <w:szCs w:val="32"/>
          <w:highlight w:val="none"/>
          <w:u w:val="none"/>
          <w14:textFill>
            <w14:solidFill>
              <w14:schemeClr w14:val="tx1"/>
            </w14:solidFill>
          </w14:textFill>
        </w:rPr>
        <w:t>（一）一般公共预算当年规模变化情况</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黑体" w:eastAsia="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海南省检验检测研究院202</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4</w:t>
      </w:r>
      <w:r>
        <w:rPr>
          <w:rFonts w:hint="eastAsia" w:ascii="仿宋_GB2312" w:hAnsi="黑体" w:eastAsia="仿宋_GB2312"/>
          <w:color w:val="000000" w:themeColor="text1"/>
          <w:sz w:val="32"/>
          <w:szCs w:val="32"/>
          <w:highlight w:val="none"/>
          <w:u w:val="none"/>
          <w14:textFill>
            <w14:solidFill>
              <w14:schemeClr w14:val="tx1"/>
            </w14:solidFill>
          </w14:textFill>
        </w:rPr>
        <w:t>年一般公共预算当年拨款</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20,631.74</w:t>
      </w:r>
      <w:r>
        <w:rPr>
          <w:rFonts w:hint="eastAsia" w:ascii="仿宋_GB2312" w:hAnsi="黑体" w:eastAsia="仿宋_GB2312"/>
          <w:color w:val="000000" w:themeColor="text1"/>
          <w:sz w:val="32"/>
          <w:szCs w:val="32"/>
          <w:highlight w:val="none"/>
          <w:u w:val="none"/>
          <w14:textFill>
            <w14:solidFill>
              <w14:schemeClr w14:val="tx1"/>
            </w14:solidFill>
          </w14:textFill>
        </w:rPr>
        <w:t>万元，比上年预算数</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增加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1,715.58</w:t>
      </w:r>
      <w:r>
        <w:rPr>
          <w:rFonts w:hint="eastAsia" w:ascii="仿宋_GB2312" w:hAnsi="黑体" w:eastAsia="仿宋_GB2312"/>
          <w:color w:val="000000" w:themeColor="text1"/>
          <w:sz w:val="32"/>
          <w:szCs w:val="32"/>
          <w:highlight w:val="none"/>
          <w:u w:val="none"/>
          <w14:textFill>
            <w14:solidFill>
              <w14:schemeClr w14:val="tx1"/>
            </w14:solidFill>
          </w14:textFill>
        </w:rPr>
        <w:t>万元，主要</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原因是省检验检测研究院整合单位之一原省药品检验所</w:t>
      </w: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2024年新增药品监管能力建设预算项目。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ascii="楷体" w:hAnsi="楷体" w:eastAsia="楷体"/>
          <w:color w:val="000000" w:themeColor="text1"/>
          <w:sz w:val="32"/>
          <w:szCs w:val="32"/>
          <w:highlight w:val="none"/>
          <w:u w:val="none"/>
          <w14:textFill>
            <w14:solidFill>
              <w14:schemeClr w14:val="tx1"/>
            </w14:solidFill>
          </w14:textFill>
        </w:rPr>
      </w:pPr>
      <w:r>
        <w:rPr>
          <w:rFonts w:hint="eastAsia" w:ascii="楷体" w:hAnsi="楷体" w:eastAsia="楷体"/>
          <w:color w:val="000000" w:themeColor="text1"/>
          <w:sz w:val="32"/>
          <w:szCs w:val="32"/>
          <w:highlight w:val="none"/>
          <w:u w:val="none"/>
          <w14:textFill>
            <w14:solidFill>
              <w14:schemeClr w14:val="tx1"/>
            </w14:solidFill>
          </w14:textFill>
        </w:rPr>
        <w:t>（二）一般公共预算当年拨款结构情况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一般公共服务（类）支出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17,562.86</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85.14</w:t>
      </w:r>
      <w:r>
        <w:rPr>
          <w:rFonts w:hint="eastAsia" w:ascii="仿宋_GB2312" w:hAnsi="仿宋_GB2312" w:eastAsia="仿宋_GB2312" w:cs="仿宋_GB2312"/>
          <w:color w:val="000000" w:themeColor="text1"/>
          <w:sz w:val="32"/>
          <w:szCs w:val="32"/>
          <w:highlight w:val="none"/>
          <w14:textFill>
            <w14:solidFill>
              <w14:schemeClr w14:val="tx1"/>
            </w14:solidFill>
          </w14:textFill>
        </w:rPr>
        <w:t>%；外交（类）支出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31.57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0.15</w:t>
      </w:r>
      <w:r>
        <w:rPr>
          <w:rFonts w:hint="eastAsia" w:ascii="仿宋_GB2312" w:hAnsi="仿宋_GB2312" w:eastAsia="仿宋_GB2312" w:cs="仿宋_GB2312"/>
          <w:color w:val="000000" w:themeColor="text1"/>
          <w:sz w:val="32"/>
          <w:szCs w:val="32"/>
          <w:highlight w:val="none"/>
          <w14:textFill>
            <w14:solidFill>
              <w14:schemeClr w14:val="tx1"/>
            </w14:solidFill>
          </w14:textFill>
        </w:rPr>
        <w:t>%；科学技术（类）支出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64.58</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0.31</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%；社会保障和就业支出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1,998.00</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9.68%</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卫生健康支出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342.8</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1.66%</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住房保障支出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631.94</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3.06%</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ascii="楷体" w:hAnsi="楷体" w:eastAsia="楷体"/>
          <w:color w:val="000000" w:themeColor="text1"/>
          <w:sz w:val="32"/>
          <w:szCs w:val="32"/>
          <w:highlight w:val="none"/>
          <w:u w:val="none"/>
          <w14:textFill>
            <w14:solidFill>
              <w14:schemeClr w14:val="tx1"/>
            </w14:solidFill>
          </w14:textFill>
        </w:rPr>
      </w:pPr>
      <w:r>
        <w:rPr>
          <w:rFonts w:hint="eastAsia" w:ascii="楷体" w:hAnsi="楷体" w:eastAsia="楷体"/>
          <w:color w:val="000000" w:themeColor="text1"/>
          <w:sz w:val="32"/>
          <w:szCs w:val="32"/>
          <w:highlight w:val="none"/>
          <w:u w:val="none"/>
          <w14:textFill>
            <w14:solidFill>
              <w14:schemeClr w14:val="tx1"/>
            </w14:solidFill>
          </w14:textFill>
        </w:rPr>
        <w:t>（三）一般公共预算当年拨款具体使用情况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1.一般公共服务（类）</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市场监督管理事务（款）信息化建设（项）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109.34</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12.7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主要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原因</w:t>
      </w:r>
      <w:r>
        <w:rPr>
          <w:rFonts w:hint="eastAsia" w:ascii="仿宋_GB2312" w:hAnsi="仿宋_GB2312" w:eastAsia="仿宋_GB2312" w:cs="仿宋_GB2312"/>
          <w:color w:val="000000" w:themeColor="text1"/>
          <w:sz w:val="32"/>
          <w:szCs w:val="32"/>
          <w:highlight w:val="none"/>
          <w14:textFill>
            <w14:solidFill>
              <w14:schemeClr w14:val="tx1"/>
            </w14:solidFill>
          </w14:textFill>
        </w:rPr>
        <w:t>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省检验检测研究院的整合单位之一原省质检所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2023年信息化建设项目原为自有资金，2024年调整为一般公共预算拨款</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 一般公共服务（类）市场监督管理事务（款）食品安全监管（项）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102.71</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401.19</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万元，主要原因是根据年度工作任务，各项目之间预算安排有调整。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 一般公共服务（类）市场监督管理事务（款）事业运行（项）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9,103.34</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379.31</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主要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原因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人员工资正常晋升，社保缴费基数提高，基本支出人员经费提高</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 一般公共服务（类）市场监督管理事务（款）其他市场监督管理事务（项）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8,247.46</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1,869.82</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原因</w:t>
      </w:r>
      <w:r>
        <w:rPr>
          <w:rFonts w:hint="eastAsia" w:ascii="仿宋_GB2312" w:hAnsi="仿宋_GB2312" w:eastAsia="仿宋_GB2312" w:cs="仿宋_GB2312"/>
          <w:color w:val="000000" w:themeColor="text1"/>
          <w:sz w:val="32"/>
          <w:szCs w:val="32"/>
          <w:highlight w:val="none"/>
          <w14:textFill>
            <w14:solidFill>
              <w14:schemeClr w14:val="tx1"/>
            </w14:solidFill>
          </w14:textFill>
        </w:rPr>
        <w:t>是</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省检验检测研究院整合单位之一原省药品检验所</w:t>
      </w: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2024年新增药品监管能力建设预算项目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.外交支出（类）对外合作与交流（款）在华国际会议（项）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31.57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21.57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万元，主要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原因</w:t>
      </w:r>
      <w:r>
        <w:rPr>
          <w:rFonts w:hint="eastAsia" w:ascii="仿宋_GB2312" w:hAnsi="仿宋_GB2312" w:eastAsia="仿宋_GB2312" w:cs="仿宋_GB2312"/>
          <w:color w:val="000000" w:themeColor="text1"/>
          <w:sz w:val="32"/>
          <w:szCs w:val="32"/>
          <w:highlight w:val="none"/>
          <w14:textFill>
            <w14:solidFill>
              <w14:schemeClr w14:val="tx1"/>
            </w14:solidFill>
          </w14:textFill>
        </w:rPr>
        <w:t>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省检验检测研究院的整合单位之一原</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省食品药品检验所</w:t>
      </w: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琼海分所</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博鳌亚洲论坛年会预算增加。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科学技术支出（类）基础研究（款）自然科学基金（项）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2024年预算数为16.16万元，比上年预算数减少6.63万元，主要原因是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省检验检测研究院整合单位之一原省药品检验所、原省药品检验所三亚分所、原食品检验检测中心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上年结转结余资金减少。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科学技术支出（类）应用研究（款）社会公益研究（项）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2024年预算数为0.95万元，比上年预算数减少3.7万元，主要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原因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是</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省检验检测研究院整合单位之一原食品检验检测中心和原产品质量监督检验所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上年结转结余资金减少。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科学技术支出（类）科技条件与服务（款）其他科技条件与服务支出（项）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2024年预算数为6.27万元，比上年预算数增加6.27万元，主要原因科技厅增加科研经费。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科学技术支出（类）科技重大项目（款）重点研发计划（项）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2024年预算数为41.21万元，比上年预算数减少42.45万元，主要原因是省检验检测研究院</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整合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单位之一原食品检验检测中心结转结余资金较上年减少。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.社会保障和就业支出（类）行政事业单位养老支出（款）机关事业单位基本养老保险缴费支出（项）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762.09</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万元，比上年预算数增加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55.37</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主要原因是发放自贸港津贴和人员工资正常晋升，养老保险缴费基数提高，机关事业单位基本养老保险缴费预算增加。</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w:t>
      </w:r>
      <w:r>
        <w:rPr>
          <w:rFonts w:hint="eastAsia" w:ascii="仿宋_GB2312" w:hAnsi="仿宋_GB2312" w:eastAsia="仿宋_GB2312" w:cs="仿宋_GB2312"/>
          <w:color w:val="000000" w:themeColor="text1"/>
          <w:sz w:val="32"/>
          <w:szCs w:val="32"/>
          <w:highlight w:val="none"/>
          <w14:textFill>
            <w14:solidFill>
              <w14:schemeClr w14:val="tx1"/>
            </w14:solidFill>
          </w14:textFill>
        </w:rPr>
        <w:t>. 社会保障和就业支出（类）行政事业单位养老支出（款）机关事业单位职业年金缴费支出（项）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1,230.82</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45.02</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主要原因是2023年补缴2014年至2018年职业年金记实。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12.</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社会保障和就业支出（类）抚恤（款）其他优抚支出（项）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5.08</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万元，与上年预算数持平。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13</w:t>
      </w:r>
      <w:r>
        <w:rPr>
          <w:rFonts w:hint="eastAsia" w:ascii="仿宋_GB2312" w:hAnsi="仿宋_GB2312" w:eastAsia="仿宋_GB2312" w:cs="仿宋_GB2312"/>
          <w:color w:val="000000" w:themeColor="text1"/>
          <w:sz w:val="32"/>
          <w:szCs w:val="32"/>
          <w:highlight w:val="none"/>
          <w14:textFill>
            <w14:solidFill>
              <w14:schemeClr w14:val="tx1"/>
            </w14:solidFill>
          </w14:textFill>
        </w:rPr>
        <w:t>.卫生健康支出（类）行政事业单位医疗（款）事业单位医疗（项）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预算数为34</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23.5</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主要原因是人员退休医疗保险缴费预算减少。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14.</w:t>
      </w:r>
      <w:r>
        <w:rPr>
          <w:rFonts w:hint="eastAsia" w:ascii="仿宋_GB2312" w:hAnsi="仿宋_GB2312" w:eastAsia="仿宋_GB2312" w:cs="仿宋_GB2312"/>
          <w:color w:val="000000" w:themeColor="text1"/>
          <w:sz w:val="32"/>
          <w:szCs w:val="32"/>
          <w:highlight w:val="none"/>
          <w14:textFill>
            <w14:solidFill>
              <w14:schemeClr w14:val="tx1"/>
            </w14:solidFill>
          </w14:textFill>
        </w:rPr>
        <w:t>住房保障支出（类）住房改革支出（款）住房公积金（项）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2024年</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预算数为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631.94</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比上年预算数增加44.82万元，主要原因是发放自贸港津贴和人员工资正常晋升，住房公积金缴费基数提高，住房公积金预算增加。</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ascii="黑体" w:hAnsi="黑体" w:eastAsia="黑体"/>
          <w:color w:val="000000" w:themeColor="text1"/>
          <w:sz w:val="32"/>
          <w:szCs w:val="32"/>
          <w:highlight w:val="none"/>
          <w:u w:val="none"/>
          <w14:textFill>
            <w14:solidFill>
              <w14:schemeClr w14:val="tx1"/>
            </w14:solidFill>
          </w14:textFill>
        </w:rPr>
      </w:pPr>
      <w:r>
        <w:rPr>
          <w:rFonts w:hint="eastAsia" w:ascii="黑体" w:hAnsi="黑体" w:eastAsia="黑体"/>
          <w:color w:val="000000" w:themeColor="text1"/>
          <w:sz w:val="32"/>
          <w:szCs w:val="32"/>
          <w:highlight w:val="none"/>
          <w:u w:val="none"/>
          <w14:textFill>
            <w14:solidFill>
              <w14:schemeClr w14:val="tx1"/>
            </w14:solidFill>
          </w14:textFill>
        </w:rPr>
        <w:t>三、关于</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lang w:eastAsia="zh-CN"/>
          <w14:textFill>
            <w14:solidFill>
              <w14:schemeClr w14:val="tx1"/>
            </w14:solidFill>
          </w14:textFill>
        </w:rPr>
        <w:t>年</w:t>
      </w:r>
      <w:r>
        <w:rPr>
          <w:rFonts w:hint="eastAsia" w:ascii="黑体" w:hAnsi="黑体" w:eastAsia="黑体"/>
          <w:color w:val="000000" w:themeColor="text1"/>
          <w:sz w:val="32"/>
          <w:szCs w:val="32"/>
          <w:highlight w:val="none"/>
          <w:u w:val="none"/>
          <w14:textFill>
            <w14:solidFill>
              <w14:schemeClr w14:val="tx1"/>
            </w14:solidFill>
          </w14:textFill>
        </w:rPr>
        <w:t>一般公共预算基本支出情况说明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黑体" w:eastAsia="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海南省检验检测研究院202</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4</w:t>
      </w:r>
      <w:r>
        <w:rPr>
          <w:rFonts w:hint="eastAsia" w:ascii="仿宋_GB2312" w:hAnsi="黑体" w:eastAsia="仿宋_GB2312"/>
          <w:color w:val="000000" w:themeColor="text1"/>
          <w:sz w:val="32"/>
          <w:szCs w:val="32"/>
          <w:highlight w:val="none"/>
          <w:u w:val="none"/>
          <w14:textFill>
            <w14:solidFill>
              <w14:schemeClr w14:val="tx1"/>
            </w14:solidFill>
          </w14:textFill>
        </w:rPr>
        <w:t>年一般公共预算基本支出为</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12,076.08</w:t>
      </w:r>
      <w:r>
        <w:rPr>
          <w:rFonts w:hint="eastAsia" w:ascii="仿宋_GB2312" w:hAnsi="黑体" w:eastAsia="仿宋_GB2312"/>
          <w:color w:val="000000" w:themeColor="text1"/>
          <w:sz w:val="32"/>
          <w:szCs w:val="32"/>
          <w:highlight w:val="none"/>
          <w:u w:val="none"/>
          <w14:textFill>
            <w14:solidFill>
              <w14:schemeClr w14:val="tx1"/>
            </w14:solidFill>
          </w14:textFill>
        </w:rPr>
        <w:t>万元，其中：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黑体" w:eastAsia="仿宋_GB2312"/>
          <w:color w:val="000000" w:themeColor="text1"/>
          <w:sz w:val="32"/>
          <w:szCs w:val="32"/>
          <w:highlight w:val="none"/>
          <w:u w:val="none"/>
          <w14:textFill>
            <w14:solidFill>
              <w14:schemeClr w14:val="tx1"/>
            </w14:solidFill>
          </w14:textFill>
        </w:rPr>
        <w:t>人员经费</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9,758.75</w:t>
      </w:r>
      <w:r>
        <w:rPr>
          <w:rFonts w:hint="eastAsia" w:ascii="仿宋_GB2312" w:hAnsi="黑体" w:eastAsia="仿宋_GB2312"/>
          <w:color w:val="000000" w:themeColor="text1"/>
          <w:sz w:val="32"/>
          <w:szCs w:val="32"/>
          <w:highlight w:val="none"/>
          <w:u w:val="none"/>
          <w14:textFill>
            <w14:solidFill>
              <w14:schemeClr w14:val="tx1"/>
            </w14:solidFill>
          </w14:textFill>
        </w:rPr>
        <w:t>万元，主要包括：</w:t>
      </w:r>
      <w:r>
        <w:rPr>
          <w:rFonts w:hint="eastAsia" w:ascii="仿宋_GB2312" w:hAnsi="仿宋_GB2312" w:eastAsia="仿宋_GB2312" w:cs="仿宋_GB2312"/>
          <w:color w:val="000000" w:themeColor="text1"/>
          <w:sz w:val="32"/>
          <w:szCs w:val="32"/>
          <w:highlight w:val="none"/>
          <w14:textFill>
            <w14:solidFill>
              <w14:schemeClr w14:val="tx1"/>
            </w14:solidFill>
          </w14:textFill>
        </w:rPr>
        <w:t>基本工资、津贴补贴、绩效工资、机关事业单位基本养老保险缴费、职业年金缴费、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职工基本医疗</w:t>
      </w:r>
      <w:r>
        <w:rPr>
          <w:rFonts w:hint="eastAsia" w:ascii="仿宋_GB2312" w:hAnsi="仿宋_GB2312" w:eastAsia="仿宋_GB2312" w:cs="仿宋_GB2312"/>
          <w:color w:val="000000" w:themeColor="text1"/>
          <w:sz w:val="32"/>
          <w:szCs w:val="32"/>
          <w:highlight w:val="none"/>
          <w14:textFill>
            <w14:solidFill>
              <w14:schemeClr w14:val="tx1"/>
            </w14:solidFill>
          </w14:textFill>
        </w:rPr>
        <w:t>保险缴费、其他社会保障缴费、住房公积金、医疗费、其他工资福利支出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、邮电费、对个人和家庭的补助、生活补助、奖励金</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黑体" w:eastAsia="仿宋_GB2312"/>
          <w:color w:val="000000" w:themeColor="text1"/>
          <w:sz w:val="32"/>
          <w:szCs w:val="32"/>
          <w:highlight w:val="none"/>
          <w:u w:val="none"/>
          <w14:textFill>
            <w14:solidFill>
              <w14:schemeClr w14:val="tx1"/>
            </w14:solidFill>
          </w14:textFill>
        </w:rPr>
        <w:t>公用经费</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2,317.33</w:t>
      </w:r>
      <w:r>
        <w:rPr>
          <w:rFonts w:hint="eastAsia" w:ascii="仿宋_GB2312" w:hAnsi="黑体" w:eastAsia="仿宋_GB2312"/>
          <w:color w:val="000000" w:themeColor="text1"/>
          <w:sz w:val="32"/>
          <w:szCs w:val="32"/>
          <w:highlight w:val="none"/>
          <w:u w:val="none"/>
          <w14:textFill>
            <w14:solidFill>
              <w14:schemeClr w14:val="tx1"/>
            </w14:solidFill>
          </w14:textFill>
        </w:rPr>
        <w:t>万元，主要包括：</w:t>
      </w:r>
      <w:r>
        <w:rPr>
          <w:rFonts w:hint="eastAsia" w:ascii="仿宋_GB2312" w:hAnsi="仿宋_GB2312" w:eastAsia="仿宋_GB2312" w:cs="仿宋_GB2312"/>
          <w:color w:val="000000" w:themeColor="text1"/>
          <w:sz w:val="32"/>
          <w:szCs w:val="32"/>
          <w:highlight w:val="none"/>
          <w14:textFill>
            <w14:solidFill>
              <w14:schemeClr w14:val="tx1"/>
            </w14:solidFill>
          </w14:textFill>
        </w:rPr>
        <w:t>办公费、印刷费、咨询费、手续费、水费、电费、邮电费、物业管理费、差旅费、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因公出国（境）费用、</w:t>
      </w:r>
      <w:r>
        <w:rPr>
          <w:rFonts w:hint="eastAsia" w:ascii="仿宋_GB2312" w:hAnsi="仿宋_GB2312" w:eastAsia="仿宋_GB2312" w:cs="仿宋_GB2312"/>
          <w:color w:val="000000" w:themeColor="text1"/>
          <w:sz w:val="32"/>
          <w:szCs w:val="32"/>
          <w:highlight w:val="none"/>
          <w14:textFill>
            <w14:solidFill>
              <w14:schemeClr w14:val="tx1"/>
            </w14:solidFill>
          </w14:textFill>
        </w:rPr>
        <w:t>维修（护）费、租赁费、会议费、培训费、公务接待费、专用材料费、专用燃料费、劳务费、委托业务费、工会经费、公务用车运行维护费、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其他交通费、</w:t>
      </w:r>
      <w:r>
        <w:rPr>
          <w:rFonts w:hint="eastAsia" w:ascii="仿宋_GB2312" w:hAnsi="仿宋_GB2312" w:eastAsia="仿宋_GB2312" w:cs="仿宋_GB2312"/>
          <w:color w:val="000000" w:themeColor="text1"/>
          <w:sz w:val="32"/>
          <w:szCs w:val="32"/>
          <w:highlight w:val="none"/>
          <w14:textFill>
            <w14:solidFill>
              <w14:schemeClr w14:val="tx1"/>
            </w14:solidFill>
          </w14:textFill>
        </w:rPr>
        <w:t>其他商品和服务支出、对个人和家庭的补助</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生活补助、救济费</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其他对个人和家庭的补助、办公设备购置。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Times New Roman"/>
          <w:color w:val="000000" w:themeColor="text1"/>
          <w:sz w:val="32"/>
          <w:highlight w:val="none"/>
          <w:u w:val="none"/>
          <w:shd w:val="clear" w:color="auto" w:fill="FFFFFF"/>
          <w14:textFill>
            <w14:solidFill>
              <w14:schemeClr w14:val="tx1"/>
            </w14:solidFill>
          </w14:textFill>
        </w:rPr>
      </w:pP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四、</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lang w:eastAsia="zh-CN"/>
          <w14:textFill>
            <w14:solidFill>
              <w14:schemeClr w14:val="tx1"/>
            </w14:solidFill>
          </w14:textFill>
        </w:rPr>
        <w:t>年</w:t>
      </w:r>
      <w:r>
        <w:rPr>
          <w:rFonts w:ascii="黑体" w:hAnsi="黑体" w:eastAsia="黑体" w:cs="Times New Roman"/>
          <w:color w:val="000000" w:themeColor="text1"/>
          <w:sz w:val="32"/>
          <w:highlight w:val="none"/>
          <w:u w:val="none"/>
          <w:shd w:val="clear" w:color="auto" w:fill="FFFFFF"/>
          <w14:textFill>
            <w14:solidFill>
              <w14:schemeClr w14:val="tx1"/>
            </w14:solidFill>
          </w14:textFill>
        </w:rPr>
        <w:t>“三公”经费预算情况</w:t>
      </w: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黑体" w:eastAsia="仿宋_GB2312" w:cs="Times New Roman"/>
          <w:color w:val="000000" w:themeColor="text1"/>
          <w:sz w:val="32"/>
          <w:szCs w:val="32"/>
          <w:highlight w:val="none"/>
          <w:u w:val="none"/>
          <w14:textFill>
            <w14:solidFill>
              <w14:schemeClr w14:val="tx1"/>
            </w14:solidFill>
          </w14:textFill>
        </w:rPr>
      </w:pPr>
      <w:r>
        <w:rPr>
          <w:rFonts w:hint="eastAsia" w:ascii="楷体" w:hAnsi="楷体" w:eastAsia="楷体"/>
          <w:color w:val="000000" w:themeColor="text1"/>
          <w:sz w:val="32"/>
          <w:szCs w:val="32"/>
          <w:highlight w:val="none"/>
          <w:u w:val="none"/>
          <w14:textFill>
            <w14:solidFill>
              <w14:schemeClr w14:val="tx1"/>
            </w14:solidFill>
          </w14:textFill>
        </w:rPr>
        <w:t>（一）</w:t>
      </w:r>
      <w:r>
        <w:rPr>
          <w:rFonts w:hint="eastAsia" w:ascii="楷体" w:hAnsi="楷体" w:eastAsia="楷体"/>
          <w:color w:val="000000" w:themeColor="text1"/>
          <w:sz w:val="32"/>
          <w:szCs w:val="32"/>
          <w:highlight w:val="none"/>
          <w:u w:val="none"/>
          <w:lang w:eastAsia="zh-CN"/>
          <w14:textFill>
            <w14:solidFill>
              <w14:schemeClr w14:val="tx1"/>
            </w14:solidFill>
          </w14:textFill>
        </w:rPr>
        <w:t>海南省检验检测研究院202</w:t>
      </w:r>
      <w:r>
        <w:rPr>
          <w:rFonts w:hint="eastAsia" w:ascii="楷体" w:hAnsi="楷体" w:eastAsia="楷体"/>
          <w:color w:val="000000" w:themeColor="text1"/>
          <w:sz w:val="32"/>
          <w:szCs w:val="32"/>
          <w:highlight w:val="none"/>
          <w:u w:val="none"/>
          <w:lang w:val="en-US" w:eastAsia="zh-CN"/>
          <w14:textFill>
            <w14:solidFill>
              <w14:schemeClr w14:val="tx1"/>
            </w14:solidFill>
          </w14:textFill>
        </w:rPr>
        <w:t>4</w:t>
      </w:r>
      <w:r>
        <w:rPr>
          <w:rFonts w:hint="eastAsia" w:ascii="楷体" w:hAnsi="楷体" w:eastAsia="楷体"/>
          <w:color w:val="000000" w:themeColor="text1"/>
          <w:sz w:val="32"/>
          <w:szCs w:val="32"/>
          <w:highlight w:val="none"/>
          <w:u w:val="none"/>
          <w14:textFill>
            <w14:solidFill>
              <w14:schemeClr w14:val="tx1"/>
            </w14:solidFill>
          </w14:textFill>
        </w:rPr>
        <w:t>年一般公共预算“三公”经费预算数为</w:t>
      </w:r>
      <w:r>
        <w:rPr>
          <w:rFonts w:hint="eastAsia" w:ascii="楷体" w:hAnsi="楷体" w:eastAsia="楷体"/>
          <w:color w:val="000000" w:themeColor="text1"/>
          <w:sz w:val="32"/>
          <w:szCs w:val="32"/>
          <w:highlight w:val="none"/>
          <w:u w:val="none"/>
          <w:lang w:val="en-US" w:eastAsia="zh-CN"/>
          <w14:textFill>
            <w14:solidFill>
              <w14:schemeClr w14:val="tx1"/>
            </w14:solidFill>
          </w14:textFill>
        </w:rPr>
        <w:t>112.12</w:t>
      </w:r>
      <w:r>
        <w:rPr>
          <w:rFonts w:hint="eastAsia" w:ascii="楷体" w:hAnsi="楷体" w:eastAsia="楷体"/>
          <w:color w:val="000000" w:themeColor="text1"/>
          <w:sz w:val="32"/>
          <w:szCs w:val="32"/>
          <w:highlight w:val="none"/>
          <w:u w:val="none"/>
          <w14:textFill>
            <w14:solidFill>
              <w14:schemeClr w14:val="tx1"/>
            </w14:solidFill>
          </w14:textFill>
        </w:rPr>
        <w:t>万元，其中：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30"/>
        <w:textAlignment w:val="auto"/>
        <w:outlineLvl w:val="9"/>
        <w:rPr>
          <w:rFonts w:hint="eastAsia" w:ascii="Times New Roman" w:hAnsi="Times New Roman" w:eastAsia="仿宋_GB2312" w:cs="Times New Roman"/>
          <w:color w:val="000000" w:themeColor="text1"/>
          <w:sz w:val="32"/>
          <w:highlight w:val="none"/>
          <w:u w:val="none"/>
          <w:shd w:val="clear" w:color="auto" w:fill="FFFFFF"/>
          <w:lang w:eastAsia="zh-CN"/>
          <w14:textFill>
            <w14:solidFill>
              <w14:schemeClr w14:val="tx1"/>
            </w14:solidFill>
          </w14:textFill>
        </w:rPr>
      </w:pPr>
      <w:r>
        <w:rPr>
          <w:rFonts w:ascii="Times New Roman" w:hAnsi="Times New Roman" w:eastAsia="仿宋_GB2312" w:cs="Times New Roman"/>
          <w:color w:val="000000" w:themeColor="text1"/>
          <w:sz w:val="32"/>
          <w:highlight w:val="none"/>
          <w:u w:val="none"/>
          <w:shd w:val="clear" w:color="auto" w:fill="FFFFFF"/>
          <w14:textFill>
            <w14:solidFill>
              <w14:schemeClr w14:val="tx1"/>
            </w14:solidFill>
          </w14:textFill>
        </w:rPr>
        <w:t>因公出国（境）经费</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4.8</w:t>
      </w:r>
      <w:r>
        <w:rPr>
          <w:rFonts w:hint="eastAsia" w:ascii="仿宋_GB2312" w:hAnsi="黑体" w:eastAsia="仿宋_GB2312"/>
          <w:color w:val="000000" w:themeColor="text1"/>
          <w:sz w:val="32"/>
          <w:szCs w:val="32"/>
          <w:highlight w:val="none"/>
          <w:u w:val="none"/>
          <w14:textFill>
            <w14:solidFill>
              <w14:schemeClr w14:val="tx1"/>
            </w14:solidFill>
          </w14:textFill>
        </w:rPr>
        <w:t>万元</w:t>
      </w:r>
      <w:r>
        <w:rPr>
          <w:rFonts w:ascii="Times New Roman" w:hAnsi="Times New Roman" w:eastAsia="仿宋_GB2312" w:cs="Times New Roman"/>
          <w:color w:val="000000" w:themeColor="text1"/>
          <w:sz w:val="32"/>
          <w:highlight w:val="none"/>
          <w:u w:val="none"/>
          <w:shd w:val="clear" w:color="auto" w:fill="FFFFFF"/>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与上年预算数持平，</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目前</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年出国（境）计划尚未审批，</w:t>
      </w:r>
      <w:r>
        <w:rPr>
          <w:rFonts w:hint="eastAsia" w:ascii="仿宋_GB2312" w:hAnsi="仿宋_GB2312" w:eastAsia="仿宋_GB2312" w:cs="仿宋_GB2312"/>
          <w:color w:val="000000" w:themeColor="text1"/>
          <w:sz w:val="32"/>
          <w:highlight w:val="none"/>
          <w:u w:val="none"/>
          <w:shd w:val="clear" w:color="auto" w:fill="FFFFFF"/>
          <w:lang w:eastAsia="zh-CN"/>
          <w14:textFill>
            <w14:solidFill>
              <w14:schemeClr w14:val="tx1"/>
            </w14:solidFill>
          </w14:textFill>
        </w:rPr>
        <w:t>拟安排出国（境）团组1次，出国（境）5人。出国（境）团组主要包括：高级技术人员团组，目的地为香港，人数为5人，天数为4天，主要任务为专业技术方法学术交流培训，学习先进技术。</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公务用车购置及运行费</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97.86</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万元（其中，</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公务用车购置费</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万元</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，公务用车运行费</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97.86</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万元）</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w:t>
      </w:r>
      <w:r>
        <w:rPr>
          <w:rFonts w:hint="eastAsia" w:ascii="仿宋_GB2312" w:hAnsi="仿宋_GB2312" w:eastAsia="仿宋_GB2312" w:cs="仿宋_GB2312"/>
          <w:color w:val="000000" w:themeColor="text1"/>
          <w:sz w:val="32"/>
          <w:highlight w:val="none"/>
          <w:u w:val="none"/>
          <w:shd w:val="clear" w:color="auto" w:fill="FFFFFF"/>
          <w:lang w:val="en-US" w:eastAsia="zh-CN"/>
          <w14:textFill>
            <w14:solidFill>
              <w14:schemeClr w14:val="tx1"/>
            </w14:solidFill>
          </w14:textFill>
        </w:rPr>
        <w:t>本年度费用</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较上年预算</w:t>
      </w:r>
      <w:r>
        <w:rPr>
          <w:rFonts w:hint="eastAsia" w:ascii="仿宋_GB2312" w:hAnsi="仿宋_GB2312" w:eastAsia="仿宋_GB2312" w:cs="仿宋_GB2312"/>
          <w:color w:val="000000" w:themeColor="text1"/>
          <w:sz w:val="32"/>
          <w:highlight w:val="none"/>
          <w:u w:val="none"/>
          <w:shd w:val="clear" w:color="auto" w:fill="FFFFFF"/>
          <w:lang w:eastAsia="zh-CN"/>
          <w14:textFill>
            <w14:solidFill>
              <w14:schemeClr w14:val="tx1"/>
            </w14:solidFill>
          </w14:textFill>
        </w:rPr>
        <w:t>减少</w:t>
      </w:r>
      <w:r>
        <w:rPr>
          <w:rFonts w:hint="eastAsia" w:ascii="仿宋_GB2312" w:hAnsi="仿宋_GB2312" w:eastAsia="仿宋_GB2312" w:cs="仿宋_GB2312"/>
          <w:color w:val="000000" w:themeColor="text1"/>
          <w:sz w:val="32"/>
          <w:highlight w:val="none"/>
          <w:u w:val="none"/>
          <w:shd w:val="clear" w:color="auto" w:fill="FFFFFF"/>
          <w:lang w:val="en-US" w:eastAsia="zh-CN"/>
          <w14:textFill>
            <w14:solidFill>
              <w14:schemeClr w14:val="tx1"/>
            </w14:solidFill>
          </w14:textFill>
        </w:rPr>
        <w:t>3.29万元，</w:t>
      </w:r>
      <w:r>
        <w:rPr>
          <w:rFonts w:hint="eastAsia" w:ascii="仿宋_GB2312" w:hAnsi="仿宋_GB2312" w:eastAsia="仿宋_GB2312" w:cs="仿宋_GB2312"/>
          <w:color w:val="000000" w:themeColor="text1"/>
          <w:sz w:val="32"/>
          <w:highlight w:val="none"/>
          <w:u w:val="none"/>
          <w:shd w:val="clear" w:color="auto" w:fill="FFFFFF"/>
          <w:lang w:eastAsia="zh-CN"/>
          <w14:textFill>
            <w14:solidFill>
              <w14:schemeClr w14:val="tx1"/>
            </w14:solidFill>
          </w14:textFill>
        </w:rPr>
        <w:t>减少</w:t>
      </w:r>
      <w:r>
        <w:rPr>
          <w:rFonts w:hint="eastAsia" w:ascii="仿宋_GB2312" w:hAnsi="仿宋_GB2312" w:eastAsia="仿宋_GB2312" w:cs="仿宋_GB2312"/>
          <w:color w:val="000000" w:themeColor="text1"/>
          <w:sz w:val="32"/>
          <w:highlight w:val="none"/>
          <w:u w:val="none"/>
          <w:shd w:val="clear" w:color="auto" w:fill="FFFFFF"/>
          <w:lang w:val="en-US" w:eastAsia="zh-CN"/>
          <w14:textFill>
            <w14:solidFill>
              <w14:schemeClr w14:val="tx1"/>
            </w14:solidFill>
          </w14:textFill>
        </w:rPr>
        <w:t>3.3</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w:t>
      </w:r>
      <w:r>
        <w:rPr>
          <w:rFonts w:hint="eastAsia" w:ascii="仿宋_GB2312" w:hAnsi="仿宋_GB2312" w:eastAsia="仿宋_GB2312" w:cs="仿宋_GB2312"/>
          <w:color w:val="000000" w:themeColor="text1"/>
          <w:sz w:val="32"/>
          <w:highlight w:val="none"/>
          <w:u w:val="none"/>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减少原因是调减费用至公务接待项目。</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公务车保有量</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33</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辆，计划购置</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辆</w:t>
      </w:r>
      <w:r>
        <w:rPr>
          <w:rFonts w:hint="eastAsia" w:ascii="仿宋_GB2312" w:hAnsi="仿宋_GB2312" w:eastAsia="仿宋_GB2312" w:cs="仿宋_GB2312"/>
          <w:color w:val="000000" w:themeColor="text1"/>
          <w:sz w:val="32"/>
          <w:highlight w:val="none"/>
          <w:u w:val="none"/>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公务接待费</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9.46</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万元，较上年预算</w:t>
      </w:r>
      <w:r>
        <w:rPr>
          <w:rFonts w:hint="eastAsia" w:ascii="仿宋_GB2312" w:hAnsi="仿宋_GB2312" w:eastAsia="仿宋_GB2312" w:cs="仿宋_GB2312"/>
          <w:color w:val="000000" w:themeColor="text1"/>
          <w:sz w:val="32"/>
          <w:highlight w:val="none"/>
          <w:u w:val="none"/>
          <w:shd w:val="clear" w:color="auto" w:fill="FFFFFF"/>
          <w:lang w:eastAsia="zh-CN"/>
          <w14:textFill>
            <w14:solidFill>
              <w14:schemeClr w14:val="tx1"/>
            </w14:solidFill>
          </w14:textFill>
        </w:rPr>
        <w:t>增加</w:t>
      </w:r>
      <w:r>
        <w:rPr>
          <w:rFonts w:hint="eastAsia" w:ascii="仿宋_GB2312" w:hAnsi="仿宋_GB2312" w:eastAsia="仿宋_GB2312" w:cs="仿宋_GB2312"/>
          <w:color w:val="000000" w:themeColor="text1"/>
          <w:sz w:val="32"/>
          <w:highlight w:val="none"/>
          <w:u w:val="none"/>
          <w:shd w:val="clear" w:color="auto" w:fill="FFFFFF"/>
          <w:lang w:val="en-US" w:eastAsia="zh-CN"/>
          <w14:textFill>
            <w14:solidFill>
              <w14:schemeClr w14:val="tx1"/>
            </w14:solidFill>
          </w14:textFill>
        </w:rPr>
        <w:t xml:space="preserve"> 3.29 万元，</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增长</w:t>
      </w:r>
      <w:r>
        <w:rPr>
          <w:rFonts w:hint="eastAsia" w:ascii="仿宋_GB2312" w:hAnsi="仿宋_GB2312" w:eastAsia="仿宋_GB2312" w:cs="仿宋_GB2312"/>
          <w:color w:val="000000" w:themeColor="text1"/>
          <w:sz w:val="32"/>
          <w:highlight w:val="none"/>
          <w:u w:val="none"/>
          <w:shd w:val="clear" w:color="auto" w:fill="FFFFFF"/>
          <w:lang w:val="en-US" w:eastAsia="zh-CN"/>
          <w14:textFill>
            <w14:solidFill>
              <w14:schemeClr w14:val="tx1"/>
            </w14:solidFill>
          </w14:textFill>
        </w:rPr>
        <w:t>53.32</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w:t>
      </w:r>
      <w:r>
        <w:rPr>
          <w:rFonts w:hint="eastAsia" w:ascii="仿宋_GB2312" w:hAnsi="仿宋_GB2312" w:eastAsia="仿宋_GB2312" w:cs="仿宋_GB2312"/>
          <w:color w:val="000000" w:themeColor="text1"/>
          <w:sz w:val="32"/>
          <w:highlight w:val="none"/>
          <w:u w:val="none"/>
          <w:shd w:val="clear" w:color="auto" w:fill="FFFFFF"/>
          <w:lang w:eastAsia="zh-CN"/>
          <w14:textFill>
            <w14:solidFill>
              <w14:schemeClr w14:val="tx1"/>
            </w14:solidFill>
          </w14:textFill>
        </w:rPr>
        <w:t>，</w:t>
      </w:r>
      <w:r>
        <w:rPr>
          <w:rFonts w:hint="eastAsia" w:ascii="仿宋_GB2312" w:hAnsi="仿宋_GB2312" w:eastAsia="仿宋_GB2312" w:cs="仿宋_GB2312"/>
          <w:color w:val="000000" w:themeColor="text1"/>
          <w:sz w:val="32"/>
          <w:highlight w:val="none"/>
          <w:u w:val="none"/>
          <w14:textFill>
            <w14:solidFill>
              <w14:schemeClr w14:val="tx1"/>
            </w14:solidFill>
          </w14:textFill>
        </w:rPr>
        <w:t>增长的</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原因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是省检验检测研究院整</w:t>
      </w:r>
      <w:bookmarkStart w:id="0" w:name="_GoBack"/>
      <w:bookmarkEnd w:id="0"/>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合11家单位后，同行交流增加，减少了公务用车运行费用，调增至公务接待费预算</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，计划接待</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80</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批</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次</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600</w:t>
      </w:r>
      <w:r>
        <w:rPr>
          <w:rFonts w:hint="eastAsia" w:ascii="仿宋_GB2312" w:hAnsi="仿宋_GB2312" w:eastAsia="仿宋_GB2312" w:cs="仿宋_GB2312"/>
          <w:color w:val="000000" w:themeColor="text1"/>
          <w:sz w:val="32"/>
          <w:szCs w:val="32"/>
          <w:highlight w:val="none"/>
          <w:u w:val="none"/>
          <w14:textFill>
            <w14:solidFill>
              <w14:schemeClr w14:val="tx1"/>
            </w14:solidFill>
          </w14:textFill>
        </w:rPr>
        <w:t>人</w:t>
      </w:r>
      <w:r>
        <w:rPr>
          <w:rFonts w:hint="eastAsia" w:ascii="仿宋_GB2312" w:hAnsi="仿宋_GB2312" w:eastAsia="仿宋_GB2312" w:cs="仿宋_GB2312"/>
          <w:color w:val="000000" w:themeColor="text1"/>
          <w:sz w:val="32"/>
          <w:highlight w:val="none"/>
          <w:u w:val="none"/>
          <w:shd w:val="clear" w:color="auto" w:fill="FFFFFF"/>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eastAsia" w:ascii="楷体" w:hAnsi="楷体" w:eastAsia="楷体"/>
          <w:color w:val="000000" w:themeColor="text1"/>
          <w:sz w:val="32"/>
          <w:szCs w:val="32"/>
          <w:highlight w:val="none"/>
          <w:u w:val="none"/>
          <w:lang w:eastAsia="zh-CN"/>
          <w14:textFill>
            <w14:solidFill>
              <w14:schemeClr w14:val="tx1"/>
            </w14:solidFill>
          </w14:textFill>
        </w:rPr>
      </w:pPr>
      <w:r>
        <w:rPr>
          <w:rFonts w:hint="eastAsia" w:ascii="楷体" w:hAnsi="楷体" w:eastAsia="楷体"/>
          <w:color w:val="000000" w:themeColor="text1"/>
          <w:sz w:val="32"/>
          <w:szCs w:val="32"/>
          <w:highlight w:val="none"/>
          <w:u w:val="none"/>
          <w:lang w:eastAsia="zh-CN"/>
          <w14:textFill>
            <w14:solidFill>
              <w14:schemeClr w14:val="tx1"/>
            </w14:solidFill>
          </w14:textFill>
        </w:rPr>
        <w:t>（二）海南省检验检测研究院202</w:t>
      </w:r>
      <w:r>
        <w:rPr>
          <w:rFonts w:hint="eastAsia" w:ascii="楷体" w:hAnsi="楷体" w:eastAsia="楷体"/>
          <w:color w:val="000000" w:themeColor="text1"/>
          <w:sz w:val="32"/>
          <w:szCs w:val="32"/>
          <w:highlight w:val="none"/>
          <w:u w:val="none"/>
          <w:lang w:val="en-US" w:eastAsia="zh-CN"/>
          <w14:textFill>
            <w14:solidFill>
              <w14:schemeClr w14:val="tx1"/>
            </w14:solidFill>
          </w14:textFill>
        </w:rPr>
        <w:t>4</w:t>
      </w:r>
      <w:r>
        <w:rPr>
          <w:rFonts w:hint="eastAsia" w:ascii="楷体" w:hAnsi="楷体" w:eastAsia="楷体"/>
          <w:color w:val="000000" w:themeColor="text1"/>
          <w:sz w:val="32"/>
          <w:szCs w:val="32"/>
          <w:highlight w:val="none"/>
          <w:u w:val="none"/>
          <w14:textFill>
            <w14:solidFill>
              <w14:schemeClr w14:val="tx1"/>
            </w14:solidFill>
          </w14:textFill>
        </w:rPr>
        <w:t>年政府性基金预算“三公”经费预算数为</w:t>
      </w:r>
      <w:r>
        <w:rPr>
          <w:rFonts w:hint="eastAsia" w:ascii="楷体" w:hAnsi="楷体" w:eastAsia="楷体"/>
          <w:color w:val="000000" w:themeColor="text1"/>
          <w:sz w:val="32"/>
          <w:szCs w:val="32"/>
          <w:highlight w:val="none"/>
          <w:u w:val="none"/>
          <w:lang w:val="en-US" w:eastAsia="zh-CN"/>
          <w14:textFill>
            <w14:solidFill>
              <w14:schemeClr w14:val="tx1"/>
            </w14:solidFill>
          </w14:textFill>
        </w:rPr>
        <w:t>0</w:t>
      </w:r>
      <w:r>
        <w:rPr>
          <w:rFonts w:hint="eastAsia" w:ascii="楷体" w:hAnsi="楷体" w:eastAsia="楷体"/>
          <w:color w:val="000000" w:themeColor="text1"/>
          <w:sz w:val="32"/>
          <w:szCs w:val="32"/>
          <w:highlight w:val="none"/>
          <w:u w:val="none"/>
          <w14:textFill>
            <w14:solidFill>
              <w14:schemeClr w14:val="tx1"/>
            </w14:solidFill>
          </w14:textFill>
        </w:rPr>
        <w:t>万元</w:t>
      </w:r>
      <w:r>
        <w:rPr>
          <w:rFonts w:hint="eastAsia" w:ascii="楷体" w:hAnsi="楷体" w:eastAsia="楷体"/>
          <w:color w:val="000000" w:themeColor="text1"/>
          <w:sz w:val="32"/>
          <w:szCs w:val="32"/>
          <w:highlight w:val="none"/>
          <w:u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320" w:firstLineChars="100"/>
        <w:textAlignment w:val="auto"/>
        <w:outlineLvl w:val="9"/>
        <w:rPr>
          <w:rFonts w:ascii="Times New Roman" w:hAnsi="Times New Roman" w:eastAsia="仿宋_GB2312" w:cs="Times New Roman"/>
          <w:color w:val="000000" w:themeColor="text1"/>
          <w:sz w:val="32"/>
          <w:highlight w:val="none"/>
          <w:u w:val="none"/>
          <w:shd w:val="clear" w:color="auto" w:fill="FFFFFF"/>
          <w14:textFill>
            <w14:solidFill>
              <w14:schemeClr w14:val="tx1"/>
            </w14:solidFill>
          </w14:textFill>
        </w:rPr>
      </w:pP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 xml:space="preserve">  2024</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年没有与该表相关的预算支出数据。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Times New Roman"/>
          <w:color w:val="000000" w:themeColor="text1"/>
          <w:sz w:val="32"/>
          <w:highlight w:val="none"/>
          <w:u w:val="none"/>
          <w:shd w:val="clear" w:color="auto" w:fill="FFFFFF"/>
          <w14:textFill>
            <w14:solidFill>
              <w14:schemeClr w14:val="tx1"/>
            </w14:solidFill>
          </w14:textFill>
        </w:rPr>
      </w:pP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五、关于</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lang w:eastAsia="zh-CN"/>
          <w14:textFill>
            <w14:solidFill>
              <w14:schemeClr w14:val="tx1"/>
            </w14:solidFill>
          </w14:textFill>
        </w:rPr>
        <w:t>年</w:t>
      </w: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政府性基金预算当年拨款情况说明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海南省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检验检测研究院</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年无政府性基金预算。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Times New Roman"/>
          <w:color w:val="000000" w:themeColor="text1"/>
          <w:sz w:val="32"/>
          <w:highlight w:val="none"/>
          <w:u w:val="none"/>
          <w:shd w:val="clear" w:color="auto" w:fill="FFFFFF"/>
          <w14:textFill>
            <w14:solidFill>
              <w14:schemeClr w14:val="tx1"/>
            </w14:solidFill>
          </w14:textFill>
        </w:rPr>
      </w:pP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六、关于</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lang w:eastAsia="zh-CN"/>
          <w14:textFill>
            <w14:solidFill>
              <w14:schemeClr w14:val="tx1"/>
            </w14:solidFill>
          </w14:textFill>
        </w:rPr>
        <w:t>年</w:t>
      </w: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收支预算情况的总体说明</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黑体" w:eastAsia="仿宋_GB2312" w:cs="仿宋_GB2312"/>
          <w:color w:val="000000" w:themeColor="text1"/>
          <w:sz w:val="32"/>
          <w:szCs w:val="32"/>
          <w:highlight w:val="none"/>
          <w:u w:val="none"/>
          <w14:textFill>
            <w14:solidFill>
              <w14:schemeClr w14:val="tx1"/>
            </w14:solidFill>
          </w14:textFill>
        </w:rPr>
        <w:t>按照综合预算原则，</w:t>
      </w: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海南省检验检测研究院</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所有收入和支出均纳入部门预算管理。收入包括：</w:t>
      </w:r>
      <w:r>
        <w:rPr>
          <w:rFonts w:hint="eastAsia" w:ascii="仿宋_GB2312" w:hAnsi="仿宋_GB2312" w:eastAsia="仿宋_GB2312" w:cs="仿宋_GB2312"/>
          <w:color w:val="000000" w:themeColor="text1"/>
          <w:sz w:val="32"/>
          <w:szCs w:val="32"/>
          <w:highlight w:val="none"/>
          <w14:textFill>
            <w14:solidFill>
              <w14:schemeClr w14:val="tx1"/>
            </w14:solidFill>
          </w14:textFill>
        </w:rPr>
        <w:t>一般公共预算收入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20,569.67万元，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事业收入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17.50万元，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其他收入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15万元，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上年结转</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101.62万元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；支出包括：一般公共服务支出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17,634.9万元，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外交支出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31.57万元，科学技术支出64.58万元，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社会保障和就业支出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1,998.00万元，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卫生健康支出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342.8万元，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住房保障支出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631.94万元。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海南省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检验检测研究院</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年收支总预算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20,703.79</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Times New Roman"/>
          <w:color w:val="000000" w:themeColor="text1"/>
          <w:sz w:val="32"/>
          <w:highlight w:val="none"/>
          <w:u w:val="none"/>
          <w:shd w:val="clear" w:color="auto" w:fill="FFFFFF"/>
          <w14:textFill>
            <w14:solidFill>
              <w14:schemeClr w14:val="tx1"/>
            </w14:solidFill>
          </w14:textFill>
        </w:rPr>
      </w:pP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七、关于</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lang w:eastAsia="zh-CN"/>
          <w14:textFill>
            <w14:solidFill>
              <w14:schemeClr w14:val="tx1"/>
            </w14:solidFill>
          </w14:textFill>
        </w:rPr>
        <w:t>年</w:t>
      </w: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收入预算情况说明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黑体" w:eastAsia="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海南省检验检测研究院202</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4</w:t>
      </w:r>
      <w:r>
        <w:rPr>
          <w:rFonts w:hint="eastAsia" w:ascii="仿宋_GB2312" w:hAnsi="黑体" w:eastAsia="仿宋_GB2312"/>
          <w:color w:val="000000" w:themeColor="text1"/>
          <w:sz w:val="32"/>
          <w:szCs w:val="32"/>
          <w:highlight w:val="none"/>
          <w:u w:val="none"/>
          <w14:textFill>
            <w14:solidFill>
              <w14:schemeClr w14:val="tx1"/>
            </w14:solidFill>
          </w14:textFill>
        </w:rPr>
        <w:t>年收入预算</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20,703.79</w:t>
      </w:r>
      <w:r>
        <w:rPr>
          <w:rFonts w:hint="eastAsia" w:ascii="仿宋_GB2312" w:hAnsi="黑体" w:eastAsia="仿宋_GB2312"/>
          <w:color w:val="000000" w:themeColor="text1"/>
          <w:sz w:val="32"/>
          <w:szCs w:val="32"/>
          <w:highlight w:val="none"/>
          <w:u w:val="none"/>
          <w14:textFill>
            <w14:solidFill>
              <w14:schemeClr w14:val="tx1"/>
            </w14:solidFill>
          </w14:textFill>
        </w:rPr>
        <w:t>万元，其中：上年结转</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101.62</w:t>
      </w:r>
      <w:r>
        <w:rPr>
          <w:rFonts w:hint="eastAsia" w:ascii="仿宋_GB2312" w:hAnsi="黑体" w:eastAsia="仿宋_GB2312"/>
          <w:color w:val="000000" w:themeColor="text1"/>
          <w:sz w:val="32"/>
          <w:szCs w:val="32"/>
          <w:highlight w:val="none"/>
          <w:u w:val="none"/>
          <w14:textFill>
            <w14:solidFill>
              <w14:schemeClr w14:val="tx1"/>
            </w14:solidFill>
          </w14:textFill>
        </w:rPr>
        <w:t>万元，占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0.49</w:t>
      </w:r>
      <w:r>
        <w:rPr>
          <w:rFonts w:hint="eastAsia" w:ascii="仿宋_GB2312" w:hAnsi="黑体" w:eastAsia="仿宋_GB2312"/>
          <w:color w:val="000000" w:themeColor="text1"/>
          <w:sz w:val="32"/>
          <w:szCs w:val="32"/>
          <w:highlight w:val="none"/>
          <w:u w:val="none"/>
          <w14:textFill>
            <w14:solidFill>
              <w14:schemeClr w14:val="tx1"/>
            </w14:solidFill>
          </w14:textFill>
        </w:rPr>
        <w:t>%；</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一般公共预算拨款</w:t>
      </w:r>
      <w:r>
        <w:rPr>
          <w:rFonts w:hint="eastAsia" w:ascii="仿宋_GB2312" w:hAnsi="黑体" w:eastAsia="仿宋_GB2312"/>
          <w:color w:val="000000" w:themeColor="text1"/>
          <w:sz w:val="32"/>
          <w:szCs w:val="32"/>
          <w:highlight w:val="none"/>
          <w:u w:val="none"/>
          <w14:textFill>
            <w14:solidFill>
              <w14:schemeClr w14:val="tx1"/>
            </w14:solidFill>
          </w14:textFill>
        </w:rPr>
        <w:t>收入</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20,569.67</w:t>
      </w:r>
      <w:r>
        <w:rPr>
          <w:rFonts w:hint="eastAsia" w:ascii="仿宋_GB2312" w:hAnsi="黑体" w:eastAsia="仿宋_GB2312"/>
          <w:color w:val="000000" w:themeColor="text1"/>
          <w:sz w:val="32"/>
          <w:szCs w:val="32"/>
          <w:highlight w:val="none"/>
          <w:u w:val="none"/>
          <w14:textFill>
            <w14:solidFill>
              <w14:schemeClr w14:val="tx1"/>
            </w14:solidFill>
          </w14:textFill>
        </w:rPr>
        <w:t>万元，占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99.35</w:t>
      </w:r>
      <w:r>
        <w:rPr>
          <w:rFonts w:hint="eastAsia" w:ascii="仿宋_GB2312" w:hAnsi="黑体" w:eastAsia="仿宋_GB2312"/>
          <w:color w:val="000000" w:themeColor="text1"/>
          <w:sz w:val="32"/>
          <w:szCs w:val="32"/>
          <w:highlight w:val="none"/>
          <w:u w:val="none"/>
          <w14:textFill>
            <w14:solidFill>
              <w14:schemeClr w14:val="tx1"/>
            </w14:solidFill>
          </w14:textFill>
        </w:rPr>
        <w:t>%；政府性基金收入</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万元，占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国有资本经营预算拨款</w:t>
      </w:r>
      <w:r>
        <w:rPr>
          <w:rFonts w:hint="eastAsia" w:ascii="仿宋_GB2312" w:hAnsi="黑体" w:eastAsia="仿宋_GB2312"/>
          <w:color w:val="000000" w:themeColor="text1"/>
          <w:sz w:val="32"/>
          <w:szCs w:val="32"/>
          <w:highlight w:val="none"/>
          <w:u w:val="none"/>
          <w14:textFill>
            <w14:solidFill>
              <w14:schemeClr w14:val="tx1"/>
            </w14:solidFill>
          </w14:textFill>
        </w:rPr>
        <w:t>收入</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万元，占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；财政专户管理资金收入</w:t>
      </w: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0万元，</w:t>
      </w:r>
      <w:r>
        <w:rPr>
          <w:rFonts w:hint="eastAsia" w:ascii="仿宋_GB2312" w:hAnsi="黑体" w:eastAsia="仿宋_GB2312"/>
          <w:color w:val="000000" w:themeColor="text1"/>
          <w:sz w:val="32"/>
          <w:szCs w:val="32"/>
          <w:highlight w:val="none"/>
          <w:u w:val="none"/>
          <w14:textFill>
            <w14:solidFill>
              <w14:schemeClr w14:val="tx1"/>
            </w14:solidFill>
          </w14:textFill>
        </w:rPr>
        <w:t>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事业</w:t>
      </w:r>
      <w:r>
        <w:rPr>
          <w:rFonts w:hint="eastAsia" w:ascii="仿宋_GB2312" w:hAnsi="仿宋_GB2312" w:eastAsia="仿宋_GB2312" w:cs="仿宋_GB2312"/>
          <w:color w:val="000000" w:themeColor="text1"/>
          <w:sz w:val="32"/>
          <w:szCs w:val="32"/>
          <w:highlight w:val="none"/>
          <w14:textFill>
            <w14:solidFill>
              <w14:schemeClr w14:val="tx1"/>
            </w14:solidFill>
          </w14:textFill>
        </w:rPr>
        <w:t>收入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17.5</w:t>
      </w:r>
      <w:r>
        <w:rPr>
          <w:rFonts w:hint="eastAsia" w:ascii="仿宋_GB2312" w:hAnsi="仿宋_GB2312" w:eastAsia="仿宋_GB2312" w:cs="仿宋_GB2312"/>
          <w:color w:val="000000" w:themeColor="text1"/>
          <w:sz w:val="32"/>
          <w:szCs w:val="32"/>
          <w:highlight w:val="none"/>
          <w14:textFill>
            <w14:solidFill>
              <w14:schemeClr w14:val="tx1"/>
            </w14:solidFill>
          </w14:textFill>
        </w:rPr>
        <w:t>万元，占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0.09</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；其他收入15万元，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0.07</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黑体" w:eastAsia="仿宋_GB2312"/>
          <w:color w:val="000000" w:themeColor="text1"/>
          <w:sz w:val="32"/>
          <w:szCs w:val="32"/>
          <w:highlight w:val="none"/>
          <w:u w:val="none"/>
          <w14:textFill>
            <w14:solidFill>
              <w14:schemeClr w14:val="tx1"/>
            </w14:solidFill>
          </w14:textFill>
        </w:rPr>
        <w:t>比上年预算数</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增加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1,015.33</w:t>
      </w:r>
      <w:r>
        <w:rPr>
          <w:rFonts w:hint="eastAsia" w:ascii="仿宋_GB2312" w:hAnsi="黑体" w:eastAsia="仿宋_GB2312"/>
          <w:color w:val="000000" w:themeColor="text1"/>
          <w:sz w:val="32"/>
          <w:szCs w:val="32"/>
          <w:highlight w:val="none"/>
          <w:u w:val="none"/>
          <w14:textFill>
            <w14:solidFill>
              <w14:schemeClr w14:val="tx1"/>
            </w14:solidFill>
          </w14:textFill>
        </w:rPr>
        <w:t>万元，主要是</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一般公共预算拨款增加，</w:t>
      </w: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新增药品监管能力建设预算项目</w:t>
      </w:r>
      <w:r>
        <w:rPr>
          <w:rFonts w:hint="eastAsia" w:ascii="仿宋_GB2312" w:hAnsi="黑体" w:eastAsia="仿宋_GB2312"/>
          <w:color w:val="000000" w:themeColor="text1"/>
          <w:sz w:val="32"/>
          <w:szCs w:val="32"/>
          <w:highlight w:val="none"/>
          <w:u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Times New Roman"/>
          <w:color w:val="000000" w:themeColor="text1"/>
          <w:sz w:val="32"/>
          <w:highlight w:val="none"/>
          <w:u w:val="none"/>
          <w:shd w:val="clear" w:color="auto" w:fill="FFFFFF"/>
          <w14:textFill>
            <w14:solidFill>
              <w14:schemeClr w14:val="tx1"/>
            </w14:solidFill>
          </w14:textFill>
        </w:rPr>
      </w:pP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八、关于</w:t>
      </w:r>
      <w:r>
        <w:rPr>
          <w:rFonts w:hint="eastAsia" w:ascii="黑体" w:hAnsi="黑体" w:eastAsia="黑体"/>
          <w:color w:val="000000" w:themeColor="text1"/>
          <w:sz w:val="32"/>
          <w:szCs w:val="32"/>
          <w:highlight w:val="none"/>
          <w:u w:val="none"/>
          <w:lang w:eastAsia="zh-CN"/>
          <w14:textFill>
            <w14:solidFill>
              <w14:schemeClr w14:val="tx1"/>
            </w14:solidFill>
          </w14:textFill>
        </w:rPr>
        <w:t>海南省检验检测研究院202</w:t>
      </w:r>
      <w:r>
        <w:rPr>
          <w:rFonts w:hint="eastAsia" w:ascii="黑体" w:hAnsi="黑体" w:eastAsia="黑体"/>
          <w:color w:val="000000" w:themeColor="text1"/>
          <w:sz w:val="32"/>
          <w:szCs w:val="32"/>
          <w:highlight w:val="none"/>
          <w:u w:val="none"/>
          <w:lang w:val="en-US" w:eastAsia="zh-CN"/>
          <w14:textFill>
            <w14:solidFill>
              <w14:schemeClr w14:val="tx1"/>
            </w14:solidFill>
          </w14:textFill>
        </w:rPr>
        <w:t>4</w:t>
      </w:r>
      <w:r>
        <w:rPr>
          <w:rFonts w:hint="eastAsia" w:ascii="黑体" w:hAnsi="黑体" w:eastAsia="黑体"/>
          <w:color w:val="000000" w:themeColor="text1"/>
          <w:sz w:val="32"/>
          <w:szCs w:val="32"/>
          <w:highlight w:val="none"/>
          <w:u w:val="none"/>
          <w:lang w:eastAsia="zh-CN"/>
          <w14:textFill>
            <w14:solidFill>
              <w14:schemeClr w14:val="tx1"/>
            </w14:solidFill>
          </w14:textFill>
        </w:rPr>
        <w:t>年</w:t>
      </w: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支出预算情况说明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黑体" w:eastAsia="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eastAsia="zh-CN"/>
          <w14:textFill>
            <w14:solidFill>
              <w14:schemeClr w14:val="tx1"/>
            </w14:solidFill>
          </w14:textFill>
        </w:rPr>
        <w:t>海南省检验检测研究院202</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4</w:t>
      </w:r>
      <w:r>
        <w:rPr>
          <w:rFonts w:hint="eastAsia" w:ascii="仿宋_GB2312" w:hAnsi="黑体" w:eastAsia="仿宋_GB2312"/>
          <w:color w:val="000000" w:themeColor="text1"/>
          <w:sz w:val="32"/>
          <w:szCs w:val="32"/>
          <w:highlight w:val="none"/>
          <w:u w:val="none"/>
          <w14:textFill>
            <w14:solidFill>
              <w14:schemeClr w14:val="tx1"/>
            </w14:solidFill>
          </w14:textFill>
        </w:rPr>
        <w:t>年支出预算</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20,703.79</w:t>
      </w:r>
      <w:r>
        <w:rPr>
          <w:rFonts w:hint="eastAsia" w:ascii="仿宋_GB2312" w:hAnsi="黑体" w:eastAsia="仿宋_GB2312"/>
          <w:color w:val="000000" w:themeColor="text1"/>
          <w:sz w:val="32"/>
          <w:szCs w:val="32"/>
          <w:highlight w:val="none"/>
          <w:u w:val="none"/>
          <w14:textFill>
            <w14:solidFill>
              <w14:schemeClr w14:val="tx1"/>
            </w14:solidFill>
          </w14:textFill>
        </w:rPr>
        <w:t>万元，其中：基本支出</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12,076.08</w:t>
      </w:r>
      <w:r>
        <w:rPr>
          <w:rFonts w:hint="eastAsia" w:ascii="仿宋_GB2312" w:hAnsi="黑体" w:eastAsia="仿宋_GB2312"/>
          <w:color w:val="000000" w:themeColor="text1"/>
          <w:sz w:val="32"/>
          <w:szCs w:val="32"/>
          <w:highlight w:val="none"/>
          <w:u w:val="none"/>
          <w14:textFill>
            <w14:solidFill>
              <w14:schemeClr w14:val="tx1"/>
            </w14:solidFill>
          </w14:textFill>
        </w:rPr>
        <w:t>万元，占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58.33</w:t>
      </w:r>
      <w:r>
        <w:rPr>
          <w:rFonts w:hint="eastAsia" w:ascii="仿宋_GB2312" w:hAnsi="黑体" w:eastAsia="仿宋_GB2312"/>
          <w:color w:val="000000" w:themeColor="text1"/>
          <w:sz w:val="32"/>
          <w:szCs w:val="32"/>
          <w:highlight w:val="none"/>
          <w:u w:val="none"/>
          <w14:textFill>
            <w14:solidFill>
              <w14:schemeClr w14:val="tx1"/>
            </w14:solidFill>
          </w14:textFill>
        </w:rPr>
        <w:t>%；项目支出</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8,627.71</w:t>
      </w:r>
      <w:r>
        <w:rPr>
          <w:rFonts w:hint="eastAsia" w:ascii="仿宋_GB2312" w:hAnsi="黑体" w:eastAsia="仿宋_GB2312"/>
          <w:color w:val="000000" w:themeColor="text1"/>
          <w:sz w:val="32"/>
          <w:szCs w:val="32"/>
          <w:highlight w:val="none"/>
          <w:u w:val="none"/>
          <w14:textFill>
            <w14:solidFill>
              <w14:schemeClr w14:val="tx1"/>
            </w14:solidFill>
          </w14:textFill>
        </w:rPr>
        <w:t>万元，占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41.67</w:t>
      </w:r>
      <w:r>
        <w:rPr>
          <w:rFonts w:hint="eastAsia" w:ascii="仿宋_GB2312" w:hAnsi="黑体" w:eastAsia="仿宋_GB2312"/>
          <w:color w:val="000000" w:themeColor="text1"/>
          <w:sz w:val="32"/>
          <w:szCs w:val="32"/>
          <w:highlight w:val="none"/>
          <w:u w:val="none"/>
          <w14:textFill>
            <w14:solidFill>
              <w14:schemeClr w14:val="tx1"/>
            </w14:solidFill>
          </w14:textFill>
        </w:rPr>
        <w:t>%。比上年预算数</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增加</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943.28</w:t>
      </w:r>
      <w:r>
        <w:rPr>
          <w:rFonts w:hint="eastAsia" w:ascii="仿宋_GB2312" w:hAnsi="黑体" w:eastAsia="仿宋_GB2312"/>
          <w:color w:val="000000" w:themeColor="text1"/>
          <w:sz w:val="32"/>
          <w:szCs w:val="32"/>
          <w:highlight w:val="none"/>
          <w:u w:val="none"/>
          <w14:textFill>
            <w14:solidFill>
              <w14:schemeClr w14:val="tx1"/>
            </w14:solidFill>
          </w14:textFill>
        </w:rPr>
        <w:t>万元，</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主要是</w:t>
      </w: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新增药品监管能力建设预算项目支出</w:t>
      </w:r>
      <w:r>
        <w:rPr>
          <w:rFonts w:hint="eastAsia" w:ascii="仿宋_GB2312" w:hAnsi="黑体" w:eastAsia="仿宋_GB2312"/>
          <w:color w:val="000000" w:themeColor="text1"/>
          <w:sz w:val="32"/>
          <w:szCs w:val="32"/>
          <w:highlight w:val="none"/>
          <w:u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黑体" w:hAnsi="黑体" w:eastAsia="黑体" w:cs="Times New Roman"/>
          <w:color w:val="000000" w:themeColor="text1"/>
          <w:sz w:val="32"/>
          <w:highlight w:val="none"/>
          <w:u w:val="none"/>
          <w:shd w:val="clear" w:color="auto" w:fill="FFFFFF"/>
          <w14:textFill>
            <w14:solidFill>
              <w14:schemeClr w14:val="tx1"/>
            </w14:solidFill>
          </w14:textFill>
        </w:rPr>
      </w:pPr>
      <w:r>
        <w:rPr>
          <w:rFonts w:hint="eastAsia" w:ascii="黑体" w:hAnsi="黑体" w:eastAsia="黑体" w:cs="Times New Roman"/>
          <w:color w:val="000000" w:themeColor="text1"/>
          <w:sz w:val="32"/>
          <w:highlight w:val="none"/>
          <w:u w:val="none"/>
          <w:shd w:val="clear" w:color="auto" w:fill="FFFFFF"/>
          <w14:textFill>
            <w14:solidFill>
              <w14:schemeClr w14:val="tx1"/>
            </w14:solidFill>
          </w14:textFill>
        </w:rPr>
        <w:t>九、其他重要事项的情况说明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楷体" w:hAnsi="楷体" w:eastAsia="楷体"/>
          <w:color w:val="000000" w:themeColor="text1"/>
          <w:sz w:val="32"/>
          <w:szCs w:val="32"/>
          <w:highlight w:val="none"/>
          <w:u w:val="none"/>
          <w14:textFill>
            <w14:solidFill>
              <w14:schemeClr w14:val="tx1"/>
            </w14:solidFill>
          </w14:textFill>
        </w:rPr>
      </w:pPr>
      <w:r>
        <w:rPr>
          <w:rFonts w:hint="eastAsia" w:ascii="楷体" w:hAnsi="楷体" w:eastAsia="楷体"/>
          <w:color w:val="000000" w:themeColor="text1"/>
          <w:sz w:val="32"/>
          <w:szCs w:val="32"/>
          <w:highlight w:val="none"/>
          <w:u w:val="none"/>
          <w14:textFill>
            <w14:solidFill>
              <w14:schemeClr w14:val="tx1"/>
            </w14:solidFill>
          </w14:textFill>
        </w:rPr>
        <w:t>（一）机关运行经费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jc w:val="left"/>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年海南省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检验检测研究院为事业单位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无</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机关运行经费</w:t>
      </w:r>
      <w:r>
        <w:rPr>
          <w:rFonts w:hint="eastAsia" w:ascii="仿宋_GB2312" w:hAnsi="仿宋_GB2312" w:eastAsia="仿宋_GB2312" w:cs="仿宋_GB2312"/>
          <w:color w:val="000000" w:themeColor="text1"/>
          <w:sz w:val="32"/>
          <w:szCs w:val="32"/>
          <w:highlight w:val="none"/>
          <w14:textFill>
            <w14:solidFill>
              <w14:schemeClr w14:val="tx1"/>
            </w14:solidFill>
          </w14:textFill>
        </w:rPr>
        <w:t>预算。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楷体" w:hAnsi="楷体" w:eastAsia="楷体"/>
          <w:color w:val="000000" w:themeColor="text1"/>
          <w:sz w:val="32"/>
          <w:szCs w:val="32"/>
          <w:highlight w:val="none"/>
          <w:u w:val="none"/>
          <w14:textFill>
            <w14:solidFill>
              <w14:schemeClr w14:val="tx1"/>
            </w14:solidFill>
          </w14:textFill>
        </w:rPr>
      </w:pPr>
      <w:r>
        <w:rPr>
          <w:rFonts w:hint="eastAsia" w:ascii="楷体" w:hAnsi="楷体" w:eastAsia="楷体"/>
          <w:color w:val="000000" w:themeColor="text1"/>
          <w:sz w:val="32"/>
          <w:szCs w:val="32"/>
          <w:highlight w:val="none"/>
          <w:u w:val="none"/>
          <w14:textFill>
            <w14:solidFill>
              <w14:schemeClr w14:val="tx1"/>
            </w14:solidFill>
          </w14:textFill>
        </w:rPr>
        <w:t>（二）政府采购情况</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textAlignment w:val="auto"/>
        <w:outlineLvl w:val="9"/>
        <w:rPr>
          <w:rFonts w:ascii="仿宋_GB2312" w:hAnsi="黑体" w:eastAsia="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海南省检验检测研究院</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政府采购预算总额</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2,165.74</w:t>
      </w:r>
      <w:r>
        <w:rPr>
          <w:rFonts w:hint="eastAsia" w:ascii="仿宋_GB2312" w:hAnsi="黑体" w:eastAsia="仿宋_GB2312"/>
          <w:color w:val="000000" w:themeColor="text1"/>
          <w:sz w:val="32"/>
          <w:szCs w:val="32"/>
          <w:highlight w:val="none"/>
          <w:u w:val="none"/>
          <w14:textFill>
            <w14:solidFill>
              <w14:schemeClr w14:val="tx1"/>
            </w14:solidFill>
          </w14:textFill>
        </w:rPr>
        <w:t>万元，其中：政府采购货物预算</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2,165.74</w:t>
      </w:r>
      <w:r>
        <w:rPr>
          <w:rFonts w:hint="eastAsia" w:ascii="仿宋_GB2312" w:hAnsi="黑体" w:eastAsia="仿宋_GB2312"/>
          <w:color w:val="000000" w:themeColor="text1"/>
          <w:sz w:val="32"/>
          <w:szCs w:val="32"/>
          <w:highlight w:val="none"/>
          <w:u w:val="none"/>
          <w14:textFill>
            <w14:solidFill>
              <w14:schemeClr w14:val="tx1"/>
            </w14:solidFill>
          </w14:textFill>
        </w:rPr>
        <w:t>万元，政府采购工程预算</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万元，政府采购服务预算</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万元。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楷体" w:hAnsi="楷体" w:eastAsia="楷体"/>
          <w:color w:val="000000" w:themeColor="text1"/>
          <w:sz w:val="32"/>
          <w:szCs w:val="32"/>
          <w:highlight w:val="none"/>
          <w:u w:val="none"/>
          <w14:textFill>
            <w14:solidFill>
              <w14:schemeClr w14:val="tx1"/>
            </w14:solidFill>
          </w14:textFill>
        </w:rPr>
      </w:pPr>
      <w:r>
        <w:rPr>
          <w:rFonts w:hint="eastAsia" w:ascii="楷体" w:hAnsi="楷体" w:eastAsia="楷体"/>
          <w:color w:val="000000" w:themeColor="text1"/>
          <w:sz w:val="32"/>
          <w:szCs w:val="32"/>
          <w:highlight w:val="none"/>
          <w:u w:val="none"/>
          <w14:textFill>
            <w14:solidFill>
              <w14:schemeClr w14:val="tx1"/>
            </w14:solidFill>
          </w14:textFill>
        </w:rPr>
        <w:t>（三）国有资产占有使用情况</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_GB2312" w:hAnsi="黑体" w:eastAsia="仿宋_GB2312" w:cs="仿宋_GB2312"/>
          <w:color w:val="000000" w:themeColor="text1"/>
          <w:sz w:val="32"/>
          <w:szCs w:val="32"/>
          <w:highlight w:val="none"/>
          <w:u w:val="none"/>
          <w14:textFill>
            <w14:solidFill>
              <w14:schemeClr w14:val="tx1"/>
            </w14:solidFill>
          </w14:textFill>
        </w:rPr>
      </w:pPr>
      <w:r>
        <w:rPr>
          <w:rFonts w:hint="eastAsia" w:ascii="仿宋_GB2312" w:hAnsi="黑体" w:eastAsia="仿宋_GB2312" w:cs="仿宋_GB2312"/>
          <w:color w:val="000000" w:themeColor="text1"/>
          <w:sz w:val="32"/>
          <w:szCs w:val="32"/>
          <w:highlight w:val="none"/>
          <w:u w:val="none"/>
          <w14:textFill>
            <w14:solidFill>
              <w14:schemeClr w14:val="tx1"/>
            </w14:solidFill>
          </w14:textFill>
        </w:rPr>
        <w:t>截至</w:t>
      </w:r>
      <w:r>
        <w:rPr>
          <w:rFonts w:hint="eastAsia" w:ascii="仿宋_GB2312" w:hAnsi="黑体" w:eastAsia="仿宋_GB2312"/>
          <w:color w:val="000000" w:themeColor="text1"/>
          <w:sz w:val="32"/>
          <w:szCs w:val="32"/>
          <w:highlight w:val="none"/>
          <w:u w:val="none"/>
          <w14:textFill>
            <w14:solidFill>
              <w14:schemeClr w14:val="tx1"/>
            </w14:solidFill>
          </w14:textFill>
        </w:rPr>
        <w:t>年12月31日，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海南省检验检测研究院</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共有车辆</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23</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辆，其中，领导干部用车</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辆，机要通信应急用车</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辆、一般执法执勤用车</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辆、特种专业技术用车</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4</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辆、其他用车</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19</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辆。单位价值100万元以上设备</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78</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台（套）。</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楷体" w:hAnsi="楷体" w:eastAsia="楷体"/>
          <w:color w:val="000000" w:themeColor="text1"/>
          <w:sz w:val="32"/>
          <w:szCs w:val="32"/>
          <w:highlight w:val="none"/>
          <w:u w:val="none"/>
          <w14:textFill>
            <w14:solidFill>
              <w14:schemeClr w14:val="tx1"/>
            </w14:solidFill>
          </w14:textFill>
        </w:rPr>
      </w:pPr>
      <w:r>
        <w:rPr>
          <w:rFonts w:hint="eastAsia" w:ascii="楷体" w:hAnsi="楷体" w:eastAsia="楷体"/>
          <w:color w:val="000000" w:themeColor="text1"/>
          <w:sz w:val="32"/>
          <w:szCs w:val="32"/>
          <w:highlight w:val="none"/>
          <w:u w:val="none"/>
          <w14:textFill>
            <w14:solidFill>
              <w14:schemeClr w14:val="tx1"/>
            </w14:solidFill>
          </w14:textFill>
        </w:rPr>
        <w:t>（四）</w:t>
      </w:r>
      <w:r>
        <w:rPr>
          <w:rFonts w:hint="eastAsia" w:ascii="楷体" w:hAnsi="楷体" w:eastAsia="楷体" w:cs="黑体"/>
          <w:i w:val="0"/>
          <w:caps w:val="0"/>
          <w:color w:val="000000" w:themeColor="text1"/>
          <w:spacing w:val="0"/>
          <w:kern w:val="2"/>
          <w:sz w:val="32"/>
          <w:szCs w:val="32"/>
          <w:highlight w:val="none"/>
          <w:lang w:val="en-US" w:eastAsia="zh-CN" w:bidi="ar"/>
          <w14:textFill>
            <w14:solidFill>
              <w14:schemeClr w14:val="tx1"/>
            </w14:solidFill>
          </w14:textFill>
        </w:rPr>
        <w:t>绩效目标设置及重点项目绩效目标说明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黑体" w:eastAsia="仿宋_GB2312"/>
          <w:color w:val="000000" w:themeColor="text1"/>
          <w:sz w:val="32"/>
          <w:szCs w:val="32"/>
          <w:highlight w:val="none"/>
          <w:u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海南省检验检测研究院</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30</w:t>
      </w:r>
      <w:r>
        <w:rPr>
          <w:rFonts w:hint="eastAsia" w:ascii="仿宋_GB2312" w:hAnsi="黑体" w:eastAsia="仿宋_GB2312" w:cs="仿宋_GB2312"/>
          <w:color w:val="000000" w:themeColor="text1"/>
          <w:sz w:val="32"/>
          <w:szCs w:val="32"/>
          <w:highlight w:val="none"/>
          <w:u w:val="none"/>
          <w14:textFill>
            <w14:solidFill>
              <w14:schemeClr w14:val="tx1"/>
            </w14:solidFill>
          </w14:textFill>
        </w:rPr>
        <w:t>个项目实行绩效目标管理，涉及一般公共预算</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20,569.66</w:t>
      </w:r>
      <w:r>
        <w:rPr>
          <w:rFonts w:hint="eastAsia" w:ascii="仿宋_GB2312" w:hAnsi="黑体" w:eastAsia="仿宋_GB2312"/>
          <w:color w:val="000000" w:themeColor="text1"/>
          <w:sz w:val="32"/>
          <w:szCs w:val="32"/>
          <w:highlight w:val="none"/>
          <w:u w:val="none"/>
          <w14:textFill>
            <w14:solidFill>
              <w14:schemeClr w14:val="tx1"/>
            </w14:solidFill>
          </w14:textFill>
        </w:rPr>
        <w:t>万元、政府性基金</w:t>
      </w: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u w:val="none"/>
          <w14:textFill>
            <w14:solidFill>
              <w14:schemeClr w14:val="tx1"/>
            </w14:solidFill>
          </w14:textFill>
        </w:rPr>
        <w:t>万元</w:t>
      </w:r>
      <w:r>
        <w:rPr>
          <w:rFonts w:hint="eastAsia" w:ascii="仿宋_GB2312" w:hAnsi="黑体" w:eastAsia="仿宋_GB2312"/>
          <w:color w:val="000000" w:themeColor="text1"/>
          <w:sz w:val="32"/>
          <w:szCs w:val="32"/>
          <w:highlight w:val="none"/>
          <w:u w:val="none"/>
          <w:lang w:eastAsia="zh-CN"/>
          <w14:textFill>
            <w14:solidFill>
              <w14:schemeClr w14:val="tx1"/>
            </w14:solidFill>
          </w14:textFill>
        </w:rPr>
        <w:t>、单位资金</w:t>
      </w:r>
      <w:r>
        <w:rPr>
          <w:rFonts w:hint="eastAsia" w:ascii="仿宋_GB2312" w:hAnsi="黑体" w:eastAsia="仿宋_GB2312"/>
          <w:color w:val="000000" w:themeColor="text1"/>
          <w:sz w:val="32"/>
          <w:szCs w:val="32"/>
          <w:highlight w:val="none"/>
          <w:u w:val="none"/>
          <w:lang w:val="en-US" w:eastAsia="zh-CN"/>
          <w14:textFill>
            <w14:solidFill>
              <w14:schemeClr w14:val="tx1"/>
            </w14:solidFill>
          </w14:textFill>
        </w:rPr>
        <w:t>72.05万元</w:t>
      </w:r>
      <w:r>
        <w:rPr>
          <w:rFonts w:hint="eastAsia" w:ascii="仿宋_GB2312" w:hAnsi="黑体" w:eastAsia="仿宋_GB2312"/>
          <w:color w:val="000000" w:themeColor="text1"/>
          <w:sz w:val="32"/>
          <w:szCs w:val="32"/>
          <w:highlight w:val="none"/>
          <w:u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黑体" w:eastAsia="仿宋_GB2312"/>
          <w:color w:val="000000" w:themeColor="text1"/>
          <w:sz w:val="32"/>
          <w:szCs w:val="32"/>
          <w:highlight w:val="none"/>
          <w:u w:val="none"/>
          <w:lang w:eastAsia="zh-CN"/>
          <w14:textFill>
            <w14:solidFill>
              <w14:schemeClr w14:val="tx1"/>
            </w14:solidFill>
          </w14:textFill>
        </w:rPr>
      </w:pPr>
      <w:r>
        <w:rPr>
          <w:rFonts w:hint="eastAsia" w:ascii="仿宋_GB2312" w:hAnsi="黑体" w:eastAsia="仿宋_GB2312"/>
          <w:color w:val="000000" w:themeColor="text1"/>
          <w:sz w:val="32"/>
          <w:szCs w:val="32"/>
          <w:highlight w:val="none"/>
          <w:u w:val="none"/>
          <w:lang w:eastAsia="zh-CN"/>
          <w14:textFill>
            <w14:solidFill>
              <w14:schemeClr w14:val="tx1"/>
            </w14:solidFill>
          </w14:textFill>
        </w:rPr>
        <w:t>其中，重点项目预算绩效情况：</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1.食药品监管项目，省检验检测研究院预算安排2,132.05万元，主要用于食品、药品、化妆品、医疗器械检验用试剂耗材费、购样费和仪器维修费、食品检验用仪器设备等抽检相关的各项支出。绩效目标是为保障食品、药品、化妆品及医疗器械抽样和检验工作有序进行，保障实验室工作有效运转，要完成国家食品、药品、化妆品、医疗器械抽样和检验任务，实现药品抽样200批次、药品检验300批次、化妆品抽样100批次、化妆品检验650批次、医疗器械抽样8批、医疗器械检验6批次、食品检验6100批次、检验完成率达到90%、报告准确率达到100%检验报告数量达到4400份。</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2.药品监管能力建设项目，省检验检测研究院预算安排2,175.66万元，主要用于增聘30名劳务派遣人员公用经费、人员经费、购置药品、化妆器、医疗器械检验用仪器设备。绩效目标是购置实验室检验用仪器设备，实现购置实验室仪器设备38台（套），设备验收合格率达到100%，节约设备单位成本，设备利用率达到90%。</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仿宋_GB2312" w:hAnsi="黑体"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黑体" w:eastAsia="仿宋_GB2312" w:cs="仿宋_GB2312"/>
          <w:color w:val="000000" w:themeColor="text1"/>
          <w:sz w:val="32"/>
          <w:szCs w:val="32"/>
          <w:highlight w:val="none"/>
          <w:u w:val="none"/>
          <w:lang w:val="en-US" w:eastAsia="zh-CN"/>
          <w14:textFill>
            <w14:solidFill>
              <w14:schemeClr w14:val="tx1"/>
            </w14:solidFill>
          </w14:textFill>
        </w:rPr>
        <w:t>3.检验检测能力建设项目，预算安排772.99万元，主要用于提升检验能力、更新检测装备。绩效目标是购置检验检测装备82台（套）并完成验收工作，新增检测能力5项。</w:t>
      </w: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黑体" w:hAnsi="黑体" w:eastAsia="黑体"/>
          <w:b/>
          <w:color w:val="000000" w:themeColor="text1"/>
          <w:sz w:val="32"/>
          <w:szCs w:val="32"/>
          <w:highlight w:val="none"/>
          <w:u w:val="none"/>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ascii="黑体" w:hAnsi="黑体" w:eastAsia="黑体"/>
          <w:b/>
          <w:color w:val="000000" w:themeColor="text1"/>
          <w:sz w:val="32"/>
          <w:szCs w:val="32"/>
          <w:highlight w:val="none"/>
          <w:u w:val="none"/>
          <w14:textFill>
            <w14:solidFill>
              <w14:schemeClr w14:val="tx1"/>
            </w14:solidFill>
          </w14:textFill>
        </w:rPr>
      </w:pPr>
      <w:r>
        <w:rPr>
          <w:rFonts w:hint="eastAsia" w:ascii="黑体" w:hAnsi="黑体" w:eastAsia="黑体"/>
          <w:b/>
          <w:color w:val="000000" w:themeColor="text1"/>
          <w:sz w:val="32"/>
          <w:szCs w:val="32"/>
          <w:highlight w:val="none"/>
          <w:u w:val="none"/>
          <w14:textFill>
            <w14:solidFill>
              <w14:schemeClr w14:val="tx1"/>
            </w14:solidFill>
          </w14:textFill>
        </w:rPr>
        <w:t>第四部分  名词解释</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eastAsia="仿宋_GB2312" w:cs="宋体"/>
          <w:bCs/>
          <w:color w:val="000000" w:themeColor="text1"/>
          <w:kern w:val="0"/>
          <w:sz w:val="32"/>
          <w:szCs w:val="32"/>
          <w:highlight w:val="none"/>
          <w:u w:val="none"/>
          <w:lang w:val="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一、财政拨款收入：指本级财政当年拨付的资金。</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二、一般公共预算拨款收入：指用于反映税收收入、专项收入、行政事业性收费收入、罚没收入、国有资源（资产）有偿使用收入、政府住房基金收入、捐赠收入等财政收入。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三、政府性基金预算拨款收入：指是用于反映政府为支持某项事业发展或特定基础设施建设，依法依规向公民、法人和其他组织征收的以及出让土地、发行彩票等方式取得的具有专门用途的资金</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 xml:space="preserve">四、事业收入：指用于反映事业单位开展专业业务活动及辅助活动所取得的收入。 </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五、事业单位经营收入：指用于反映事业单位在专业活动及辅助活动之外开展非独立核算经营活动取得的收入。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六、其他收入：指除上述“财政拨款收入”“事业收入”“经营收入”等以外的收入。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七、上年结转：指以前年度尚未完成、结转到本年按有关规定继续使用的资金。</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八、基本支出：指行政事业单位用于为保障其机构正常运转、完成日常工作任务而发生的人员支出和公用支出。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九、工资福利支出：反映单位开支的在职职工和编制外长期聘用人员的各类劳动报酬，以及为上述人员缴纳的各项社会保险费等。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十、对个人和家庭的补助支出：反映政府用于对个人和家庭的补助支出，包括离休费、退休费、退职（役）费、抚恤金、生活补助、救济费、医疗费补助、助学金、独生子女奖励金、其他等。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十一、商品和服务支出：反映单位购买商品和服务的支出，包括办公费、水费、电费、邮电费、培训费、公务用车运行维护费、差旅费、因公出国（境）费用、公务接待费、工会经费、会议费、福利费、物业管理费、维修（护）费、其他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十二、项目支出：指各部门、各单位为完成其特定的工作任务和事业发展目标所发生的支出。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ascii="仿宋_GB2312" w:hAnsi="宋体" w:eastAsia="仿宋_GB2312" w:cs="宋体"/>
          <w:color w:val="000000" w:themeColor="text1"/>
          <w:kern w:val="0"/>
          <w:sz w:val="32"/>
          <w:szCs w:val="30"/>
          <w:highlight w:val="none"/>
          <w:u w:val="none"/>
          <w14:textFill>
            <w14:solidFill>
              <w14:schemeClr w14:val="tx1"/>
            </w14:solidFill>
          </w14:textFill>
        </w:rPr>
      </w:pPr>
      <w:r>
        <w:rPr>
          <w:rFonts w:hint="eastAsia" w:ascii="仿宋_GB2312" w:hAnsi="宋体" w:eastAsia="仿宋_GB2312" w:cs="宋体"/>
          <w:color w:val="000000" w:themeColor="text1"/>
          <w:kern w:val="0"/>
          <w:sz w:val="32"/>
          <w:szCs w:val="30"/>
          <w:highlight w:val="none"/>
          <w:u w:val="none"/>
          <w14:textFill>
            <w14:solidFill>
              <w14:schemeClr w14:val="tx1"/>
            </w14:solidFill>
          </w14:textFill>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ascii="仿宋_GB2312" w:hAnsi="黑体" w:eastAsia="仿宋_GB2312" w:cs="仿宋_GB2312"/>
          <w:color w:val="000000" w:themeColor="text1"/>
          <w:sz w:val="32"/>
          <w:szCs w:val="32"/>
          <w:highlight w:val="none"/>
          <w:u w:val="none"/>
          <w14:textFill>
            <w14:solidFill>
              <w14:schemeClr w14:val="tx1"/>
            </w14:solidFill>
          </w14:textFill>
        </w:rPr>
      </w:pPr>
    </w:p>
    <w:sectPr>
      <w:footerReference r:id="rId3" w:type="default"/>
      <w:pgSz w:w="11906" w:h="16838"/>
      <w:pgMar w:top="2098" w:right="1474" w:bottom="1984" w:left="1587"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2"/>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1NzQzNjNhMWU2MDg2MjEwMWRjNTAxOGZhY2I4YTAifQ=="/>
  </w:docVars>
  <w:rsids>
    <w:rsidRoot w:val="00000000"/>
    <w:rsid w:val="001E40FF"/>
    <w:rsid w:val="017659F6"/>
    <w:rsid w:val="059705B7"/>
    <w:rsid w:val="0876438E"/>
    <w:rsid w:val="09ED4C49"/>
    <w:rsid w:val="0FD65883"/>
    <w:rsid w:val="11867E5D"/>
    <w:rsid w:val="1B3F25A6"/>
    <w:rsid w:val="2CFFD3C3"/>
    <w:rsid w:val="2FBF19B9"/>
    <w:rsid w:val="307409C9"/>
    <w:rsid w:val="37816BF3"/>
    <w:rsid w:val="37DF1B78"/>
    <w:rsid w:val="38910537"/>
    <w:rsid w:val="39567866"/>
    <w:rsid w:val="39E2D86C"/>
    <w:rsid w:val="3ACB7183"/>
    <w:rsid w:val="3DFD4DE8"/>
    <w:rsid w:val="3FF7B883"/>
    <w:rsid w:val="47FC1AAA"/>
    <w:rsid w:val="49DE591D"/>
    <w:rsid w:val="4DDC25D7"/>
    <w:rsid w:val="54D062C6"/>
    <w:rsid w:val="585B1A44"/>
    <w:rsid w:val="5EA32491"/>
    <w:rsid w:val="5F0E6369"/>
    <w:rsid w:val="603E560D"/>
    <w:rsid w:val="61660DB8"/>
    <w:rsid w:val="653B399C"/>
    <w:rsid w:val="6AD10541"/>
    <w:rsid w:val="6C060A58"/>
    <w:rsid w:val="6ECDB78C"/>
    <w:rsid w:val="6FDB1131"/>
    <w:rsid w:val="6FFF86F4"/>
    <w:rsid w:val="739B057B"/>
    <w:rsid w:val="73CF45A9"/>
    <w:rsid w:val="76BF73B8"/>
    <w:rsid w:val="779D11B2"/>
    <w:rsid w:val="797F5ADA"/>
    <w:rsid w:val="7BF557A8"/>
    <w:rsid w:val="7BF736D2"/>
    <w:rsid w:val="7DF679B5"/>
    <w:rsid w:val="7EFB8317"/>
    <w:rsid w:val="7EFDD520"/>
    <w:rsid w:val="7F2E6FE8"/>
    <w:rsid w:val="7FAAE0CC"/>
    <w:rsid w:val="7FFFDC33"/>
    <w:rsid w:val="ABBF3834"/>
    <w:rsid w:val="AFFF7822"/>
    <w:rsid w:val="BD5AEECE"/>
    <w:rsid w:val="BDEF574A"/>
    <w:rsid w:val="D3DA912A"/>
    <w:rsid w:val="D6FB38EA"/>
    <w:rsid w:val="D97F626E"/>
    <w:rsid w:val="DA1C9B40"/>
    <w:rsid w:val="EF4F270F"/>
    <w:rsid w:val="F6E37FB3"/>
    <w:rsid w:val="FAF64B65"/>
    <w:rsid w:val="FB79F9FC"/>
    <w:rsid w:val="FC6FBB23"/>
    <w:rsid w:val="FD153DA7"/>
    <w:rsid w:val="FD2DBAFC"/>
    <w:rsid w:val="FD6F72DC"/>
    <w:rsid w:val="FF5F5C3D"/>
    <w:rsid w:val="FF7C1A10"/>
    <w:rsid w:val="FFF736F1"/>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autoRedefine/>
    <w:unhideWhenUsed/>
    <w:qFormat/>
    <w:uiPriority w:val="1"/>
  </w:style>
  <w:style w:type="table" w:default="1" w:styleId="4">
    <w:name w:val="Normal Table"/>
    <w:autoRedefine/>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autoRedefine/>
    <w:qFormat/>
    <w:uiPriority w:val="34"/>
    <w:pPr>
      <w:ind w:firstLine="420" w:firstLineChars="200"/>
    </w:pPr>
  </w:style>
  <w:style w:type="paragraph" w:customStyle="1" w:styleId="7">
    <w:name w:val="正文1 Char Char Char"/>
    <w:basedOn w:val="1"/>
    <w:autoRedefine/>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autoRedefine/>
    <w:semiHidden/>
    <w:qFormat/>
    <w:uiPriority w:val="99"/>
    <w:rPr>
      <w:sz w:val="18"/>
      <w:szCs w:val="18"/>
    </w:rPr>
  </w:style>
  <w:style w:type="character" w:customStyle="1" w:styleId="9">
    <w:name w:val="页脚 Char"/>
    <w:basedOn w:val="5"/>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11</Pages>
  <Words>580</Words>
  <Characters>3311</Characters>
  <Lines>27</Lines>
  <Paragraphs>7</Paragraphs>
  <TotalTime>88</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2017-02-09T07:31:00Z</dcterms:created>
  <dc:creator>null,null,总收发</dc:creator>
  <cp:lastModifiedBy>WPS_1639099525</cp:lastModifiedBy>
  <cp:lastPrinted>2024-02-21T07:06:00Z</cp:lastPrinted>
  <dcterms:modified xsi:type="dcterms:W3CDTF">2024-02-21T08:51:04Z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A43C2D52806142A1BE13CBCA4A79F9BD_13</vt:lpwstr>
  </property>
  <property fmtid="{D5CDD505-2E9C-101B-9397-08002B2CF9AE}" pid="4" name="woTemplateTypoMode" linkTarget="0">
    <vt:lpwstr>web</vt:lpwstr>
  </property>
  <property fmtid="{D5CDD505-2E9C-101B-9397-08002B2CF9AE}" pid="5" name="woTemplate" linkTarget="0">
    <vt:i4>1</vt:i4>
  </property>
</Properties>
</file>