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海南省重大活动</w:t>
      </w:r>
    </w:p>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食品安全监督</w:t>
      </w:r>
      <w:r>
        <w:rPr>
          <w:rFonts w:hint="eastAsia" w:ascii="方正小标宋_GBK" w:eastAsia="方正小标宋_GBK"/>
          <w:color w:val="auto"/>
          <w:sz w:val="44"/>
          <w:szCs w:val="44"/>
          <w:lang w:eastAsia="zh-CN"/>
        </w:rPr>
        <w:t>保障</w:t>
      </w:r>
      <w:r>
        <w:rPr>
          <w:rFonts w:hint="eastAsia" w:ascii="方正小标宋_GBK" w:eastAsia="方正小标宋_GBK"/>
          <w:color w:val="auto"/>
          <w:sz w:val="44"/>
          <w:szCs w:val="44"/>
        </w:rPr>
        <w:t>实施细则</w:t>
      </w:r>
    </w:p>
    <w:p>
      <w:pPr>
        <w:spacing w:line="580" w:lineRule="exact"/>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（征求意见稿）</w:t>
      </w:r>
    </w:p>
    <w:p>
      <w:pPr>
        <w:spacing w:line="580" w:lineRule="exact"/>
        <w:jc w:val="center"/>
        <w:rPr>
          <w:rFonts w:hint="eastAsia" w:ascii="方正黑体_GBK" w:eastAsia="方正黑体_GBK"/>
          <w:color w:val="auto"/>
          <w:sz w:val="32"/>
          <w:szCs w:val="32"/>
        </w:rPr>
      </w:pPr>
      <w:r>
        <w:rPr>
          <w:rFonts w:hint="eastAsia" w:ascii="方正黑体_GBK" w:eastAsia="方正黑体_GBK"/>
          <w:color w:val="auto"/>
          <w:sz w:val="32"/>
          <w:szCs w:val="32"/>
        </w:rPr>
        <w:t>第一章 总 则</w:t>
      </w:r>
    </w:p>
    <w:p>
      <w:pPr>
        <w:keepNext w:val="0"/>
        <w:keepLines w:val="0"/>
        <w:widowControl/>
        <w:suppressLineNumbers w:val="0"/>
        <w:ind w:left="0" w:leftChars="0" w:firstLine="818" w:firstLineChars="259"/>
        <w:jc w:val="both"/>
        <w:rPr>
          <w:rFonts w:hint="eastAsia" w:ascii="方正仿宋_GBK" w:eastAsia="方正仿宋_GBK"/>
          <w:color w:val="auto"/>
          <w:sz w:val="32"/>
          <w:szCs w:val="32"/>
        </w:rPr>
      </w:pPr>
      <w:r>
        <w:rPr>
          <w:rFonts w:hint="eastAsia" w:ascii="方正仿宋_GBK" w:eastAsia="方正仿宋_GBK"/>
          <w:color w:val="auto"/>
          <w:sz w:val="32"/>
          <w:szCs w:val="32"/>
        </w:rPr>
        <w:t>第一条 为进一步规范全省重大活动食品安全监督保障工作，形成“统一规范、操作性强、安全高效”的重大活动食品安全保障机制，根据</w:t>
      </w:r>
      <w:r>
        <w:rPr>
          <w:rFonts w:hint="eastAsia" w:ascii="方正仿宋_GBK" w:eastAsia="方正仿宋_GBK"/>
          <w:color w:val="auto"/>
          <w:sz w:val="32"/>
          <w:szCs w:val="32"/>
          <w:lang w:val="en-US" w:eastAsia="zh-CN"/>
        </w:rPr>
        <w:t>《地方党政领导干部食品安全责任制规定》</w:t>
      </w:r>
      <w:r>
        <w:rPr>
          <w:rFonts w:hint="eastAsia" w:ascii="方正仿宋_GBK" w:eastAsia="方正仿宋_GBK"/>
          <w:color w:val="auto"/>
          <w:sz w:val="32"/>
          <w:szCs w:val="32"/>
        </w:rPr>
        <w:t>《中华人民共和国食品安全法》及其实施条例、</w:t>
      </w:r>
      <w:r>
        <w:rPr>
          <w:rFonts w:hint="eastAsia" w:ascii="方正仿宋_GBK" w:eastAsia="方正仿宋_GBK"/>
          <w:color w:val="auto"/>
          <w:sz w:val="32"/>
          <w:szCs w:val="32"/>
          <w:lang w:val="en-US" w:eastAsia="zh-CN"/>
        </w:rPr>
        <w:t>《市场监管总局关于进一步加强重大活动食品安全保障的指导意见》</w:t>
      </w:r>
      <w:r>
        <w:rPr>
          <w:rFonts w:hint="eastAsia" w:ascii="方正仿宋_GBK" w:eastAsia="方正仿宋_GBK"/>
          <w:color w:val="auto"/>
          <w:sz w:val="32"/>
          <w:szCs w:val="32"/>
        </w:rPr>
        <w:t>《重大活动食品安全监督管理办法（试行）》等有关要求，结合我省实际，制定本实施细则。</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 xml:space="preserve">第二条 本细则所称重大活动，主要指党员代表大会、人民代表大会、政治协商会议和重要的国际会议，以及国际、全国、区域性体育比赛，大型庆典、经贸等活动。        </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重大活动主办单位指重大活动的发起单位。重大活动承办单位指由主办方委托的重大活动具体组织实施单位。（以下合称为“重大活动主（承）办单位”）</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重大活动食品及餐饮服务提供者指重大活动餐饮服务提供者和主（承）办单位指定的食品生产商、供应商或赞助商。</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第三条 本细则适用于</w:t>
      </w:r>
      <w:r>
        <w:rPr>
          <w:rFonts w:hint="eastAsia" w:ascii="方正仿宋_GBK" w:eastAsia="方正仿宋_GBK"/>
          <w:color w:val="auto"/>
          <w:sz w:val="32"/>
          <w:szCs w:val="32"/>
        </w:rPr>
        <w:t>县级以</w:t>
      </w:r>
      <w:r>
        <w:rPr>
          <w:rFonts w:hint="eastAsia" w:ascii="方正仿宋_GBK" w:eastAsia="方正仿宋_GBK"/>
          <w:color w:val="auto"/>
          <w:sz w:val="32"/>
          <w:szCs w:val="32"/>
        </w:rPr>
        <w:t>上党委、政府、人大、政协确定的在我省举办的具有一定规模和影响的政治、经济、文化、体育等重大活动的食品安全监督保障工作。</w:t>
      </w:r>
    </w:p>
    <w:p>
      <w:pPr>
        <w:keepNext w:val="0"/>
        <w:keepLines w:val="0"/>
        <w:widowControl/>
        <w:suppressLineNumbers w:val="0"/>
        <w:ind w:left="0" w:leftChars="0" w:firstLine="818" w:firstLineChars="259"/>
        <w:jc w:val="left"/>
        <w:rPr>
          <w:rFonts w:hint="eastAsia" w:ascii="方正仿宋_GBK" w:eastAsia="方正仿宋_GBK"/>
          <w:color w:val="auto"/>
          <w:sz w:val="32"/>
          <w:szCs w:val="32"/>
        </w:rPr>
      </w:pPr>
      <w:r>
        <w:rPr>
          <w:rFonts w:hint="eastAsia" w:ascii="方正仿宋_GBK" w:eastAsia="方正仿宋_GBK"/>
          <w:color w:val="auto"/>
          <w:sz w:val="32"/>
          <w:szCs w:val="32"/>
        </w:rPr>
        <w:t>第四条 重大活动食品安全监督保障应坚持</w:t>
      </w:r>
      <w:r>
        <w:rPr>
          <w:rFonts w:hint="eastAsia" w:ascii="方正仿宋_GBK" w:eastAsia="方正仿宋_GBK"/>
          <w:color w:val="auto"/>
          <w:sz w:val="32"/>
          <w:szCs w:val="32"/>
          <w:lang w:val="en-US" w:eastAsia="zh-CN"/>
        </w:rPr>
        <w:t>属地负责、预防为主、规范管理、分级监督、落实责任的原则。</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第五条 在地方党委、政府统一领导下，重大活动主（承）办单位、重大活动食品及餐饮服务提供者、市场监管、农业农村、卫生健康、公安、海关、综合执法等相关职能部门应当建立多方参与的联动机制，有效加强对重大活动食品安全监督保障工作的领导、组织、沟通和协调，落实各方责任，共同做好重大活动食品安全监督和保障工作。</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第六条 重大活动主（承）办单位、重大活动食品及餐饮服务提供者、市场监管部门等相关职能部门应当按照国家有关保密规定，严格执行相关保密制度，对涉及重大活动内容承担保密义务和责任。</w:t>
      </w:r>
    </w:p>
    <w:p>
      <w:pPr>
        <w:spacing w:line="580" w:lineRule="exact"/>
        <w:ind w:firstLine="699" w:firstLineChars="221"/>
        <w:rPr>
          <w:rFonts w:hint="eastAsia" w:ascii="方正仿宋_GBK" w:eastAsia="方正仿宋_GBK"/>
          <w:color w:val="auto"/>
          <w:sz w:val="32"/>
          <w:szCs w:val="32"/>
        </w:rPr>
      </w:pPr>
    </w:p>
    <w:p>
      <w:pPr>
        <w:spacing w:line="580" w:lineRule="exact"/>
        <w:jc w:val="center"/>
        <w:rPr>
          <w:rFonts w:hint="eastAsia" w:ascii="方正黑体_GBK" w:eastAsia="方正黑体_GBK"/>
          <w:color w:val="auto"/>
          <w:sz w:val="32"/>
          <w:szCs w:val="32"/>
        </w:rPr>
      </w:pPr>
      <w:r>
        <w:rPr>
          <w:rFonts w:hint="eastAsia" w:ascii="方正黑体_GBK" w:eastAsia="方正黑体_GBK"/>
          <w:color w:val="auto"/>
          <w:sz w:val="32"/>
          <w:szCs w:val="32"/>
        </w:rPr>
        <w:t>第二章 工作职责</w:t>
      </w:r>
    </w:p>
    <w:p>
      <w:pPr>
        <w:spacing w:line="580" w:lineRule="exact"/>
        <w:jc w:val="center"/>
        <w:rPr>
          <w:rFonts w:hint="eastAsia" w:ascii="方正仿宋_GBK" w:eastAsia="方正仿宋_GBK"/>
          <w:b/>
          <w:color w:val="auto"/>
          <w:sz w:val="32"/>
          <w:szCs w:val="32"/>
        </w:rPr>
      </w:pPr>
      <w:r>
        <w:rPr>
          <w:rFonts w:hint="eastAsia" w:ascii="方正仿宋_GBK" w:eastAsia="方正仿宋_GBK"/>
          <w:b/>
          <w:color w:val="auto"/>
          <w:sz w:val="32"/>
          <w:szCs w:val="32"/>
        </w:rPr>
        <w:t>第一节 重大活动主（承）办单位责任</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第七条 主（承）办单位应按照“谁主（承）办谁负责”的原则，建立健全食品安全管理机构，明确食品安全负责人的责任，对重大活动食品安全进行管理，并对食品安全负责。</w:t>
      </w:r>
    </w:p>
    <w:p>
      <w:pPr>
        <w:spacing w:line="580" w:lineRule="exact"/>
        <w:ind w:firstLine="559" w:firstLineChars="177"/>
        <w:rPr>
          <w:rFonts w:hint="eastAsia" w:ascii="方正仿宋_GBK" w:eastAsia="方正仿宋_GBK"/>
          <w:color w:val="auto"/>
          <w:sz w:val="32"/>
          <w:szCs w:val="32"/>
        </w:rPr>
      </w:pPr>
      <w:r>
        <w:rPr>
          <w:rFonts w:hint="eastAsia" w:ascii="方正仿宋_GBK" w:eastAsia="方正仿宋_GBK"/>
          <w:color w:val="auto"/>
          <w:sz w:val="32"/>
          <w:szCs w:val="32"/>
        </w:rPr>
        <w:t>第八条 主（承）办单位应本着“计划为先”原则，在重大活动举办前至少20个工作日将食品安全监督保障工作任务以明文通报的形式告知活动举办地市场监督管理部门，向市场监督管理部门通报以下信息：</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（一）重大活动名称、时间、地点、参加人数；</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（二）重大活动主（承）办单位名称、联系人、联系方式；</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（三）重大活动餐饮服务提供者名称、地址、联系人、联系方式；</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（四）指定或赞助食品供应商的基本情况；</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（五）接待对象、工作人员驻地分布和餐饮情况；</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（六）重大活动期间食谱安排；</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（七）重要宴会、赞助食品、临时用餐、茶歇食品等其他有关情况。</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第九条 主（承）办单位应当选择符合下列条件的重大活动食品及餐饮服务提供者承担重大活动食品安全保障工作：</w:t>
      </w:r>
    </w:p>
    <w:p>
      <w:pPr>
        <w:pStyle w:val="19"/>
        <w:numPr>
          <w:ilvl w:val="0"/>
          <w:numId w:val="1"/>
        </w:numPr>
        <w:spacing w:line="580" w:lineRule="exact"/>
        <w:ind w:firstLineChars="0"/>
        <w:rPr>
          <w:rFonts w:hint="eastAsia" w:ascii="方正仿宋_GBK" w:eastAsia="方正仿宋_GBK"/>
          <w:color w:val="auto"/>
          <w:sz w:val="32"/>
          <w:szCs w:val="32"/>
        </w:rPr>
      </w:pPr>
      <w:r>
        <w:rPr>
          <w:rFonts w:hint="eastAsia" w:ascii="方正仿宋_GBK" w:eastAsia="方正仿宋_GBK"/>
          <w:color w:val="auto"/>
          <w:sz w:val="32"/>
          <w:szCs w:val="32"/>
        </w:rPr>
        <w:t>食用农产品供应商应具有合法有效的资质；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方正仿宋_GBK" w:eastAsia="方正仿宋_GBK"/>
          <w:color w:val="auto"/>
          <w:sz w:val="32"/>
          <w:szCs w:val="32"/>
        </w:rPr>
      </w:pPr>
      <w:r>
        <w:rPr>
          <w:rFonts w:hint="eastAsia" w:ascii="方正仿宋_GBK" w:eastAsia="方正仿宋_GBK"/>
          <w:color w:val="auto"/>
          <w:sz w:val="32"/>
          <w:szCs w:val="32"/>
          <w:lang w:eastAsia="zh-CN"/>
        </w:rPr>
        <w:t>（二）</w:t>
      </w:r>
      <w:r>
        <w:rPr>
          <w:rFonts w:hint="eastAsia" w:ascii="方正仿宋_GBK" w:eastAsia="方正仿宋_GBK"/>
          <w:color w:val="auto"/>
          <w:sz w:val="32"/>
          <w:szCs w:val="32"/>
        </w:rPr>
        <w:t>食品供应商应当具有合法有效的食品生产、</w:t>
      </w:r>
      <w:r>
        <w:rPr>
          <w:rFonts w:hint="eastAsia" w:ascii="方正仿宋_GBK" w:eastAsia="方正仿宋_GBK"/>
          <w:color w:val="auto"/>
          <w:sz w:val="32"/>
          <w:szCs w:val="32"/>
        </w:rPr>
        <w:t>经营</w:t>
      </w:r>
      <w:r>
        <w:rPr>
          <w:rFonts w:hint="eastAsia" w:ascii="方正仿宋_GBK" w:eastAsia="方正仿宋_GBK"/>
          <w:color w:val="auto"/>
          <w:sz w:val="32"/>
          <w:szCs w:val="32"/>
          <w:lang w:eastAsia="zh-CN"/>
        </w:rPr>
        <w:t>可</w:t>
      </w:r>
      <w:r>
        <w:rPr>
          <w:rFonts w:hint="eastAsia" w:ascii="方正仿宋_GBK" w:eastAsia="方正仿宋_GBK"/>
          <w:color w:val="auto"/>
          <w:sz w:val="32"/>
          <w:szCs w:val="32"/>
        </w:rPr>
        <w:t>可证；</w:t>
      </w:r>
    </w:p>
    <w:p>
      <w:pPr>
        <w:pStyle w:val="19"/>
        <w:numPr>
          <w:ilvl w:val="0"/>
          <w:numId w:val="0"/>
        </w:numPr>
        <w:spacing w:line="580" w:lineRule="exact"/>
        <w:ind w:firstLine="632" w:firstLineChars="200"/>
        <w:rPr>
          <w:rFonts w:hint="eastAsia" w:ascii="方正仿宋_GBK" w:eastAsia="方正仿宋_GBK"/>
          <w:color w:val="auto"/>
          <w:sz w:val="32"/>
          <w:szCs w:val="32"/>
        </w:rPr>
      </w:pPr>
      <w:r>
        <w:rPr>
          <w:rFonts w:hint="eastAsia" w:ascii="方正仿宋_GBK" w:eastAsia="方正仿宋_GBK"/>
          <w:color w:val="auto"/>
          <w:sz w:val="32"/>
          <w:szCs w:val="32"/>
          <w:lang w:eastAsia="zh-CN"/>
        </w:rPr>
        <w:t>（三）</w:t>
      </w:r>
      <w:r>
        <w:rPr>
          <w:rFonts w:hint="eastAsia" w:ascii="方正仿宋_GBK" w:eastAsia="方正仿宋_GBK"/>
          <w:color w:val="auto"/>
          <w:sz w:val="32"/>
          <w:szCs w:val="32"/>
        </w:rPr>
        <w:t>餐饮服务提供者具备合法有效的食品经营许可证明，具备与重大活动规模、供餐人数、供餐方式相适应的食品安全保障能力（不得委托加工、外购散装熟食或者</w:t>
      </w:r>
      <w:r>
        <w:rPr>
          <w:rFonts w:hint="eastAsia" w:ascii="方正仿宋_GBK" w:eastAsia="方正仿宋_GBK"/>
          <w:color w:val="auto"/>
          <w:sz w:val="32"/>
          <w:szCs w:val="32"/>
        </w:rPr>
        <w:t>接受配送</w:t>
      </w:r>
      <w:r>
        <w:rPr>
          <w:rFonts w:hint="eastAsia" w:ascii="方正仿宋_GBK" w:eastAsia="方正仿宋_GBK"/>
          <w:color w:val="auto"/>
          <w:sz w:val="32"/>
          <w:szCs w:val="32"/>
        </w:rPr>
        <w:t>）；</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（四）餐饮服务提供者配备有专职或兼职的食品安全管理人员；</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五</w:t>
      </w:r>
      <w:r>
        <w:rPr>
          <w:rFonts w:hint="eastAsia" w:ascii="方正仿宋_GBK" w:eastAsia="方正仿宋_GBK"/>
          <w:color w:val="auto"/>
          <w:sz w:val="32"/>
          <w:szCs w:val="32"/>
        </w:rPr>
        <w:t>）餐饮服务提供者符合市场监督管理部门提出的其他要求。</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第十条 主（承）办单位应当协助市场监督管理部门加强重大活动食品安全监管，督促重大活动食品及餐饮服务提供者落实食品安全主体责任，并根据市场监督管理部门的评估检查意见，调整确定重大活动食品及餐饮服务提供者。</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第十一条 主（承）办单位在重大活动期间应当向市场监督管理部门提供开展食品安全监督保障所必须的工作场所、监管人员出入证明、</w:t>
      </w:r>
      <w:r>
        <w:rPr>
          <w:rFonts w:hint="eastAsia" w:ascii="方正仿宋_GBK" w:eastAsia="方正仿宋_GBK"/>
          <w:color w:val="auto"/>
          <w:sz w:val="32"/>
          <w:szCs w:val="32"/>
        </w:rPr>
        <w:t>车证</w:t>
      </w:r>
      <w:r>
        <w:rPr>
          <w:rFonts w:hint="eastAsia" w:ascii="方正仿宋_GBK" w:eastAsia="方正仿宋_GBK"/>
          <w:color w:val="auto"/>
          <w:sz w:val="32"/>
          <w:szCs w:val="32"/>
        </w:rPr>
        <w:t>、食宿、检验车辆场地、检测经费等工作条件，确保重大活动食品安全监督保障工作顺利开展。</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第十二条 主（承）办单位确定重大活动食谱，应先经由市场监督管理部门作安全风险性评估审核。审核内容包括食谱所涉原料辅料、制作方法等。有毒有害或来源不明的食品、野生动物植物和菌类、外购散装直接入口熟食制品以及加工时添加药品、药材、非食用物质等在食谱审核时会被禁止。不得使用未经审核的食品。</w:t>
      </w:r>
      <w:bookmarkStart w:id="0" w:name="_GoBack"/>
      <w:bookmarkEnd w:id="0"/>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第十三条 主（承）办单位根据重大活动的规模和层级，需要确定食品总供应商的，应当选择具有保障食品安全能力的供应商作为食品总供应商。</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第十四条 重大活动主（承）办单位应当积极配合市场监督管理部门，做好重大活动期间食品安全突发事故的应急处置工作。</w:t>
      </w:r>
    </w:p>
    <w:p>
      <w:pPr>
        <w:spacing w:line="580" w:lineRule="exact"/>
        <w:jc w:val="center"/>
        <w:rPr>
          <w:rFonts w:hint="eastAsia" w:ascii="方正仿宋_GBK" w:eastAsia="方正仿宋_GBK"/>
          <w:color w:val="auto"/>
          <w:sz w:val="32"/>
          <w:szCs w:val="32"/>
        </w:rPr>
      </w:pPr>
      <w:r>
        <w:rPr>
          <w:rFonts w:hint="eastAsia" w:ascii="方正仿宋_GBK" w:eastAsia="方正仿宋_GBK"/>
          <w:b/>
          <w:color w:val="auto"/>
          <w:sz w:val="32"/>
          <w:szCs w:val="32"/>
        </w:rPr>
        <w:t>第二节 重大活动食品供应商责任</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第十四条 食品总供应商应当设立食品总仓，统一采购、查验、检测、贮存、配送、记录，并符合食品贮存、冷藏和冷冻的要求，确保食品闭合管理，全程安全。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第十五条 食品总供应商供应的食品应当专车运输、专人验收、专人记录、专库贮存；运输车辆必须符合卫生和安全要求；需要冷链运输的食品必须按要求封闭冷链运输。</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第十六条 食品生产企业应当建立和完善台账管理制度，建立原辅材料进货台账、使用档案和生产记录，严格过程控制、出厂检验，企业食品安全质量管理体系有效运行，确保食品安全可追溯。</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第十七条 食用农产品供应商应当对食用农产品种植、养殖者进行审核，要求食用农产品种植、养殖者严格按照食品安全标准和国家有关规定使用农药、肥料、兽药、饲料和饲料添加剂等农业投入品，严格执行农业投入品使用安全间隔期或者休药期的规定。食用农产品的采收、屠宰、贮存、运输应当做好记录，保证食用农产品可追溯。</w:t>
      </w:r>
    </w:p>
    <w:p>
      <w:pPr>
        <w:spacing w:line="580" w:lineRule="exact"/>
        <w:jc w:val="center"/>
        <w:rPr>
          <w:rFonts w:hint="eastAsia" w:ascii="方正仿宋_GBK" w:eastAsia="方正仿宋_GBK"/>
          <w:color w:val="auto"/>
          <w:sz w:val="32"/>
          <w:szCs w:val="32"/>
        </w:rPr>
      </w:pPr>
      <w:r>
        <w:rPr>
          <w:rFonts w:hint="eastAsia" w:ascii="方正仿宋_GBK" w:eastAsia="方正仿宋_GBK"/>
          <w:b/>
          <w:color w:val="auto"/>
          <w:sz w:val="32"/>
          <w:szCs w:val="32"/>
        </w:rPr>
        <w:t>第三节  重大活动餐饮服务提供者责任</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第十八条 餐饮服务提供者为重大活动提供餐饮服务，应保证餐饮服务食品安全，依法承担餐饮服务食品安全主体责任。</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第十九条 餐饮服务提供者应成立重大活动食品安全工作管理机构，并制定重大活动食品安全供餐方案及食品安全事故应急预案，明确重大活动食品安全管理（食品采购验收、贮存保管、加工制作、食品留样、专间管理、环境卫生、人员健康管理、应急处置等）相关要求以及责任人和联络人，并于重大活动前15个工作日报送市场监督管理部门和主（承）办单位。</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第二十条 餐饮服务提供者在接到重大活动供餐任务后应当立即组织开展食品安全自查，并向重大活动主（承）办单位和市场监督管理部门提交自查报告。</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第二十一条 餐饮服务提供者应当在重大活动开始前，与市场监督管理部门签订《重大活动食品安全责任书》。</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第二十二条 餐饮服务提供者应当按照食品经营许可的项目为重大活动提供餐食食谱。食谱应当标明主要原料和烹饪方式，在重大活动开始前5个工作日送由市场监管部门作安全风险性审核后方可执行。审定后的食谱在重大活动期间不得擅自更改。</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第二十三条 餐饮服务提供者应当严格按照原料辅料控制要求，加强对原辅料的采购管理，落实进货查验、索证索票及台账登记工作，保证食品可追溯，确保所使用的食品、食品添加剂和食品相关产品符合食品安全标准。</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第二十四条 餐饮服务提供者应当严格执行从业人员健康管理制度，坚持每日对从业人员进行晨检并做好晨检记录，对患有碍食品安全疾病的人员进行调整或调离相关岗位，确保从业人员健康状况符合相关要求。</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第二十五条 餐饮服务提供者应当加强对食品加工、贮存、陈列、消毒、保洁、保温、冷藏、冷冻等设施设备及食品工</w:t>
      </w:r>
      <w:r>
        <w:rPr>
          <w:rFonts w:hint="eastAsia" w:ascii="方正仿宋_GBK" w:eastAsia="方正仿宋_GBK"/>
          <w:color w:val="auto"/>
          <w:sz w:val="32"/>
          <w:szCs w:val="32"/>
          <w:lang w:eastAsia="zh-CN"/>
        </w:rPr>
        <w:t>具</w:t>
      </w:r>
      <w:r>
        <w:rPr>
          <w:rFonts w:hint="eastAsia" w:ascii="方正仿宋_GBK" w:eastAsia="方正仿宋_GBK"/>
          <w:color w:val="auto"/>
          <w:sz w:val="32"/>
          <w:szCs w:val="32"/>
        </w:rPr>
        <w:t>用具、餐饮具的清洗、消毒、维护和保养，确保设施设备卫生清洁、能正常运转和使用。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第二十六条 餐饮服务提供者应当严格落实食品加工过程控制及备餐供餐过程控制，确保食物烧熟煮透，避免交叉污染。</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第二十七条 餐饮服务提供者应当严格落实食物留样管理，确保留样容器、留样品种、留样量、留样时间、留样温度符合食物留样的有关要求，并实施专人专柜登记及管理。</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第二十八条 餐饮服务提供者不得使用下列食品、食品添加剂和食品相关产品：</w:t>
      </w:r>
    </w:p>
    <w:p>
      <w:pPr>
        <w:pStyle w:val="19"/>
        <w:numPr>
          <w:ilvl w:val="0"/>
          <w:numId w:val="2"/>
        </w:numPr>
        <w:spacing w:line="580" w:lineRule="exact"/>
        <w:ind w:left="0" w:firstLine="645" w:firstLineChars="0"/>
        <w:rPr>
          <w:rFonts w:hint="eastAsia" w:ascii="方正仿宋_GBK" w:eastAsia="方正仿宋_GBK"/>
          <w:color w:val="auto"/>
          <w:sz w:val="32"/>
          <w:szCs w:val="32"/>
        </w:rPr>
      </w:pPr>
      <w:r>
        <w:rPr>
          <w:rFonts w:hint="eastAsia" w:ascii="方正仿宋_GBK" w:eastAsia="方正仿宋_GBK"/>
          <w:color w:val="auto"/>
          <w:sz w:val="32"/>
          <w:szCs w:val="32"/>
        </w:rPr>
        <w:t>法律法规禁止生产经营的食品、食品添加剂和食品相关产品；</w:t>
      </w:r>
    </w:p>
    <w:p>
      <w:pPr>
        <w:pStyle w:val="19"/>
        <w:numPr>
          <w:ilvl w:val="0"/>
          <w:numId w:val="2"/>
        </w:numPr>
        <w:spacing w:line="580" w:lineRule="exact"/>
        <w:ind w:left="0" w:firstLine="645" w:firstLineChars="0"/>
        <w:rPr>
          <w:rFonts w:hint="eastAsia" w:ascii="方正仿宋_GBK" w:eastAsia="方正仿宋_GBK"/>
          <w:color w:val="auto"/>
          <w:sz w:val="32"/>
          <w:szCs w:val="32"/>
        </w:rPr>
      </w:pPr>
      <w:r>
        <w:rPr>
          <w:rFonts w:hint="eastAsia" w:ascii="方正仿宋_GBK" w:eastAsia="方正仿宋_GBK"/>
          <w:color w:val="auto"/>
          <w:sz w:val="32"/>
          <w:szCs w:val="32"/>
        </w:rPr>
        <w:t>超过保质期或包装破损、标示不规范的食品、食品添加剂；</w:t>
      </w:r>
    </w:p>
    <w:p>
      <w:pPr>
        <w:pStyle w:val="19"/>
        <w:numPr>
          <w:ilvl w:val="0"/>
          <w:numId w:val="2"/>
        </w:numPr>
        <w:spacing w:line="580" w:lineRule="exact"/>
        <w:ind w:left="0" w:firstLine="645" w:firstLineChars="0"/>
        <w:rPr>
          <w:rFonts w:hint="eastAsia" w:ascii="方正仿宋_GBK" w:eastAsia="方正仿宋_GBK"/>
          <w:color w:val="auto"/>
          <w:sz w:val="32"/>
          <w:szCs w:val="32"/>
        </w:rPr>
      </w:pPr>
      <w:r>
        <w:rPr>
          <w:rFonts w:hint="eastAsia" w:ascii="方正仿宋_GBK" w:eastAsia="方正仿宋_GBK"/>
          <w:color w:val="auto"/>
          <w:sz w:val="32"/>
          <w:szCs w:val="32"/>
        </w:rPr>
        <w:t>检验检测可疑阳性的食用农产品、食品和生活饮用水；</w:t>
      </w:r>
    </w:p>
    <w:p>
      <w:pPr>
        <w:pStyle w:val="19"/>
        <w:numPr>
          <w:ilvl w:val="0"/>
          <w:numId w:val="2"/>
        </w:numPr>
        <w:spacing w:line="580" w:lineRule="exact"/>
        <w:ind w:left="0" w:firstLine="709" w:firstLineChars="0"/>
        <w:rPr>
          <w:rFonts w:hint="eastAsia" w:ascii="方正仿宋_GBK" w:eastAsia="方正仿宋_GBK"/>
          <w:color w:val="auto"/>
          <w:sz w:val="32"/>
          <w:szCs w:val="32"/>
        </w:rPr>
      </w:pPr>
      <w:r>
        <w:rPr>
          <w:rFonts w:hint="eastAsia" w:ascii="方正仿宋_GBK" w:eastAsia="方正仿宋_GBK"/>
          <w:color w:val="auto"/>
          <w:sz w:val="32"/>
          <w:szCs w:val="32"/>
        </w:rPr>
        <w:t>索票索证不全或不真实的直接入口的预包装食品、食品添加剂；</w:t>
      </w:r>
    </w:p>
    <w:p>
      <w:pPr>
        <w:pStyle w:val="19"/>
        <w:numPr>
          <w:ilvl w:val="0"/>
          <w:numId w:val="2"/>
        </w:numPr>
        <w:spacing w:line="580" w:lineRule="exact"/>
        <w:ind w:firstLineChars="0"/>
        <w:rPr>
          <w:rFonts w:hint="eastAsia" w:ascii="方正仿宋_GBK" w:eastAsia="方正仿宋_GBK"/>
          <w:color w:val="auto"/>
          <w:sz w:val="32"/>
          <w:szCs w:val="32"/>
        </w:rPr>
      </w:pPr>
      <w:r>
        <w:rPr>
          <w:rFonts w:hint="eastAsia" w:ascii="方正仿宋_GBK" w:eastAsia="方正仿宋_GBK"/>
          <w:color w:val="auto"/>
          <w:sz w:val="32"/>
          <w:szCs w:val="32"/>
        </w:rPr>
        <w:t>外购现制现售食品、散装熟肉制品；</w:t>
      </w:r>
    </w:p>
    <w:p>
      <w:pPr>
        <w:pStyle w:val="19"/>
        <w:numPr>
          <w:ilvl w:val="0"/>
          <w:numId w:val="2"/>
        </w:numPr>
        <w:spacing w:line="580" w:lineRule="exact"/>
        <w:ind w:left="0" w:firstLine="645" w:firstLineChars="0"/>
        <w:rPr>
          <w:rFonts w:hint="eastAsia" w:ascii="方正仿宋_GBK" w:eastAsia="方正仿宋_GBK"/>
          <w:color w:val="auto"/>
          <w:sz w:val="32"/>
          <w:szCs w:val="32"/>
        </w:rPr>
      </w:pPr>
      <w:r>
        <w:rPr>
          <w:rFonts w:hint="eastAsia" w:ascii="方正仿宋_GBK" w:eastAsia="方正仿宋_GBK"/>
          <w:color w:val="auto"/>
          <w:sz w:val="32"/>
          <w:szCs w:val="32"/>
        </w:rPr>
        <w:t>市场监督管理部门在审核食谱时认定不适宜提供的食品；</w:t>
      </w:r>
    </w:p>
    <w:p>
      <w:pPr>
        <w:spacing w:line="580" w:lineRule="exact"/>
        <w:ind w:left="-2" w:leftChars="-1" w:firstLine="702" w:firstLineChars="222"/>
        <w:rPr>
          <w:rFonts w:hint="eastAsia" w:ascii="方正仿宋_GBK" w:eastAsia="方正仿宋_GBK"/>
          <w:color w:val="auto"/>
          <w:sz w:val="32"/>
          <w:szCs w:val="32"/>
        </w:rPr>
      </w:pPr>
      <w:r>
        <w:rPr>
          <w:rFonts w:hint="eastAsia" w:ascii="方正仿宋_GBK" w:eastAsia="方正仿宋_GBK"/>
          <w:color w:val="auto"/>
          <w:sz w:val="32"/>
          <w:szCs w:val="32"/>
        </w:rPr>
        <w:t>第二十九条 餐饮服务提供者应当与主（承）办单位共同做好重大活动餐饮服务从业人员的培训，满足重大活动期间供餐的特殊需求。</w:t>
      </w:r>
    </w:p>
    <w:p>
      <w:pPr>
        <w:spacing w:line="580" w:lineRule="exact"/>
        <w:jc w:val="center"/>
        <w:rPr>
          <w:rFonts w:hint="eastAsia" w:ascii="方正仿宋_GBK" w:eastAsia="方正仿宋_GBK"/>
          <w:b/>
          <w:color w:val="auto"/>
          <w:sz w:val="32"/>
          <w:szCs w:val="32"/>
        </w:rPr>
      </w:pPr>
      <w:r>
        <w:rPr>
          <w:rFonts w:hint="eastAsia" w:ascii="方正仿宋_GBK" w:eastAsia="方正仿宋_GBK"/>
          <w:b/>
          <w:color w:val="auto"/>
          <w:sz w:val="32"/>
          <w:szCs w:val="32"/>
        </w:rPr>
        <w:t>第四节  市场监督管理部门责任</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第三十条 市场监督管理部门负责对本行政区域内重大活动的食品安全工作进行监督保障，依法承担相应的监管责任。</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第三十一条 市场监督管理部门应根据重大活动的性质、规模，成立重大活动食品安全监督保障组织机构，制定重大活动食品安全监督保障工作方案和食品安全事故应急预案。</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第三十二条 市场监督管理部门应根据重大活动的性质、规模及影响，积极争取资金保障，确保重大活动食品安全监督保障工作顺利实施。</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第三十三条 市场监督管理部门在重大活动举办前期及举办期间应当加强对重大活动食品及餐饮服务提供者的监督检查，检查中发现存在食品安全隐患的，应当及时提出整改要求并监督整改；对无法落实整改、不能满足接待任务要求、不能保证食品安全或评估不符合要求的，及时提请重大活动主（承）办单位予以更换。</w:t>
      </w:r>
    </w:p>
    <w:p>
      <w:pPr>
        <w:spacing w:line="580" w:lineRule="exact"/>
        <w:ind w:firstLine="660"/>
        <w:rPr>
          <w:rFonts w:hint="eastAsia" w:ascii="方正仿宋_GBK" w:eastAsia="方正仿宋_GBK"/>
          <w:color w:val="auto"/>
          <w:sz w:val="32"/>
          <w:szCs w:val="32"/>
        </w:rPr>
      </w:pPr>
      <w:r>
        <w:rPr>
          <w:rFonts w:hint="eastAsia" w:ascii="方正仿宋_GBK" w:eastAsia="方正仿宋_GBK"/>
          <w:color w:val="auto"/>
          <w:sz w:val="32"/>
          <w:szCs w:val="32"/>
        </w:rPr>
        <w:t>第三十四条 一经发现重大活动食品及餐饮服务提供者存在违法行为的，通报重大活动主（承）办单位的同时，移交违法线索，由综合执法部门对违法行为依法从严从重作出处罚；涉嫌犯罪的，依法移送公安机关追究刑事责任。</w:t>
      </w:r>
    </w:p>
    <w:p>
      <w:pPr>
        <w:spacing w:line="580" w:lineRule="exact"/>
        <w:jc w:val="center"/>
        <w:rPr>
          <w:rFonts w:hint="eastAsia" w:ascii="方正仿宋_GBK" w:eastAsia="方正仿宋_GBK"/>
          <w:b/>
          <w:color w:val="auto"/>
          <w:sz w:val="32"/>
          <w:szCs w:val="32"/>
        </w:rPr>
      </w:pPr>
      <w:r>
        <w:rPr>
          <w:rFonts w:hint="eastAsia" w:ascii="方正仿宋_GBK" w:eastAsia="方正仿宋_GBK"/>
          <w:b/>
          <w:color w:val="auto"/>
          <w:sz w:val="32"/>
          <w:szCs w:val="32"/>
        </w:rPr>
        <w:t>第五节 相关职能部门责任</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第三十五条 各相关职能部门在重大活动主办方的统一组织、协调下，遵循属地负责、分工协作的原则，按当地党委政府或主办单位的交办任务，对重大活动食品安全依法依职实施监管，承担监管责任。</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第三十六条 各相关职能部门应根据重大活动的性质、规模和要求，采取全程监管、重点监管、巡查监管等方式，选派规模适度的监管人员承担食品安全监管任务。</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第三十七条 农业农村部门负责食用农产品从种植养殖环节到进入批发、零售市场或生产加工企业前的质量安全监督管理，负责畜禽屠宰环节质量安全监督管理。</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第三十八条 卫生健康部门负责重大活动中饮用水的质量安全监管，开展水质检测和监控，开展食品安全风险和食源性疾病监测调查与处置。</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第三十九条 公安部门负责对重大活动中提供食品和餐饮服务的从业人员进行背景审查，主动发现、预防、侦查、控制和打击食品安全领域人为投毒等破坏食品安全的违法犯罪行为并及时依法查处。</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第四十条 海关部门负责重大活动中进口食品的质量安全监管，对本省口岸进口供应重大活动的食品进行检验检疫，打击食品供应中的走私违法活动。</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第四十一条 综合执法部门负责对重大活动中发现的违法违规行为依法进行查处，参加突发食品安全事件应急处置行动，依法</w:t>
      </w:r>
      <w:r>
        <w:rPr>
          <w:rFonts w:hint="eastAsia" w:ascii="方正仿宋_GBK" w:eastAsia="方正仿宋_GBK"/>
          <w:color w:val="auto"/>
          <w:sz w:val="32"/>
          <w:szCs w:val="32"/>
          <w:lang w:eastAsia="zh-CN"/>
        </w:rPr>
        <w:t>对</w:t>
      </w:r>
      <w:r>
        <w:rPr>
          <w:rFonts w:hint="eastAsia" w:ascii="方正仿宋_GBK" w:eastAsia="方正仿宋_GBK"/>
          <w:color w:val="auto"/>
          <w:sz w:val="32"/>
          <w:szCs w:val="32"/>
        </w:rPr>
        <w:t>场所、设施、设备、物品、食品等实施查封、扣押、封存等强制措施。</w:t>
      </w:r>
    </w:p>
    <w:p>
      <w:pPr>
        <w:spacing w:line="580" w:lineRule="exact"/>
        <w:ind w:firstLine="630"/>
        <w:rPr>
          <w:rFonts w:hint="eastAsia" w:ascii="方正仿宋_GBK" w:eastAsia="方正仿宋_GBK"/>
          <w:color w:val="auto"/>
          <w:sz w:val="32"/>
          <w:szCs w:val="32"/>
        </w:rPr>
      </w:pPr>
      <w:r>
        <w:rPr>
          <w:rFonts w:hint="eastAsia" w:ascii="方正仿宋_GBK" w:eastAsia="方正仿宋_GBK"/>
          <w:color w:val="auto"/>
          <w:sz w:val="32"/>
          <w:szCs w:val="32"/>
        </w:rPr>
        <w:t>第四十二条 重大活动结束之日起20个工作日内，相关职能部门应对食品安全监管工作进行总结和分析。</w:t>
      </w:r>
    </w:p>
    <w:p>
      <w:pPr>
        <w:spacing w:line="580" w:lineRule="exact"/>
        <w:jc w:val="center"/>
        <w:rPr>
          <w:rFonts w:hint="eastAsia" w:ascii="方正仿宋_GBK" w:eastAsia="方正仿宋_GBK"/>
          <w:color w:val="auto"/>
          <w:sz w:val="32"/>
          <w:szCs w:val="32"/>
        </w:rPr>
      </w:pPr>
      <w:r>
        <w:rPr>
          <w:rFonts w:hint="eastAsia" w:ascii="方正仿宋_GBK" w:eastAsia="方正仿宋_GBK"/>
          <w:b/>
          <w:color w:val="auto"/>
          <w:sz w:val="32"/>
          <w:szCs w:val="32"/>
        </w:rPr>
        <w:t>第六节  其他事项</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第四十三条 重大活动主（承）办单位、重大活动食品及餐饮服务提供者未按照本细则要求执行以下工作，导致重大活动期间发生重大食品安全事故并造成严重后果的，依法承担相应责任。</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（一）重大活动主（承）办单位未按市场监督管理部门的检查意见及时确定或调整重大活动食品及餐饮服务提供者导致食品安全事故发生的，重大活动主（承）办单位应承担食品安全首要责任。</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（二）重大活动主（承）办单位、重大活动食品及餐饮服务提供者未按审定的食谱供应食品、菜品导致食品安全事故发生的，重大活动主（承）办单位、重大活动食品及餐饮服务提供者应承担食品安全首要责任。</w:t>
      </w:r>
    </w:p>
    <w:p>
      <w:pPr>
        <w:spacing w:line="580" w:lineRule="exact"/>
        <w:ind w:firstLine="645"/>
        <w:rPr>
          <w:rFonts w:hint="eastAsia" w:ascii="方正仿宋_GBK" w:eastAsia="方正仿宋_GBK"/>
          <w:color w:val="auto"/>
          <w:sz w:val="32"/>
          <w:szCs w:val="32"/>
        </w:rPr>
      </w:pPr>
      <w:r>
        <w:rPr>
          <w:rFonts w:hint="eastAsia" w:ascii="方正仿宋_GBK" w:eastAsia="方正仿宋_GBK"/>
          <w:color w:val="auto"/>
          <w:sz w:val="32"/>
          <w:szCs w:val="32"/>
        </w:rPr>
        <w:t>（三）重大活动主（承）办单位、重大活动食品及餐饮服务提供者未按市场监督管理部门要求及时更换食谱中存在的不符合重大活动食品安全要求的食品或菜品，导致食品安全事故发生的，重大活动主（承）办单位、重大活动食品及餐饮服务提供者应承担食品安全首要责任。</w:t>
      </w:r>
    </w:p>
    <w:p>
      <w:pPr>
        <w:spacing w:line="580" w:lineRule="exact"/>
        <w:jc w:val="center"/>
        <w:rPr>
          <w:rFonts w:hint="eastAsia" w:ascii="方正仿宋_GBK" w:eastAsia="方正仿宋_GBK"/>
          <w:b/>
          <w:color w:val="auto"/>
          <w:sz w:val="32"/>
          <w:szCs w:val="32"/>
        </w:rPr>
      </w:pPr>
    </w:p>
    <w:p>
      <w:pPr>
        <w:spacing w:line="580" w:lineRule="exact"/>
        <w:jc w:val="center"/>
        <w:rPr>
          <w:rFonts w:hint="eastAsia" w:ascii="方正黑体_GBK" w:eastAsia="方正黑体_GBK"/>
          <w:color w:val="auto"/>
          <w:sz w:val="32"/>
          <w:szCs w:val="32"/>
        </w:rPr>
      </w:pPr>
      <w:r>
        <w:rPr>
          <w:rFonts w:hint="eastAsia" w:ascii="方正黑体_GBK" w:eastAsia="方正黑体_GBK"/>
          <w:color w:val="auto"/>
          <w:sz w:val="32"/>
          <w:szCs w:val="32"/>
        </w:rPr>
        <w:t>第三章 监督保障分级</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第四十四条 重大活动食品安全工作实施“分级监督保障”原则。根据重大活动的性质、规模，将我省重大活动食品安全监督保障任务分为三个级别：</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一级：在我省举办的特别重大的国际性和全国性政治、经济、文化、体育等重大活动（会议）期间，正国级的党和国家领导人、外国元首和贵宾在我省活动期间，要求提供的食品安全监督保障。</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二级：在我省举办的一般性国际性和全国性政治、经济、文化、体育等重大活动（会议）期间，副国级的党和国家领导人、外国政府首脑和贵宾在我省活动期间，要求提供的食品安全监督保障。</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三级：中央国家机关各部委、省级党政机关在省内举办的重要的政治、经济、文化、体育等活动（会议）期间，各市、县（区）级党政机关举办的重要的政治、经济、文化、体育等活动（会议）期间，要求提供的食品安全监督保障。</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第四十五条 按照“属地负责、分级监督”原则，重大活动食品安全监管保障任务由本省相应的市场监督管理部门组织协调、实施。</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一级保障任务：由省级市场监督管理部门组织协调，全程监督、指导，所属市、县（区）市场监督管理部门具体实施监督保障任务；</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二级保障任务：由省级市场监督管理部门或设区的市级市场监督管理部门负责组织协调，所属市、县（区）级市场监督管理部门具体实施监督保障任务；</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三级保障任务：由设区的市级或县（区）级市场监督管理部门负责组织协调并实施监督保障任务。</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第四十六条 根据重大活动性质、规格、影响、供餐方式等，综合食品安全风险，由市场监督管理部门合理确定重大活动食品安全相应的监督保障方式。</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一级保障任务：全程驻点保障。监督人员、检测人员驻点监督保障，检验检测所有食品及原料。</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二级保障任务：全程驻点保障或重点环节监督。根据任务实际，监督人员、检测人员全程驻点保障或监督重点环节，检验检测全部或重要食品及原料。</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三级保障任务：重点环节监督或高频巡回监管。根据任务实际，监督人员、检测人员监督重点环节或巡回监督特定区域、时段，检验检测重要食品及原料或可疑、高风险食品。</w:t>
      </w:r>
    </w:p>
    <w:p>
      <w:pPr>
        <w:spacing w:line="580" w:lineRule="exact"/>
        <w:ind w:firstLine="699" w:firstLineChars="221"/>
        <w:rPr>
          <w:rFonts w:hint="eastAsia" w:ascii="方正仿宋_GBK" w:eastAsia="方正仿宋_GBK"/>
          <w:color w:val="auto"/>
          <w:sz w:val="32"/>
          <w:szCs w:val="32"/>
        </w:rPr>
      </w:pPr>
      <w:r>
        <w:rPr>
          <w:rFonts w:hint="eastAsia" w:ascii="方正仿宋_GBK" w:eastAsia="方正仿宋_GBK"/>
          <w:color w:val="auto"/>
          <w:sz w:val="32"/>
          <w:szCs w:val="32"/>
        </w:rPr>
        <w:t>第四十七条 重大活动食品安全监督保障任务分级与监督保障方式对应关系并非固定不变，应根据风险大小和主（承）办方要求调整确立，在一次活动中，对不同的供餐单位、供餐方式可以采用不同的保障级别、监督方式。</w:t>
      </w:r>
    </w:p>
    <w:p>
      <w:pPr>
        <w:spacing w:line="580" w:lineRule="exact"/>
        <w:ind w:firstLine="699" w:firstLineChars="221"/>
        <w:rPr>
          <w:rFonts w:hint="eastAsia" w:ascii="方正仿宋_GBK" w:eastAsia="方正仿宋_GBK"/>
          <w:color w:val="auto"/>
          <w:sz w:val="32"/>
          <w:szCs w:val="32"/>
        </w:rPr>
      </w:pPr>
    </w:p>
    <w:p>
      <w:pPr>
        <w:spacing w:line="580" w:lineRule="exact"/>
        <w:jc w:val="center"/>
        <w:rPr>
          <w:rFonts w:hint="eastAsia" w:ascii="方正黑体_GBK" w:eastAsia="方正黑体_GBK"/>
          <w:color w:val="auto"/>
          <w:sz w:val="32"/>
          <w:szCs w:val="32"/>
        </w:rPr>
      </w:pPr>
      <w:r>
        <w:rPr>
          <w:rFonts w:hint="eastAsia" w:ascii="方正黑体_GBK" w:eastAsia="方正黑体_GBK"/>
          <w:color w:val="auto"/>
          <w:sz w:val="32"/>
          <w:szCs w:val="32"/>
        </w:rPr>
        <w:t>第四章 监督保障实施</w:t>
      </w:r>
    </w:p>
    <w:p>
      <w:pPr>
        <w:spacing w:line="580" w:lineRule="exact"/>
        <w:jc w:val="center"/>
        <w:rPr>
          <w:rFonts w:hint="eastAsia" w:ascii="方正仿宋_GBK" w:eastAsia="方正仿宋_GBK"/>
          <w:b/>
          <w:color w:val="auto"/>
          <w:sz w:val="32"/>
          <w:szCs w:val="32"/>
        </w:rPr>
      </w:pPr>
      <w:r>
        <w:rPr>
          <w:rFonts w:hint="eastAsia" w:ascii="方正仿宋_GBK" w:eastAsia="方正仿宋_GBK"/>
          <w:b/>
          <w:color w:val="auto"/>
          <w:sz w:val="32"/>
          <w:szCs w:val="32"/>
        </w:rPr>
        <w:t>第一节 监督保障程序及内容</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第四十八条 实施全程驻点保障，工作程序及内容通常如下：</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一）掌握情况。重大活动食品安全监管工作人员与重大活动主（承）办单位食品安全有关人员、重大活动食品及餐饮服务提供者食品安全负责人进行对接，查验重大活动食品供应、餐饮服务现场，及时掌握有关信息，明确开展监督管理工作所需的必要条件。</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二）明确责任。与重大活动主（承）办单位食品安全有关人员、重大活动食品及餐饮服务提供者食品安全负责人召开协调会议，明确重大活动食品安全监督保障工作的有关事项和具体要求，商议重大活动供餐方案，并与重大活动食品及餐饮服务提供者负责人签订</w:t>
      </w:r>
      <w:r>
        <w:rPr>
          <w:rFonts w:hint="eastAsia" w:ascii="方正仿宋_GBK" w:eastAsia="方正仿宋_GBK"/>
          <w:color w:val="auto"/>
          <w:sz w:val="32"/>
          <w:szCs w:val="32"/>
        </w:rPr>
        <w:t>《重大活动食品安全责任书》。</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（三）现场检查。对重大活动食品及餐饮服务提供者的食品安全情况进行现场检查，检查内容具体包括制度建立、人员管理、环境卫生、食品采购、食品贮存、食品工</w:t>
      </w:r>
      <w:r>
        <w:rPr>
          <w:rFonts w:hint="eastAsia" w:ascii="方正仿宋_GBK" w:eastAsia="方正仿宋_GBK"/>
          <w:color w:val="auto"/>
          <w:sz w:val="32"/>
          <w:szCs w:val="32"/>
          <w:lang w:eastAsia="zh-CN"/>
        </w:rPr>
        <w:t>具</w:t>
      </w:r>
      <w:r>
        <w:rPr>
          <w:rFonts w:hint="eastAsia" w:ascii="方正仿宋_GBK" w:eastAsia="方正仿宋_GBK"/>
          <w:color w:val="auto"/>
          <w:sz w:val="32"/>
          <w:szCs w:val="32"/>
        </w:rPr>
        <w:t>用具、加工操作过程控制、专间情况、备餐供餐、餐饮具洗消、食物留样、运输工具、集体用餐配送以及市场监督管理部门认为需要进行现场检查的其他情形。</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（四）落实整改。督促重大活动食品及餐饮服务提供者根据现场检查情况和监督意见落实整改，并对整改情况进行跟进。</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（五）其他情况。</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1.了解每餐实际就餐人员、人数和时间等;</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2.了解重要接待客人住宿房间内摆放的食品;</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3.了解每日驻点医疗组接待客人的就诊情况。</w:t>
      </w:r>
    </w:p>
    <w:p>
      <w:pPr>
        <w:spacing w:line="580" w:lineRule="exact"/>
        <w:ind w:firstLine="709"/>
        <w:rPr>
          <w:rFonts w:hint="eastAsia" w:ascii="方正仿宋_GBK" w:eastAsia="方正仿宋_GBK"/>
          <w:color w:val="auto"/>
          <w:sz w:val="32"/>
          <w:szCs w:val="32"/>
        </w:rPr>
      </w:pPr>
      <w:r>
        <w:rPr>
          <w:rFonts w:hint="eastAsia" w:ascii="方正仿宋_GBK" w:eastAsia="方正仿宋_GBK"/>
          <w:color w:val="auto"/>
          <w:sz w:val="32"/>
          <w:szCs w:val="32"/>
        </w:rPr>
        <w:t>第四十九条 实施重点环节监督、高频巡回监管，工作程序及内容参照全程驻点保障进行，可相对简化。</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第五十条 采取驻点监管方式实施重大活动食品安全监督保障工作的，重大活动的各个举办地点必须至少派遣2名食品安全监督检查人员驻点执行监管保障任务。</w:t>
      </w:r>
    </w:p>
    <w:p>
      <w:pPr>
        <w:spacing w:line="580" w:lineRule="exact"/>
        <w:jc w:val="center"/>
        <w:rPr>
          <w:rFonts w:hint="eastAsia" w:ascii="方正仿宋_GBK" w:eastAsia="方正仿宋_GBK"/>
          <w:color w:val="auto"/>
          <w:sz w:val="32"/>
          <w:szCs w:val="32"/>
        </w:rPr>
      </w:pPr>
      <w:r>
        <w:rPr>
          <w:rFonts w:hint="eastAsia" w:ascii="方正仿宋_GBK" w:eastAsia="方正仿宋_GBK"/>
          <w:b/>
          <w:bCs/>
          <w:color w:val="auto"/>
          <w:sz w:val="32"/>
          <w:szCs w:val="32"/>
        </w:rPr>
        <w:t>第二节 监督保障流程</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第五十一条 市场监督管理部门应当按照</w:t>
      </w:r>
      <w:r>
        <w:rPr>
          <w:rFonts w:hint="eastAsia" w:ascii="方正仿宋_GBK" w:eastAsia="方正仿宋_GBK"/>
          <w:color w:val="auto"/>
          <w:sz w:val="32"/>
          <w:szCs w:val="32"/>
        </w:rPr>
        <w:t>《海南省重大活动食品安全监督保障标准规程》（见附录）组织实施</w:t>
      </w:r>
      <w:r>
        <w:rPr>
          <w:rFonts w:hint="eastAsia" w:ascii="方正仿宋_GBK" w:eastAsia="方正仿宋_GBK"/>
          <w:color w:val="auto"/>
          <w:sz w:val="32"/>
          <w:szCs w:val="32"/>
        </w:rPr>
        <w:t>重大活动食品安全监督保障工作。</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w:t>
      </w:r>
    </w:p>
    <w:p>
      <w:pPr>
        <w:spacing w:line="580" w:lineRule="exact"/>
        <w:jc w:val="center"/>
        <w:rPr>
          <w:rFonts w:hint="eastAsia" w:ascii="方正黑体_GBK" w:eastAsia="方正黑体_GBK"/>
          <w:color w:val="auto"/>
          <w:sz w:val="32"/>
          <w:szCs w:val="32"/>
        </w:rPr>
      </w:pPr>
      <w:r>
        <w:rPr>
          <w:rFonts w:hint="eastAsia" w:ascii="方正黑体_GBK" w:eastAsia="方正黑体_GBK"/>
          <w:color w:val="auto"/>
          <w:sz w:val="32"/>
          <w:szCs w:val="32"/>
        </w:rPr>
        <w:t>第五章 特殊工作要求</w:t>
      </w:r>
    </w:p>
    <w:p>
      <w:pPr>
        <w:spacing w:line="580" w:lineRule="exact"/>
        <w:jc w:val="center"/>
        <w:rPr>
          <w:rFonts w:hint="eastAsia" w:ascii="方正仿宋_GBK" w:eastAsia="方正仿宋_GBK"/>
          <w:color w:val="auto"/>
          <w:sz w:val="32"/>
          <w:szCs w:val="32"/>
        </w:rPr>
      </w:pPr>
      <w:r>
        <w:rPr>
          <w:rFonts w:hint="eastAsia" w:ascii="方正仿宋_GBK" w:eastAsia="方正仿宋_GBK"/>
          <w:b/>
          <w:bCs/>
          <w:color w:val="auto"/>
          <w:sz w:val="32"/>
          <w:szCs w:val="32"/>
        </w:rPr>
        <w:t>第一节 专仓管理</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第五十二条 根据重大活动的性质、规模及影响，重大活动主（承）办单位、市场监督管理部门认为重大活动期间有必要对食品及食品原材料实施闭环管理的，可以要求重大活动餐饮服务提供者建立食品及食品原材料专仓，于重大活动开始前20个工作日购进活动期间需要使用的相关食品及食品原材料（鲜品除外）。</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第五十三条 专仓应当包括常温库、冷藏库、冷冻库，用于接收贮存食品供应商配送的食品及原材料。</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专仓容量应根据重大活动餐饮服务提供者的接待规模、时间等情况进行设置。</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第五十四条 专仓应实施专人、专锁管理，并建立严格的进出货台账登记制度。</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食品入仓前，专仓应当进行严格的清洗消毒；食品入仓时，专仓管理人员应当详细记录入库食品及原材料的名称、数量、进货日期、供货商、保质期等信息，并做好标识；食品入仓后，驻点监管人员应当对仓门加贴封条，待重大活动需要使用食材时再由驻点监管人员启封；食品出仓时，应遵循"先进先出"的原则，由专仓管理人员对食品进行查验、核对及清点，并做好出仓登记。</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严禁将其他食品、非食品与重大活动供餐食品混放。</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第五十五条 重大活动存在若干个餐饮服务提供者情况的，可根据实际情况设置食品及食品原材料总仓，总仓按照专仓管理，负责统一采购、统一查验、统一检测、统一贮存、统一配送、统一记录。</w:t>
      </w:r>
    </w:p>
    <w:p>
      <w:pPr>
        <w:spacing w:line="580" w:lineRule="exact"/>
        <w:jc w:val="center"/>
        <w:rPr>
          <w:rFonts w:hint="eastAsia" w:ascii="方正仿宋_GBK" w:eastAsia="方正仿宋_GBK"/>
          <w:b/>
          <w:bCs/>
          <w:color w:val="auto"/>
          <w:sz w:val="32"/>
          <w:szCs w:val="32"/>
        </w:rPr>
      </w:pPr>
      <w:r>
        <w:rPr>
          <w:rFonts w:hint="eastAsia" w:ascii="方正仿宋_GBK" w:eastAsia="方正仿宋_GBK"/>
          <w:b/>
          <w:bCs/>
          <w:color w:val="auto"/>
          <w:sz w:val="32"/>
          <w:szCs w:val="32"/>
        </w:rPr>
        <w:t>第二节 食品供应商审查</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第五十六条 市场监督管理部门认为有必要的，可以对重大活动餐饮服务提供者食品供应商开展核查，确保重大活动期间食品安全。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第五十七条 重大活动餐饮服务提供者食品供应商不在重大活动举办地所属行政区域内的，重大活动举办地市场监督管理部门可以将食品供应的相关信息通报供应商所在地市场监督管理部门，通报信息包括：食品品种、采购数量、企业名称及监管要求等。</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供应商所在地市场监督管理部门应及时做好核查工作，并按要求及时将有关情况反馈重大活动举办地市场监督管理部门。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第五十八条 市场监督管理部门认为有必要的，可以将重大活动所使用的食用农产品信息通报产地农业农村部门，通报信息包括：食用农产品品种、种植养殖者名称及监管要求等。</w:t>
      </w:r>
    </w:p>
    <w:p>
      <w:pPr>
        <w:spacing w:line="580" w:lineRule="exact"/>
        <w:jc w:val="center"/>
        <w:rPr>
          <w:rFonts w:hint="eastAsia" w:ascii="方正仿宋_GBK" w:eastAsia="方正仿宋_GBK"/>
          <w:b/>
          <w:bCs/>
          <w:color w:val="auto"/>
          <w:sz w:val="32"/>
          <w:szCs w:val="32"/>
        </w:rPr>
      </w:pPr>
      <w:r>
        <w:rPr>
          <w:rFonts w:hint="eastAsia" w:ascii="方正仿宋_GBK" w:eastAsia="方正仿宋_GBK"/>
          <w:b/>
          <w:bCs/>
          <w:color w:val="auto"/>
          <w:sz w:val="32"/>
          <w:szCs w:val="32"/>
        </w:rPr>
        <w:t>第三节 赞助、自带及特需食品</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第五十九条 重大活动期间，原则上不允许赞助或自带食品供重大活动使用。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确须赞助或自带的，食品赞助者或自带者必须确保赞助或自带食品符合食品安全的有关规定，并能够提供以下资料：</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（一）加盖有赞助或自带食品供货者公章的许可证明、食品合格证明文件（出厂检验合格证或其他合格证明）及每笔购物凭证或每笔送货单等文件材料复印件；</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（二）赞助或自带进口食品还应提供口岸进口食品法定检验机构出具的与所购食品相同批次的食品检验合格证明（入境货物检验检疫证明、海关进口货物报关单）等文件材料复印件。</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第六十条 食品赞助者或自带者应向重大活动主（承）办单位、重大活动餐饮服务提供者、市场监督管理部门作出书面承诺，保证所提供食品符合食品安全法律法规的有关规定，并明确赞助或自带食品的食品安全责任由其承担。</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第六十一条 市场监督管理部门应当对食品赞助者或自带者所提供的资料进行查验登记，符合要求方可使用。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必要时，市场监督管理部门可以对赞助或自带食品进行检验。</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第六十二条 重大活动期间，如遇重要宾客提出特殊食品需求的，重大活动主（承）办单位、重大活动食品及餐饮服务提供者应向市场监督管理部门提出书面申请，经审核通过后方可供应。</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特需食品的管理参照赞助、自带食品进行。</w:t>
      </w:r>
    </w:p>
    <w:p>
      <w:pPr>
        <w:spacing w:line="580" w:lineRule="exact"/>
        <w:jc w:val="center"/>
        <w:rPr>
          <w:rFonts w:hint="eastAsia" w:ascii="方正仿宋_GBK" w:eastAsia="方正仿宋_GBK"/>
          <w:color w:val="auto"/>
          <w:sz w:val="32"/>
          <w:szCs w:val="32"/>
        </w:rPr>
      </w:pPr>
      <w:r>
        <w:rPr>
          <w:rFonts w:hint="eastAsia" w:ascii="方正仿宋_GBK" w:eastAsia="方正仿宋_GBK"/>
          <w:b/>
          <w:bCs/>
          <w:color w:val="auto"/>
          <w:sz w:val="32"/>
          <w:szCs w:val="32"/>
        </w:rPr>
        <w:t>第四节 快速检测及抽样检测</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第六十三条 市场监督管理部门可根据食谱及供餐方案，对供应的食品、食品原料、加工过程关键控制环节进行食品安全现场快速检测。检测时应填写</w:t>
      </w:r>
      <w:r>
        <w:rPr>
          <w:rFonts w:hint="eastAsia" w:ascii="方正仿宋_GBK" w:eastAsia="方正仿宋_GBK"/>
          <w:color w:val="auto"/>
          <w:sz w:val="32"/>
          <w:szCs w:val="32"/>
        </w:rPr>
        <w:t>《重大活动现场快速检测情况登记表》。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第六十四条 现场快速检测过程中检出可疑阳性样品的，应当立即采取控制措施，停止使用并</w:t>
      </w:r>
      <w:r>
        <w:rPr>
          <w:rFonts w:hint="eastAsia" w:ascii="方正仿宋_GBK" w:eastAsia="方正仿宋_GBK"/>
          <w:color w:val="auto"/>
          <w:sz w:val="32"/>
          <w:szCs w:val="32"/>
        </w:rPr>
        <w:t>通报综合执法部门予以</w:t>
      </w:r>
      <w:r>
        <w:rPr>
          <w:rFonts w:hint="eastAsia" w:ascii="方正仿宋_GBK" w:eastAsia="方正仿宋_GBK"/>
          <w:color w:val="auto"/>
          <w:sz w:val="32"/>
          <w:szCs w:val="32"/>
        </w:rPr>
        <w:t>封存。</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第六十五条 为进一步确保重大活动期间食品安全，市场监督管理部门认为确有必要对重大活动期间食品及食品原材料进行实验室检测的，可以进行抽样检测。</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第六十六条 市场监督管理部门在开展重大活动抽样检测工作时，应提前对重大活动食品及餐饮服务提供者用于重大活动的食品及食品原材料进行抽样，并确保能够在重大活动举办前得出检测结论，及时停用并</w:t>
      </w:r>
      <w:r>
        <w:rPr>
          <w:rFonts w:hint="eastAsia" w:ascii="方正仿宋_GBK" w:eastAsia="方正仿宋_GBK"/>
          <w:color w:val="auto"/>
          <w:sz w:val="32"/>
          <w:szCs w:val="32"/>
        </w:rPr>
        <w:t>通报综合执法部门</w:t>
      </w:r>
      <w:r>
        <w:rPr>
          <w:rFonts w:hint="eastAsia" w:ascii="方正仿宋_GBK" w:eastAsia="方正仿宋_GBK"/>
          <w:color w:val="auto"/>
          <w:sz w:val="32"/>
          <w:szCs w:val="32"/>
        </w:rPr>
        <w:t>封存不合格产品。</w:t>
      </w:r>
    </w:p>
    <w:p>
      <w:pPr>
        <w:spacing w:line="580" w:lineRule="exact"/>
        <w:jc w:val="center"/>
        <w:rPr>
          <w:rFonts w:hint="eastAsia" w:ascii="方正黑体_GBK" w:eastAsia="方正黑体_GBK"/>
          <w:color w:val="auto"/>
          <w:sz w:val="32"/>
          <w:szCs w:val="32"/>
        </w:rPr>
      </w:pPr>
      <w:r>
        <w:rPr>
          <w:rFonts w:hint="eastAsia" w:ascii="方正黑体_GBK" w:eastAsia="方正黑体_GBK"/>
          <w:color w:val="auto"/>
          <w:sz w:val="32"/>
          <w:szCs w:val="32"/>
        </w:rPr>
        <w:t>第六章 突发事故处置</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w:t>
      </w:r>
      <w:r>
        <w:rPr>
          <w:rFonts w:hint="eastAsia" w:ascii="方正仿宋_GBK" w:eastAsia="方正仿宋_GBK"/>
          <w:color w:val="auto"/>
          <w:sz w:val="32"/>
          <w:szCs w:val="32"/>
        </w:rPr>
        <w:t>第六十七条 活动期间，重大活动主（承）办单位、重大活动食品及餐饮服务提供者、市场监督管理部门发现存在或可能存在群体性腹泻、呕吐等疑似</w:t>
      </w:r>
      <w:r>
        <w:rPr>
          <w:rFonts w:hint="eastAsia" w:ascii="方正仿宋_GBK" w:eastAsia="方正仿宋_GBK"/>
          <w:color w:val="auto"/>
          <w:sz w:val="32"/>
          <w:szCs w:val="32"/>
        </w:rPr>
        <w:t>食物中毒症状的，应当立即向卫生健康行政部门报告，并积极配合做好患者的救治工作，及时安排好其他人员就餐。</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第六十八条 市场监督管理部门接到或发现疑似食物中毒情况后，应当</w:t>
      </w:r>
      <w:r>
        <w:rPr>
          <w:rFonts w:hint="eastAsia" w:ascii="方正仿宋_GBK" w:eastAsia="方正仿宋_GBK"/>
          <w:color w:val="auto"/>
          <w:sz w:val="32"/>
          <w:szCs w:val="32"/>
        </w:rPr>
        <w:t>通报综合执法部门</w:t>
      </w:r>
      <w:r>
        <w:rPr>
          <w:rFonts w:hint="eastAsia" w:ascii="方正仿宋_GBK" w:eastAsia="方正仿宋_GBK"/>
          <w:color w:val="auto"/>
          <w:sz w:val="32"/>
          <w:szCs w:val="32"/>
        </w:rPr>
        <w:t>立即封存可能导致事故发生的食品及其原料、工具及用具、设备设施和现场，协助、配合有关部门开展食品安全突发事故调查。</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第六十九条 市场监督管理部门接到突发事故报告后，经调查核定属于食品安全事故的，应按照职责权限启动相应级别的食品安全事故应急预案，按照《中华人民共和国食品安全法》的相关规定进行处置，并通报有关部门。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第七十条 市场监督管理部门应将食品安全事故调查、处置等相关信息记入重大活动食品及餐饮服务提供者食品安全信用档案。</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第七十一条 重大活动期间可能出现台风、暴雨等极端气候现象的，市场监督管理部门应当建议重大活动主（承）办单位更改重大活动举办日期或取消活动。</w:t>
      </w:r>
    </w:p>
    <w:p>
      <w:pPr>
        <w:spacing w:line="580" w:lineRule="exact"/>
        <w:rPr>
          <w:rFonts w:hint="eastAsia" w:ascii="方正仿宋_GBK" w:eastAsia="方正仿宋_GBK"/>
          <w:color w:val="auto"/>
          <w:sz w:val="32"/>
          <w:szCs w:val="32"/>
        </w:rPr>
      </w:pPr>
      <w:r>
        <w:rPr>
          <w:rFonts w:hint="eastAsia" w:ascii="方正仿宋_GBK" w:eastAsia="方正仿宋_GBK"/>
          <w:color w:val="auto"/>
          <w:sz w:val="32"/>
          <w:szCs w:val="32"/>
        </w:rPr>
        <w:t>　　重大活动期间发生极端气候情况时，重大活动食品及餐饮服务提供者应当进一步做好设备设施运转、场所卫生控制、从业人员健康检查、食品及食品原材料查验等工作，确保重大活动期间食品安全。</w:t>
      </w:r>
    </w:p>
    <w:p>
      <w:pPr>
        <w:spacing w:line="580" w:lineRule="exact"/>
        <w:jc w:val="center"/>
        <w:rPr>
          <w:rFonts w:hint="eastAsia" w:ascii="方正黑体_GBK" w:eastAsia="方正黑体_GBK"/>
          <w:color w:val="auto"/>
          <w:sz w:val="32"/>
          <w:szCs w:val="32"/>
        </w:rPr>
      </w:pPr>
      <w:r>
        <w:rPr>
          <w:rFonts w:hint="eastAsia" w:ascii="方正黑体_GBK" w:eastAsia="方正黑体_GBK"/>
          <w:color w:val="auto"/>
          <w:sz w:val="32"/>
          <w:szCs w:val="32"/>
        </w:rPr>
        <w:t>第七章　附　　则</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leftChars="0" w:right="0" w:firstLine="620" w:firstLineChars="196"/>
        <w:jc w:val="both"/>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color w:val="auto"/>
          <w:sz w:val="32"/>
          <w:szCs w:val="32"/>
        </w:rPr>
        <w:t xml:space="preserve">第七十一条 </w:t>
      </w:r>
      <w:r>
        <w:rPr>
          <w:rFonts w:hint="eastAsia" w:ascii="方正仿宋_GBK" w:eastAsia="方正仿宋_GBK" w:hAnsiTheme="minorHAnsi" w:cstheme="minorBidi"/>
          <w:color w:val="auto"/>
          <w:kern w:val="2"/>
          <w:sz w:val="32"/>
          <w:szCs w:val="32"/>
          <w:lang w:val="en-US" w:eastAsia="zh-CN" w:bidi="ar-SA"/>
        </w:rPr>
        <w:t>自20XX年X月X日起施行，有效期X年。</w:t>
      </w:r>
    </w:p>
    <w:p>
      <w:pPr>
        <w:spacing w:line="580" w:lineRule="exact"/>
        <w:ind w:firstLine="645"/>
        <w:rPr>
          <w:rFonts w:hint="eastAsia" w:ascii="方正仿宋_GBK" w:eastAsia="方正仿宋_GBK" w:hAnsiTheme="minorHAnsi" w:cstheme="minorBidi"/>
          <w:color w:val="auto"/>
          <w:kern w:val="2"/>
          <w:sz w:val="32"/>
          <w:szCs w:val="32"/>
          <w:lang w:val="en-US" w:eastAsia="zh-CN" w:bidi="ar-SA"/>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80" w:lineRule="exact"/>
        <w:jc w:val="both"/>
        <w:rPr>
          <w:rFonts w:hint="eastAsia" w:ascii="方正黑体_GBK" w:eastAsia="方正黑体_GBK"/>
          <w:color w:val="auto"/>
          <w:sz w:val="32"/>
          <w:szCs w:val="32"/>
          <w:lang w:eastAsia="zh-CN"/>
        </w:rPr>
      </w:pPr>
      <w:r>
        <w:rPr>
          <w:rFonts w:hint="eastAsia" w:ascii="方正黑体_GBK" w:eastAsia="方正黑体_GBK"/>
          <w:color w:val="auto"/>
          <w:sz w:val="32"/>
          <w:szCs w:val="32"/>
          <w:lang w:eastAsia="zh-CN"/>
        </w:rPr>
        <w:t>附录</w:t>
      </w:r>
    </w:p>
    <w:p>
      <w:pPr>
        <w:spacing w:line="56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海南省重大活动食品安全监督保障标准规程</w:t>
      </w:r>
    </w:p>
    <w:p>
      <w:pPr>
        <w:spacing w:line="560" w:lineRule="exact"/>
        <w:jc w:val="center"/>
        <w:rPr>
          <w:rFonts w:hint="eastAsia" w:ascii="方正小标宋_GBK" w:eastAsia="方正小标宋_GBK"/>
          <w:color w:val="auto"/>
          <w:sz w:val="44"/>
          <w:szCs w:val="44"/>
        </w:rPr>
      </w:pPr>
    </w:p>
    <w:p>
      <w:pPr>
        <w:spacing w:line="560" w:lineRule="exact"/>
        <w:ind w:firstLine="708" w:firstLineChars="224"/>
        <w:rPr>
          <w:rFonts w:ascii="黑体" w:hAnsi="黑体" w:eastAsia="黑体"/>
          <w:color w:val="auto"/>
          <w:sz w:val="32"/>
          <w:szCs w:val="32"/>
        </w:rPr>
      </w:pPr>
      <w:r>
        <w:rPr>
          <w:rFonts w:hint="eastAsia" w:ascii="黑体" w:hAnsi="黑体" w:eastAsia="黑体"/>
          <w:color w:val="auto"/>
          <w:sz w:val="32"/>
          <w:szCs w:val="32"/>
        </w:rPr>
        <w:t>1.保障前期准备工作</w:t>
      </w:r>
    </w:p>
    <w:p>
      <w:pPr>
        <w:tabs>
          <w:tab w:val="left" w:pos="790"/>
          <w:tab w:val="left" w:pos="1264"/>
        </w:tabs>
        <w:overflowPunct w:val="0"/>
        <w:adjustRightInd w:val="0"/>
        <w:snapToGrid w:val="0"/>
        <w:spacing w:line="560" w:lineRule="exact"/>
        <w:ind w:firstLine="624"/>
        <w:rPr>
          <w:rFonts w:ascii="楷体_GB2312" w:hAnsi="宋体" w:eastAsia="楷体_GB2312"/>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.1　任务登记</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主办单位或承办单位应当在重大活动确定后7个工作日内向市场监督管理部门通报重大活动相关信息，主要包括：</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（1）活动名称、时间、地点、人数、食宿安排；</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（2）主办单位、承办单位名称、联系人、联系方式；</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（3）食品供应商、餐饮接待单位名称、地址、联系人、联系方式；</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（4）重要宴会、赞助食品等信息。</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市场监管部门在向主办单位、承办单位、餐饮单位了解确认上述信息后，进行书面登记。</w:t>
      </w:r>
    </w:p>
    <w:p>
      <w:pPr>
        <w:tabs>
          <w:tab w:val="left" w:pos="790"/>
          <w:tab w:val="left" w:pos="1264"/>
        </w:tabs>
        <w:overflowPunct w:val="0"/>
        <w:adjustRightInd w:val="0"/>
        <w:snapToGrid w:val="0"/>
        <w:spacing w:line="560" w:lineRule="exact"/>
        <w:ind w:firstLine="624"/>
        <w:rPr>
          <w:rFonts w:ascii="楷体_GB2312" w:hAnsi="宋体" w:eastAsia="楷体_GB2312"/>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.2　制定工作方案</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市场监管部门应根据主办方提出的重大活动保障要求制定工作方案，方案包括工作任务、工作目标、监督保障级别、职责分工、工作要求、人员安排和经费预算等内容。</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根据重大活动规模和特点，必要时还需制定其他相关工作子方案。如单独制定食品原料管理方案、食源性兴奋剂检测方案；涉及农产品种养殖环节、食品生产、食品经营、进口食品、餐饮服务等多环节的，还需要制定相关环节分方案。</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必要时，市场监管部门组织专家对各项方案科学性和可操作性进行咨询评估。</w:t>
      </w:r>
    </w:p>
    <w:p>
      <w:pPr>
        <w:tabs>
          <w:tab w:val="left" w:pos="790"/>
          <w:tab w:val="left" w:pos="1264"/>
        </w:tabs>
        <w:overflowPunct w:val="0"/>
        <w:adjustRightInd w:val="0"/>
        <w:snapToGrid w:val="0"/>
        <w:spacing w:line="560" w:lineRule="exact"/>
        <w:ind w:firstLine="624"/>
        <w:rPr>
          <w:rFonts w:ascii="楷体_GB2312" w:hAnsi="宋体" w:eastAsia="楷体_GB2312"/>
          <w:color w:val="auto"/>
          <w:szCs w:val="30"/>
        </w:rPr>
      </w:pPr>
      <w:r>
        <w:rPr>
          <w:rFonts w:ascii="楷体_GB2312" w:hAnsi="宋体" w:eastAsia="楷体_GB2312"/>
          <w:color w:val="auto"/>
          <w:sz w:val="32"/>
          <w:szCs w:val="32"/>
        </w:rPr>
        <w:t>1</w:t>
      </w:r>
      <w:r>
        <w:rPr>
          <w:rFonts w:hint="eastAsia" w:ascii="楷体_GB2312" w:hAnsi="宋体" w:eastAsia="楷体_GB2312"/>
          <w:color w:val="auto"/>
          <w:sz w:val="32"/>
          <w:szCs w:val="32"/>
        </w:rPr>
        <w:t>.3　建立组织体系</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市场监管部门可根据重大活动规模大小，成立指挥协调、现场保障、应急处置、检验检测等工作组，并配备足够的工作人员。</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对级别高、规模大、持续长的综合性重大活动，市场监管部门应在主办方组委会组织架构中设立食品安全保障部门；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省、市县两级市场</w:t>
      </w:r>
      <w:r>
        <w:rPr>
          <w:rFonts w:hint="eastAsia" w:ascii="方正仿宋_GBK" w:hAnsi="宋体" w:eastAsia="方正仿宋_GBK"/>
          <w:color w:val="auto"/>
          <w:sz w:val="32"/>
          <w:szCs w:val="32"/>
        </w:rPr>
        <w:t>监管部门参加的食品安全保障工作，由省市场监管部门统一协调和组织指挥，共同开展食品安全保障工作。</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跨省市或跨区域的重大活动，市场监管部门还应建立省际或区域之间的联动协作机制，共同构建食品安全保障网络。</w:t>
      </w:r>
    </w:p>
    <w:p>
      <w:pPr>
        <w:tabs>
          <w:tab w:val="left" w:pos="790"/>
          <w:tab w:val="left" w:pos="1264"/>
        </w:tabs>
        <w:overflowPunct w:val="0"/>
        <w:adjustRightInd w:val="0"/>
        <w:snapToGrid w:val="0"/>
        <w:spacing w:line="560" w:lineRule="exact"/>
        <w:ind w:firstLine="624"/>
        <w:rPr>
          <w:rFonts w:ascii="楷体_GB2312" w:hAnsi="宋体" w:eastAsia="楷体_GB2312"/>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.4　食谱审查</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市场监管部门审查食谱重点要审查食品原料是否安全，食品加工工艺、食品加工时间和加工温度等是否与加工条件相适应，是否确保可以杀死或破坏食品中有毒有害物质，保证食品安全。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食谱制定和审查遵循以下原则：</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（1）与加工场所条件相适应原则。食谱菜肴品种、数量应与加工场所、加工条件相适应，并符合相应的安全要求；</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（2）便于控制原则。食谱菜肴应便于规模制作、便于充分加热、便于控制时间；</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（3）规避高风险原则。不宜选用以下食品：①四季豆等豆荚类品种；②非人工种植的食用菌；③操作复杂的改刀熟食；④水分和蛋白质含量高的冷加工糕点和豆制品；⑤非现拌色拉；⑥生食海产品；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（4）尊重特殊原则。告知餐饮服务提供者尊重民族和宗教饮食习惯，以及个人特殊饮食。</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禁止使用下列食品、食品添加剂和食品相关产品：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（1）法律法规禁止生产经营的食品、食品添加剂和食品相关产品；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（2）检验检测不合格的食品和生活饮用水；</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（3）在审核食谱时认定不适宜提供的食品。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1</w:t>
      </w:r>
      <w:r>
        <w:rPr>
          <w:rFonts w:hint="eastAsia" w:ascii="方正仿宋_GBK" w:hAnsi="宋体" w:eastAsia="方正仿宋_GBK"/>
          <w:color w:val="auto"/>
          <w:sz w:val="32"/>
          <w:szCs w:val="32"/>
        </w:rPr>
        <w:t>.5　开展检查评估</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.5.1资料</w:t>
      </w:r>
      <w:r>
        <w:rPr>
          <w:rFonts w:hint="eastAsia" w:ascii="楷体_GB2312" w:hAnsi="宋体" w:eastAsia="楷体_GB2312" w:cs="Times New Roman"/>
          <w:color w:val="auto"/>
          <w:sz w:val="32"/>
          <w:szCs w:val="30"/>
        </w:rPr>
        <w:t>审查</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市场监管部门根据实际需要，对餐饮单位或食品原料供应商重点审查以下资料：</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（1）许可经营业态、经营范围、供餐数量等资质情况；</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（2）食品安全管理组织、管理人员、管理制度设立情况；</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（3）食品从业人员健康证明及健康状况等；</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（4）其他食品安全相关资料。</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.5.2　现场检</w:t>
      </w:r>
      <w:r>
        <w:rPr>
          <w:rFonts w:hint="eastAsia" w:ascii="楷体_GB2312" w:hAnsi="宋体" w:eastAsia="楷体_GB2312" w:cs="Times New Roman"/>
          <w:color w:val="auto"/>
          <w:sz w:val="32"/>
          <w:szCs w:val="30"/>
        </w:rPr>
        <w:t>查</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市场监管部门对餐饮单位或食品原料供应商生产加工现场重点检查以下内容：</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val="en-US" w:eastAsia="zh-CN"/>
        </w:rPr>
        <w:t>1</w:t>
      </w:r>
      <w:r>
        <w:rPr>
          <w:rFonts w:hint="eastAsia" w:ascii="方正仿宋_GBK" w:hAnsi="宋体" w:eastAsia="方正仿宋_GBK"/>
          <w:color w:val="auto"/>
          <w:sz w:val="32"/>
          <w:szCs w:val="32"/>
        </w:rPr>
        <w:t>）食品生产经营场所布局是否合理、是否发生改变，相关设备设施是否正常运行等情况；</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val="en-US" w:eastAsia="zh-CN"/>
        </w:rPr>
        <w:t>2</w:t>
      </w:r>
      <w:r>
        <w:rPr>
          <w:rFonts w:hint="eastAsia" w:ascii="方正仿宋_GBK" w:hAnsi="宋体" w:eastAsia="方正仿宋_GBK"/>
          <w:color w:val="auto"/>
          <w:sz w:val="32"/>
          <w:szCs w:val="32"/>
        </w:rPr>
        <w:t>）食品生产加工制作过程是否符合食品安全要求；</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val="en-US" w:eastAsia="zh-CN"/>
        </w:rPr>
        <w:t>3</w:t>
      </w:r>
      <w:r>
        <w:rPr>
          <w:rFonts w:hint="eastAsia" w:ascii="方正仿宋_GBK" w:hAnsi="宋体" w:eastAsia="方正仿宋_GBK"/>
          <w:color w:val="auto"/>
          <w:sz w:val="32"/>
          <w:szCs w:val="32"/>
        </w:rPr>
        <w:t>）加工场所条件、设施设备数量、从业人员安排与食品生产加工数量、食品加工工艺、供餐方式、用餐人数、以及其他特殊要求是否相适应，是否有足够的生产或接待能力；</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val="en-US" w:eastAsia="zh-CN"/>
        </w:rPr>
        <w:t>4</w:t>
      </w:r>
      <w:r>
        <w:rPr>
          <w:rFonts w:hint="eastAsia" w:ascii="方正仿宋_GBK" w:hAnsi="宋体" w:eastAsia="方正仿宋_GBK"/>
          <w:color w:val="auto"/>
          <w:sz w:val="32"/>
          <w:szCs w:val="32"/>
        </w:rPr>
        <w:t>）其他需要现场检查的内容。</w:t>
      </w:r>
    </w:p>
    <w:p>
      <w:pPr>
        <w:tabs>
          <w:tab w:val="left" w:pos="790"/>
          <w:tab w:val="left" w:pos="1264"/>
        </w:tabs>
        <w:overflowPunct w:val="0"/>
        <w:adjustRightInd w:val="0"/>
        <w:snapToGrid w:val="0"/>
        <w:spacing w:line="560" w:lineRule="exact"/>
        <w:ind w:firstLine="624"/>
        <w:rPr>
          <w:rFonts w:ascii="楷体_GB2312" w:hAnsi="宋体" w:eastAsia="楷体_GB2312"/>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.5.3　原料审查</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市场监管部门对拟采购使用的食品原料重点审查：</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（1）食品原料供应商资质，食品原料索证索票情况，食品原料可追溯到源头；</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（2）食品包装、标签标识是否符合要求；</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（3）能提供同批次有效检验（检疫）合格证明；</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对于餐饮单位原料供应安全不能确保安全和可追溯的，应重新调整供应商或提出推荐供应商。</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.5.4　食品抽样检</w:t>
      </w:r>
      <w:r>
        <w:rPr>
          <w:rFonts w:hint="eastAsia" w:ascii="楷体_GB2312" w:hAnsi="宋体" w:eastAsia="楷体_GB2312" w:cs="Times New Roman"/>
          <w:color w:val="auto"/>
          <w:sz w:val="32"/>
          <w:szCs w:val="30"/>
        </w:rPr>
        <w:t>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（1）食品安全指标检测。对食品及原料、食品工</w:t>
      </w:r>
      <w:r>
        <w:rPr>
          <w:rFonts w:hint="eastAsia" w:ascii="方正仿宋_GBK" w:hAnsi="宋体" w:eastAsia="方正仿宋_GBK"/>
          <w:color w:val="auto"/>
          <w:sz w:val="32"/>
          <w:szCs w:val="32"/>
          <w:lang w:eastAsia="zh-CN"/>
        </w:rPr>
        <w:t>具</w:t>
      </w:r>
      <w:r>
        <w:rPr>
          <w:rFonts w:hint="eastAsia" w:ascii="方正仿宋_GBK" w:hAnsi="宋体" w:eastAsia="方正仿宋_GBK"/>
          <w:color w:val="auto"/>
          <w:sz w:val="32"/>
          <w:szCs w:val="32"/>
        </w:rPr>
        <w:t>用具、餐饮具、容器等样品抽样检测食品安全指标，用于评价食品生产单位、餐饮单位食品安全现状和食品安全制度执行情况；</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（2）食源性兴奋剂项目检测：在重大体育赛事食品安全保障中，根据组委会要求对供运动员食用的食品及原料抽样检测食源性兴奋剂项目。</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.5.5　撰写检查评估</w:t>
      </w:r>
      <w:r>
        <w:rPr>
          <w:rFonts w:hint="eastAsia" w:ascii="楷体_GB2312" w:hAnsi="宋体" w:eastAsia="楷体_GB2312" w:cs="Times New Roman"/>
          <w:color w:val="auto"/>
          <w:sz w:val="32"/>
          <w:szCs w:val="30"/>
        </w:rPr>
        <w:t>报告</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检查评估工作结束后，市场监管部门应撰写重大活动食品安全监督评估报告，写出评估结论，提出整改意见和建议，告知主办单位、承办单位和有关食品生产经营单位，并监督整改落实。</w:t>
      </w:r>
    </w:p>
    <w:p>
      <w:pPr>
        <w:tabs>
          <w:tab w:val="left" w:pos="790"/>
          <w:tab w:val="left" w:pos="1264"/>
        </w:tabs>
        <w:overflowPunct w:val="0"/>
        <w:adjustRightInd w:val="0"/>
        <w:snapToGrid w:val="0"/>
        <w:spacing w:line="560" w:lineRule="exact"/>
        <w:ind w:firstLine="624"/>
        <w:rPr>
          <w:rFonts w:ascii="楷体_GB2312" w:hAnsi="宋体" w:eastAsia="楷体_GB2312"/>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.6　实施告知承诺</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市场监管部门应告知重大活动餐饮单位食品安全要求和注意事项，要求餐饮服务单位签订食品安全承诺书，并督促其做好供餐准备工作。</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在一些重大活动中，市场监管部门还可向代表团或人员发放食品安全须知，告知外出就餐和饮食注意事项。</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.7　组织培训演</w:t>
      </w:r>
      <w:r>
        <w:rPr>
          <w:rFonts w:hint="eastAsia" w:ascii="楷体_GB2312" w:hAnsi="宋体" w:eastAsia="楷体_GB2312" w:cs="Times New Roman"/>
          <w:color w:val="auto"/>
          <w:sz w:val="32"/>
          <w:szCs w:val="30"/>
        </w:rPr>
        <w:t>练</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应组织监督保障人员、食品生产经营单位相关人员开展针对性的重大活动食品安全监督保障工作培训；根据需要，组织开展模拟演练，检验保障工作方案、保障措施、应急处置等科学性和可操作性，及时发现问题，完善相关方案和措施。</w:t>
      </w:r>
    </w:p>
    <w:p>
      <w:pPr>
        <w:tabs>
          <w:tab w:val="left" w:pos="790"/>
          <w:tab w:val="left" w:pos="1264"/>
        </w:tabs>
        <w:overflowPunct w:val="0"/>
        <w:adjustRightInd w:val="0"/>
        <w:snapToGrid w:val="0"/>
        <w:spacing w:line="560" w:lineRule="exact"/>
        <w:ind w:firstLine="624"/>
        <w:rPr>
          <w:rFonts w:ascii="楷体_GB2312" w:hAnsi="宋体" w:eastAsia="楷体_GB2312"/>
          <w:color w:val="auto"/>
          <w:sz w:val="32"/>
          <w:szCs w:val="32"/>
        </w:rPr>
      </w:pPr>
      <w:r>
        <w:rPr>
          <w:rFonts w:ascii="楷体_GB2312" w:hAnsi="宋体" w:eastAsia="楷体_GB2312"/>
          <w:color w:val="auto"/>
          <w:sz w:val="32"/>
          <w:szCs w:val="32"/>
        </w:rPr>
        <w:t>1</w:t>
      </w:r>
      <w:r>
        <w:rPr>
          <w:rFonts w:hint="eastAsia" w:ascii="楷体_GB2312" w:hAnsi="宋体" w:eastAsia="楷体_GB2312"/>
          <w:color w:val="auto"/>
          <w:sz w:val="32"/>
          <w:szCs w:val="32"/>
        </w:rPr>
        <w:t>.8　落实工作条件</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市场监管部门应协调主办单位或承办单位落实保障工作场所、现场保障人员的住宿和用餐、现场检测工作场所、人员和车辆通行证件等条件；</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市场监管部门应提前落实食品快速检测设备和试剂耗材、监督车辆、通讯等后勤保障工作。</w:t>
      </w:r>
    </w:p>
    <w:p>
      <w:pPr>
        <w:tabs>
          <w:tab w:val="left" w:pos="790"/>
          <w:tab w:val="left" w:pos="1264"/>
        </w:tabs>
        <w:overflowPunct w:val="0"/>
        <w:adjustRightInd w:val="0"/>
        <w:snapToGrid w:val="0"/>
        <w:spacing w:line="560" w:lineRule="exact"/>
        <w:ind w:firstLine="624"/>
        <w:rPr>
          <w:rFonts w:ascii="黑体" w:hAnsi="黑体" w:eastAsia="黑体"/>
          <w:color w:val="auto"/>
          <w:sz w:val="32"/>
          <w:szCs w:val="32"/>
        </w:rPr>
      </w:pPr>
      <w:r>
        <w:rPr>
          <w:rFonts w:ascii="黑体" w:hAnsi="黑体" w:eastAsia="黑体"/>
          <w:color w:val="auto"/>
          <w:sz w:val="32"/>
          <w:szCs w:val="32"/>
        </w:rPr>
        <w:t>2</w:t>
      </w:r>
      <w:r>
        <w:rPr>
          <w:rFonts w:hint="eastAsia" w:ascii="黑体" w:hAnsi="黑体" w:eastAsia="黑体"/>
          <w:color w:val="auto"/>
          <w:sz w:val="32"/>
          <w:szCs w:val="32"/>
        </w:rPr>
        <w:t>.　保障组织实施工作</w:t>
      </w:r>
    </w:p>
    <w:p>
      <w:pPr>
        <w:tabs>
          <w:tab w:val="left" w:pos="790"/>
          <w:tab w:val="left" w:pos="1264"/>
        </w:tabs>
        <w:overflowPunct w:val="0"/>
        <w:adjustRightInd w:val="0"/>
        <w:snapToGrid w:val="0"/>
        <w:spacing w:line="560" w:lineRule="exact"/>
        <w:ind w:firstLine="624"/>
        <w:rPr>
          <w:rFonts w:ascii="楷体_GB2312" w:hAnsi="宋体" w:eastAsia="楷体_GB2312" w:cs="Times New Roman"/>
          <w:color w:val="auto"/>
          <w:sz w:val="32"/>
          <w:szCs w:val="30"/>
        </w:rPr>
      </w:pPr>
      <w:r>
        <w:rPr>
          <w:rFonts w:hint="eastAsia" w:ascii="楷体_GB2312" w:hAnsi="宋体" w:eastAsia="楷体_GB2312"/>
          <w:color w:val="auto"/>
          <w:sz w:val="32"/>
          <w:szCs w:val="32"/>
        </w:rPr>
        <w:t>2.1　派员</w:t>
      </w:r>
      <w:r>
        <w:rPr>
          <w:rFonts w:hint="eastAsia" w:ascii="楷体_GB2312" w:hAnsi="宋体" w:eastAsia="楷体_GB2312" w:cs="Times New Roman"/>
          <w:color w:val="auto"/>
          <w:sz w:val="32"/>
          <w:szCs w:val="30"/>
        </w:rPr>
        <w:t>进驻</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承担重大活动食品安全保障人员应带好监督保障相关文书，保障工作登记表格、</w:t>
      </w:r>
      <w:r>
        <w:rPr>
          <w:rFonts w:hint="eastAsia" w:ascii="方正仿宋_GBK" w:hAnsi="宋体" w:eastAsia="方正仿宋_GBK"/>
          <w:color w:val="auto"/>
          <w:sz w:val="32"/>
          <w:szCs w:val="32"/>
        </w:rPr>
        <w:t>采样工</w:t>
      </w:r>
      <w:r>
        <w:rPr>
          <w:rFonts w:hint="eastAsia" w:ascii="方正仿宋_GBK" w:hAnsi="宋体" w:eastAsia="方正仿宋_GBK"/>
          <w:color w:val="auto"/>
          <w:sz w:val="32"/>
          <w:szCs w:val="32"/>
          <w:lang w:eastAsia="zh-CN"/>
        </w:rPr>
        <w:t>具</w:t>
      </w:r>
      <w:r>
        <w:rPr>
          <w:rFonts w:hint="eastAsia" w:ascii="方正仿宋_GBK" w:hAnsi="宋体" w:eastAsia="方正仿宋_GBK"/>
          <w:color w:val="auto"/>
          <w:sz w:val="32"/>
          <w:szCs w:val="32"/>
        </w:rPr>
        <w:t>用具、快速检测仪器设备及执法记录仪器设备等，提前进驻重大</w:t>
      </w:r>
      <w:r>
        <w:rPr>
          <w:rFonts w:hint="eastAsia" w:ascii="方正仿宋_GBK" w:hAnsi="宋体" w:eastAsia="方正仿宋_GBK"/>
          <w:color w:val="auto"/>
          <w:sz w:val="32"/>
          <w:szCs w:val="32"/>
        </w:rPr>
        <w:t>活动现场。</w:t>
      </w:r>
    </w:p>
    <w:p>
      <w:pPr>
        <w:tabs>
          <w:tab w:val="left" w:pos="790"/>
          <w:tab w:val="left" w:pos="1264"/>
        </w:tabs>
        <w:overflowPunct w:val="0"/>
        <w:adjustRightInd w:val="0"/>
        <w:snapToGrid w:val="0"/>
        <w:spacing w:line="560" w:lineRule="exact"/>
        <w:ind w:firstLine="624"/>
        <w:rPr>
          <w:rFonts w:ascii="楷体_GB2312" w:hAnsi="宋体" w:eastAsia="楷体_GB2312" w:cs="Times New Roman"/>
          <w:color w:val="auto"/>
          <w:sz w:val="32"/>
          <w:szCs w:val="30"/>
        </w:rPr>
      </w:pPr>
      <w:r>
        <w:rPr>
          <w:rFonts w:hint="eastAsia" w:ascii="楷体_GB2312" w:hAnsi="宋体" w:eastAsia="楷体_GB2312"/>
          <w:color w:val="auto"/>
          <w:sz w:val="32"/>
          <w:szCs w:val="32"/>
        </w:rPr>
        <w:t>2.2　实施过</w:t>
      </w:r>
      <w:r>
        <w:rPr>
          <w:rFonts w:hint="eastAsia" w:ascii="楷体_GB2312" w:hAnsi="宋体" w:eastAsia="楷体_GB2312" w:cs="Times New Roman"/>
          <w:color w:val="auto"/>
          <w:sz w:val="32"/>
          <w:szCs w:val="30"/>
        </w:rPr>
        <w:t>程监督</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过程监督是指市场监管部门对承担重大活动食品供应单位的食品生产加工供应过程进行的现场监督。重点是监督企业严格保障前期确定的食品原料、供餐食谱、供餐方式、生产加工场所、生产加工工艺、加工操作过程、从业人员卫生等方面要求和方案进行食品生产加工供应，对不符合要求的，立即提出整改，确保供应的食品安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2.2.1检查食品原料安全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（1）监督餐饮单位对库存食品原料进行清理核查，检查拟使用的原料是否属于保障前期检查评估合格的原料。每批次食品原料应按要求提供索证索票资料；</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（2）对食品原料开展食品安全快速检测，应做好检测记录；</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（3）督促餐饮单位在原料收货时查验和记录易腐食品运输、收货温度，对不符合温度要求的食品，应按要求废弃或确认未变质后方可使用；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（4）监督餐饮单位将重大活动供餐的食品原料进行单独存放，标记明显标识，与其他原料进行区分。必要时对原料和食品添加剂进行“双人双锁”管理，防止人为破坏。</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2.2.2检查粗加工及切配过程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（1）待加工食品是否有腐败变质迹象或其他感官性状异常；</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（2）水产品、禽肉类与植物性食物是否分池清洗，禽蛋在使用前是否对外壳进行清洗，必要时做消毒处理；</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（3）食品存放是否规范，易腐食品是否及时冷藏存放，盛装食品的容器是否直接着地存放。</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2.2.3　检查烹饪加工过程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（1）是否按审核的食品品种、工艺、数量、时间节点加工食品；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（2）加工的食品是否烧熟煮透，用中心温度计测量或检查动物性食品内部是否有血水；加工时食品中心温度是否达到70℃；</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（3）加工操作过程是否存在生熟混放；加工好的成品是否与半成品和原料分开存放；需冷藏的熟制品是否采取冷藏措施；</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（4）个人卫生是否符合卫生规范；</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（5）是否存在其他不符合加工操作规范的行为。</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2.2.4　检查凉菜加工过程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（1）是否提前做好专间空气消毒（紫外线灯消毒30分钟以上），室温是否在25℃以下；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（2）专间内是否配备消毒液，消毒液浓度是否符合要求，是否定期更换；</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（3）专间是否存在未经清洗处理的蔬菜、水果等食品原料或其他不洁物品；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（4）待加工食品是否有腐败变质迹象或其他感官性状异常；</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（5）加工操作前是否对加工用具、台面、人员手部进行严格的清洗与消毒，合格后方可进行操作，否则责令其重新清洗消毒；</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（6）凉菜自加工完毕到食用是否控制在2小时内；凉菜是否当餐制作，不得隔餐使用；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（7）凉菜是否叠盆摆放，先前加工的要用保鲜膜或密闭容器存放；</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（8）加工人员是否穿戴清洁的工作衣帽和佩戴口罩，并宜佩戴一次性手套；</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（9）是否存在其他不符合加工操作规范的行为。</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2.2.5检查现榨果蔬汁制作过程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（1）检查制作现榨果蔬汁的设备、工</w:t>
      </w:r>
      <w:r>
        <w:rPr>
          <w:rFonts w:hint="eastAsia" w:ascii="方正仿宋_GBK" w:hAnsi="宋体" w:eastAsia="方正仿宋_GBK"/>
          <w:color w:val="auto"/>
          <w:sz w:val="32"/>
          <w:szCs w:val="32"/>
          <w:lang w:eastAsia="zh-CN"/>
        </w:rPr>
        <w:t>具</w:t>
      </w:r>
      <w:r>
        <w:rPr>
          <w:rFonts w:hint="eastAsia" w:ascii="方正仿宋_GBK" w:hAnsi="宋体" w:eastAsia="方正仿宋_GBK"/>
          <w:color w:val="auto"/>
          <w:sz w:val="32"/>
          <w:szCs w:val="32"/>
        </w:rPr>
        <w:t>用具应专用，每餐次使用前是否消毒；食用冰和净水设施是否符合要求；</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（2）用于制作现榨果蔬汁的原料是否经清洗、消毒、净水冲洗处理；</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（3）现榨果蔬汁应在制作后是否控制在2小时内食用；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（4）加工人员是否穿戴清洁的工作衣帽和佩戴口罩，并宜佩戴一次性手套。</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2.2.6　检查即食果蔬加工过程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（1）蔬果是否剔除腐烂、病、虫、异常、畸形、被污染的不合格蔬果；</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（2）蔬果经清洗和消毒后，应在专间内进行脱水、分拣和预包装；</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（3）操作人员进入专间前要更换洁净的工作衣帽，洗手和消毒，戴口罩，操作中适时消毒双手；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即食果蔬应采用经实验验证符合食品消毒要求的消毒制剂和方法；如采用含氯消毒剂宜用二次消毒法，一次消毒液有效氯浓度一般为100—150mg/L，二次消毒液的有效氯浓度一般控制在50mg/L左右，并根据产品特点确定消毒时间；消毒后宜用净水冲净和滤干。</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2.2.7　检查点心加工过程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（1）食品原辅料是否有腐败变质迹象或其他感官性状异常；</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（2）需热加工的点心是否按要求进行热加工处理；</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（3）未用完的点心馅料、半成品点心，是否冷藏并在规定期限内使用；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（4）奶油类原料是否低温存放，水分含量较高的含奶、蛋的点心</w:t>
      </w:r>
      <w:r>
        <w:rPr>
          <w:rFonts w:hint="eastAsia" w:ascii="方正仿宋_GBK" w:hAnsi="宋体" w:eastAsia="方正仿宋_GBK"/>
          <w:color w:val="auto"/>
          <w:sz w:val="32"/>
          <w:szCs w:val="32"/>
        </w:rPr>
        <w:t>应在10℃以下</w:t>
      </w:r>
      <w:r>
        <w:rPr>
          <w:rFonts w:hint="eastAsia" w:ascii="方正仿宋_GBK" w:hAnsi="宋体" w:eastAsia="方正仿宋_GBK"/>
          <w:color w:val="auto"/>
          <w:sz w:val="32"/>
          <w:szCs w:val="32"/>
        </w:rPr>
        <w:t>或60℃以上的温度条件下贮存；</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（5）加工人员是否穿戴清洁的工作衣帽和佩戴口罩，并宜佩戴一次性手套。</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2.2.8　检查备餐供餐过程</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（1）监督备餐人员操作前清洗、消毒手部；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（2）检查待供应食品，是否有异物或感官性状异常；</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（3）菜肴分派造型整理的用具、菜肴装饰的原料是否经过消毒；</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（4）待供菜肴成品加工至食用不超过2小时，热链盒饭不超过3小时；</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（5）待供菜肴成品中心温度冷藏低</w:t>
      </w:r>
      <w:r>
        <w:rPr>
          <w:rFonts w:hint="eastAsia" w:ascii="方正仿宋_GBK" w:hAnsi="宋体" w:eastAsia="方正仿宋_GBK"/>
          <w:color w:val="auto"/>
          <w:sz w:val="32"/>
          <w:szCs w:val="32"/>
        </w:rPr>
        <w:t>于10℃</w:t>
      </w:r>
      <w:r>
        <w:rPr>
          <w:rFonts w:hint="eastAsia" w:ascii="方正仿宋_GBK" w:hAnsi="宋体" w:eastAsia="方正仿宋_GBK"/>
          <w:color w:val="auto"/>
          <w:sz w:val="32"/>
          <w:szCs w:val="32"/>
        </w:rPr>
        <w:t>，热藏高于60℃。</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2.2.9　检查餐用具清洗消毒和保洁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（1）检查消毒设施、设备是否处于良好状态；采用化学消毒的测量有效消毒浓度是否符合要求；</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（2）餐饮具、工具、容器清洗消毒快速检测合格。不合格的，要重新清洗消毒；</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（3）餐用具洗涤剂、消毒剂符合要求，属于餐用具专用产品；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（4）生熟食品工具、容器是否分开存放，严禁混用；</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（5）餐用具使用后是否及时洗净，定位存放，保持清洁。</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2.2.10　检查从业人员健康和个人卫生</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（1）督促餐饮单位做好从业人员健康晨检，杜绝患有腹痛、腹泻、呕吐、发热、皮肤伤口或感染、咽部炎症等病症的人员上岗操作；</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（2）从业人员依照规定穿戴工作衣帽、口罩和一次性手套；</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（3）督促专间从业人员在操作前和操作中定时清洗消毒手部，手部接触不洁物品后应重新清洗消毒。</w:t>
      </w:r>
    </w:p>
    <w:p>
      <w:pPr>
        <w:tabs>
          <w:tab w:val="left" w:pos="790"/>
          <w:tab w:val="left" w:pos="1264"/>
        </w:tabs>
        <w:overflowPunct w:val="0"/>
        <w:adjustRightInd w:val="0"/>
        <w:snapToGrid w:val="0"/>
        <w:spacing w:line="56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2.2.11　检查食品留样</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（1）检查留样容器是否洁净和密闭；</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（2）查看留样食品品种是否齐全，必要时督促餐饮服务单位留取食品原料、热加工菜肴汤汁；</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（3）检查留样冰箱是否处于冷藏状态；</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（4）检查每个品种留样量是否达到125克，标识是否齐全；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（5）留样时间是否在48小时以上。供运动员的食品，因防控食源性兴奋剂特殊需要的，根据要求延长时间。</w:t>
      </w:r>
    </w:p>
    <w:p>
      <w:pPr>
        <w:tabs>
          <w:tab w:val="left" w:pos="790"/>
          <w:tab w:val="left" w:pos="1264"/>
        </w:tabs>
        <w:overflowPunct w:val="0"/>
        <w:adjustRightInd w:val="0"/>
        <w:snapToGrid w:val="0"/>
        <w:spacing w:line="580" w:lineRule="exact"/>
        <w:ind w:firstLine="624"/>
        <w:rPr>
          <w:rFonts w:ascii="楷体_GB2312" w:hAnsi="宋体" w:eastAsia="楷体_GB2312"/>
          <w:color w:val="auto"/>
          <w:sz w:val="32"/>
          <w:szCs w:val="32"/>
        </w:rPr>
      </w:pPr>
      <w:r>
        <w:rPr>
          <w:rFonts w:ascii="楷体_GB2312" w:hAnsi="宋体" w:eastAsia="楷体_GB2312"/>
          <w:color w:val="auto"/>
          <w:sz w:val="32"/>
          <w:szCs w:val="32"/>
        </w:rPr>
        <w:t>2</w:t>
      </w:r>
      <w:r>
        <w:rPr>
          <w:rFonts w:hint="eastAsia" w:ascii="楷体_GB2312" w:hAnsi="宋体" w:eastAsia="楷体_GB2312"/>
          <w:color w:val="auto"/>
          <w:sz w:val="32"/>
          <w:szCs w:val="32"/>
        </w:rPr>
        <w:t>.3　问题食品处理</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2</w:t>
      </w:r>
      <w:r>
        <w:rPr>
          <w:rFonts w:hint="eastAsia" w:ascii="方正仿宋_GBK" w:hAnsi="宋体" w:eastAsia="方正仿宋_GBK"/>
          <w:color w:val="auto"/>
          <w:sz w:val="32"/>
          <w:szCs w:val="32"/>
        </w:rPr>
        <w:t>.3.1　设置不安全食品和待处理食品独立存放区域或专用设施，并有醒目标识；</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2</w:t>
      </w:r>
      <w:r>
        <w:rPr>
          <w:rFonts w:hint="eastAsia" w:ascii="方正仿宋_GBK" w:hAnsi="宋体" w:eastAsia="方正仿宋_GBK"/>
          <w:color w:val="auto"/>
          <w:sz w:val="32"/>
          <w:szCs w:val="32"/>
        </w:rPr>
        <w:t>.3.2　发生货证不相符、索证索票不全、食品运输贮存温度不符合、食品包装和标签不符合要求、快速检测结果阳性，以及其他不能确定食品安全性的食品，应立即停止使用，存放至待处理区或设施中，并对事件进行调查；</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2</w:t>
      </w:r>
      <w:r>
        <w:rPr>
          <w:rFonts w:hint="eastAsia" w:ascii="方正仿宋_GBK" w:hAnsi="宋体" w:eastAsia="方正仿宋_GBK"/>
          <w:color w:val="auto"/>
          <w:sz w:val="32"/>
          <w:szCs w:val="32"/>
        </w:rPr>
        <w:t>.3.3　餐饮接待单位应做好不安全食品和待处理食品记录，记录内容包括不安全食品和待处理食品应记录食品来源、品名、数量、原因、处理结果等内容。</w:t>
      </w:r>
    </w:p>
    <w:p>
      <w:pPr>
        <w:tabs>
          <w:tab w:val="left" w:pos="790"/>
          <w:tab w:val="left" w:pos="1264"/>
        </w:tabs>
        <w:overflowPunct w:val="0"/>
        <w:adjustRightInd w:val="0"/>
        <w:snapToGrid w:val="0"/>
        <w:spacing w:line="580" w:lineRule="exact"/>
        <w:ind w:firstLine="624"/>
        <w:rPr>
          <w:rFonts w:ascii="楷体_GB2312" w:hAnsi="宋体" w:eastAsia="楷体_GB2312"/>
          <w:color w:val="auto"/>
          <w:sz w:val="32"/>
          <w:szCs w:val="32"/>
        </w:rPr>
      </w:pPr>
      <w:r>
        <w:rPr>
          <w:rFonts w:ascii="楷体_GB2312" w:hAnsi="宋体" w:eastAsia="楷体_GB2312"/>
          <w:color w:val="auto"/>
          <w:sz w:val="32"/>
          <w:szCs w:val="32"/>
        </w:rPr>
        <w:t>2</w:t>
      </w:r>
      <w:r>
        <w:rPr>
          <w:rFonts w:hint="eastAsia" w:ascii="楷体_GB2312" w:hAnsi="宋体" w:eastAsia="楷体_GB2312"/>
          <w:color w:val="auto"/>
          <w:sz w:val="32"/>
          <w:szCs w:val="32"/>
        </w:rPr>
        <w:t>.4　应急处置</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市场监管部门应做好应急处置预案，及时妥善分析判断出现的应急事件，并针对性采取控制措施。</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2</w:t>
      </w:r>
      <w:r>
        <w:rPr>
          <w:rFonts w:hint="eastAsia" w:ascii="方正仿宋_GBK" w:hAnsi="宋体" w:eastAsia="方正仿宋_GBK"/>
          <w:color w:val="auto"/>
          <w:sz w:val="32"/>
          <w:szCs w:val="32"/>
        </w:rPr>
        <w:t>.4.1　保障中一旦发生与事先知晓内容不符合的情况，如供餐单位擅自改变菜谱、供餐方式或供餐时间等，保障人员应责令供餐单位立即停止供餐，并向上级报告；如因实际情况确需变更供餐方案，需经重新审核符合要求后方可恢复供餐；</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2</w:t>
      </w:r>
      <w:r>
        <w:rPr>
          <w:rFonts w:hint="eastAsia" w:ascii="方正仿宋_GBK" w:hAnsi="宋体" w:eastAsia="方正仿宋_GBK"/>
          <w:color w:val="auto"/>
          <w:sz w:val="32"/>
          <w:szCs w:val="32"/>
        </w:rPr>
        <w:t>.4.2　保障中一旦发现食品或食品原料不符合食品安全要求，如快检结果呈阳性，保障人员应责令供餐单位立即停止使用，并向上级报告；</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2</w:t>
      </w:r>
      <w:r>
        <w:rPr>
          <w:rFonts w:hint="eastAsia" w:ascii="方正仿宋_GBK" w:hAnsi="宋体" w:eastAsia="方正仿宋_GBK"/>
          <w:color w:val="auto"/>
          <w:sz w:val="32"/>
          <w:szCs w:val="32"/>
        </w:rPr>
        <w:t>.4.3　发生食物中毒或疑似食物中毒时，主办单位、餐饮单位、驻点保障人员应当依法依规向有关部门报告，市场监管部门应当立即通报综合执法部门封存可能导致食品安全事故的食品及原料、工具及用具、设施设备和现场。协助、配合有关部门开展食品安全事故调查。</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楷体_GB2312" w:hAnsi="宋体" w:eastAsia="楷体_GB2312"/>
          <w:color w:val="auto"/>
          <w:sz w:val="32"/>
          <w:szCs w:val="32"/>
        </w:rPr>
        <w:t>2</w:t>
      </w:r>
      <w:r>
        <w:rPr>
          <w:rFonts w:hint="eastAsia" w:ascii="楷体_GB2312" w:hAnsi="宋体" w:eastAsia="楷体_GB2312"/>
          <w:color w:val="auto"/>
          <w:sz w:val="32"/>
          <w:szCs w:val="32"/>
        </w:rPr>
        <w:t>.5　记录管</w:t>
      </w:r>
      <w:r>
        <w:rPr>
          <w:rFonts w:hint="eastAsia" w:ascii="楷体_GB2312" w:hAnsi="宋体" w:eastAsia="楷体_GB2312" w:cs="Times New Roman"/>
          <w:color w:val="auto"/>
          <w:sz w:val="32"/>
          <w:szCs w:val="30"/>
        </w:rPr>
        <w:t>理</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对重大活动食品安全保障工作情况要进行记录，包括现场检查笔录、食谱审查记录、检验检测记录、培训会议记录、告知承诺书、监督意见书、应急处置记录等，重大活动结束后应整理归档。涉及保密的还应按相关规定，做好保密工作。</w:t>
      </w:r>
    </w:p>
    <w:p>
      <w:pPr>
        <w:tabs>
          <w:tab w:val="left" w:pos="790"/>
          <w:tab w:val="left" w:pos="1264"/>
        </w:tabs>
        <w:overflowPunct w:val="0"/>
        <w:adjustRightInd w:val="0"/>
        <w:snapToGrid w:val="0"/>
        <w:spacing w:line="580" w:lineRule="exact"/>
        <w:ind w:firstLine="624"/>
        <w:rPr>
          <w:rFonts w:ascii="楷体_GB2312" w:hAnsi="宋体" w:eastAsia="楷体_GB2312"/>
          <w:color w:val="auto"/>
          <w:sz w:val="32"/>
          <w:szCs w:val="32"/>
        </w:rPr>
      </w:pPr>
      <w:r>
        <w:rPr>
          <w:rFonts w:ascii="楷体_GB2312" w:hAnsi="宋体" w:eastAsia="楷体_GB2312"/>
          <w:color w:val="auto"/>
          <w:sz w:val="32"/>
          <w:szCs w:val="32"/>
        </w:rPr>
        <w:t>2</w:t>
      </w:r>
      <w:r>
        <w:rPr>
          <w:rFonts w:hint="eastAsia" w:ascii="楷体_GB2312" w:hAnsi="宋体" w:eastAsia="楷体_GB2312"/>
          <w:color w:val="auto"/>
          <w:sz w:val="32"/>
          <w:szCs w:val="32"/>
        </w:rPr>
        <w:t>.6　信息汇总</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在实施阶段，重大活动食品安全保障信息收集和汇总工作尤其重要。要严格落实信息报送责任制，按照规定时间上报。信息汇总内容包括各监督保障点工作动态、食品检测情况、应急事件处置进展情况、其他重要事件信息，并按规定要求上报主管部门和主办单位。</w:t>
      </w:r>
    </w:p>
    <w:p>
      <w:pPr>
        <w:tabs>
          <w:tab w:val="left" w:pos="790"/>
          <w:tab w:val="left" w:pos="1264"/>
        </w:tabs>
        <w:overflowPunct w:val="0"/>
        <w:adjustRightInd w:val="0"/>
        <w:snapToGrid w:val="0"/>
        <w:spacing w:line="580" w:lineRule="exact"/>
        <w:ind w:firstLine="624"/>
        <w:rPr>
          <w:rFonts w:ascii="黑体" w:hAnsi="黑体" w:eastAsia="黑体"/>
          <w:color w:val="auto"/>
          <w:sz w:val="32"/>
          <w:szCs w:val="32"/>
        </w:rPr>
      </w:pPr>
      <w:r>
        <w:rPr>
          <w:rFonts w:ascii="黑体" w:hAnsi="黑体" w:eastAsia="黑体"/>
          <w:color w:val="auto"/>
          <w:sz w:val="32"/>
          <w:szCs w:val="32"/>
        </w:rPr>
        <w:t>3</w:t>
      </w:r>
      <w:r>
        <w:rPr>
          <w:rFonts w:hint="eastAsia" w:ascii="黑体" w:hAnsi="黑体" w:eastAsia="黑体"/>
          <w:color w:val="auto"/>
          <w:sz w:val="32"/>
          <w:szCs w:val="32"/>
        </w:rPr>
        <w:t>.　保障总结评估工作</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应做好重大活动食品安全保障工作总结，内容包括目标任务完成情况、监管措施有效性和科学性、工作成效及经验教训等，为今后工作积累有价值的经验，并将工作总结、评估报告上级主管部门和重大活动主办单位。</w:t>
      </w:r>
    </w:p>
    <w:p>
      <w:pPr>
        <w:tabs>
          <w:tab w:val="left" w:pos="790"/>
          <w:tab w:val="left" w:pos="1264"/>
        </w:tabs>
        <w:overflowPunct w:val="0"/>
        <w:adjustRightInd w:val="0"/>
        <w:snapToGrid w:val="0"/>
        <w:spacing w:line="580" w:lineRule="exact"/>
        <w:ind w:firstLine="624"/>
        <w:rPr>
          <w:rFonts w:ascii="黑体" w:hAnsi="黑体" w:eastAsia="黑体"/>
          <w:color w:val="auto"/>
          <w:sz w:val="32"/>
          <w:szCs w:val="32"/>
        </w:rPr>
      </w:pPr>
      <w:r>
        <w:rPr>
          <w:rFonts w:ascii="黑体" w:hAnsi="黑体" w:eastAsia="黑体"/>
          <w:color w:val="auto"/>
          <w:sz w:val="32"/>
          <w:szCs w:val="32"/>
        </w:rPr>
        <w:t>4</w:t>
      </w:r>
      <w:r>
        <w:rPr>
          <w:rFonts w:hint="eastAsia" w:ascii="黑体" w:hAnsi="黑体" w:eastAsia="黑体"/>
          <w:color w:val="auto"/>
          <w:sz w:val="32"/>
          <w:szCs w:val="32"/>
        </w:rPr>
        <w:t>.　重大活动食品安全保障工作资料性附录</w:t>
      </w:r>
    </w:p>
    <w:p>
      <w:pPr>
        <w:tabs>
          <w:tab w:val="left" w:pos="790"/>
          <w:tab w:val="left" w:pos="1264"/>
        </w:tabs>
        <w:overflowPunct w:val="0"/>
        <w:adjustRightInd w:val="0"/>
        <w:snapToGrid w:val="0"/>
        <w:spacing w:line="580" w:lineRule="exact"/>
        <w:ind w:firstLine="624"/>
        <w:rPr>
          <w:rFonts w:ascii="楷体_GB2312" w:hAnsi="宋体" w:eastAsia="楷体_GB2312" w:cs="Times New Roman"/>
          <w:color w:val="auto"/>
          <w:sz w:val="32"/>
          <w:szCs w:val="30"/>
        </w:rPr>
      </w:pPr>
      <w:r>
        <w:rPr>
          <w:rFonts w:ascii="楷体_GB2312" w:hAnsi="宋体" w:eastAsia="楷体_GB2312"/>
          <w:color w:val="auto"/>
          <w:sz w:val="32"/>
          <w:szCs w:val="32"/>
        </w:rPr>
        <w:t>4</w:t>
      </w:r>
      <w:r>
        <w:rPr>
          <w:rFonts w:hint="eastAsia" w:ascii="楷体_GB2312" w:hAnsi="宋体" w:eastAsia="楷体_GB2312"/>
          <w:color w:val="auto"/>
          <w:sz w:val="32"/>
          <w:szCs w:val="32"/>
        </w:rPr>
        <w:t>.1　重大活动食</w:t>
      </w:r>
      <w:r>
        <w:rPr>
          <w:rFonts w:hint="eastAsia" w:ascii="楷体_GB2312" w:hAnsi="宋体" w:eastAsia="楷体_GB2312" w:cs="Times New Roman"/>
          <w:color w:val="auto"/>
          <w:sz w:val="32"/>
          <w:szCs w:val="30"/>
        </w:rPr>
        <w:t>品安全保障工作记录表单</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hint="eastAsia" w:ascii="方正仿宋_GBK" w:hAnsi="宋体" w:eastAsia="方正仿宋_GBK"/>
          <w:color w:val="auto"/>
          <w:sz w:val="32"/>
          <w:szCs w:val="32"/>
        </w:rPr>
        <w:t>市场监管部门可以根据重大活动食品安全保障工作需要，按照下列工作记录表单样张记录，实施重大活动保障全过程记录制度。</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.1.1　重大活动食品安全保障任务登记表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.1.2　重大活动食品安全监督评估报告</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.1.3　重大活动接待单位食品安全承诺书</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.1.4　重大活动食品安全保障人员岗位职责安排</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.1.5　重大活动食品从业人员健康证及培训审查表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.1.6　重大活动食谱及加工流程表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.1.7　重大活动食品原料索证与快速检测记录表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.1.8　重大活动食品安全现场监督检查表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.1.9　重大活动餐用具和人员手部消毒效果检查表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.1.10　重大活动外送食品及食品原料运输验收记录单</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.1.11　重大活动食品安全保障应急处理记录表</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r>
        <w:rPr>
          <w:rFonts w:ascii="方正仿宋_GBK" w:hAnsi="宋体" w:eastAsia="方正仿宋_GBK"/>
          <w:color w:val="auto"/>
          <w:sz w:val="32"/>
          <w:szCs w:val="32"/>
        </w:rPr>
        <w:t>4</w:t>
      </w:r>
      <w:r>
        <w:rPr>
          <w:rFonts w:hint="eastAsia" w:ascii="方正仿宋_GBK" w:hAnsi="宋体" w:eastAsia="方正仿宋_GBK"/>
          <w:color w:val="auto"/>
          <w:sz w:val="32"/>
          <w:szCs w:val="32"/>
        </w:rPr>
        <w:t>.1.12　重大活动食品安全保障工作动态汇总表</w:t>
      </w:r>
    </w:p>
    <w:p>
      <w:pPr>
        <w:spacing w:line="560" w:lineRule="exact"/>
        <w:ind w:left="0" w:leftChars="0" w:firstLine="620" w:firstLineChars="196"/>
        <w:jc w:val="both"/>
        <w:rPr>
          <w:rFonts w:hint="eastAsia" w:ascii="楷体_GB2312" w:hAnsi="宋体" w:eastAsia="楷体_GB2312"/>
          <w:color w:val="auto"/>
          <w:sz w:val="32"/>
          <w:szCs w:val="32"/>
        </w:rPr>
      </w:pPr>
      <w:r>
        <w:rPr>
          <w:rFonts w:hint="eastAsia" w:ascii="方正仿宋_GBK" w:hAnsi="宋体" w:eastAsia="方正仿宋_GBK"/>
          <w:color w:val="auto"/>
          <w:sz w:val="32"/>
          <w:szCs w:val="32"/>
          <w:lang w:val="en-US" w:eastAsia="zh-CN"/>
        </w:rPr>
        <w:t>4.2</w:t>
      </w: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olor w:val="auto"/>
          <w:sz w:val="32"/>
          <w:szCs w:val="32"/>
          <w:lang w:val="en-GB"/>
        </w:rPr>
        <w:t>重大活动保障常用快速检测项目和判定标准</w:t>
      </w:r>
    </w:p>
    <w:p>
      <w:pPr>
        <w:spacing w:line="560" w:lineRule="exact"/>
        <w:ind w:left="0" w:leftChars="0" w:firstLine="620" w:firstLineChars="196"/>
        <w:jc w:val="both"/>
        <w:rPr>
          <w:rFonts w:hint="eastAsia" w:ascii="方正仿宋_GBK" w:hAnsi="宋体" w:eastAsia="方正仿宋_GBK"/>
          <w:color w:val="auto"/>
          <w:sz w:val="32"/>
          <w:szCs w:val="32"/>
          <w:lang w:val="en-GB"/>
        </w:rPr>
      </w:pPr>
      <w:r>
        <w:rPr>
          <w:rFonts w:hint="eastAsia" w:ascii="方正仿宋_GBK" w:hAnsi="宋体" w:eastAsia="方正仿宋_GBK"/>
          <w:color w:val="auto"/>
          <w:sz w:val="32"/>
          <w:szCs w:val="32"/>
          <w:lang w:val="en-US" w:eastAsia="zh-CN"/>
        </w:rPr>
        <w:t xml:space="preserve">4.3.  </w:t>
      </w:r>
      <w:r>
        <w:rPr>
          <w:rFonts w:hint="eastAsia" w:ascii="方正仿宋_GBK" w:hAnsi="宋体" w:eastAsia="方正仿宋_GBK"/>
          <w:color w:val="auto"/>
          <w:sz w:val="32"/>
          <w:szCs w:val="32"/>
          <w:lang w:val="en-GB"/>
        </w:rPr>
        <w:t>重大活动餐饮服务禁用、慎用食品类别（品种）清单</w:t>
      </w: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p>
    <w:p>
      <w:pPr>
        <w:tabs>
          <w:tab w:val="left" w:pos="790"/>
          <w:tab w:val="left" w:pos="1264"/>
        </w:tabs>
        <w:overflowPunct w:val="0"/>
        <w:adjustRightInd w:val="0"/>
        <w:snapToGrid w:val="0"/>
        <w:spacing w:line="580" w:lineRule="exact"/>
        <w:ind w:firstLine="624"/>
        <w:rPr>
          <w:rFonts w:ascii="方正仿宋_GBK" w:hAnsi="宋体" w:eastAsia="方正仿宋_GBK"/>
          <w:color w:val="auto"/>
          <w:sz w:val="32"/>
          <w:szCs w:val="32"/>
        </w:rPr>
      </w:pPr>
    </w:p>
    <w:p>
      <w:pPr>
        <w:tabs>
          <w:tab w:val="left" w:pos="790"/>
          <w:tab w:val="left" w:pos="1264"/>
        </w:tabs>
        <w:overflowPunct w:val="0"/>
        <w:adjustRightInd w:val="0"/>
        <w:snapToGrid w:val="0"/>
        <w:jc w:val="center"/>
        <w:rPr>
          <w:rFonts w:ascii="方正小标宋简体" w:hAnsi="仿宋" w:eastAsia="方正小标宋简体" w:cs="仿宋"/>
          <w:color w:val="auto"/>
          <w:sz w:val="36"/>
          <w:szCs w:val="36"/>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w:t>
      </w:r>
      <w:r>
        <w:rPr>
          <w:rFonts w:hint="eastAsia" w:ascii="方正小标宋简体" w:hAnsi="仿宋" w:eastAsia="方正小标宋简体" w:cs="仿宋"/>
          <w:color w:val="auto"/>
          <w:kern w:val="0"/>
          <w:sz w:val="36"/>
          <w:szCs w:val="36"/>
        </w:rPr>
        <w:t>1</w:t>
      </w:r>
      <w:r>
        <w:rPr>
          <w:rFonts w:hint="eastAsia" w:ascii="方正小标宋简体" w:hAnsi="仿宋" w:eastAsia="方正小标宋简体" w:cs="仿宋"/>
          <w:color w:val="auto"/>
          <w:kern w:val="0"/>
          <w:sz w:val="36"/>
          <w:szCs w:val="36"/>
          <w:lang w:val="en-GB"/>
        </w:rPr>
        <w:t>　重大活动食品安全保障任务登记表</w:t>
      </w:r>
    </w:p>
    <w:p>
      <w:pPr>
        <w:widowControl/>
        <w:adjustRightInd w:val="0"/>
        <w:snapToGrid w:val="0"/>
        <w:spacing w:line="336" w:lineRule="auto"/>
        <w:rPr>
          <w:rFonts w:hAnsi="仿宋" w:cs="仿宋"/>
          <w:color w:val="auto"/>
          <w:kern w:val="0"/>
          <w:sz w:val="28"/>
          <w:szCs w:val="28"/>
        </w:rPr>
      </w:pPr>
    </w:p>
    <w:p>
      <w:pPr>
        <w:widowControl/>
        <w:adjustRightInd w:val="0"/>
        <w:snapToGrid w:val="0"/>
        <w:spacing w:line="336" w:lineRule="auto"/>
        <w:rPr>
          <w:rFonts w:hAnsi="仿宋" w:cs="仿宋"/>
          <w:color w:val="auto"/>
          <w:kern w:val="0"/>
          <w:sz w:val="28"/>
          <w:szCs w:val="28"/>
        </w:rPr>
      </w:pPr>
      <w:r>
        <w:rPr>
          <w:rFonts w:hint="eastAsia" w:hAnsi="仿宋" w:cs="仿宋"/>
          <w:color w:val="auto"/>
          <w:kern w:val="0"/>
          <w:sz w:val="28"/>
          <w:szCs w:val="28"/>
        </w:rPr>
        <w:t>一、重大活动名称：</w:t>
      </w:r>
      <w:r>
        <w:rPr>
          <w:rFonts w:hint="eastAsia" w:hAnsi="仿宋" w:cs="仿宋"/>
          <w:color w:val="auto"/>
          <w:kern w:val="0"/>
          <w:sz w:val="28"/>
          <w:szCs w:val="28"/>
          <w:u w:val="single"/>
        </w:rPr>
        <w:t>　　　　　　　　　　　　　　　　　　　　　　　</w:t>
      </w:r>
    </w:p>
    <w:p>
      <w:pPr>
        <w:widowControl/>
        <w:adjustRightInd w:val="0"/>
        <w:snapToGrid w:val="0"/>
        <w:spacing w:line="336" w:lineRule="auto"/>
        <w:rPr>
          <w:rFonts w:hAnsi="仿宋" w:cs="仿宋"/>
          <w:color w:val="auto"/>
          <w:kern w:val="0"/>
          <w:sz w:val="28"/>
          <w:szCs w:val="28"/>
        </w:rPr>
      </w:pPr>
      <w:r>
        <w:rPr>
          <w:rFonts w:hint="eastAsia" w:hAnsi="仿宋" w:cs="仿宋"/>
          <w:color w:val="auto"/>
          <w:kern w:val="0"/>
          <w:sz w:val="28"/>
          <w:szCs w:val="28"/>
        </w:rPr>
        <w:t>二、举办时间：</w:t>
      </w:r>
      <w:r>
        <w:rPr>
          <w:rFonts w:hint="eastAsia" w:hAnsi="仿宋" w:cs="仿宋"/>
          <w:color w:val="auto"/>
          <w:kern w:val="0"/>
          <w:sz w:val="28"/>
          <w:szCs w:val="28"/>
          <w:u w:val="single"/>
        </w:rPr>
        <w:t>　　　　</w:t>
      </w:r>
      <w:r>
        <w:rPr>
          <w:rFonts w:hint="eastAsia" w:hAnsi="仿宋" w:cs="仿宋"/>
          <w:color w:val="auto"/>
          <w:kern w:val="0"/>
          <w:sz w:val="28"/>
          <w:szCs w:val="28"/>
        </w:rPr>
        <w:t>年</w:t>
      </w:r>
      <w:r>
        <w:rPr>
          <w:rFonts w:hint="eastAsia" w:hAnsi="仿宋" w:cs="仿宋"/>
          <w:color w:val="auto"/>
          <w:kern w:val="0"/>
          <w:sz w:val="28"/>
          <w:szCs w:val="28"/>
          <w:u w:val="single"/>
        </w:rPr>
        <w:t>　　</w:t>
      </w:r>
      <w:r>
        <w:rPr>
          <w:rFonts w:hint="eastAsia" w:hAnsi="仿宋" w:cs="仿宋"/>
          <w:color w:val="auto"/>
          <w:kern w:val="0"/>
          <w:sz w:val="28"/>
          <w:szCs w:val="28"/>
        </w:rPr>
        <w:t>月</w:t>
      </w:r>
      <w:r>
        <w:rPr>
          <w:rFonts w:hint="eastAsia" w:hAnsi="仿宋" w:cs="仿宋"/>
          <w:color w:val="auto"/>
          <w:kern w:val="0"/>
          <w:sz w:val="28"/>
          <w:szCs w:val="28"/>
          <w:u w:val="single"/>
        </w:rPr>
        <w:t>　　</w:t>
      </w:r>
      <w:r>
        <w:rPr>
          <w:rFonts w:hint="eastAsia" w:hAnsi="仿宋" w:cs="仿宋"/>
          <w:color w:val="auto"/>
          <w:kern w:val="0"/>
          <w:sz w:val="28"/>
          <w:szCs w:val="28"/>
        </w:rPr>
        <w:t>日—</w:t>
      </w:r>
      <w:r>
        <w:rPr>
          <w:rFonts w:hint="eastAsia" w:hAnsi="仿宋" w:cs="仿宋"/>
          <w:color w:val="auto"/>
          <w:kern w:val="0"/>
          <w:sz w:val="28"/>
          <w:szCs w:val="28"/>
          <w:u w:val="single"/>
        </w:rPr>
        <w:t>　　　　</w:t>
      </w:r>
      <w:r>
        <w:rPr>
          <w:rFonts w:hint="eastAsia" w:hAnsi="仿宋" w:cs="仿宋"/>
          <w:color w:val="auto"/>
          <w:kern w:val="0"/>
          <w:sz w:val="28"/>
          <w:szCs w:val="28"/>
        </w:rPr>
        <w:t>年</w:t>
      </w:r>
      <w:r>
        <w:rPr>
          <w:rFonts w:hint="eastAsia" w:hAnsi="仿宋" w:cs="仿宋"/>
          <w:color w:val="auto"/>
          <w:kern w:val="0"/>
          <w:sz w:val="28"/>
          <w:szCs w:val="28"/>
          <w:u w:val="single"/>
        </w:rPr>
        <w:t>　　</w:t>
      </w:r>
      <w:r>
        <w:rPr>
          <w:rFonts w:hint="eastAsia" w:hAnsi="仿宋" w:cs="仿宋"/>
          <w:color w:val="auto"/>
          <w:kern w:val="0"/>
          <w:sz w:val="28"/>
          <w:szCs w:val="28"/>
        </w:rPr>
        <w:t>月</w:t>
      </w:r>
      <w:r>
        <w:rPr>
          <w:rFonts w:hint="eastAsia" w:hAnsi="仿宋" w:cs="仿宋"/>
          <w:color w:val="auto"/>
          <w:kern w:val="0"/>
          <w:sz w:val="28"/>
          <w:szCs w:val="28"/>
          <w:u w:val="single"/>
        </w:rPr>
        <w:t>　　</w:t>
      </w:r>
      <w:r>
        <w:rPr>
          <w:rFonts w:hint="eastAsia" w:hAnsi="仿宋" w:cs="仿宋"/>
          <w:color w:val="auto"/>
          <w:kern w:val="0"/>
          <w:sz w:val="28"/>
          <w:szCs w:val="28"/>
        </w:rPr>
        <w:t>日</w:t>
      </w:r>
    </w:p>
    <w:p>
      <w:pPr>
        <w:widowControl/>
        <w:adjustRightInd w:val="0"/>
        <w:snapToGrid w:val="0"/>
        <w:spacing w:line="336" w:lineRule="auto"/>
        <w:rPr>
          <w:rFonts w:hAnsi="仿宋" w:cs="仿宋"/>
          <w:b/>
          <w:bCs/>
          <w:color w:val="auto"/>
          <w:kern w:val="0"/>
          <w:sz w:val="28"/>
          <w:szCs w:val="28"/>
          <w:u w:val="single"/>
        </w:rPr>
      </w:pPr>
      <w:r>
        <w:rPr>
          <w:rFonts w:hint="eastAsia" w:hAnsi="仿宋" w:cs="仿宋"/>
          <w:color w:val="auto"/>
          <w:kern w:val="0"/>
          <w:sz w:val="28"/>
          <w:szCs w:val="28"/>
        </w:rPr>
        <w:t>三、举办地点：</w:t>
      </w:r>
      <w:r>
        <w:rPr>
          <w:rFonts w:hint="eastAsia" w:hAnsi="仿宋" w:cs="仿宋"/>
          <w:color w:val="auto"/>
          <w:kern w:val="0"/>
          <w:sz w:val="28"/>
          <w:szCs w:val="28"/>
          <w:u w:val="single"/>
        </w:rPr>
        <w:t>　　　　　　　　　　　　　　　　　　　　　　　　　</w:t>
      </w:r>
    </w:p>
    <w:p>
      <w:pPr>
        <w:widowControl/>
        <w:adjustRightInd w:val="0"/>
        <w:snapToGrid w:val="0"/>
        <w:spacing w:line="336" w:lineRule="auto"/>
        <w:rPr>
          <w:rFonts w:hAnsi="仿宋" w:cs="仿宋"/>
          <w:color w:val="auto"/>
          <w:kern w:val="0"/>
          <w:sz w:val="28"/>
          <w:szCs w:val="28"/>
        </w:rPr>
      </w:pPr>
      <w:r>
        <w:rPr>
          <w:rFonts w:hint="eastAsia" w:hAnsi="仿宋" w:cs="仿宋"/>
          <w:color w:val="auto"/>
          <w:kern w:val="0"/>
          <w:sz w:val="28"/>
          <w:szCs w:val="28"/>
        </w:rPr>
        <w:t>四、参加人数：</w:t>
      </w:r>
      <w:r>
        <w:rPr>
          <w:rFonts w:hint="eastAsia" w:hAnsi="仿宋" w:cs="仿宋"/>
          <w:color w:val="auto"/>
          <w:kern w:val="0"/>
          <w:sz w:val="28"/>
          <w:szCs w:val="28"/>
          <w:u w:val="single"/>
        </w:rPr>
        <w:t>　　　　　　　　　　　　　　　　　　　　　　　　　</w:t>
      </w:r>
    </w:p>
    <w:p>
      <w:pPr>
        <w:widowControl/>
        <w:adjustRightInd w:val="0"/>
        <w:snapToGrid w:val="0"/>
        <w:spacing w:line="336" w:lineRule="auto"/>
        <w:rPr>
          <w:rFonts w:hAnsi="仿宋" w:cs="仿宋"/>
          <w:color w:val="auto"/>
          <w:kern w:val="0"/>
          <w:sz w:val="28"/>
          <w:szCs w:val="28"/>
        </w:rPr>
      </w:pPr>
      <w:r>
        <w:rPr>
          <w:rFonts w:hint="eastAsia" w:hAnsi="仿宋" w:cs="仿宋"/>
          <w:color w:val="auto"/>
          <w:kern w:val="0"/>
          <w:sz w:val="28"/>
          <w:szCs w:val="28"/>
        </w:rPr>
        <w:t>五、主办单位（承办单位）：</w:t>
      </w:r>
      <w:r>
        <w:rPr>
          <w:rFonts w:hint="eastAsia" w:hAnsi="仿宋" w:cs="仿宋"/>
          <w:color w:val="auto"/>
          <w:kern w:val="0"/>
          <w:sz w:val="28"/>
          <w:szCs w:val="28"/>
          <w:u w:val="single"/>
        </w:rPr>
        <w:t>　　　　　　　　　　　　　　　　　　</w:t>
      </w:r>
      <w:r>
        <w:rPr>
          <w:rFonts w:hint="eastAsia" w:hAnsi="仿宋" w:cs="仿宋"/>
          <w:color w:val="auto"/>
          <w:kern w:val="0"/>
          <w:sz w:val="28"/>
          <w:szCs w:val="28"/>
        </w:rPr>
        <w:t>，</w:t>
      </w:r>
    </w:p>
    <w:p>
      <w:pPr>
        <w:widowControl/>
        <w:adjustRightInd w:val="0"/>
        <w:snapToGrid w:val="0"/>
        <w:spacing w:line="336" w:lineRule="auto"/>
        <w:ind w:firstLine="567"/>
        <w:rPr>
          <w:rFonts w:hAnsi="仿宋" w:cs="仿宋"/>
          <w:color w:val="auto"/>
          <w:kern w:val="0"/>
          <w:sz w:val="28"/>
          <w:szCs w:val="28"/>
        </w:rPr>
      </w:pPr>
      <w:r>
        <w:rPr>
          <w:rFonts w:hint="eastAsia" w:hAnsi="仿宋" w:cs="仿宋"/>
          <w:color w:val="auto"/>
          <w:kern w:val="0"/>
          <w:sz w:val="28"/>
          <w:szCs w:val="28"/>
        </w:rPr>
        <w:t>联 系 人：</w:t>
      </w:r>
      <w:r>
        <w:rPr>
          <w:rFonts w:hint="eastAsia" w:hAnsi="仿宋" w:cs="仿宋"/>
          <w:color w:val="auto"/>
          <w:kern w:val="0"/>
          <w:sz w:val="28"/>
          <w:szCs w:val="28"/>
          <w:u w:val="single"/>
        </w:rPr>
        <w:t>　　　　　　　　　　</w:t>
      </w:r>
    </w:p>
    <w:p>
      <w:pPr>
        <w:widowControl/>
        <w:adjustRightInd w:val="0"/>
        <w:snapToGrid w:val="0"/>
        <w:spacing w:line="336" w:lineRule="auto"/>
        <w:ind w:firstLine="567"/>
        <w:rPr>
          <w:rFonts w:hAnsi="仿宋" w:cs="仿宋"/>
          <w:color w:val="auto"/>
          <w:kern w:val="0"/>
          <w:sz w:val="28"/>
          <w:szCs w:val="28"/>
          <w:u w:val="single"/>
        </w:rPr>
      </w:pPr>
      <w:r>
        <w:rPr>
          <w:rFonts w:hint="eastAsia" w:hAnsi="仿宋" w:cs="仿宋"/>
          <w:color w:val="auto"/>
          <w:kern w:val="0"/>
          <w:sz w:val="28"/>
          <w:szCs w:val="28"/>
        </w:rPr>
        <w:t>通讯方式（电话、手机及传真）：</w:t>
      </w:r>
      <w:r>
        <w:rPr>
          <w:rFonts w:hint="eastAsia" w:hAnsi="仿宋" w:cs="仿宋"/>
          <w:color w:val="auto"/>
          <w:kern w:val="0"/>
          <w:sz w:val="28"/>
          <w:szCs w:val="28"/>
          <w:u w:val="single"/>
        </w:rPr>
        <w:t>　　　　　　　　　　　　　　　</w:t>
      </w:r>
    </w:p>
    <w:p>
      <w:pPr>
        <w:widowControl/>
        <w:adjustRightInd w:val="0"/>
        <w:snapToGrid w:val="0"/>
        <w:spacing w:line="336" w:lineRule="auto"/>
        <w:rPr>
          <w:rFonts w:hAnsi="仿宋" w:cs="仿宋"/>
          <w:color w:val="auto"/>
          <w:kern w:val="0"/>
          <w:sz w:val="28"/>
          <w:szCs w:val="28"/>
        </w:rPr>
      </w:pPr>
      <w:r>
        <w:rPr>
          <w:rFonts w:hint="eastAsia" w:hAnsi="仿宋" w:cs="仿宋"/>
          <w:color w:val="auto"/>
          <w:kern w:val="0"/>
          <w:sz w:val="28"/>
          <w:szCs w:val="28"/>
        </w:rPr>
        <w:t>六、供餐情况：</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77"/>
        <w:gridCol w:w="1418"/>
        <w:gridCol w:w="851"/>
        <w:gridCol w:w="107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供餐单位</w:t>
            </w:r>
          </w:p>
        </w:tc>
        <w:tc>
          <w:tcPr>
            <w:tcW w:w="1418"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地址</w:t>
            </w:r>
          </w:p>
        </w:tc>
        <w:tc>
          <w:tcPr>
            <w:tcW w:w="851"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联系人</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通讯方式</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供餐</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日期</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餐次/</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时间</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供餐</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方式</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供餐</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人数</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住宿</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人数</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8" w:type="dxa"/>
            <w:vAlign w:val="center"/>
          </w:tcPr>
          <w:p>
            <w:pPr>
              <w:tabs>
                <w:tab w:val="left" w:pos="790"/>
                <w:tab w:val="left" w:pos="1264"/>
              </w:tabs>
              <w:overflowPunct w:val="0"/>
              <w:adjustRightInd w:val="0"/>
              <w:snapToGrid w:val="0"/>
              <w:jc w:val="center"/>
              <w:rPr>
                <w:rFonts w:hAnsi="宋体"/>
                <w:color w:val="auto"/>
                <w:sz w:val="24"/>
                <w:szCs w:val="24"/>
              </w:rPr>
            </w:pPr>
          </w:p>
        </w:tc>
        <w:tc>
          <w:tcPr>
            <w:tcW w:w="851"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8" w:type="dxa"/>
            <w:vAlign w:val="center"/>
          </w:tcPr>
          <w:p>
            <w:pPr>
              <w:tabs>
                <w:tab w:val="left" w:pos="790"/>
                <w:tab w:val="left" w:pos="1264"/>
              </w:tabs>
              <w:overflowPunct w:val="0"/>
              <w:adjustRightInd w:val="0"/>
              <w:snapToGrid w:val="0"/>
              <w:jc w:val="center"/>
              <w:rPr>
                <w:rFonts w:hAnsi="宋体"/>
                <w:color w:val="auto"/>
                <w:sz w:val="24"/>
                <w:szCs w:val="24"/>
              </w:rPr>
            </w:pPr>
          </w:p>
        </w:tc>
        <w:tc>
          <w:tcPr>
            <w:tcW w:w="851"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8" w:type="dxa"/>
            <w:vAlign w:val="center"/>
          </w:tcPr>
          <w:p>
            <w:pPr>
              <w:tabs>
                <w:tab w:val="left" w:pos="790"/>
                <w:tab w:val="left" w:pos="1264"/>
              </w:tabs>
              <w:overflowPunct w:val="0"/>
              <w:adjustRightInd w:val="0"/>
              <w:snapToGrid w:val="0"/>
              <w:jc w:val="center"/>
              <w:rPr>
                <w:rFonts w:hAnsi="宋体"/>
                <w:color w:val="auto"/>
                <w:sz w:val="24"/>
                <w:szCs w:val="24"/>
              </w:rPr>
            </w:pPr>
          </w:p>
        </w:tc>
        <w:tc>
          <w:tcPr>
            <w:tcW w:w="851"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bl>
    <w:p>
      <w:pPr>
        <w:widowControl/>
        <w:adjustRightInd w:val="0"/>
        <w:snapToGrid w:val="0"/>
        <w:spacing w:before="120" w:line="336" w:lineRule="auto"/>
        <w:rPr>
          <w:rFonts w:hAnsi="仿宋" w:cs="仿宋"/>
          <w:color w:val="auto"/>
          <w:kern w:val="0"/>
          <w:sz w:val="28"/>
          <w:szCs w:val="28"/>
        </w:rPr>
      </w:pPr>
      <w:r>
        <w:rPr>
          <w:rFonts w:hint="eastAsia" w:hAnsi="仿宋" w:cs="仿宋"/>
          <w:color w:val="auto"/>
          <w:kern w:val="0"/>
          <w:sz w:val="28"/>
          <w:szCs w:val="28"/>
        </w:rPr>
        <w:t>七、其他情况（如自带食品，指定或赞助商食品）</w:t>
      </w:r>
    </w:p>
    <w:p>
      <w:pPr>
        <w:widowControl/>
        <w:adjustRightInd w:val="0"/>
        <w:snapToGrid w:val="0"/>
        <w:spacing w:line="336" w:lineRule="auto"/>
        <w:rPr>
          <w:rFonts w:hAnsi="仿宋" w:cs="仿宋"/>
          <w:color w:val="auto"/>
          <w:kern w:val="0"/>
          <w:sz w:val="28"/>
          <w:szCs w:val="28"/>
        </w:rPr>
      </w:pPr>
    </w:p>
    <w:p>
      <w:pPr>
        <w:widowControl/>
        <w:adjustRightInd w:val="0"/>
        <w:snapToGrid w:val="0"/>
        <w:spacing w:line="336" w:lineRule="auto"/>
        <w:rPr>
          <w:rFonts w:hAnsi="仿宋" w:cs="仿宋"/>
          <w:color w:val="auto"/>
          <w:kern w:val="0"/>
          <w:sz w:val="28"/>
          <w:szCs w:val="28"/>
        </w:rPr>
      </w:pPr>
    </w:p>
    <w:p>
      <w:pPr>
        <w:widowControl/>
        <w:adjustRightInd w:val="0"/>
        <w:snapToGrid w:val="0"/>
        <w:spacing w:line="336" w:lineRule="auto"/>
        <w:rPr>
          <w:rFonts w:hAnsi="仿宋" w:cs="仿宋"/>
          <w:color w:val="auto"/>
          <w:kern w:val="0"/>
          <w:sz w:val="28"/>
          <w:szCs w:val="28"/>
        </w:rPr>
      </w:pPr>
    </w:p>
    <w:p>
      <w:pPr>
        <w:widowControl/>
        <w:adjustRightInd w:val="0"/>
        <w:snapToGrid w:val="0"/>
        <w:spacing w:line="300" w:lineRule="exact"/>
        <w:rPr>
          <w:rFonts w:hAnsi="仿宋" w:cs="仿宋"/>
          <w:color w:val="auto"/>
          <w:kern w:val="0"/>
          <w:sz w:val="28"/>
          <w:szCs w:val="28"/>
        </w:rPr>
      </w:pPr>
    </w:p>
    <w:p>
      <w:pPr>
        <w:widowControl/>
        <w:adjustRightInd w:val="0"/>
        <w:snapToGrid w:val="0"/>
        <w:spacing w:line="336" w:lineRule="auto"/>
        <w:rPr>
          <w:rFonts w:hAnsi="仿宋" w:cs="仿宋"/>
          <w:color w:val="auto"/>
          <w:kern w:val="0"/>
          <w:sz w:val="28"/>
          <w:szCs w:val="28"/>
          <w:u w:val="single"/>
        </w:rPr>
      </w:pPr>
      <w:r>
        <w:rPr>
          <w:rFonts w:hint="eastAsia" w:hAnsi="仿宋" w:cs="仿宋"/>
          <w:color w:val="auto"/>
          <w:kern w:val="0"/>
          <w:sz w:val="28"/>
          <w:szCs w:val="28"/>
          <w:u w:val="single"/>
        </w:rPr>
        <w:t>　　　　　　　　　　　　　　　　　　记录人：　　　　　　　　　　</w:t>
      </w:r>
    </w:p>
    <w:p>
      <w:pPr>
        <w:widowControl/>
        <w:adjustRightInd w:val="0"/>
        <w:snapToGrid w:val="0"/>
        <w:spacing w:line="336" w:lineRule="auto"/>
        <w:rPr>
          <w:rFonts w:hAnsi="仿宋" w:cs="仿宋"/>
          <w:color w:val="auto"/>
          <w:kern w:val="0"/>
          <w:sz w:val="28"/>
          <w:szCs w:val="28"/>
        </w:rPr>
      </w:pPr>
      <w:r>
        <w:rPr>
          <w:rFonts w:hint="eastAsia" w:hAnsi="仿宋" w:cs="仿宋"/>
          <w:color w:val="auto"/>
          <w:kern w:val="0"/>
          <w:sz w:val="28"/>
          <w:szCs w:val="28"/>
        </w:rPr>
        <w:t>领导审批意见：</w:t>
      </w:r>
    </w:p>
    <w:p>
      <w:pPr>
        <w:widowControl/>
        <w:adjustRightInd w:val="0"/>
        <w:snapToGrid w:val="0"/>
        <w:spacing w:line="336" w:lineRule="auto"/>
        <w:rPr>
          <w:rFonts w:hAnsi="仿宋" w:cs="仿宋"/>
          <w:color w:val="auto"/>
          <w:kern w:val="0"/>
          <w:sz w:val="28"/>
          <w:szCs w:val="28"/>
        </w:rPr>
      </w:pPr>
    </w:p>
    <w:p>
      <w:pPr>
        <w:widowControl/>
        <w:adjustRightInd w:val="0"/>
        <w:snapToGrid w:val="0"/>
        <w:spacing w:line="336" w:lineRule="auto"/>
        <w:rPr>
          <w:rFonts w:hAnsi="仿宋" w:cs="仿宋"/>
          <w:color w:val="auto"/>
          <w:kern w:val="0"/>
          <w:sz w:val="28"/>
          <w:szCs w:val="28"/>
        </w:rPr>
      </w:pPr>
    </w:p>
    <w:p>
      <w:pPr>
        <w:widowControl/>
        <w:adjustRightInd w:val="0"/>
        <w:snapToGrid w:val="0"/>
        <w:spacing w:line="336" w:lineRule="auto"/>
        <w:rPr>
          <w:rFonts w:hAnsi="仿宋" w:cs="仿宋"/>
          <w:color w:val="auto"/>
          <w:kern w:val="0"/>
          <w:sz w:val="28"/>
          <w:szCs w:val="28"/>
          <w:u w:val="single"/>
        </w:rPr>
      </w:pPr>
      <w:r>
        <w:rPr>
          <w:rFonts w:hint="eastAsia" w:hAnsi="仿宋" w:cs="仿宋"/>
          <w:color w:val="auto"/>
          <w:kern w:val="0"/>
          <w:sz w:val="28"/>
          <w:szCs w:val="28"/>
          <w:u w:val="single"/>
        </w:rPr>
        <w:t>　　　　　　　　　　　　　　　　　　　　　　　　　　　　　　　　</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.1.2　重大活动食品安全监督评估报告</w:t>
      </w:r>
    </w:p>
    <w:p>
      <w:pPr>
        <w:adjustRightInd w:val="0"/>
        <w:snapToGrid w:val="0"/>
        <w:spacing w:line="312" w:lineRule="auto"/>
        <w:ind w:firstLine="567"/>
        <w:rPr>
          <w:rFonts w:hAnsi="仿宋" w:cs="仿宋"/>
          <w:color w:val="auto"/>
          <w:sz w:val="28"/>
          <w:szCs w:val="28"/>
        </w:rPr>
      </w:pPr>
    </w:p>
    <w:p>
      <w:pPr>
        <w:adjustRightInd w:val="0"/>
        <w:snapToGrid w:val="0"/>
        <w:spacing w:line="312" w:lineRule="auto"/>
        <w:rPr>
          <w:rFonts w:hAnsi="仿宋" w:cs="仿宋"/>
          <w:color w:val="auto"/>
          <w:sz w:val="28"/>
          <w:szCs w:val="28"/>
        </w:rPr>
      </w:pPr>
      <w:r>
        <w:rPr>
          <w:rFonts w:hint="eastAsia" w:hAnsi="仿宋" w:cs="仿宋"/>
          <w:color w:val="auto"/>
          <w:sz w:val="28"/>
          <w:szCs w:val="28"/>
        </w:rPr>
        <w:t xml:space="preserve">××××重大活动主办单位（承办单位）： </w:t>
      </w:r>
    </w:p>
    <w:p>
      <w:pPr>
        <w:adjustRightInd w:val="0"/>
        <w:snapToGrid w:val="0"/>
        <w:spacing w:line="312" w:lineRule="auto"/>
        <w:ind w:firstLine="567"/>
        <w:rPr>
          <w:rFonts w:hAnsi="仿宋" w:cs="仿宋"/>
          <w:color w:val="auto"/>
          <w:sz w:val="28"/>
          <w:szCs w:val="28"/>
        </w:rPr>
      </w:pPr>
      <w:r>
        <w:rPr>
          <w:rFonts w:hint="eastAsia" w:hAnsi="仿宋" w:cs="仿宋"/>
          <w:color w:val="auto"/>
          <w:sz w:val="28"/>
          <w:szCs w:val="28"/>
        </w:rPr>
        <w:t>根据××（部门）交办的××重大活动食品安全监督保障任务，我局对有关接待单位进行保障前食品安全监督检查评估，有关情况报告如下：</w:t>
      </w:r>
    </w:p>
    <w:p>
      <w:pPr>
        <w:widowControl/>
        <w:adjustRightInd w:val="0"/>
        <w:snapToGrid w:val="0"/>
        <w:spacing w:line="312" w:lineRule="auto"/>
        <w:ind w:firstLine="567"/>
        <w:rPr>
          <w:rFonts w:ascii="黑体" w:hAnsi="黑体" w:eastAsia="黑体" w:cs="仿宋"/>
          <w:color w:val="auto"/>
          <w:sz w:val="28"/>
          <w:szCs w:val="28"/>
        </w:rPr>
      </w:pPr>
      <w:r>
        <w:rPr>
          <w:rFonts w:hint="eastAsia" w:ascii="黑体" w:hAnsi="黑体" w:eastAsia="黑体" w:cs="仿宋"/>
          <w:color w:val="auto"/>
          <w:sz w:val="28"/>
          <w:szCs w:val="28"/>
        </w:rPr>
        <w:t>一、接待单位供餐资质情况</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（是否持有有效许可证，生产经营范围（方式）是否核准范围内。）</w:t>
      </w:r>
    </w:p>
    <w:p>
      <w:pPr>
        <w:widowControl/>
        <w:adjustRightInd w:val="0"/>
        <w:snapToGrid w:val="0"/>
        <w:spacing w:line="312" w:lineRule="auto"/>
        <w:ind w:firstLine="567"/>
        <w:rPr>
          <w:rFonts w:ascii="黑体" w:hAnsi="黑体" w:eastAsia="黑体" w:cs="仿宋"/>
          <w:color w:val="auto"/>
          <w:sz w:val="28"/>
          <w:szCs w:val="28"/>
        </w:rPr>
      </w:pPr>
      <w:r>
        <w:rPr>
          <w:rFonts w:hint="eastAsia" w:ascii="黑体" w:hAnsi="黑体" w:eastAsia="黑体" w:cs="仿宋"/>
          <w:color w:val="auto"/>
          <w:sz w:val="28"/>
          <w:szCs w:val="28"/>
        </w:rPr>
        <w:t>二、接待能力</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（接待单位其加工供应场所、设施设备、人员配备是否具备与承担的重大活动供餐人数、规模相适应。）</w:t>
      </w:r>
    </w:p>
    <w:p>
      <w:pPr>
        <w:widowControl/>
        <w:adjustRightInd w:val="0"/>
        <w:snapToGrid w:val="0"/>
        <w:spacing w:line="312" w:lineRule="auto"/>
        <w:ind w:firstLine="567"/>
        <w:rPr>
          <w:rFonts w:ascii="黑体" w:hAnsi="黑体" w:eastAsia="黑体" w:cs="仿宋"/>
          <w:color w:val="auto"/>
          <w:sz w:val="28"/>
          <w:szCs w:val="28"/>
        </w:rPr>
      </w:pPr>
      <w:r>
        <w:rPr>
          <w:rFonts w:hint="eastAsia" w:ascii="黑体" w:hAnsi="黑体" w:eastAsia="黑体" w:cs="仿宋"/>
          <w:color w:val="auto"/>
          <w:sz w:val="28"/>
          <w:szCs w:val="28"/>
        </w:rPr>
        <w:t>三、食品安全状况</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（现场检查及样品抽检是否符合食品安全要求和标准。）</w:t>
      </w:r>
    </w:p>
    <w:p>
      <w:pPr>
        <w:widowControl/>
        <w:adjustRightInd w:val="0"/>
        <w:snapToGrid w:val="0"/>
        <w:spacing w:line="312" w:lineRule="auto"/>
        <w:ind w:firstLine="567"/>
        <w:rPr>
          <w:rFonts w:ascii="黑体" w:hAnsi="黑体" w:eastAsia="黑体" w:cs="仿宋"/>
          <w:color w:val="auto"/>
          <w:sz w:val="28"/>
          <w:szCs w:val="28"/>
        </w:rPr>
      </w:pPr>
      <w:r>
        <w:rPr>
          <w:rFonts w:hint="eastAsia" w:ascii="黑体" w:hAnsi="黑体" w:eastAsia="黑体" w:cs="仿宋"/>
          <w:color w:val="auto"/>
          <w:sz w:val="28"/>
          <w:szCs w:val="28"/>
        </w:rPr>
        <w:t>四、食谱审查情况</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（拟定的食谱是否符合要求，有何调整。）</w:t>
      </w:r>
    </w:p>
    <w:p>
      <w:pPr>
        <w:widowControl/>
        <w:adjustRightInd w:val="0"/>
        <w:snapToGrid w:val="0"/>
        <w:spacing w:line="312" w:lineRule="auto"/>
        <w:ind w:firstLine="567"/>
        <w:rPr>
          <w:rFonts w:ascii="黑体" w:hAnsi="黑体" w:eastAsia="黑体" w:cs="仿宋"/>
          <w:color w:val="auto"/>
          <w:sz w:val="28"/>
          <w:szCs w:val="28"/>
        </w:rPr>
      </w:pPr>
      <w:r>
        <w:rPr>
          <w:rFonts w:hint="eastAsia" w:ascii="黑体" w:hAnsi="黑体" w:eastAsia="黑体" w:cs="仿宋"/>
          <w:color w:val="auto"/>
          <w:sz w:val="28"/>
          <w:szCs w:val="28"/>
        </w:rPr>
        <w:t>五、监督意见　</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（尚存在的食品安全隐患与整改措施。）</w:t>
      </w:r>
    </w:p>
    <w:p>
      <w:pPr>
        <w:widowControl/>
        <w:adjustRightInd w:val="0"/>
        <w:snapToGrid w:val="0"/>
        <w:spacing w:line="312" w:lineRule="auto"/>
        <w:ind w:firstLine="567"/>
        <w:rPr>
          <w:rFonts w:ascii="黑体" w:hAnsi="黑体" w:eastAsia="黑体" w:cs="仿宋"/>
          <w:color w:val="auto"/>
          <w:sz w:val="28"/>
          <w:szCs w:val="28"/>
        </w:rPr>
      </w:pPr>
      <w:r>
        <w:rPr>
          <w:rFonts w:hint="eastAsia" w:ascii="黑体" w:hAnsi="黑体" w:eastAsia="黑体" w:cs="仿宋"/>
          <w:color w:val="auto"/>
          <w:sz w:val="28"/>
          <w:szCs w:val="28"/>
        </w:rPr>
        <w:t>六、结论与建议</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（接待单位是否符合承担重大活动供餐要求，有何建议。）</w:t>
      </w:r>
    </w:p>
    <w:p>
      <w:pPr>
        <w:widowControl/>
        <w:adjustRightInd w:val="0"/>
        <w:snapToGrid w:val="0"/>
        <w:spacing w:line="312" w:lineRule="auto"/>
        <w:ind w:firstLine="567"/>
        <w:rPr>
          <w:rFonts w:hAnsi="仿宋" w:cs="仿宋"/>
          <w:color w:val="auto"/>
          <w:sz w:val="28"/>
          <w:szCs w:val="28"/>
        </w:rPr>
      </w:pPr>
    </w:p>
    <w:p>
      <w:pPr>
        <w:widowControl/>
        <w:adjustRightInd w:val="0"/>
        <w:snapToGrid w:val="0"/>
        <w:spacing w:line="312" w:lineRule="auto"/>
        <w:ind w:firstLine="567"/>
        <w:rPr>
          <w:rFonts w:hAnsi="仿宋" w:cs="仿宋"/>
          <w:color w:val="auto"/>
          <w:sz w:val="28"/>
          <w:szCs w:val="28"/>
        </w:rPr>
      </w:pPr>
    </w:p>
    <w:p>
      <w:pPr>
        <w:widowControl/>
        <w:adjustRightInd w:val="0"/>
        <w:snapToGrid w:val="0"/>
        <w:spacing w:line="312" w:lineRule="auto"/>
        <w:ind w:firstLine="567"/>
        <w:rPr>
          <w:rFonts w:hAnsi="仿宋" w:cs="仿宋"/>
          <w:color w:val="auto"/>
          <w:sz w:val="28"/>
          <w:szCs w:val="28"/>
        </w:rPr>
      </w:pPr>
    </w:p>
    <w:p>
      <w:pPr>
        <w:widowControl/>
        <w:adjustRightInd w:val="0"/>
        <w:snapToGrid w:val="0"/>
        <w:spacing w:line="312" w:lineRule="auto"/>
        <w:ind w:firstLine="567"/>
        <w:rPr>
          <w:rFonts w:hAnsi="仿宋" w:cs="仿宋"/>
          <w:color w:val="auto"/>
          <w:sz w:val="28"/>
          <w:szCs w:val="28"/>
          <w:lang w:val="en-GB"/>
        </w:rPr>
      </w:pPr>
    </w:p>
    <w:p>
      <w:pPr>
        <w:widowControl/>
        <w:adjustRightInd w:val="0"/>
        <w:snapToGrid w:val="0"/>
        <w:spacing w:line="312" w:lineRule="auto"/>
        <w:ind w:right="765" w:firstLine="567"/>
        <w:jc w:val="right"/>
        <w:rPr>
          <w:rFonts w:hAnsi="仿宋" w:cs="仿宋"/>
          <w:color w:val="auto"/>
          <w:sz w:val="28"/>
          <w:szCs w:val="28"/>
        </w:rPr>
      </w:pPr>
      <w:r>
        <w:rPr>
          <w:rFonts w:hint="eastAsia" w:hAnsi="仿宋" w:cs="仿宋"/>
          <w:color w:val="auto"/>
          <w:sz w:val="28"/>
          <w:szCs w:val="28"/>
        </w:rPr>
        <w:t>×××市场监督管理局</w:t>
      </w:r>
    </w:p>
    <w:p>
      <w:pPr>
        <w:widowControl/>
        <w:adjustRightInd w:val="0"/>
        <w:snapToGrid w:val="0"/>
        <w:spacing w:line="312" w:lineRule="auto"/>
        <w:ind w:right="1134" w:firstLine="567"/>
        <w:jc w:val="right"/>
        <w:rPr>
          <w:rFonts w:hAnsi="仿宋" w:cs="仿宋"/>
          <w:color w:val="auto"/>
          <w:sz w:val="28"/>
          <w:szCs w:val="28"/>
        </w:rPr>
      </w:pPr>
      <w:r>
        <w:rPr>
          <w:rFonts w:hint="eastAsia" w:hAnsi="仿宋" w:cs="仿宋"/>
          <w:color w:val="auto"/>
          <w:sz w:val="28"/>
          <w:szCs w:val="28"/>
        </w:rPr>
        <w:t>年　　月　　日</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br w:type="page"/>
      </w: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.1.3　重大活动接待单位食品安全承诺书</w:t>
      </w:r>
    </w:p>
    <w:p>
      <w:pPr>
        <w:widowControl/>
        <w:adjustRightInd w:val="0"/>
        <w:snapToGrid w:val="0"/>
        <w:spacing w:line="319" w:lineRule="auto"/>
        <w:ind w:firstLine="567"/>
        <w:rPr>
          <w:rFonts w:hAnsi="仿宋" w:cs="仿宋"/>
          <w:color w:val="auto"/>
          <w:sz w:val="28"/>
          <w:szCs w:val="28"/>
        </w:rPr>
      </w:pPr>
    </w:p>
    <w:p>
      <w:pPr>
        <w:widowControl/>
        <w:adjustRightInd w:val="0"/>
        <w:snapToGrid w:val="0"/>
        <w:spacing w:line="319" w:lineRule="auto"/>
        <w:rPr>
          <w:rFonts w:hAnsi="仿宋" w:cs="仿宋"/>
          <w:color w:val="auto"/>
          <w:sz w:val="28"/>
          <w:szCs w:val="28"/>
        </w:rPr>
      </w:pPr>
      <w:r>
        <w:rPr>
          <w:rFonts w:hint="eastAsia" w:hAnsi="仿宋" w:cs="仿宋"/>
          <w:color w:val="auto"/>
          <w:sz w:val="28"/>
          <w:szCs w:val="28"/>
        </w:rPr>
        <w:t>×××市场监督管理局：</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根据××××重大活动食品安全监督管理要求，我单位承担本次供餐活动，向你局承诺做好如下食品安全管理工作：</w:t>
      </w:r>
    </w:p>
    <w:p>
      <w:pPr>
        <w:widowControl/>
        <w:adjustRightInd w:val="0"/>
        <w:snapToGrid w:val="0"/>
        <w:spacing w:line="319" w:lineRule="auto"/>
        <w:ind w:firstLine="567"/>
        <w:rPr>
          <w:rFonts w:ascii="黑体" w:hAnsi="黑体" w:eastAsia="黑体" w:cs="仿宋"/>
          <w:color w:val="auto"/>
          <w:sz w:val="28"/>
          <w:szCs w:val="28"/>
        </w:rPr>
      </w:pPr>
      <w:r>
        <w:rPr>
          <w:rFonts w:hint="eastAsia" w:ascii="黑体" w:hAnsi="黑体" w:eastAsia="黑体" w:cs="仿宋"/>
          <w:color w:val="auto"/>
          <w:sz w:val="28"/>
          <w:szCs w:val="28"/>
        </w:rPr>
        <w:t>一、提供详细的供餐计划</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1．</w:t>
      </w:r>
      <w:r>
        <w:rPr>
          <w:rFonts w:hint="eastAsia" w:hAnsi="仿宋" w:cs="仿宋"/>
          <w:color w:val="auto"/>
          <w:spacing w:val="2"/>
          <w:sz w:val="28"/>
          <w:szCs w:val="28"/>
        </w:rPr>
        <w:t>供餐活动食品安全负责人，包括单位负责人、各部门及食品安全</w:t>
      </w:r>
      <w:r>
        <w:rPr>
          <w:rFonts w:hint="eastAsia" w:hAnsi="仿宋" w:cs="仿宋"/>
          <w:color w:val="auto"/>
          <w:sz w:val="28"/>
          <w:szCs w:val="28"/>
        </w:rPr>
        <w:t>管理员名单；</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2．供餐时间、餐次、形式、人数等信息；</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3．食品及食品原料进货时间、来源及索证索票情况；</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4．食品从粗加工、制作到供餐的时间节点及操作人员安排情况；</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5．提供食谱，并根据审核意见调整相应食谱；</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6．提供应急预案，如食品供餐计划改变等。</w:t>
      </w:r>
    </w:p>
    <w:p>
      <w:pPr>
        <w:widowControl/>
        <w:adjustRightInd w:val="0"/>
        <w:snapToGrid w:val="0"/>
        <w:spacing w:line="319" w:lineRule="auto"/>
        <w:ind w:firstLine="567"/>
        <w:rPr>
          <w:rFonts w:ascii="黑体" w:hAnsi="黑体" w:eastAsia="黑体" w:cs="仿宋"/>
          <w:color w:val="auto"/>
          <w:sz w:val="28"/>
          <w:szCs w:val="28"/>
        </w:rPr>
      </w:pPr>
      <w:r>
        <w:rPr>
          <w:rFonts w:hint="eastAsia" w:ascii="黑体" w:hAnsi="黑体" w:eastAsia="黑体" w:cs="仿宋"/>
          <w:color w:val="auto"/>
          <w:sz w:val="28"/>
          <w:szCs w:val="28"/>
        </w:rPr>
        <w:t>二、做好供餐前准备工作</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1．</w:t>
      </w:r>
      <w:r>
        <w:rPr>
          <w:rFonts w:hint="eastAsia" w:hAnsi="仿宋" w:cs="仿宋"/>
          <w:color w:val="auto"/>
          <w:spacing w:val="2"/>
          <w:sz w:val="28"/>
          <w:szCs w:val="28"/>
        </w:rPr>
        <w:t>保证食品从业人员具备健康证明，从业人员动态健康和个人卫生</w:t>
      </w:r>
      <w:r>
        <w:rPr>
          <w:rFonts w:hint="eastAsia" w:hAnsi="仿宋" w:cs="仿宋"/>
          <w:color w:val="auto"/>
          <w:sz w:val="28"/>
          <w:szCs w:val="28"/>
        </w:rPr>
        <w:t>符合要求；</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2．对全体从业人员，进行一次食品安全知识培训；</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3．做好食品和原料许可证照、检验（检疫）报告等索证索票工作；</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4．</w:t>
      </w:r>
      <w:r>
        <w:rPr>
          <w:rFonts w:hint="eastAsia" w:hAnsi="仿宋" w:cs="仿宋"/>
          <w:color w:val="auto"/>
          <w:spacing w:val="2"/>
          <w:sz w:val="28"/>
          <w:szCs w:val="28"/>
        </w:rPr>
        <w:t>对食品加工处理区及就餐场所，各种设施设备和工</w:t>
      </w:r>
      <w:r>
        <w:rPr>
          <w:rFonts w:hint="eastAsia" w:hAnsi="仿宋" w:cs="仿宋"/>
          <w:color w:val="auto"/>
          <w:spacing w:val="2"/>
          <w:sz w:val="28"/>
          <w:szCs w:val="28"/>
          <w:lang w:eastAsia="zh-CN"/>
        </w:rPr>
        <w:t>具</w:t>
      </w:r>
      <w:r>
        <w:rPr>
          <w:rFonts w:hint="eastAsia" w:hAnsi="仿宋" w:cs="仿宋"/>
          <w:color w:val="auto"/>
          <w:spacing w:val="2"/>
          <w:sz w:val="28"/>
          <w:szCs w:val="28"/>
        </w:rPr>
        <w:t>用具进行全面</w:t>
      </w:r>
      <w:r>
        <w:rPr>
          <w:rFonts w:hint="eastAsia" w:hAnsi="仿宋" w:cs="仿宋"/>
          <w:color w:val="auto"/>
          <w:sz w:val="28"/>
          <w:szCs w:val="28"/>
        </w:rPr>
        <w:t>清洗；</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5．配备足够的设施设备、工</w:t>
      </w:r>
      <w:r>
        <w:rPr>
          <w:rFonts w:hint="eastAsia" w:hAnsi="仿宋" w:cs="仿宋"/>
          <w:color w:val="auto"/>
          <w:sz w:val="28"/>
          <w:szCs w:val="28"/>
          <w:lang w:eastAsia="zh-CN"/>
        </w:rPr>
        <w:t>具</w:t>
      </w:r>
      <w:r>
        <w:rPr>
          <w:rFonts w:hint="eastAsia" w:hAnsi="仿宋" w:cs="仿宋"/>
          <w:color w:val="auto"/>
          <w:sz w:val="28"/>
          <w:szCs w:val="28"/>
        </w:rPr>
        <w:t>用具和食品留样设施；</w:t>
      </w:r>
    </w:p>
    <w:p>
      <w:pPr>
        <w:widowControl/>
        <w:adjustRightInd w:val="0"/>
        <w:snapToGrid w:val="0"/>
        <w:spacing w:line="319" w:lineRule="auto"/>
        <w:ind w:firstLine="567"/>
        <w:rPr>
          <w:rFonts w:ascii="黑体" w:hAnsi="黑体" w:eastAsia="黑体" w:cs="仿宋"/>
          <w:color w:val="auto"/>
          <w:sz w:val="28"/>
          <w:szCs w:val="28"/>
        </w:rPr>
      </w:pPr>
      <w:r>
        <w:rPr>
          <w:rFonts w:hint="eastAsia" w:ascii="黑体" w:hAnsi="黑体" w:eastAsia="黑体" w:cs="仿宋"/>
          <w:color w:val="auto"/>
          <w:sz w:val="28"/>
          <w:szCs w:val="28"/>
        </w:rPr>
        <w:t>三、做好供餐期间食品安全工作</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1．</w:t>
      </w:r>
      <w:r>
        <w:rPr>
          <w:rFonts w:hint="eastAsia" w:hAnsi="仿宋" w:cs="仿宋"/>
          <w:color w:val="auto"/>
          <w:spacing w:val="2"/>
          <w:sz w:val="28"/>
          <w:szCs w:val="28"/>
        </w:rPr>
        <w:t>严格执行《食品安全法》《</w:t>
      </w:r>
      <w:r>
        <w:rPr>
          <w:rFonts w:hint="eastAsia" w:hAnsi="仿宋" w:cs="仿宋"/>
          <w:color w:val="auto"/>
          <w:spacing w:val="2"/>
          <w:sz w:val="28"/>
          <w:szCs w:val="28"/>
        </w:rPr>
        <w:t>上海市食品安全条例》</w:t>
      </w:r>
      <w:r>
        <w:rPr>
          <w:rFonts w:hint="eastAsia" w:hAnsi="仿宋" w:cs="仿宋"/>
          <w:color w:val="auto"/>
          <w:spacing w:val="2"/>
          <w:sz w:val="28"/>
          <w:szCs w:val="28"/>
        </w:rPr>
        <w:t>《重大活动食品</w:t>
      </w:r>
      <w:r>
        <w:rPr>
          <w:rFonts w:hint="eastAsia" w:hAnsi="仿宋" w:cs="仿宋"/>
          <w:color w:val="auto"/>
          <w:sz w:val="28"/>
          <w:szCs w:val="28"/>
        </w:rPr>
        <w:t>安全监督管理办法（试行）》《餐饮服务食品安全操作规范》等法律、法规、标准和规范性文件；</w:t>
      </w:r>
    </w:p>
    <w:p>
      <w:pPr>
        <w:widowControl/>
        <w:adjustRightInd w:val="0"/>
        <w:snapToGrid w:val="0"/>
        <w:spacing w:line="319" w:lineRule="auto"/>
        <w:ind w:firstLine="567"/>
        <w:rPr>
          <w:rFonts w:hAnsi="仿宋" w:cs="仿宋"/>
          <w:color w:val="auto"/>
          <w:sz w:val="28"/>
          <w:szCs w:val="28"/>
        </w:rPr>
      </w:pPr>
      <w:r>
        <w:rPr>
          <w:rFonts w:hint="eastAsia" w:hAnsi="仿宋" w:cs="仿宋"/>
          <w:color w:val="auto"/>
          <w:sz w:val="28"/>
          <w:szCs w:val="28"/>
        </w:rPr>
        <w:t>2．根据审查确定的食谱、加工供应流程和时间节点进行加工供应；</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3．</w:t>
      </w:r>
      <w:r>
        <w:rPr>
          <w:rFonts w:hint="eastAsia" w:hAnsi="仿宋" w:cs="仿宋"/>
          <w:color w:val="auto"/>
          <w:spacing w:val="2"/>
          <w:sz w:val="28"/>
          <w:szCs w:val="28"/>
        </w:rPr>
        <w:t>发生应急事件情况，如重要岗位人员变动、供餐计划改变、调整</w:t>
      </w:r>
      <w:r>
        <w:rPr>
          <w:rFonts w:hint="eastAsia" w:hAnsi="仿宋" w:cs="仿宋"/>
          <w:color w:val="auto"/>
          <w:sz w:val="28"/>
          <w:szCs w:val="28"/>
        </w:rPr>
        <w:t>供餐食谱，将及时报告现场保障人员；</w:t>
      </w:r>
    </w:p>
    <w:p>
      <w:pPr>
        <w:widowControl/>
        <w:adjustRightInd w:val="0"/>
        <w:snapToGrid w:val="0"/>
        <w:spacing w:line="312" w:lineRule="auto"/>
        <w:ind w:firstLine="567"/>
        <w:rPr>
          <w:rFonts w:hAnsi="仿宋" w:cs="仿宋"/>
          <w:color w:val="auto"/>
          <w:sz w:val="28"/>
          <w:szCs w:val="28"/>
        </w:rPr>
      </w:pPr>
      <w:r>
        <w:rPr>
          <w:rFonts w:hint="eastAsia" w:hAnsi="仿宋" w:cs="仿宋"/>
          <w:color w:val="auto"/>
          <w:sz w:val="28"/>
          <w:szCs w:val="28"/>
        </w:rPr>
        <w:t>4．</w:t>
      </w:r>
      <w:r>
        <w:rPr>
          <w:rFonts w:hint="eastAsia" w:hAnsi="仿宋" w:cs="仿宋"/>
          <w:color w:val="auto"/>
          <w:spacing w:val="2"/>
          <w:sz w:val="28"/>
          <w:szCs w:val="28"/>
        </w:rPr>
        <w:t>提供食品快速检测场所等工作场所；对保障人员提出的整改要求</w:t>
      </w:r>
      <w:r>
        <w:rPr>
          <w:rFonts w:hint="eastAsia" w:hAnsi="仿宋" w:cs="仿宋"/>
          <w:color w:val="auto"/>
          <w:sz w:val="28"/>
          <w:szCs w:val="28"/>
        </w:rPr>
        <w:t>及时进行改正。</w:t>
      </w:r>
    </w:p>
    <w:p>
      <w:pPr>
        <w:widowControl/>
        <w:adjustRightInd w:val="0"/>
        <w:snapToGrid w:val="0"/>
        <w:spacing w:line="312" w:lineRule="auto"/>
        <w:ind w:firstLine="567"/>
        <w:rPr>
          <w:rFonts w:hAnsi="仿宋" w:cs="仿宋"/>
          <w:color w:val="auto"/>
          <w:sz w:val="28"/>
          <w:szCs w:val="28"/>
        </w:rPr>
      </w:pPr>
    </w:p>
    <w:p>
      <w:pPr>
        <w:widowControl/>
        <w:adjustRightInd w:val="0"/>
        <w:snapToGrid w:val="0"/>
        <w:spacing w:line="312" w:lineRule="auto"/>
        <w:ind w:firstLine="567"/>
        <w:rPr>
          <w:rFonts w:hAnsi="仿宋" w:cs="仿宋"/>
          <w:color w:val="auto"/>
          <w:sz w:val="28"/>
          <w:szCs w:val="28"/>
        </w:rPr>
      </w:pPr>
    </w:p>
    <w:p>
      <w:pPr>
        <w:widowControl/>
        <w:tabs>
          <w:tab w:val="left" w:pos="4395"/>
        </w:tabs>
        <w:adjustRightInd w:val="0"/>
        <w:snapToGrid w:val="0"/>
        <w:spacing w:line="312" w:lineRule="auto"/>
        <w:rPr>
          <w:rFonts w:hAnsi="仿宋" w:cs="仿宋"/>
          <w:color w:val="auto"/>
          <w:sz w:val="28"/>
          <w:szCs w:val="28"/>
        </w:rPr>
      </w:pPr>
      <w:r>
        <w:rPr>
          <w:rFonts w:hint="eastAsia" w:hAnsi="仿宋" w:cs="仿宋"/>
          <w:color w:val="auto"/>
          <w:sz w:val="28"/>
          <w:szCs w:val="28"/>
        </w:rPr>
        <w:t>承诺单位负责人签名：　　　　　　监督保障人员签名：</w:t>
      </w:r>
    </w:p>
    <w:p>
      <w:pPr>
        <w:widowControl/>
        <w:adjustRightInd w:val="0"/>
        <w:snapToGrid w:val="0"/>
        <w:spacing w:line="312" w:lineRule="auto"/>
        <w:rPr>
          <w:rFonts w:hAnsi="仿宋" w:cs="仿宋"/>
          <w:color w:val="auto"/>
          <w:sz w:val="28"/>
          <w:szCs w:val="28"/>
        </w:rPr>
      </w:pPr>
    </w:p>
    <w:p>
      <w:pPr>
        <w:widowControl/>
        <w:adjustRightInd w:val="0"/>
        <w:snapToGrid w:val="0"/>
        <w:spacing w:line="312" w:lineRule="auto"/>
        <w:rPr>
          <w:rFonts w:hAnsi="仿宋" w:cs="仿宋"/>
          <w:color w:val="auto"/>
          <w:sz w:val="28"/>
          <w:szCs w:val="28"/>
        </w:rPr>
      </w:pPr>
    </w:p>
    <w:p>
      <w:pPr>
        <w:widowControl/>
        <w:tabs>
          <w:tab w:val="left" w:pos="4253"/>
          <w:tab w:val="left" w:pos="4395"/>
        </w:tabs>
        <w:adjustRightInd w:val="0"/>
        <w:snapToGrid w:val="0"/>
        <w:spacing w:line="312" w:lineRule="auto"/>
        <w:rPr>
          <w:rFonts w:hAnsi="仿宋" w:cs="仿宋"/>
          <w:color w:val="auto"/>
          <w:sz w:val="28"/>
          <w:szCs w:val="28"/>
        </w:rPr>
      </w:pPr>
      <w:r>
        <w:rPr>
          <w:rFonts w:hint="eastAsia" w:hAnsi="仿宋" w:cs="仿宋"/>
          <w:color w:val="auto"/>
          <w:sz w:val="28"/>
          <w:szCs w:val="28"/>
        </w:rPr>
        <w:t>　　　　　　　　年　　月　　日　　　　　　　　　　年　　月　　日</w:t>
      </w:r>
    </w:p>
    <w:p>
      <w:pPr>
        <w:widowControl/>
        <w:adjustRightInd w:val="0"/>
        <w:snapToGrid w:val="0"/>
        <w:spacing w:line="312" w:lineRule="auto"/>
        <w:ind w:firstLine="567"/>
        <w:rPr>
          <w:rFonts w:hAnsi="仿宋" w:cs="仿宋"/>
          <w:color w:val="auto"/>
          <w:sz w:val="28"/>
          <w:szCs w:val="28"/>
        </w:rPr>
      </w:pP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hint="eastAsia" w:hAnsi="仿宋" w:cs="仿宋"/>
          <w:color w:val="auto"/>
          <w:sz w:val="28"/>
          <w:szCs w:val="28"/>
        </w:rPr>
        <w:br w:type="page"/>
      </w: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.1.4　重大活动食品安全保障人员岗位职责安排</w:t>
      </w:r>
    </w:p>
    <w:p>
      <w:pPr>
        <w:adjustRightInd w:val="0"/>
        <w:snapToGrid w:val="0"/>
        <w:spacing w:before="120"/>
        <w:jc w:val="center"/>
        <w:rPr>
          <w:rFonts w:hAnsi="仿宋" w:cs="仿宋"/>
          <w:color w:val="auto"/>
          <w:sz w:val="28"/>
          <w:szCs w:val="28"/>
        </w:rPr>
      </w:pPr>
      <w:r>
        <w:rPr>
          <w:rFonts w:hint="eastAsia" w:hAnsi="仿宋" w:cs="仿宋"/>
          <w:color w:val="auto"/>
          <w:sz w:val="28"/>
          <w:szCs w:val="28"/>
        </w:rPr>
        <w:t>（供餐单位：</w:t>
      </w:r>
      <w:r>
        <w:rPr>
          <w:rFonts w:hint="eastAsia" w:hAnsi="仿宋" w:cs="仿宋"/>
          <w:color w:val="auto"/>
          <w:sz w:val="28"/>
          <w:szCs w:val="28"/>
          <w:u w:val="single"/>
        </w:rPr>
        <w:t>　　　　　　　　　　</w:t>
      </w:r>
      <w:r>
        <w:rPr>
          <w:rFonts w:hint="eastAsia" w:hAnsi="仿宋" w:cs="仿宋"/>
          <w:color w:val="auto"/>
          <w:sz w:val="28"/>
          <w:szCs w:val="28"/>
        </w:rPr>
        <w:t>）</w:t>
      </w:r>
    </w:p>
    <w:p>
      <w:pPr>
        <w:adjustRightInd w:val="0"/>
        <w:snapToGrid w:val="0"/>
        <w:rPr>
          <w:rFonts w:hAnsi="仿宋" w:cs="仿宋"/>
          <w:color w:val="auto"/>
          <w:sz w:val="28"/>
          <w:szCs w:val="28"/>
        </w:rPr>
      </w:pP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134"/>
        <w:gridCol w:w="624"/>
        <w:gridCol w:w="1418"/>
        <w:gridCol w:w="221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 w:type="dxa"/>
            <w:vAlign w:val="center"/>
          </w:tcPr>
          <w:p>
            <w:pPr>
              <w:adjustRightInd w:val="0"/>
              <w:snapToGrid w:val="0"/>
              <w:ind w:left="-57" w:right="-57"/>
              <w:jc w:val="center"/>
              <w:rPr>
                <w:rFonts w:ascii="黑体" w:hAnsi="黑体" w:eastAsia="黑体" w:cs="仿宋"/>
                <w:color w:val="auto"/>
                <w:sz w:val="24"/>
                <w:szCs w:val="24"/>
              </w:rPr>
            </w:pPr>
            <w:r>
              <w:rPr>
                <w:rFonts w:hint="eastAsia" w:ascii="黑体" w:hAnsi="黑体" w:eastAsia="黑体" w:cs="仿宋"/>
                <w:color w:val="auto"/>
                <w:sz w:val="24"/>
                <w:szCs w:val="24"/>
              </w:rPr>
              <w:t>序号</w:t>
            </w:r>
          </w:p>
        </w:tc>
        <w:tc>
          <w:tcPr>
            <w:tcW w:w="1134"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姓名</w:t>
            </w:r>
          </w:p>
        </w:tc>
        <w:tc>
          <w:tcPr>
            <w:tcW w:w="624" w:type="dxa"/>
            <w:vAlign w:val="center"/>
          </w:tcPr>
          <w:p>
            <w:pPr>
              <w:adjustRightInd w:val="0"/>
              <w:snapToGrid w:val="0"/>
              <w:ind w:left="-57" w:right="-57"/>
              <w:jc w:val="center"/>
              <w:rPr>
                <w:rFonts w:ascii="黑体" w:hAnsi="黑体" w:eastAsia="黑体" w:cs="仿宋"/>
                <w:color w:val="auto"/>
                <w:sz w:val="24"/>
                <w:szCs w:val="24"/>
              </w:rPr>
            </w:pPr>
            <w:r>
              <w:rPr>
                <w:rFonts w:hint="eastAsia" w:ascii="黑体" w:hAnsi="黑体" w:eastAsia="黑体" w:cs="仿宋"/>
                <w:color w:val="auto"/>
                <w:sz w:val="24"/>
                <w:szCs w:val="24"/>
              </w:rPr>
              <w:t>性别</w:t>
            </w:r>
          </w:p>
        </w:tc>
        <w:tc>
          <w:tcPr>
            <w:tcW w:w="1418"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保障日期</w:t>
            </w:r>
          </w:p>
        </w:tc>
        <w:tc>
          <w:tcPr>
            <w:tcW w:w="2211"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职责（岗位）</w:t>
            </w:r>
          </w:p>
        </w:tc>
        <w:tc>
          <w:tcPr>
            <w:tcW w:w="1701"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手机号码</w:t>
            </w:r>
          </w:p>
        </w:tc>
        <w:tc>
          <w:tcPr>
            <w:tcW w:w="1134"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2211" w:type="dxa"/>
            <w:vAlign w:val="center"/>
          </w:tcPr>
          <w:p>
            <w:pPr>
              <w:adjustRightInd w:val="0"/>
              <w:snapToGrid w:val="0"/>
              <w:jc w:val="center"/>
              <w:rPr>
                <w:rFonts w:hAnsi="仿宋" w:cs="仿宋"/>
                <w:color w:val="auto"/>
                <w:sz w:val="24"/>
                <w:szCs w:val="24"/>
              </w:rPr>
            </w:pPr>
          </w:p>
        </w:tc>
        <w:tc>
          <w:tcPr>
            <w:tcW w:w="1701"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bl>
    <w:p>
      <w:pPr>
        <w:widowControl/>
        <w:adjustRightInd w:val="0"/>
        <w:snapToGrid w:val="0"/>
        <w:spacing w:line="312" w:lineRule="auto"/>
        <w:ind w:firstLine="567"/>
        <w:rPr>
          <w:rFonts w:hAnsi="仿宋" w:cs="仿宋"/>
          <w:color w:val="auto"/>
          <w:sz w:val="28"/>
          <w:szCs w:val="28"/>
          <w:lang w:val="en-GB"/>
        </w:rPr>
      </w:pPr>
    </w:p>
    <w:p>
      <w:pPr>
        <w:widowControl/>
        <w:adjustRightInd w:val="0"/>
        <w:snapToGrid w:val="0"/>
        <w:spacing w:line="312" w:lineRule="auto"/>
        <w:ind w:right="765" w:firstLine="567"/>
        <w:jc w:val="right"/>
        <w:rPr>
          <w:rFonts w:hAnsi="仿宋" w:cs="仿宋"/>
          <w:color w:val="auto"/>
          <w:sz w:val="28"/>
          <w:szCs w:val="28"/>
        </w:rPr>
      </w:pPr>
      <w:r>
        <w:rPr>
          <w:rFonts w:hint="eastAsia" w:hAnsi="仿宋" w:cs="仿宋"/>
          <w:color w:val="auto"/>
          <w:sz w:val="28"/>
          <w:szCs w:val="28"/>
        </w:rPr>
        <w:t>×××市场监督管理局</w:t>
      </w:r>
    </w:p>
    <w:p>
      <w:pPr>
        <w:widowControl/>
        <w:adjustRightInd w:val="0"/>
        <w:snapToGrid w:val="0"/>
        <w:spacing w:line="312" w:lineRule="auto"/>
        <w:ind w:right="1134" w:firstLine="567"/>
        <w:jc w:val="right"/>
        <w:rPr>
          <w:rFonts w:hAnsi="仿宋" w:cs="仿宋"/>
          <w:color w:val="auto"/>
          <w:sz w:val="28"/>
          <w:szCs w:val="28"/>
        </w:rPr>
      </w:pPr>
      <w:r>
        <w:rPr>
          <w:rFonts w:hint="eastAsia" w:hAnsi="仿宋" w:cs="仿宋"/>
          <w:color w:val="auto"/>
          <w:sz w:val="28"/>
          <w:szCs w:val="28"/>
        </w:rPr>
        <w:t>年　　月　　日</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.1.5　重大活动食品从业人员健康证及培训审查表</w:t>
      </w:r>
    </w:p>
    <w:p>
      <w:pPr>
        <w:adjustRightInd w:val="0"/>
        <w:snapToGrid w:val="0"/>
        <w:spacing w:before="120"/>
        <w:jc w:val="center"/>
        <w:rPr>
          <w:rFonts w:hAnsi="仿宋" w:cs="仿宋"/>
          <w:color w:val="auto"/>
          <w:sz w:val="28"/>
          <w:szCs w:val="28"/>
        </w:rPr>
      </w:pPr>
      <w:r>
        <w:rPr>
          <w:rFonts w:hint="eastAsia" w:hAnsi="仿宋" w:cs="仿宋"/>
          <w:color w:val="auto"/>
          <w:sz w:val="28"/>
          <w:szCs w:val="28"/>
        </w:rPr>
        <w:t>（供餐单位：</w:t>
      </w:r>
      <w:r>
        <w:rPr>
          <w:rFonts w:hint="eastAsia" w:hAnsi="仿宋" w:cs="仿宋"/>
          <w:color w:val="auto"/>
          <w:sz w:val="28"/>
          <w:szCs w:val="28"/>
          <w:u w:val="single"/>
        </w:rPr>
        <w:t>　　　　　　　　　　</w:t>
      </w:r>
      <w:r>
        <w:rPr>
          <w:rFonts w:hint="eastAsia" w:hAnsi="仿宋" w:cs="仿宋"/>
          <w:color w:val="auto"/>
          <w:sz w:val="28"/>
          <w:szCs w:val="28"/>
        </w:rPr>
        <w:t>）</w:t>
      </w:r>
    </w:p>
    <w:p>
      <w:pPr>
        <w:adjustRightInd w:val="0"/>
        <w:snapToGrid w:val="0"/>
        <w:rPr>
          <w:rFonts w:hAnsi="仿宋" w:cs="仿宋"/>
          <w:color w:val="auto"/>
          <w:sz w:val="28"/>
          <w:szCs w:val="28"/>
        </w:rPr>
      </w:pP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23"/>
        <w:gridCol w:w="1134"/>
        <w:gridCol w:w="624"/>
        <w:gridCol w:w="2778"/>
        <w:gridCol w:w="1134"/>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623"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序号</w:t>
            </w:r>
          </w:p>
        </w:tc>
        <w:tc>
          <w:tcPr>
            <w:tcW w:w="1134"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姓名</w:t>
            </w:r>
          </w:p>
        </w:tc>
        <w:tc>
          <w:tcPr>
            <w:tcW w:w="624"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性别</w:t>
            </w:r>
          </w:p>
        </w:tc>
        <w:tc>
          <w:tcPr>
            <w:tcW w:w="2778"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工作地点</w:t>
            </w:r>
          </w:p>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（岗位）</w:t>
            </w:r>
          </w:p>
        </w:tc>
        <w:tc>
          <w:tcPr>
            <w:tcW w:w="1134"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是否持有</w:t>
            </w:r>
          </w:p>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健康证</w:t>
            </w:r>
          </w:p>
        </w:tc>
        <w:tc>
          <w:tcPr>
            <w:tcW w:w="1418"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是否参加供</w:t>
            </w:r>
          </w:p>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餐前期培训</w:t>
            </w:r>
          </w:p>
        </w:tc>
        <w:tc>
          <w:tcPr>
            <w:tcW w:w="1134" w:type="dxa"/>
            <w:vAlign w:val="center"/>
          </w:tcPr>
          <w:p>
            <w:pPr>
              <w:adjustRightInd w:val="0"/>
              <w:snapToGrid w:val="0"/>
              <w:jc w:val="center"/>
              <w:rPr>
                <w:rFonts w:ascii="黑体" w:hAnsi="黑体" w:eastAsia="黑体" w:cs="仿宋"/>
                <w:color w:val="auto"/>
                <w:sz w:val="24"/>
                <w:szCs w:val="24"/>
              </w:rPr>
            </w:pPr>
            <w:r>
              <w:rPr>
                <w:rFonts w:hint="eastAsia" w:ascii="黑体" w:hAnsi="黑体" w:eastAsia="黑体"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623"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624" w:type="dxa"/>
            <w:vAlign w:val="center"/>
          </w:tcPr>
          <w:p>
            <w:pPr>
              <w:adjustRightInd w:val="0"/>
              <w:snapToGrid w:val="0"/>
              <w:jc w:val="center"/>
              <w:rPr>
                <w:rFonts w:hAnsi="仿宋" w:cs="仿宋"/>
                <w:color w:val="auto"/>
                <w:sz w:val="24"/>
                <w:szCs w:val="24"/>
              </w:rPr>
            </w:pPr>
          </w:p>
        </w:tc>
        <w:tc>
          <w:tcPr>
            <w:tcW w:w="277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c>
          <w:tcPr>
            <w:tcW w:w="1418" w:type="dxa"/>
            <w:vAlign w:val="center"/>
          </w:tcPr>
          <w:p>
            <w:pPr>
              <w:adjustRightInd w:val="0"/>
              <w:snapToGrid w:val="0"/>
              <w:jc w:val="center"/>
              <w:rPr>
                <w:rFonts w:hAnsi="仿宋" w:cs="仿宋"/>
                <w:color w:val="auto"/>
                <w:sz w:val="24"/>
                <w:szCs w:val="24"/>
              </w:rPr>
            </w:pPr>
          </w:p>
        </w:tc>
        <w:tc>
          <w:tcPr>
            <w:tcW w:w="1134" w:type="dxa"/>
            <w:vAlign w:val="center"/>
          </w:tcPr>
          <w:p>
            <w:pPr>
              <w:adjustRightInd w:val="0"/>
              <w:snapToGrid w:val="0"/>
              <w:jc w:val="center"/>
              <w:rPr>
                <w:rFonts w:hAnsi="仿宋" w:cs="仿宋"/>
                <w:color w:val="auto"/>
                <w:sz w:val="24"/>
                <w:szCs w:val="24"/>
              </w:rPr>
            </w:pPr>
          </w:p>
        </w:tc>
      </w:tr>
    </w:tbl>
    <w:p>
      <w:pPr>
        <w:adjustRightInd w:val="0"/>
        <w:snapToGrid w:val="0"/>
        <w:spacing w:before="60"/>
        <w:rPr>
          <w:rFonts w:ascii="楷体_GB2312" w:hAnsi="黑体" w:eastAsia="楷体_GB2312" w:cs="仿宋"/>
          <w:color w:val="auto"/>
          <w:sz w:val="24"/>
          <w:szCs w:val="24"/>
        </w:rPr>
      </w:pPr>
      <w:r>
        <w:rPr>
          <w:rFonts w:hint="eastAsia" w:ascii="楷体_GB2312" w:hAnsi="黑体" w:eastAsia="楷体_GB2312" w:cs="仿宋"/>
          <w:color w:val="auto"/>
          <w:sz w:val="24"/>
          <w:szCs w:val="24"/>
        </w:rPr>
        <w:t>注：对熟食专间操作人员全部检查，烹调间、消毒专间等场所人员予以抽查。</w:t>
      </w:r>
    </w:p>
    <w:p>
      <w:pPr>
        <w:widowControl/>
        <w:adjustRightInd w:val="0"/>
        <w:snapToGrid w:val="0"/>
        <w:spacing w:line="312" w:lineRule="auto"/>
        <w:rPr>
          <w:rFonts w:hAnsi="仿宋" w:cs="仿宋"/>
          <w:color w:val="auto"/>
          <w:sz w:val="28"/>
          <w:szCs w:val="28"/>
        </w:rPr>
      </w:pPr>
    </w:p>
    <w:p>
      <w:pPr>
        <w:widowControl/>
        <w:tabs>
          <w:tab w:val="left" w:pos="4536"/>
        </w:tabs>
        <w:adjustRightInd w:val="0"/>
        <w:snapToGrid w:val="0"/>
        <w:spacing w:line="312" w:lineRule="auto"/>
        <w:rPr>
          <w:rFonts w:hAnsi="仿宋" w:cs="仿宋"/>
          <w:color w:val="auto"/>
          <w:sz w:val="24"/>
          <w:szCs w:val="24"/>
        </w:rPr>
      </w:pPr>
      <w:r>
        <w:rPr>
          <w:rFonts w:hint="eastAsia" w:hAnsi="仿宋" w:cs="仿宋"/>
          <w:color w:val="auto"/>
          <w:sz w:val="24"/>
          <w:szCs w:val="24"/>
        </w:rPr>
        <w:t>接待单位负责人签名：　　　　　　　　　监督保障人员签名：　</w:t>
      </w:r>
    </w:p>
    <w:p>
      <w:pPr>
        <w:widowControl/>
        <w:adjustRightInd w:val="0"/>
        <w:snapToGrid w:val="0"/>
        <w:spacing w:line="312" w:lineRule="auto"/>
        <w:rPr>
          <w:rFonts w:hAnsi="仿宋" w:cs="仿宋"/>
          <w:color w:val="auto"/>
          <w:sz w:val="24"/>
          <w:szCs w:val="24"/>
        </w:rPr>
      </w:pPr>
    </w:p>
    <w:p>
      <w:pPr>
        <w:widowControl/>
        <w:tabs>
          <w:tab w:val="left" w:pos="4253"/>
          <w:tab w:val="left" w:pos="4395"/>
        </w:tabs>
        <w:adjustRightInd w:val="0"/>
        <w:snapToGrid w:val="0"/>
        <w:spacing w:line="312" w:lineRule="auto"/>
        <w:rPr>
          <w:rFonts w:hAnsi="仿宋" w:cs="仿宋"/>
          <w:color w:val="auto"/>
          <w:sz w:val="24"/>
          <w:szCs w:val="24"/>
        </w:rPr>
      </w:pPr>
      <w:r>
        <w:rPr>
          <w:rFonts w:hint="eastAsia" w:hAnsi="仿宋" w:cs="仿宋"/>
          <w:color w:val="auto"/>
          <w:sz w:val="24"/>
          <w:szCs w:val="24"/>
        </w:rPr>
        <w:t>　　　　　　　　　　　年　　月　　日　　　　　　　　　　　年　　月　　日</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.1.6　重大活动食谱及加工流程表</w:t>
      </w:r>
    </w:p>
    <w:p>
      <w:pPr>
        <w:adjustRightInd w:val="0"/>
        <w:snapToGrid w:val="0"/>
        <w:spacing w:before="120"/>
        <w:jc w:val="center"/>
        <w:rPr>
          <w:rFonts w:hAnsi="仿宋" w:cs="仿宋"/>
          <w:color w:val="auto"/>
          <w:sz w:val="28"/>
          <w:szCs w:val="28"/>
        </w:rPr>
      </w:pPr>
      <w:r>
        <w:rPr>
          <w:rFonts w:hint="eastAsia" w:hAnsi="仿宋" w:cs="仿宋"/>
          <w:color w:val="auto"/>
          <w:sz w:val="28"/>
          <w:szCs w:val="28"/>
        </w:rPr>
        <w:t>（供餐单位：</w:t>
      </w:r>
      <w:r>
        <w:rPr>
          <w:rFonts w:hint="eastAsia" w:hAnsi="仿宋" w:cs="仿宋"/>
          <w:color w:val="auto"/>
          <w:sz w:val="28"/>
          <w:szCs w:val="28"/>
          <w:u w:val="single"/>
        </w:rPr>
        <w:t>　　　　　　　　　　</w:t>
      </w:r>
      <w:r>
        <w:rPr>
          <w:rFonts w:hint="eastAsia" w:hAnsi="仿宋" w:cs="仿宋"/>
          <w:color w:val="auto"/>
          <w:sz w:val="28"/>
          <w:szCs w:val="28"/>
        </w:rPr>
        <w:t>）</w:t>
      </w:r>
    </w:p>
    <w:p>
      <w:pPr>
        <w:adjustRightInd w:val="0"/>
        <w:snapToGrid w:val="0"/>
        <w:rPr>
          <w:rFonts w:hAnsi="仿宋" w:cs="仿宋"/>
          <w:color w:val="auto"/>
          <w:sz w:val="28"/>
          <w:szCs w:val="28"/>
        </w:rPr>
      </w:pP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35"/>
        <w:gridCol w:w="1248"/>
        <w:gridCol w:w="1077"/>
        <w:gridCol w:w="1077"/>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35"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食谱</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名称</w:t>
            </w:r>
          </w:p>
        </w:tc>
        <w:tc>
          <w:tcPr>
            <w:tcW w:w="1248"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主要原料</w:t>
            </w:r>
          </w:p>
          <w:p>
            <w:pPr>
              <w:tabs>
                <w:tab w:val="left" w:pos="790"/>
                <w:tab w:val="left" w:pos="1264"/>
              </w:tabs>
              <w:overflowPunct w:val="0"/>
              <w:adjustRightInd w:val="0"/>
              <w:snapToGrid w:val="0"/>
              <w:ind w:left="-57" w:right="-57"/>
              <w:jc w:val="center"/>
              <w:rPr>
                <w:rFonts w:ascii="黑体" w:hAnsi="黑体" w:eastAsia="黑体"/>
                <w:color w:val="auto"/>
                <w:sz w:val="24"/>
                <w:szCs w:val="24"/>
              </w:rPr>
            </w:pPr>
            <w:r>
              <w:rPr>
                <w:rFonts w:hint="eastAsia" w:ascii="黑体" w:hAnsi="黑体" w:eastAsia="黑体"/>
                <w:color w:val="auto"/>
                <w:sz w:val="24"/>
                <w:szCs w:val="24"/>
              </w:rPr>
              <w:t>及包装状况</w:t>
            </w:r>
          </w:p>
        </w:tc>
        <w:tc>
          <w:tcPr>
            <w:tcW w:w="6462" w:type="dxa"/>
            <w:gridSpan w:val="6"/>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加工供应过程时间节点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135"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248"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粗加工</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切配</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热加工</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改刀</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运输贮存</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备餐供餐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5" w:type="dxa"/>
            <w:vAlign w:val="center"/>
          </w:tcPr>
          <w:p>
            <w:pPr>
              <w:tabs>
                <w:tab w:val="left" w:pos="790"/>
                <w:tab w:val="left" w:pos="1264"/>
              </w:tabs>
              <w:overflowPunct w:val="0"/>
              <w:adjustRightInd w:val="0"/>
              <w:snapToGrid w:val="0"/>
              <w:jc w:val="center"/>
              <w:rPr>
                <w:rFonts w:hAnsi="宋体"/>
                <w:color w:val="auto"/>
                <w:sz w:val="24"/>
                <w:szCs w:val="24"/>
              </w:rPr>
            </w:pPr>
          </w:p>
        </w:tc>
        <w:tc>
          <w:tcPr>
            <w:tcW w:w="1248"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r>
    </w:tbl>
    <w:p>
      <w:pPr>
        <w:widowControl/>
        <w:adjustRightInd w:val="0"/>
        <w:snapToGrid w:val="0"/>
        <w:spacing w:before="240" w:line="312" w:lineRule="auto"/>
        <w:rPr>
          <w:rFonts w:hAnsi="仿宋" w:cs="仿宋"/>
          <w:color w:val="auto"/>
          <w:sz w:val="28"/>
          <w:szCs w:val="28"/>
        </w:rPr>
      </w:pPr>
    </w:p>
    <w:p>
      <w:pPr>
        <w:widowControl/>
        <w:tabs>
          <w:tab w:val="left" w:pos="4536"/>
        </w:tabs>
        <w:adjustRightInd w:val="0"/>
        <w:snapToGrid w:val="0"/>
        <w:spacing w:line="312" w:lineRule="auto"/>
        <w:rPr>
          <w:rFonts w:hAnsi="仿宋" w:cs="仿宋"/>
          <w:color w:val="auto"/>
          <w:sz w:val="24"/>
          <w:szCs w:val="24"/>
        </w:rPr>
      </w:pPr>
      <w:r>
        <w:rPr>
          <w:rFonts w:hint="eastAsia" w:hAnsi="仿宋" w:cs="仿宋"/>
          <w:color w:val="auto"/>
          <w:sz w:val="24"/>
          <w:szCs w:val="24"/>
        </w:rPr>
        <w:t>接待单位负责人签名：　　　　　　　　　监督保障人员签名：　</w:t>
      </w:r>
    </w:p>
    <w:p>
      <w:pPr>
        <w:widowControl/>
        <w:adjustRightInd w:val="0"/>
        <w:snapToGrid w:val="0"/>
        <w:spacing w:line="312" w:lineRule="auto"/>
        <w:rPr>
          <w:rFonts w:hAnsi="仿宋" w:cs="仿宋"/>
          <w:color w:val="auto"/>
          <w:sz w:val="24"/>
          <w:szCs w:val="24"/>
        </w:rPr>
      </w:pPr>
    </w:p>
    <w:p>
      <w:pPr>
        <w:widowControl/>
        <w:tabs>
          <w:tab w:val="left" w:pos="4253"/>
          <w:tab w:val="left" w:pos="4395"/>
        </w:tabs>
        <w:adjustRightInd w:val="0"/>
        <w:snapToGrid w:val="0"/>
        <w:spacing w:line="312" w:lineRule="auto"/>
        <w:rPr>
          <w:rFonts w:hAnsi="仿宋" w:cs="仿宋"/>
          <w:color w:val="auto"/>
          <w:sz w:val="28"/>
          <w:szCs w:val="28"/>
        </w:rPr>
      </w:pPr>
      <w:r>
        <w:rPr>
          <w:rFonts w:hint="eastAsia" w:hAnsi="仿宋" w:cs="仿宋"/>
          <w:color w:val="auto"/>
          <w:sz w:val="24"/>
          <w:szCs w:val="24"/>
        </w:rPr>
        <w:t>　　　　　　　　　　　年　　月　　日　　　　　　　　　　　年　　月　　日</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sectPr>
          <w:headerReference r:id="rId3" w:type="default"/>
          <w:footerReference r:id="rId5" w:type="default"/>
          <w:headerReference r:id="rId4" w:type="even"/>
          <w:footerReference r:id="rId6" w:type="even"/>
          <w:pgSz w:w="11907" w:h="16840"/>
          <w:pgMar w:top="2098" w:right="1474" w:bottom="1985" w:left="1588" w:header="851" w:footer="1418" w:gutter="0"/>
          <w:cols w:space="425" w:num="1"/>
          <w:docGrid w:type="linesAndChars" w:linePitch="579" w:charSpace="-842"/>
        </w:sectPr>
      </w:pP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.1.7　重大活动食品原料索证与快速检测记录表</w:t>
      </w:r>
    </w:p>
    <w:p>
      <w:pPr>
        <w:adjustRightInd w:val="0"/>
        <w:snapToGrid w:val="0"/>
        <w:spacing w:before="120"/>
        <w:jc w:val="center"/>
        <w:rPr>
          <w:rFonts w:hAnsi="仿宋" w:cs="仿宋"/>
          <w:color w:val="auto"/>
          <w:sz w:val="28"/>
          <w:szCs w:val="28"/>
        </w:rPr>
      </w:pPr>
      <w:r>
        <w:rPr>
          <w:rFonts w:hint="eastAsia" w:hAnsi="仿宋" w:cs="仿宋"/>
          <w:color w:val="auto"/>
          <w:sz w:val="28"/>
          <w:szCs w:val="28"/>
        </w:rPr>
        <w:t>（供餐单位：</w:t>
      </w:r>
      <w:r>
        <w:rPr>
          <w:rFonts w:hint="eastAsia" w:hAnsi="仿宋" w:cs="仿宋"/>
          <w:color w:val="auto"/>
          <w:sz w:val="28"/>
          <w:szCs w:val="28"/>
          <w:u w:val="single"/>
        </w:rPr>
        <w:t>　　　　　　　　　　</w:t>
      </w:r>
      <w:r>
        <w:rPr>
          <w:rFonts w:hint="eastAsia" w:hAnsi="仿宋" w:cs="仿宋"/>
          <w:color w:val="auto"/>
          <w:sz w:val="28"/>
          <w:szCs w:val="28"/>
        </w:rPr>
        <w:t>）</w:t>
      </w:r>
    </w:p>
    <w:p>
      <w:pPr>
        <w:adjustRightInd w:val="0"/>
        <w:snapToGrid w:val="0"/>
        <w:rPr>
          <w:rFonts w:hAnsi="仿宋" w:cs="仿宋"/>
          <w:color w:val="auto"/>
          <w:sz w:val="28"/>
          <w:szCs w:val="28"/>
        </w:rPr>
      </w:pPr>
    </w:p>
    <w:tbl>
      <w:tblPr>
        <w:tblStyle w:val="16"/>
        <w:tblW w:w="12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18"/>
        <w:gridCol w:w="1415"/>
        <w:gridCol w:w="962"/>
        <w:gridCol w:w="1246"/>
        <w:gridCol w:w="1077"/>
        <w:gridCol w:w="1077"/>
        <w:gridCol w:w="1077"/>
        <w:gridCol w:w="1077"/>
        <w:gridCol w:w="1417"/>
        <w:gridCol w:w="1077"/>
        <w:gridCol w:w="679"/>
        <w:gridCol w:w="67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018"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采购</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日期</w:t>
            </w:r>
          </w:p>
        </w:tc>
        <w:tc>
          <w:tcPr>
            <w:tcW w:w="1415"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食品原料</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名称（品牌）</w:t>
            </w:r>
          </w:p>
        </w:tc>
        <w:tc>
          <w:tcPr>
            <w:tcW w:w="962"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数量</w:t>
            </w:r>
          </w:p>
        </w:tc>
        <w:tc>
          <w:tcPr>
            <w:tcW w:w="1246"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规格</w:t>
            </w:r>
          </w:p>
          <w:p>
            <w:pPr>
              <w:tabs>
                <w:tab w:val="left" w:pos="790"/>
                <w:tab w:val="left" w:pos="1264"/>
              </w:tabs>
              <w:overflowPunct w:val="0"/>
              <w:adjustRightInd w:val="0"/>
              <w:snapToGrid w:val="0"/>
              <w:ind w:left="-113" w:right="-57"/>
              <w:jc w:val="center"/>
              <w:rPr>
                <w:rFonts w:ascii="黑体" w:hAnsi="黑体" w:eastAsia="黑体"/>
                <w:color w:val="auto"/>
                <w:spacing w:val="-6"/>
                <w:sz w:val="24"/>
                <w:szCs w:val="24"/>
              </w:rPr>
            </w:pPr>
            <w:r>
              <w:rPr>
                <w:rFonts w:hint="eastAsia" w:ascii="黑体" w:hAnsi="黑体" w:eastAsia="黑体"/>
                <w:color w:val="auto"/>
                <w:spacing w:val="-6"/>
                <w:sz w:val="24"/>
                <w:szCs w:val="24"/>
              </w:rPr>
              <w:t>（包装状况）</w:t>
            </w:r>
          </w:p>
        </w:tc>
        <w:tc>
          <w:tcPr>
            <w:tcW w:w="2154" w:type="dxa"/>
            <w:gridSpan w:val="2"/>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供应商</w:t>
            </w:r>
          </w:p>
        </w:tc>
        <w:tc>
          <w:tcPr>
            <w:tcW w:w="2154" w:type="dxa"/>
            <w:gridSpan w:val="2"/>
            <w:vAlign w:val="center"/>
          </w:tcPr>
          <w:p>
            <w:pPr>
              <w:tabs>
                <w:tab w:val="left" w:pos="790"/>
                <w:tab w:val="left" w:pos="1264"/>
              </w:tabs>
              <w:overflowPunct w:val="0"/>
              <w:adjustRightInd w:val="0"/>
              <w:snapToGrid w:val="0"/>
              <w:ind w:left="-57" w:right="-57"/>
              <w:jc w:val="center"/>
              <w:rPr>
                <w:rFonts w:ascii="黑体" w:hAnsi="黑体" w:eastAsia="黑体"/>
                <w:color w:val="auto"/>
                <w:spacing w:val="-4"/>
                <w:w w:val="90"/>
                <w:sz w:val="24"/>
                <w:szCs w:val="24"/>
              </w:rPr>
            </w:pPr>
            <w:r>
              <w:rPr>
                <w:rFonts w:hint="eastAsia" w:ascii="黑体" w:hAnsi="黑体" w:eastAsia="黑体"/>
                <w:color w:val="auto"/>
                <w:spacing w:val="-4"/>
                <w:w w:val="90"/>
                <w:sz w:val="24"/>
                <w:szCs w:val="24"/>
              </w:rPr>
              <w:t>生产单位或进口代理商</w:t>
            </w:r>
          </w:p>
        </w:tc>
        <w:tc>
          <w:tcPr>
            <w:tcW w:w="1417"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索证材料</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pacing w:val="-4"/>
                <w:w w:val="90"/>
                <w:sz w:val="24"/>
                <w:szCs w:val="24"/>
              </w:rPr>
              <w:t>（请附上所有材料复印件）</w:t>
            </w:r>
          </w:p>
        </w:tc>
        <w:tc>
          <w:tcPr>
            <w:tcW w:w="2448" w:type="dxa"/>
            <w:gridSpan w:val="4"/>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快速检测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397" w:hRule="atLeast"/>
          <w:jc w:val="center"/>
        </w:trPr>
        <w:tc>
          <w:tcPr>
            <w:tcW w:w="1018"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415"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962"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246"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单位名称</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联系方式</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单位名称</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联系方式</w:t>
            </w:r>
          </w:p>
        </w:tc>
        <w:tc>
          <w:tcPr>
            <w:tcW w:w="1417"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项目</w:t>
            </w:r>
          </w:p>
        </w:tc>
        <w:tc>
          <w:tcPr>
            <w:tcW w:w="679"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件数</w:t>
            </w:r>
          </w:p>
        </w:tc>
        <w:tc>
          <w:tcPr>
            <w:tcW w:w="679"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合格</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3" w:type="dxa"/>
          <w:cantSplit/>
          <w:trHeight w:val="567" w:hRule="atLeast"/>
          <w:jc w:val="center"/>
        </w:trPr>
        <w:tc>
          <w:tcPr>
            <w:tcW w:w="1018" w:type="dxa"/>
            <w:vAlign w:val="center"/>
          </w:tcPr>
          <w:p>
            <w:pPr>
              <w:tabs>
                <w:tab w:val="left" w:pos="790"/>
                <w:tab w:val="left" w:pos="1264"/>
              </w:tabs>
              <w:overflowPunct w:val="0"/>
              <w:adjustRightInd w:val="0"/>
              <w:snapToGrid w:val="0"/>
              <w:jc w:val="center"/>
              <w:rPr>
                <w:rFonts w:hAnsi="宋体"/>
                <w:color w:val="auto"/>
                <w:sz w:val="24"/>
                <w:szCs w:val="24"/>
              </w:rPr>
            </w:pPr>
          </w:p>
        </w:tc>
        <w:tc>
          <w:tcPr>
            <w:tcW w:w="1415" w:type="dxa"/>
            <w:vAlign w:val="center"/>
          </w:tcPr>
          <w:p>
            <w:pPr>
              <w:tabs>
                <w:tab w:val="left" w:pos="790"/>
                <w:tab w:val="left" w:pos="1264"/>
              </w:tabs>
              <w:overflowPunct w:val="0"/>
              <w:adjustRightInd w:val="0"/>
              <w:snapToGrid w:val="0"/>
              <w:jc w:val="center"/>
              <w:rPr>
                <w:rFonts w:hAnsi="宋体"/>
                <w:color w:val="auto"/>
                <w:sz w:val="24"/>
                <w:szCs w:val="24"/>
              </w:rPr>
            </w:pPr>
          </w:p>
        </w:tc>
        <w:tc>
          <w:tcPr>
            <w:tcW w:w="962" w:type="dxa"/>
            <w:vAlign w:val="center"/>
          </w:tcPr>
          <w:p>
            <w:pPr>
              <w:tabs>
                <w:tab w:val="left" w:pos="790"/>
                <w:tab w:val="left" w:pos="1264"/>
              </w:tabs>
              <w:overflowPunct w:val="0"/>
              <w:adjustRightInd w:val="0"/>
              <w:snapToGrid w:val="0"/>
              <w:jc w:val="center"/>
              <w:rPr>
                <w:rFonts w:hAnsi="宋体"/>
                <w:color w:val="auto"/>
                <w:sz w:val="24"/>
                <w:szCs w:val="24"/>
              </w:rPr>
            </w:pPr>
          </w:p>
        </w:tc>
        <w:tc>
          <w:tcPr>
            <w:tcW w:w="1246"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41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c>
          <w:tcPr>
            <w:tcW w:w="679" w:type="dxa"/>
            <w:vAlign w:val="center"/>
          </w:tcPr>
          <w:p>
            <w:pPr>
              <w:tabs>
                <w:tab w:val="left" w:pos="790"/>
                <w:tab w:val="left" w:pos="1264"/>
              </w:tabs>
              <w:overflowPunct w:val="0"/>
              <w:adjustRightInd w:val="0"/>
              <w:snapToGrid w:val="0"/>
              <w:jc w:val="center"/>
              <w:rPr>
                <w:rFonts w:hAnsi="宋体"/>
                <w:color w:val="auto"/>
                <w:sz w:val="24"/>
                <w:szCs w:val="24"/>
              </w:rPr>
            </w:pPr>
          </w:p>
        </w:tc>
      </w:tr>
    </w:tbl>
    <w:p>
      <w:pPr>
        <w:adjustRightInd w:val="0"/>
        <w:snapToGrid w:val="0"/>
        <w:spacing w:before="60"/>
        <w:ind w:left="480" w:hanging="480"/>
        <w:rPr>
          <w:rFonts w:ascii="楷体_GB2312" w:hAnsi="黑体" w:eastAsia="楷体_GB2312" w:cs="仿宋"/>
          <w:color w:val="auto"/>
          <w:sz w:val="24"/>
          <w:szCs w:val="24"/>
        </w:rPr>
      </w:pPr>
      <w:r>
        <w:rPr>
          <w:rFonts w:hint="eastAsia" w:ascii="楷体_GB2312" w:hAnsi="黑体" w:eastAsia="楷体_GB2312" w:cs="仿宋"/>
          <w:color w:val="auto"/>
          <w:sz w:val="24"/>
          <w:szCs w:val="24"/>
        </w:rPr>
        <w:t>注：索证内容包括供应单位和生产单位营业执照和食品许可证；产品检验合格证；肉品检疫合格证明、检疫标识、肉品品质检验合格证明；进口食品检验检疫证书；豆制品送货单；购货发票和清单。</w:t>
      </w:r>
    </w:p>
    <w:p>
      <w:pPr>
        <w:widowControl/>
        <w:tabs>
          <w:tab w:val="left" w:pos="4253"/>
          <w:tab w:val="left" w:pos="4395"/>
        </w:tabs>
        <w:adjustRightInd w:val="0"/>
        <w:snapToGrid w:val="0"/>
        <w:spacing w:line="240" w:lineRule="exact"/>
        <w:rPr>
          <w:rFonts w:hAnsi="仿宋" w:cs="仿宋"/>
          <w:color w:val="auto"/>
          <w:sz w:val="28"/>
          <w:szCs w:val="28"/>
        </w:rPr>
      </w:pPr>
    </w:p>
    <w:p>
      <w:pPr>
        <w:keepNext w:val="0"/>
        <w:keepLines w:val="0"/>
        <w:pageBreakBefore w:val="0"/>
        <w:widowControl/>
        <w:tabs>
          <w:tab w:val="left" w:pos="4253"/>
          <w:tab w:val="left" w:pos="4395"/>
        </w:tabs>
        <w:kinsoku/>
        <w:wordWrap/>
        <w:overflowPunct/>
        <w:topLinePunct w:val="0"/>
        <w:autoSpaceDE/>
        <w:autoSpaceDN/>
        <w:bidi w:val="0"/>
        <w:adjustRightInd w:val="0"/>
        <w:snapToGrid w:val="0"/>
        <w:spacing w:line="240" w:lineRule="exact"/>
        <w:textAlignment w:val="auto"/>
        <w:rPr>
          <w:rFonts w:hAnsi="仿宋" w:cs="仿宋"/>
          <w:color w:val="auto"/>
          <w:sz w:val="24"/>
          <w:szCs w:val="24"/>
        </w:rPr>
      </w:pPr>
      <w:r>
        <w:rPr>
          <w:rFonts w:hint="eastAsia" w:hAnsi="仿宋" w:cs="仿宋"/>
          <w:color w:val="auto"/>
          <w:sz w:val="24"/>
          <w:szCs w:val="24"/>
        </w:rPr>
        <w:t>接待单位负责人签名：　　　　　　　　　　　　　　监督保障人员签名：　　</w:t>
      </w:r>
    </w:p>
    <w:p>
      <w:pPr>
        <w:widowControl/>
        <w:tabs>
          <w:tab w:val="left" w:pos="4253"/>
          <w:tab w:val="left" w:pos="4395"/>
        </w:tabs>
        <w:adjustRightInd w:val="0"/>
        <w:snapToGrid w:val="0"/>
        <w:spacing w:line="312" w:lineRule="auto"/>
        <w:rPr>
          <w:rFonts w:hint="eastAsia" w:hAnsi="仿宋" w:cs="仿宋"/>
          <w:color w:val="auto"/>
          <w:sz w:val="24"/>
          <w:szCs w:val="24"/>
        </w:rPr>
      </w:pPr>
      <w:r>
        <w:rPr>
          <w:rFonts w:hint="eastAsia" w:hAnsi="仿宋" w:cs="仿宋"/>
          <w:color w:val="auto"/>
          <w:sz w:val="24"/>
          <w:szCs w:val="24"/>
        </w:rPr>
        <w:t>　</w:t>
      </w:r>
      <w:r>
        <w:rPr>
          <w:rFonts w:hint="eastAsia" w:hAnsi="仿宋" w:cs="仿宋"/>
          <w:color w:val="auto"/>
          <w:sz w:val="24"/>
          <w:szCs w:val="24"/>
          <w:lang w:val="en-US" w:eastAsia="zh-CN"/>
        </w:rPr>
        <w:t xml:space="preserve">                     </w:t>
      </w:r>
      <w:r>
        <w:rPr>
          <w:rFonts w:hint="eastAsia" w:hAnsi="仿宋" w:cs="仿宋"/>
          <w:color w:val="auto"/>
          <w:sz w:val="24"/>
          <w:szCs w:val="24"/>
        </w:rPr>
        <w:t>年　　月　　日　　　　　　　　　　　　　　　　年　　月　　日</w:t>
      </w:r>
    </w:p>
    <w:p>
      <w:pPr>
        <w:rPr>
          <w:rFonts w:hint="eastAsia" w:hAnsi="仿宋" w:cs="仿宋"/>
          <w:color w:val="auto"/>
          <w:sz w:val="24"/>
          <w:szCs w:val="24"/>
        </w:rPr>
      </w:pPr>
      <w:r>
        <w:rPr>
          <w:rFonts w:hint="eastAsia" w:hAnsi="仿宋" w:cs="仿宋"/>
          <w:color w:val="auto"/>
          <w:sz w:val="24"/>
          <w:szCs w:val="24"/>
        </w:rPr>
        <w:br w:type="page"/>
      </w:r>
    </w:p>
    <w:p>
      <w:pPr>
        <w:widowControl/>
        <w:spacing w:line="336" w:lineRule="auto"/>
        <w:ind w:firstLine="480" w:firstLineChars="200"/>
        <w:rPr>
          <w:rFonts w:hAnsi="仿宋" w:cs="仿宋"/>
          <w:color w:val="auto"/>
          <w:kern w:val="0"/>
          <w:sz w:val="24"/>
          <w:szCs w:val="24"/>
        </w:rPr>
        <w:sectPr>
          <w:headerReference r:id="rId7" w:type="default"/>
          <w:footerReference r:id="rId8" w:type="default"/>
          <w:pgSz w:w="16840" w:h="11907" w:orient="landscape"/>
          <w:pgMar w:top="1588" w:right="2098" w:bottom="1474" w:left="1985" w:header="851" w:footer="907" w:gutter="0"/>
          <w:cols w:space="425" w:num="1"/>
          <w:docGrid w:type="lines" w:linePitch="579" w:charSpace="-842"/>
        </w:sectPr>
      </w:pPr>
    </w:p>
    <w:p>
      <w:pPr>
        <w:tabs>
          <w:tab w:val="left" w:pos="790"/>
          <w:tab w:val="left" w:pos="1264"/>
        </w:tabs>
        <w:overflowPunct w:val="0"/>
        <w:adjustRightInd w:val="0"/>
        <w:snapToGrid w:val="0"/>
        <w:ind w:left="-140" w:leftChars="-68" w:right="-226" w:rightChars="-11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.1.8　重大活动食品安全现场监督检查表</w:t>
      </w:r>
    </w:p>
    <w:p>
      <w:pPr>
        <w:adjustRightInd w:val="0"/>
        <w:snapToGrid w:val="0"/>
        <w:ind w:left="-140" w:leftChars="-68" w:right="-226" w:rightChars="-110"/>
        <w:jc w:val="left"/>
        <w:rPr>
          <w:rFonts w:hAnsi="仿宋" w:cs="仿宋"/>
          <w:color w:val="auto"/>
          <w:sz w:val="24"/>
          <w:szCs w:val="24"/>
          <w:lang w:val="en-GB"/>
        </w:rPr>
      </w:pPr>
    </w:p>
    <w:p>
      <w:pPr>
        <w:adjustRightInd w:val="0"/>
        <w:snapToGrid w:val="0"/>
        <w:spacing w:line="312" w:lineRule="auto"/>
        <w:ind w:left="-140" w:leftChars="-68" w:right="-226" w:rightChars="-110"/>
        <w:jc w:val="left"/>
        <w:rPr>
          <w:rFonts w:hAnsi="仿宋" w:cs="仿宋"/>
          <w:color w:val="auto"/>
          <w:sz w:val="24"/>
          <w:szCs w:val="24"/>
          <w:u w:val="single"/>
        </w:rPr>
      </w:pPr>
      <w:r>
        <w:rPr>
          <w:rFonts w:hint="eastAsia" w:hAnsi="仿宋" w:cs="仿宋"/>
          <w:color w:val="auto"/>
          <w:sz w:val="24"/>
          <w:szCs w:val="24"/>
        </w:rPr>
        <w:t>重大活动名称：</w:t>
      </w:r>
      <w:r>
        <w:rPr>
          <w:rFonts w:hint="eastAsia" w:hAnsi="仿宋" w:cs="仿宋"/>
          <w:color w:val="auto"/>
          <w:sz w:val="24"/>
          <w:szCs w:val="24"/>
          <w:u w:val="single"/>
        </w:rPr>
        <w:t xml:space="preserve">　　　　　　　　　　　　　　　　　　　　　　　　　　　　　 </w:t>
      </w:r>
      <w:r>
        <w:rPr>
          <w:rFonts w:hint="eastAsia" w:hAnsi="仿宋" w:cs="仿宋"/>
          <w:color w:val="auto"/>
          <w:sz w:val="24"/>
          <w:szCs w:val="24"/>
        </w:rPr>
        <w:t>；</w:t>
      </w:r>
    </w:p>
    <w:p>
      <w:pPr>
        <w:adjustRightInd w:val="0"/>
        <w:snapToGrid w:val="0"/>
        <w:spacing w:line="312" w:lineRule="auto"/>
        <w:ind w:left="-140" w:leftChars="-68" w:right="-226" w:rightChars="-110"/>
        <w:jc w:val="left"/>
        <w:rPr>
          <w:rFonts w:hAnsi="仿宋" w:cs="仿宋"/>
          <w:color w:val="auto"/>
          <w:sz w:val="24"/>
          <w:szCs w:val="24"/>
        </w:rPr>
      </w:pPr>
      <w:r>
        <w:rPr>
          <w:rFonts w:hint="eastAsia" w:hAnsi="仿宋" w:cs="仿宋"/>
          <w:color w:val="auto"/>
          <w:sz w:val="24"/>
          <w:szCs w:val="24"/>
        </w:rPr>
        <w:t>加工供餐单位名称：</w:t>
      </w:r>
      <w:r>
        <w:rPr>
          <w:rFonts w:hint="eastAsia" w:hAnsi="仿宋" w:cs="仿宋"/>
          <w:color w:val="auto"/>
          <w:sz w:val="24"/>
          <w:szCs w:val="24"/>
          <w:u w:val="single"/>
        </w:rPr>
        <w:t>　　　　　　　　　　</w:t>
      </w:r>
      <w:r>
        <w:rPr>
          <w:rFonts w:hint="eastAsia" w:hAnsi="仿宋" w:cs="仿宋"/>
          <w:color w:val="auto"/>
          <w:sz w:val="24"/>
          <w:szCs w:val="24"/>
        </w:rPr>
        <w:t>；加工点地址：</w:t>
      </w:r>
      <w:r>
        <w:rPr>
          <w:rFonts w:hint="eastAsia" w:hAnsi="仿宋" w:cs="仿宋"/>
          <w:color w:val="auto"/>
          <w:sz w:val="24"/>
          <w:szCs w:val="24"/>
          <w:u w:val="single"/>
        </w:rPr>
        <w:t xml:space="preserve">　　　　　　　　　　 </w:t>
      </w:r>
      <w:r>
        <w:rPr>
          <w:rFonts w:hint="eastAsia" w:hAnsi="仿宋" w:cs="仿宋"/>
          <w:color w:val="auto"/>
          <w:sz w:val="24"/>
          <w:szCs w:val="24"/>
        </w:rPr>
        <w:t>；</w:t>
      </w:r>
    </w:p>
    <w:p>
      <w:pPr>
        <w:adjustRightInd w:val="0"/>
        <w:snapToGrid w:val="0"/>
        <w:spacing w:line="312" w:lineRule="auto"/>
        <w:ind w:left="-140" w:leftChars="-68" w:right="-226" w:rightChars="-110"/>
        <w:jc w:val="left"/>
        <w:rPr>
          <w:rFonts w:hAnsi="仿宋" w:cs="仿宋"/>
          <w:color w:val="auto"/>
          <w:sz w:val="24"/>
          <w:szCs w:val="24"/>
        </w:rPr>
      </w:pPr>
      <w:r>
        <w:rPr>
          <w:rFonts w:hint="eastAsia" w:hAnsi="仿宋" w:cs="仿宋"/>
          <w:color w:val="auto"/>
          <w:sz w:val="24"/>
          <w:szCs w:val="24"/>
        </w:rPr>
        <w:t>供餐点名称：</w:t>
      </w:r>
      <w:r>
        <w:rPr>
          <w:rFonts w:hint="eastAsia" w:hAnsi="仿宋" w:cs="仿宋"/>
          <w:color w:val="auto"/>
          <w:sz w:val="24"/>
          <w:szCs w:val="24"/>
          <w:u w:val="single"/>
        </w:rPr>
        <w:t>　　　　　　　　　　　　　</w:t>
      </w:r>
      <w:r>
        <w:rPr>
          <w:rFonts w:hint="eastAsia" w:hAnsi="仿宋" w:cs="仿宋"/>
          <w:color w:val="auto"/>
          <w:sz w:val="24"/>
          <w:szCs w:val="24"/>
        </w:rPr>
        <w:t>；供餐点地址：</w:t>
      </w:r>
      <w:r>
        <w:rPr>
          <w:rFonts w:hint="eastAsia" w:hAnsi="仿宋" w:cs="仿宋"/>
          <w:color w:val="auto"/>
          <w:sz w:val="24"/>
          <w:szCs w:val="24"/>
          <w:u w:val="single"/>
        </w:rPr>
        <w:t xml:space="preserve">　　　　　　　　　　 </w:t>
      </w:r>
      <w:r>
        <w:rPr>
          <w:rFonts w:hint="eastAsia" w:hAnsi="仿宋" w:cs="仿宋"/>
          <w:color w:val="auto"/>
          <w:sz w:val="24"/>
          <w:szCs w:val="24"/>
        </w:rPr>
        <w:t>；</w:t>
      </w:r>
    </w:p>
    <w:p>
      <w:pPr>
        <w:adjustRightInd w:val="0"/>
        <w:snapToGrid w:val="0"/>
        <w:spacing w:line="312" w:lineRule="auto"/>
        <w:ind w:left="-140" w:leftChars="-68" w:right="-226" w:rightChars="-110"/>
        <w:jc w:val="left"/>
        <w:rPr>
          <w:rFonts w:hAnsi="仿宋" w:cs="仿宋"/>
          <w:color w:val="auto"/>
          <w:sz w:val="24"/>
          <w:szCs w:val="24"/>
          <w:u w:val="single"/>
        </w:rPr>
      </w:pPr>
      <w:r>
        <w:rPr>
          <w:rFonts w:hint="eastAsia" w:hAnsi="仿宋" w:cs="仿宋"/>
          <w:color w:val="auto"/>
          <w:sz w:val="24"/>
          <w:szCs w:val="24"/>
        </w:rPr>
        <w:t>检查地点地址：</w:t>
      </w:r>
      <w:r>
        <w:rPr>
          <w:rFonts w:hint="eastAsia" w:hAnsi="仿宋" w:cs="仿宋"/>
          <w:color w:val="auto"/>
          <w:sz w:val="24"/>
          <w:szCs w:val="24"/>
          <w:u w:val="single"/>
        </w:rPr>
        <w:t xml:space="preserve">　　　　　　　　　　　　　　　　　　　　　　　　　　　　　 </w:t>
      </w:r>
      <w:r>
        <w:rPr>
          <w:rFonts w:hint="eastAsia" w:hAnsi="仿宋" w:cs="仿宋"/>
          <w:color w:val="auto"/>
          <w:sz w:val="24"/>
          <w:szCs w:val="24"/>
        </w:rPr>
        <w:t>；</w:t>
      </w:r>
    </w:p>
    <w:p>
      <w:pPr>
        <w:tabs>
          <w:tab w:val="left" w:pos="5025"/>
        </w:tabs>
        <w:adjustRightInd w:val="0"/>
        <w:snapToGrid w:val="0"/>
        <w:spacing w:line="312" w:lineRule="auto"/>
        <w:ind w:left="-140" w:leftChars="-68" w:right="-226" w:rightChars="-110"/>
        <w:jc w:val="left"/>
        <w:rPr>
          <w:rFonts w:hAnsi="仿宋" w:cs="仿宋"/>
          <w:color w:val="auto"/>
          <w:sz w:val="24"/>
          <w:szCs w:val="24"/>
          <w:u w:val="single"/>
        </w:rPr>
      </w:pPr>
      <w:r>
        <w:rPr>
          <w:rFonts w:hint="eastAsia" w:hAnsi="仿宋" w:cs="仿宋"/>
          <w:color w:val="auto"/>
          <w:sz w:val="24"/>
          <w:szCs w:val="24"/>
        </w:rPr>
        <w:t>检查时间：</w:t>
      </w:r>
      <w:r>
        <w:rPr>
          <w:rFonts w:hint="eastAsia" w:hAnsi="仿宋" w:cs="仿宋"/>
          <w:color w:val="auto"/>
          <w:sz w:val="24"/>
          <w:szCs w:val="24"/>
          <w:u w:val="single"/>
        </w:rPr>
        <w:t xml:space="preserve">　　　　　　　　　　　　　　　　　　　　　　　　　　　　　　　 </w:t>
      </w:r>
      <w:r>
        <w:rPr>
          <w:rFonts w:hint="eastAsia" w:hAnsi="仿宋" w:cs="仿宋"/>
          <w:color w:val="auto"/>
          <w:sz w:val="24"/>
          <w:szCs w:val="24"/>
        </w:rPr>
        <w:t>。</w:t>
      </w:r>
    </w:p>
    <w:p>
      <w:pPr>
        <w:adjustRightInd w:val="0"/>
        <w:snapToGrid w:val="0"/>
        <w:spacing w:line="312" w:lineRule="auto"/>
        <w:ind w:left="-140" w:leftChars="-68" w:right="-226" w:rightChars="-110"/>
        <w:jc w:val="left"/>
        <w:rPr>
          <w:rFonts w:hAnsi="仿宋" w:cs="仿宋"/>
          <w:color w:val="auto"/>
          <w:sz w:val="24"/>
          <w:szCs w:val="24"/>
        </w:rPr>
      </w:pPr>
      <w:r>
        <w:rPr>
          <w:rFonts w:hint="eastAsia" w:hAnsi="仿宋" w:cs="仿宋"/>
          <w:color w:val="auto"/>
          <w:sz w:val="24"/>
          <w:szCs w:val="24"/>
        </w:rPr>
        <w:t>餐次：早餐（　　）、午餐（　　）、晚餐（　　）、夜宵（　　）、茶歇（　　）；</w:t>
      </w:r>
    </w:p>
    <w:p>
      <w:pPr>
        <w:adjustRightInd w:val="0"/>
        <w:snapToGrid w:val="0"/>
        <w:spacing w:after="120" w:line="312" w:lineRule="auto"/>
        <w:ind w:left="-140" w:leftChars="-68" w:right="-226" w:rightChars="-110"/>
        <w:jc w:val="left"/>
        <w:rPr>
          <w:rFonts w:hAnsi="仿宋" w:cs="仿宋"/>
          <w:color w:val="auto"/>
          <w:sz w:val="24"/>
          <w:szCs w:val="24"/>
        </w:rPr>
      </w:pPr>
      <w:r>
        <w:rPr>
          <w:rFonts w:hint="eastAsia" w:hAnsi="仿宋" w:cs="仿宋"/>
          <w:color w:val="auto"/>
          <w:sz w:val="24"/>
          <w:szCs w:val="24"/>
        </w:rPr>
        <w:t>供餐方式：自助餐（　　）、圆桌（　　）、分食（　　）、盒饭（　　）、桶饭（　　）；供餐人数：</w:t>
      </w:r>
      <w:r>
        <w:rPr>
          <w:rFonts w:hint="eastAsia" w:hAnsi="仿宋" w:cs="仿宋"/>
          <w:color w:val="auto"/>
          <w:sz w:val="24"/>
          <w:szCs w:val="24"/>
          <w:u w:val="single"/>
        </w:rPr>
        <w:t>　　　　</w:t>
      </w:r>
      <w:r>
        <w:rPr>
          <w:rFonts w:hint="eastAsia" w:hAnsi="仿宋" w:cs="仿宋"/>
          <w:color w:val="auto"/>
          <w:sz w:val="24"/>
          <w:szCs w:val="24"/>
        </w:rPr>
        <w:t>人份；食品销售：</w:t>
      </w:r>
      <w:r>
        <w:rPr>
          <w:rFonts w:hint="eastAsia" w:hAnsi="仿宋" w:cs="仿宋"/>
          <w:color w:val="auto"/>
          <w:sz w:val="24"/>
          <w:szCs w:val="24"/>
          <w:u w:val="single"/>
        </w:rPr>
        <w:t>　　　　</w:t>
      </w:r>
      <w:r>
        <w:rPr>
          <w:rFonts w:hint="eastAsia" w:hAnsi="仿宋" w:cs="仿宋"/>
          <w:color w:val="auto"/>
          <w:sz w:val="24"/>
          <w:szCs w:val="24"/>
        </w:rPr>
        <w:t>份；自带食品：</w:t>
      </w:r>
      <w:r>
        <w:rPr>
          <w:rFonts w:hint="eastAsia" w:hAnsi="仿宋" w:cs="仿宋"/>
          <w:color w:val="auto"/>
          <w:sz w:val="24"/>
          <w:szCs w:val="24"/>
          <w:u w:val="single"/>
        </w:rPr>
        <w:t>　　　　</w:t>
      </w:r>
      <w:r>
        <w:rPr>
          <w:rFonts w:hint="eastAsia" w:hAnsi="仿宋" w:cs="仿宋"/>
          <w:color w:val="auto"/>
          <w:sz w:val="24"/>
          <w:szCs w:val="24"/>
        </w:rPr>
        <w:t>份。</w:t>
      </w:r>
    </w:p>
    <w:tbl>
      <w:tblPr>
        <w:tblStyle w:val="16"/>
        <w:tblW w:w="9381" w:type="dxa"/>
        <w:jc w:val="right"/>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57" w:type="dxa"/>
          <w:bottom w:w="0" w:type="dxa"/>
          <w:right w:w="57" w:type="dxa"/>
        </w:tblCellMar>
      </w:tblPr>
      <w:tblGrid>
        <w:gridCol w:w="1287"/>
        <w:gridCol w:w="660"/>
        <w:gridCol w:w="5796"/>
        <w:gridCol w:w="16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tblHeader/>
          <w:jc w:val="right"/>
        </w:trPr>
        <w:tc>
          <w:tcPr>
            <w:tcW w:w="1287" w:type="dxa"/>
            <w:vAlign w:val="center"/>
          </w:tcPr>
          <w:p>
            <w:pPr>
              <w:tabs>
                <w:tab w:val="left" w:pos="790"/>
                <w:tab w:val="left" w:pos="1264"/>
              </w:tabs>
              <w:overflowPunct w:val="0"/>
              <w:adjustRightInd w:val="0"/>
              <w:snapToGrid w:val="0"/>
              <w:ind w:left="-140" w:leftChars="-68" w:right="-226" w:rightChars="-110"/>
              <w:jc w:val="center"/>
              <w:rPr>
                <w:rFonts w:ascii="黑体" w:hAnsi="黑体" w:eastAsia="黑体"/>
                <w:color w:val="auto"/>
                <w:sz w:val="24"/>
                <w:szCs w:val="24"/>
              </w:rPr>
            </w:pPr>
            <w:r>
              <w:rPr>
                <w:rFonts w:hint="eastAsia" w:ascii="黑体" w:hAnsi="黑体" w:eastAsia="黑体"/>
                <w:color w:val="auto"/>
                <w:sz w:val="24"/>
                <w:szCs w:val="24"/>
              </w:rPr>
              <w:t>检查项目</w:t>
            </w:r>
          </w:p>
        </w:tc>
        <w:tc>
          <w:tcPr>
            <w:tcW w:w="660" w:type="dxa"/>
            <w:vAlign w:val="center"/>
          </w:tcPr>
          <w:p>
            <w:pPr>
              <w:tabs>
                <w:tab w:val="left" w:pos="790"/>
                <w:tab w:val="left" w:pos="1264"/>
              </w:tabs>
              <w:overflowPunct w:val="0"/>
              <w:adjustRightInd w:val="0"/>
              <w:snapToGrid w:val="0"/>
              <w:ind w:left="-140" w:leftChars="-68" w:right="-226" w:rightChars="-110"/>
              <w:jc w:val="center"/>
              <w:rPr>
                <w:rFonts w:ascii="黑体" w:hAnsi="黑体" w:eastAsia="黑体"/>
                <w:color w:val="auto"/>
                <w:sz w:val="24"/>
                <w:szCs w:val="24"/>
              </w:rPr>
            </w:pPr>
            <w:r>
              <w:rPr>
                <w:rFonts w:hint="eastAsia" w:ascii="黑体" w:hAnsi="黑体" w:eastAsia="黑体"/>
                <w:color w:val="auto"/>
                <w:sz w:val="24"/>
                <w:szCs w:val="24"/>
              </w:rPr>
              <w:t>代码</w:t>
            </w:r>
          </w:p>
        </w:tc>
        <w:tc>
          <w:tcPr>
            <w:tcW w:w="5796" w:type="dxa"/>
            <w:vAlign w:val="center"/>
          </w:tcPr>
          <w:p>
            <w:pPr>
              <w:tabs>
                <w:tab w:val="left" w:pos="790"/>
                <w:tab w:val="left" w:pos="1264"/>
              </w:tabs>
              <w:overflowPunct w:val="0"/>
              <w:adjustRightInd w:val="0"/>
              <w:snapToGrid w:val="0"/>
              <w:ind w:left="-140" w:leftChars="-68" w:right="-226" w:rightChars="-110"/>
              <w:jc w:val="center"/>
              <w:rPr>
                <w:rFonts w:ascii="黑体" w:hAnsi="黑体" w:eastAsia="黑体"/>
                <w:color w:val="auto"/>
                <w:sz w:val="24"/>
                <w:szCs w:val="24"/>
              </w:rPr>
            </w:pPr>
            <w:r>
              <w:rPr>
                <w:rFonts w:hint="eastAsia" w:ascii="黑体" w:hAnsi="黑体" w:eastAsia="黑体"/>
                <w:color w:val="auto"/>
                <w:sz w:val="24"/>
                <w:szCs w:val="24"/>
              </w:rPr>
              <w:t>检查内容</w:t>
            </w:r>
          </w:p>
        </w:tc>
        <w:tc>
          <w:tcPr>
            <w:tcW w:w="1638" w:type="dxa"/>
            <w:vAlign w:val="center"/>
          </w:tcPr>
          <w:p>
            <w:pPr>
              <w:tabs>
                <w:tab w:val="left" w:pos="790"/>
                <w:tab w:val="left" w:pos="1264"/>
              </w:tabs>
              <w:overflowPunct w:val="0"/>
              <w:adjustRightInd w:val="0"/>
              <w:snapToGrid w:val="0"/>
              <w:ind w:left="-140" w:leftChars="-68" w:right="-226" w:rightChars="-110"/>
              <w:jc w:val="center"/>
              <w:rPr>
                <w:rFonts w:ascii="黑体" w:hAnsi="黑体" w:eastAsia="黑体"/>
                <w:color w:val="auto"/>
                <w:sz w:val="24"/>
                <w:szCs w:val="24"/>
              </w:rPr>
            </w:pPr>
            <w:r>
              <w:rPr>
                <w:rFonts w:hint="eastAsia" w:ascii="黑体" w:hAnsi="黑体" w:eastAsia="黑体"/>
                <w:color w:val="auto"/>
                <w:sz w:val="24"/>
                <w:szCs w:val="24"/>
              </w:rPr>
              <w:t>结果记录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1．原料</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安全</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1.1</w:t>
            </w:r>
          </w:p>
        </w:tc>
        <w:tc>
          <w:tcPr>
            <w:tcW w:w="5796" w:type="dxa"/>
            <w:vAlign w:val="center"/>
          </w:tcPr>
          <w:p>
            <w:pPr>
              <w:tabs>
                <w:tab w:val="left" w:pos="790"/>
                <w:tab w:val="left" w:pos="1264"/>
              </w:tabs>
              <w:overflowPunct w:val="0"/>
              <w:adjustRightInd w:val="0"/>
              <w:snapToGrid w:val="0"/>
              <w:ind w:left="-1" w:leftChars="0" w:right="-226" w:rightChars="-110" w:firstLine="0" w:firstLineChars="0"/>
              <w:jc w:val="both"/>
              <w:rPr>
                <w:rFonts w:hAnsi="宋体"/>
                <w:color w:val="auto"/>
                <w:sz w:val="24"/>
                <w:szCs w:val="24"/>
              </w:rPr>
            </w:pPr>
            <w:r>
              <w:rPr>
                <w:rFonts w:hint="eastAsia" w:hAnsi="宋体"/>
                <w:color w:val="auto"/>
                <w:sz w:val="24"/>
                <w:szCs w:val="24"/>
              </w:rPr>
              <w:t>食品原料经前期检查评估审核、快速检测合格。</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1.2</w:t>
            </w:r>
          </w:p>
        </w:tc>
        <w:tc>
          <w:tcPr>
            <w:tcW w:w="5796" w:type="dxa"/>
            <w:vAlign w:val="center"/>
          </w:tcPr>
          <w:p>
            <w:pPr>
              <w:tabs>
                <w:tab w:val="left" w:pos="790"/>
                <w:tab w:val="left" w:pos="1264"/>
              </w:tabs>
              <w:overflowPunct w:val="0"/>
              <w:adjustRightInd w:val="0"/>
              <w:snapToGrid w:val="0"/>
              <w:ind w:left="-1" w:leftChars="0" w:right="-226" w:rightChars="-110" w:firstLine="0" w:firstLineChars="0"/>
              <w:jc w:val="both"/>
              <w:rPr>
                <w:rFonts w:hAnsi="宋体"/>
                <w:color w:val="auto"/>
                <w:sz w:val="24"/>
                <w:szCs w:val="24"/>
              </w:rPr>
            </w:pPr>
            <w:r>
              <w:rPr>
                <w:rFonts w:hint="eastAsia" w:hAnsi="宋体"/>
                <w:color w:val="auto"/>
                <w:sz w:val="24"/>
                <w:szCs w:val="24"/>
              </w:rPr>
              <w:t>食品原料索证索票、进货验收符合要求。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1.3</w:t>
            </w:r>
          </w:p>
        </w:tc>
        <w:tc>
          <w:tcPr>
            <w:tcW w:w="5796" w:type="dxa"/>
            <w:vAlign w:val="center"/>
          </w:tcPr>
          <w:p>
            <w:pPr>
              <w:tabs>
                <w:tab w:val="left" w:pos="790"/>
                <w:tab w:val="left" w:pos="1264"/>
              </w:tabs>
              <w:overflowPunct w:val="0"/>
              <w:adjustRightInd w:val="0"/>
              <w:snapToGrid w:val="0"/>
              <w:ind w:left="-138" w:leftChars="-67" w:right="-226" w:rightChars="-110" w:firstLine="139" w:firstLineChars="59"/>
              <w:jc w:val="both"/>
              <w:rPr>
                <w:rFonts w:hAnsi="宋体"/>
                <w:color w:val="auto"/>
                <w:sz w:val="24"/>
                <w:szCs w:val="24"/>
              </w:rPr>
            </w:pPr>
            <w:r>
              <w:rPr>
                <w:rFonts w:hint="eastAsia" w:hAnsi="宋体"/>
                <w:color w:val="auto"/>
                <w:sz w:val="24"/>
                <w:szCs w:val="24"/>
              </w:rPr>
              <w:t>食品原料贮存运输符合要求。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1.4</w:t>
            </w:r>
          </w:p>
        </w:tc>
        <w:tc>
          <w:tcPr>
            <w:tcW w:w="5796" w:type="dxa"/>
            <w:vAlign w:val="center"/>
          </w:tcPr>
          <w:p>
            <w:pPr>
              <w:tabs>
                <w:tab w:val="left" w:pos="790"/>
                <w:tab w:val="left" w:pos="1264"/>
              </w:tabs>
              <w:overflowPunct w:val="0"/>
              <w:adjustRightInd w:val="0"/>
              <w:snapToGrid w:val="0"/>
              <w:ind w:left="-138" w:leftChars="-67" w:right="-226" w:rightChars="-110" w:firstLine="139" w:firstLineChars="59"/>
              <w:jc w:val="both"/>
              <w:rPr>
                <w:rFonts w:hAnsi="宋体"/>
                <w:color w:val="auto"/>
                <w:sz w:val="24"/>
                <w:szCs w:val="24"/>
              </w:rPr>
            </w:pPr>
            <w:r>
              <w:rPr>
                <w:rFonts w:hint="eastAsia" w:hAnsi="宋体"/>
                <w:color w:val="auto"/>
                <w:sz w:val="24"/>
                <w:szCs w:val="24"/>
              </w:rPr>
              <w:t>食品原料贮存标识区分、单独存放。</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2．粗加</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工切配</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2.1</w:t>
            </w:r>
          </w:p>
        </w:tc>
        <w:tc>
          <w:tcPr>
            <w:tcW w:w="5796" w:type="dxa"/>
            <w:vAlign w:val="center"/>
          </w:tcPr>
          <w:p>
            <w:pPr>
              <w:tabs>
                <w:tab w:val="left" w:pos="790"/>
                <w:tab w:val="left" w:pos="1264"/>
              </w:tabs>
              <w:overflowPunct w:val="0"/>
              <w:adjustRightInd w:val="0"/>
              <w:snapToGrid w:val="0"/>
              <w:ind w:left="-138" w:leftChars="-67" w:right="-226" w:rightChars="-110" w:firstLine="139" w:firstLineChars="59"/>
              <w:jc w:val="both"/>
              <w:rPr>
                <w:rFonts w:hAnsi="宋体"/>
                <w:color w:val="auto"/>
                <w:sz w:val="24"/>
                <w:szCs w:val="24"/>
              </w:rPr>
            </w:pPr>
            <w:r>
              <w:rPr>
                <w:rFonts w:hint="eastAsia" w:hAnsi="宋体"/>
                <w:color w:val="auto"/>
                <w:sz w:val="24"/>
                <w:szCs w:val="24"/>
              </w:rPr>
              <w:t>待加工食品无腐败变质迹象或其他感官性状异常。</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2.2</w:t>
            </w:r>
          </w:p>
        </w:tc>
        <w:tc>
          <w:tcPr>
            <w:tcW w:w="5796" w:type="dxa"/>
            <w:vAlign w:val="center"/>
          </w:tcPr>
          <w:p>
            <w:pPr>
              <w:tabs>
                <w:tab w:val="left" w:pos="790"/>
                <w:tab w:val="left" w:pos="1264"/>
              </w:tabs>
              <w:overflowPunct w:val="0"/>
              <w:adjustRightInd w:val="0"/>
              <w:snapToGrid w:val="0"/>
              <w:ind w:left="-16" w:leftChars="-8" w:right="98" w:rightChars="48" w:firstLine="19" w:firstLineChars="8"/>
              <w:jc w:val="both"/>
              <w:rPr>
                <w:rFonts w:hAnsi="宋体"/>
                <w:color w:val="auto"/>
                <w:sz w:val="24"/>
                <w:szCs w:val="24"/>
              </w:rPr>
            </w:pPr>
            <w:r>
              <w:rPr>
                <w:rFonts w:hint="eastAsia" w:hAnsi="宋体"/>
                <w:color w:val="auto"/>
                <w:sz w:val="24"/>
                <w:szCs w:val="24"/>
              </w:rPr>
              <w:t>水产品、禽肉类与植物性食物分池清洗，禽蛋使用前清洗，必要时做消毒处理。</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2.3</w:t>
            </w:r>
          </w:p>
        </w:tc>
        <w:tc>
          <w:tcPr>
            <w:tcW w:w="5796" w:type="dxa"/>
            <w:vAlign w:val="center"/>
          </w:tcPr>
          <w:p>
            <w:pPr>
              <w:tabs>
                <w:tab w:val="left" w:pos="790"/>
                <w:tab w:val="left" w:pos="1264"/>
              </w:tabs>
              <w:overflowPunct w:val="0"/>
              <w:adjustRightInd w:val="0"/>
              <w:snapToGrid w:val="0"/>
              <w:ind w:left="0" w:leftChars="0" w:right="98" w:rightChars="48" w:firstLine="0" w:firstLineChars="0"/>
              <w:jc w:val="both"/>
              <w:rPr>
                <w:rFonts w:hAnsi="宋体"/>
                <w:color w:val="auto"/>
                <w:sz w:val="24"/>
                <w:szCs w:val="24"/>
              </w:rPr>
            </w:pPr>
            <w:r>
              <w:rPr>
                <w:rFonts w:hint="eastAsia" w:hAnsi="宋体"/>
                <w:color w:val="auto"/>
                <w:sz w:val="24"/>
                <w:szCs w:val="24"/>
              </w:rPr>
              <w:t>食品存放规范，易腐食品及时冷藏，盛装食品的容器未直接着地存放。</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3．烹饪</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加工</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3.1</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按审核的食品品种、工艺、数量、时间节点加工制作食品。</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3.2</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食品烧熟煮透，用中心温度计测量或检查动物性食品内部是否有血水；加工时食品中心温度达到70℃以上。</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3.3</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避免生熟混放；加工好的成品与半成品和原料分开存放；需冷藏的熟制品采取冷藏措施。</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80"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3.4</w:t>
            </w:r>
          </w:p>
        </w:tc>
        <w:tc>
          <w:tcPr>
            <w:tcW w:w="5796" w:type="dxa"/>
            <w:vAlign w:val="center"/>
          </w:tcPr>
          <w:p>
            <w:pPr>
              <w:tabs>
                <w:tab w:val="left" w:pos="790"/>
                <w:tab w:val="left" w:pos="1264"/>
              </w:tabs>
              <w:overflowPunct w:val="0"/>
              <w:adjustRightInd w:val="0"/>
              <w:snapToGrid w:val="0"/>
              <w:ind w:left="0" w:leftChars="0" w:right="-226" w:rightChars="-110" w:firstLine="0" w:firstLineChars="0"/>
              <w:jc w:val="both"/>
              <w:rPr>
                <w:rFonts w:hAnsi="宋体"/>
                <w:color w:val="auto"/>
                <w:sz w:val="24"/>
                <w:szCs w:val="24"/>
              </w:rPr>
            </w:pPr>
            <w:r>
              <w:rPr>
                <w:rFonts w:hint="eastAsia" w:hAnsi="宋体"/>
                <w:color w:val="auto"/>
                <w:sz w:val="24"/>
                <w:szCs w:val="24"/>
              </w:rPr>
              <w:t>个人卫生符合卫生规范。</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4．凉菜</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（糕点</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水果）</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加工</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4.1</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提前做好专间空气消毒（紫外线灯消毒30分钟以上），室温在25℃以下。</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4.2</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专间内配备消毒液，消毒液浓度是否符合要求，定期更换。</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4.3</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未经清洗处理的蔬菜、水果等不清洁食品原料和物品不得带入专间。</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4.4</w:t>
            </w:r>
          </w:p>
        </w:tc>
        <w:tc>
          <w:tcPr>
            <w:tcW w:w="5796" w:type="dxa"/>
            <w:vAlign w:val="center"/>
          </w:tcPr>
          <w:p>
            <w:pPr>
              <w:tabs>
                <w:tab w:val="left" w:pos="790"/>
                <w:tab w:val="left" w:pos="1264"/>
              </w:tabs>
              <w:overflowPunct w:val="0"/>
              <w:adjustRightInd w:val="0"/>
              <w:snapToGrid w:val="0"/>
              <w:ind w:left="0" w:leftChars="0" w:right="-226" w:rightChars="-110" w:firstLine="0" w:firstLineChars="0"/>
              <w:jc w:val="both"/>
              <w:rPr>
                <w:rFonts w:hAnsi="宋体"/>
                <w:color w:val="auto"/>
                <w:sz w:val="24"/>
                <w:szCs w:val="24"/>
              </w:rPr>
            </w:pPr>
            <w:r>
              <w:rPr>
                <w:rFonts w:hint="eastAsia" w:hAnsi="宋体"/>
                <w:color w:val="auto"/>
                <w:sz w:val="24"/>
                <w:szCs w:val="24"/>
              </w:rPr>
              <w:t>待加工食品无腐败变质迹象或其他感官性状异常。</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4.5</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加工操作前对加工用具、台面、人员手部进行严格的清洗与消毒，合格后方可进行操作，否则责令其重新清洗消毒。</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4.6</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凉菜自加工完毕到食用控制在2小时内；凉菜当餐制作食用，不得隔餐使用。</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4.7</w:t>
            </w:r>
          </w:p>
        </w:tc>
        <w:tc>
          <w:tcPr>
            <w:tcW w:w="5796" w:type="dxa"/>
            <w:vAlign w:val="center"/>
          </w:tcPr>
          <w:p>
            <w:pPr>
              <w:tabs>
                <w:tab w:val="left" w:pos="790"/>
                <w:tab w:val="left" w:pos="1264"/>
              </w:tabs>
              <w:overflowPunct w:val="0"/>
              <w:adjustRightInd w:val="0"/>
              <w:snapToGrid w:val="0"/>
              <w:ind w:left="0" w:leftChars="0" w:right="-226" w:rightChars="-110" w:firstLine="0" w:firstLineChars="0"/>
              <w:jc w:val="both"/>
              <w:rPr>
                <w:rFonts w:hAnsi="宋体"/>
                <w:color w:val="auto"/>
                <w:sz w:val="24"/>
                <w:szCs w:val="24"/>
              </w:rPr>
            </w:pPr>
            <w:r>
              <w:rPr>
                <w:rFonts w:hint="eastAsia" w:hAnsi="宋体"/>
                <w:color w:val="auto"/>
                <w:sz w:val="24"/>
                <w:szCs w:val="24"/>
              </w:rPr>
              <w:t>存放凉菜要用保鲜膜覆盖或密闭容器存放。</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4.8</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即食果蔬应经清洗消毒和净水冲滤，根据消毒产品说明书确定消毒时间和浓度。</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4.9</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加工人员穿戴清洁的工作衣帽和佩戴口罩，并宜佩戴一次性手套。</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5．备餐</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供餐</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5.1</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待供菜肴加工完毕至食用不超过2小时，热链盒饭不超过3小时。</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5.2</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待供菜肴成品贮存中心温度冷藏低于</w:t>
            </w:r>
            <w:r>
              <w:rPr>
                <w:rFonts w:hint="eastAsia" w:hAnsi="宋体"/>
                <w:color w:val="auto"/>
                <w:sz w:val="24"/>
                <w:szCs w:val="24"/>
              </w:rPr>
              <w:t>10℃</w:t>
            </w:r>
            <w:r>
              <w:rPr>
                <w:rFonts w:hint="eastAsia" w:hAnsi="宋体"/>
                <w:color w:val="auto"/>
                <w:sz w:val="24"/>
                <w:szCs w:val="24"/>
              </w:rPr>
              <w:t>，热藏高于60℃。</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5.3</w:t>
            </w:r>
          </w:p>
        </w:tc>
        <w:tc>
          <w:tcPr>
            <w:tcW w:w="5796" w:type="dxa"/>
            <w:vAlign w:val="center"/>
          </w:tcPr>
          <w:p>
            <w:pPr>
              <w:tabs>
                <w:tab w:val="left" w:pos="790"/>
                <w:tab w:val="left" w:pos="1264"/>
              </w:tabs>
              <w:overflowPunct w:val="0"/>
              <w:adjustRightInd w:val="0"/>
              <w:snapToGrid w:val="0"/>
              <w:ind w:left="0" w:leftChars="0" w:right="-226" w:rightChars="-110" w:firstLine="0" w:firstLineChars="0"/>
              <w:jc w:val="both"/>
              <w:rPr>
                <w:rFonts w:hAnsi="宋体"/>
                <w:color w:val="auto"/>
                <w:sz w:val="24"/>
                <w:szCs w:val="24"/>
              </w:rPr>
            </w:pPr>
            <w:r>
              <w:rPr>
                <w:rFonts w:hint="eastAsia" w:hAnsi="宋体"/>
                <w:color w:val="auto"/>
                <w:sz w:val="24"/>
                <w:szCs w:val="24"/>
              </w:rPr>
              <w:t>检查待供应食品，不得有异物或感官性状异常。</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5.4</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菜肴分派造型整理的用具，菜肴装饰的原料经过清洗消毒。</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restart"/>
            <w:vAlign w:val="center"/>
          </w:tcPr>
          <w:p>
            <w:pPr>
              <w:tabs>
                <w:tab w:val="left" w:pos="620"/>
                <w:tab w:val="left" w:pos="1240"/>
              </w:tabs>
              <w:overflowPunct w:val="0"/>
              <w:adjustRightInd w:val="0"/>
              <w:snapToGrid w:val="0"/>
              <w:ind w:left="0" w:leftChars="0" w:right="-65" w:rightChars="-32" w:firstLine="0" w:firstLineChars="0"/>
              <w:jc w:val="center"/>
              <w:rPr>
                <w:rFonts w:hAnsi="宋体"/>
                <w:color w:val="auto"/>
                <w:sz w:val="24"/>
                <w:szCs w:val="24"/>
              </w:rPr>
            </w:pPr>
            <w:r>
              <w:rPr>
                <w:rFonts w:hint="eastAsia" w:hAnsi="宋体"/>
                <w:color w:val="auto"/>
                <w:sz w:val="24"/>
                <w:szCs w:val="24"/>
              </w:rPr>
              <w:t>6．餐用具清洗消毒</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6.1</w:t>
            </w:r>
          </w:p>
        </w:tc>
        <w:tc>
          <w:tcPr>
            <w:tcW w:w="5796" w:type="dxa"/>
            <w:vAlign w:val="center"/>
          </w:tcPr>
          <w:p>
            <w:pPr>
              <w:tabs>
                <w:tab w:val="left" w:pos="790"/>
                <w:tab w:val="left" w:pos="1264"/>
              </w:tabs>
              <w:overflowPunct w:val="0"/>
              <w:adjustRightInd w:val="0"/>
              <w:snapToGrid w:val="0"/>
              <w:ind w:left="0" w:leftChars="0" w:right="63" w:rightChars="31" w:firstLine="0" w:firstLineChars="0"/>
              <w:jc w:val="both"/>
              <w:rPr>
                <w:rFonts w:hAnsi="宋体"/>
                <w:color w:val="auto"/>
                <w:sz w:val="24"/>
                <w:szCs w:val="24"/>
              </w:rPr>
            </w:pPr>
            <w:r>
              <w:rPr>
                <w:rFonts w:hint="eastAsia" w:hAnsi="宋体"/>
                <w:color w:val="auto"/>
                <w:sz w:val="24"/>
                <w:szCs w:val="24"/>
              </w:rPr>
              <w:t>消毒设施设备处于良好状态；采用化学消毒的测量有效消毒浓度是否符合要求。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6.2</w:t>
            </w:r>
          </w:p>
        </w:tc>
        <w:tc>
          <w:tcPr>
            <w:tcW w:w="5796" w:type="dxa"/>
            <w:vAlign w:val="center"/>
          </w:tcPr>
          <w:p>
            <w:pPr>
              <w:tabs>
                <w:tab w:val="left" w:pos="790"/>
                <w:tab w:val="left" w:pos="1264"/>
              </w:tabs>
              <w:overflowPunct w:val="0"/>
              <w:adjustRightInd w:val="0"/>
              <w:snapToGrid w:val="0"/>
              <w:ind w:left="0" w:leftChars="0" w:right="140" w:rightChars="68" w:firstLine="0" w:firstLineChars="0"/>
              <w:jc w:val="both"/>
              <w:rPr>
                <w:rFonts w:hAnsi="宋体"/>
                <w:color w:val="auto"/>
                <w:sz w:val="24"/>
                <w:szCs w:val="24"/>
              </w:rPr>
            </w:pPr>
            <w:r>
              <w:rPr>
                <w:rFonts w:hint="eastAsia" w:hAnsi="宋体"/>
                <w:color w:val="auto"/>
                <w:sz w:val="24"/>
                <w:szCs w:val="24"/>
              </w:rPr>
              <w:t>餐饮具、工具、容器清洗消毒快速检测合格。不合格的，要重新清洗消毒。</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6.3</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餐用具洗涤剂、消毒剂符合要求，属于餐用具专用产品。</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7．人员</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卫生</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7.1</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从业人员动态健康、个人卫生等晨检符合要求，并有记录。</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7.2</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各岗位从业人员工作服、帽、口罩、手套的穿戴使用符合要求。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8．食品</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留样</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8.1</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留样容器、场所、冷冻（藏）设备符合要求。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8.2</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留样品种、数量、标识、时间符合要求。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restart"/>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9．其他</w:t>
            </w:r>
          </w:p>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食品</w:t>
            </w: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9.1</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由供餐单位外第三方提供的食品（赞助、自带）符合食品安全要求。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9.2</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（外）送餐食品供应符合要求，严格管控措施（警示提示、登记确认、专人管理）。</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9.3</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销售食品标签符合要求。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7" w:hRule="atLeast"/>
          <w:jc w:val="right"/>
        </w:trPr>
        <w:tc>
          <w:tcPr>
            <w:tcW w:w="1287" w:type="dxa"/>
            <w:vMerge w:val="continue"/>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c>
          <w:tcPr>
            <w:tcW w:w="660"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r>
              <w:rPr>
                <w:rFonts w:hint="eastAsia" w:hAnsi="宋体"/>
                <w:color w:val="auto"/>
                <w:sz w:val="24"/>
                <w:szCs w:val="24"/>
              </w:rPr>
              <w:t>9.4</w:t>
            </w:r>
          </w:p>
        </w:tc>
        <w:tc>
          <w:tcPr>
            <w:tcW w:w="5796" w:type="dxa"/>
            <w:vAlign w:val="center"/>
          </w:tcPr>
          <w:p>
            <w:pPr>
              <w:tabs>
                <w:tab w:val="left" w:pos="790"/>
                <w:tab w:val="left" w:pos="1264"/>
              </w:tabs>
              <w:overflowPunct w:val="0"/>
              <w:adjustRightInd w:val="0"/>
              <w:snapToGrid w:val="0"/>
              <w:ind w:left="0" w:leftChars="0" w:right="140" w:rightChars="68" w:firstLine="0" w:firstLineChars="0"/>
              <w:rPr>
                <w:rFonts w:hAnsi="宋体"/>
                <w:color w:val="auto"/>
                <w:sz w:val="24"/>
                <w:szCs w:val="24"/>
              </w:rPr>
            </w:pPr>
            <w:r>
              <w:rPr>
                <w:rFonts w:hint="eastAsia" w:hAnsi="宋体"/>
                <w:color w:val="auto"/>
                <w:sz w:val="24"/>
                <w:szCs w:val="24"/>
              </w:rPr>
              <w:t>食品贮存温度符合要求。</w:t>
            </w:r>
          </w:p>
        </w:tc>
        <w:tc>
          <w:tcPr>
            <w:tcW w:w="1638" w:type="dxa"/>
            <w:vAlign w:val="center"/>
          </w:tcPr>
          <w:p>
            <w:pPr>
              <w:tabs>
                <w:tab w:val="left" w:pos="790"/>
                <w:tab w:val="left" w:pos="1264"/>
              </w:tabs>
              <w:overflowPunct w:val="0"/>
              <w:adjustRightInd w:val="0"/>
              <w:snapToGrid w:val="0"/>
              <w:ind w:left="-140" w:leftChars="-68" w:right="-226" w:rightChars="-11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908" w:hRule="atLeast"/>
          <w:jc w:val="right"/>
        </w:trPr>
        <w:tc>
          <w:tcPr>
            <w:tcW w:w="9381" w:type="dxa"/>
            <w:gridSpan w:val="4"/>
          </w:tcPr>
          <w:p>
            <w:pPr>
              <w:tabs>
                <w:tab w:val="left" w:pos="790"/>
                <w:tab w:val="left" w:pos="1264"/>
              </w:tabs>
              <w:overflowPunct w:val="0"/>
              <w:adjustRightInd w:val="0"/>
              <w:snapToGrid w:val="0"/>
              <w:spacing w:before="120"/>
              <w:ind w:left="-140" w:leftChars="-68" w:right="-226" w:rightChars="-110"/>
              <w:rPr>
                <w:rFonts w:hAnsi="宋体"/>
                <w:color w:val="auto"/>
                <w:sz w:val="24"/>
                <w:szCs w:val="24"/>
              </w:rPr>
            </w:pPr>
            <w:r>
              <w:rPr>
                <w:rFonts w:hint="eastAsia" w:hAnsi="宋体"/>
                <w:color w:val="auto"/>
                <w:sz w:val="24"/>
                <w:szCs w:val="24"/>
              </w:rPr>
              <w:t xml:space="preserve">  检查发现的问题：</w:t>
            </w:r>
          </w:p>
          <w:p>
            <w:pPr>
              <w:tabs>
                <w:tab w:val="left" w:pos="790"/>
                <w:tab w:val="left" w:pos="1264"/>
              </w:tabs>
              <w:overflowPunct w:val="0"/>
              <w:adjustRightInd w:val="0"/>
              <w:snapToGrid w:val="0"/>
              <w:ind w:left="-140" w:leftChars="-68" w:right="-226" w:rightChars="-110"/>
              <w:rPr>
                <w:rFonts w:hAnsi="宋体"/>
                <w:color w:val="auto"/>
                <w:sz w:val="24"/>
                <w:szCs w:val="24"/>
              </w:rPr>
            </w:pPr>
          </w:p>
          <w:p>
            <w:pPr>
              <w:tabs>
                <w:tab w:val="left" w:pos="790"/>
                <w:tab w:val="left" w:pos="1264"/>
              </w:tabs>
              <w:overflowPunct w:val="0"/>
              <w:adjustRightInd w:val="0"/>
              <w:snapToGrid w:val="0"/>
              <w:ind w:left="-140" w:leftChars="-68" w:right="-226" w:rightChars="-110"/>
              <w:rPr>
                <w:rFonts w:hAnsi="宋体"/>
                <w:color w:val="auto"/>
                <w:sz w:val="24"/>
                <w:szCs w:val="24"/>
              </w:rPr>
            </w:pPr>
          </w:p>
          <w:p>
            <w:pPr>
              <w:tabs>
                <w:tab w:val="left" w:pos="790"/>
                <w:tab w:val="left" w:pos="1264"/>
              </w:tabs>
              <w:overflowPunct w:val="0"/>
              <w:adjustRightInd w:val="0"/>
              <w:snapToGrid w:val="0"/>
              <w:ind w:left="-140" w:leftChars="-68" w:right="-226" w:rightChars="-110"/>
              <w:rPr>
                <w:rFonts w:hAnsi="宋体"/>
                <w:color w:val="auto"/>
                <w:sz w:val="24"/>
                <w:szCs w:val="24"/>
              </w:rPr>
            </w:pPr>
          </w:p>
          <w:p>
            <w:pPr>
              <w:tabs>
                <w:tab w:val="left" w:pos="790"/>
                <w:tab w:val="left" w:pos="1264"/>
              </w:tabs>
              <w:overflowPunct w:val="0"/>
              <w:adjustRightInd w:val="0"/>
              <w:snapToGrid w:val="0"/>
              <w:ind w:left="-140" w:leftChars="-68" w:right="-226" w:rightChars="-110"/>
              <w:rPr>
                <w:rFonts w:hAnsi="宋体"/>
                <w:color w:val="auto"/>
                <w:sz w:val="24"/>
                <w:szCs w:val="24"/>
              </w:rPr>
            </w:pPr>
          </w:p>
          <w:p>
            <w:pPr>
              <w:tabs>
                <w:tab w:val="left" w:pos="790"/>
                <w:tab w:val="left" w:pos="1264"/>
              </w:tabs>
              <w:overflowPunct w:val="0"/>
              <w:adjustRightInd w:val="0"/>
              <w:snapToGrid w:val="0"/>
              <w:ind w:left="-140" w:leftChars="-68" w:right="-226" w:rightChars="-110"/>
              <w:rPr>
                <w:rFonts w:hAnsi="宋体"/>
                <w:color w:val="auto"/>
                <w:sz w:val="24"/>
                <w:szCs w:val="24"/>
              </w:rPr>
            </w:pPr>
            <w:r>
              <w:rPr>
                <w:rFonts w:hint="eastAsia" w:hAnsi="宋体"/>
                <w:color w:val="auto"/>
                <w:sz w:val="24"/>
                <w:szCs w:val="24"/>
              </w:rPr>
              <w:t xml:space="preserve">  已采取的措施：</w:t>
            </w:r>
          </w:p>
          <w:p>
            <w:pPr>
              <w:tabs>
                <w:tab w:val="left" w:pos="790"/>
                <w:tab w:val="left" w:pos="1264"/>
              </w:tabs>
              <w:overflowPunct w:val="0"/>
              <w:adjustRightInd w:val="0"/>
              <w:snapToGrid w:val="0"/>
              <w:ind w:left="-140" w:leftChars="-68" w:right="-226" w:rightChars="-110"/>
              <w:rPr>
                <w:rFonts w:hAnsi="宋体"/>
                <w:color w:val="auto"/>
                <w:sz w:val="24"/>
                <w:szCs w:val="24"/>
              </w:rPr>
            </w:pPr>
          </w:p>
          <w:p>
            <w:pPr>
              <w:tabs>
                <w:tab w:val="left" w:pos="790"/>
                <w:tab w:val="left" w:pos="1264"/>
              </w:tabs>
              <w:overflowPunct w:val="0"/>
              <w:adjustRightInd w:val="0"/>
              <w:snapToGrid w:val="0"/>
              <w:ind w:left="-140" w:leftChars="-68" w:right="-226" w:rightChars="-110"/>
              <w:rPr>
                <w:rFonts w:hAnsi="宋体"/>
                <w:color w:val="auto"/>
                <w:sz w:val="24"/>
                <w:szCs w:val="24"/>
              </w:rPr>
            </w:pPr>
          </w:p>
          <w:p>
            <w:pPr>
              <w:tabs>
                <w:tab w:val="left" w:pos="790"/>
                <w:tab w:val="left" w:pos="1264"/>
              </w:tabs>
              <w:overflowPunct w:val="0"/>
              <w:adjustRightInd w:val="0"/>
              <w:snapToGrid w:val="0"/>
              <w:ind w:left="-140" w:leftChars="-68" w:right="-226" w:rightChars="-110"/>
              <w:rPr>
                <w:rFonts w:hAnsi="宋体"/>
                <w:color w:val="auto"/>
                <w:sz w:val="24"/>
                <w:szCs w:val="24"/>
              </w:rPr>
            </w:pPr>
          </w:p>
          <w:p>
            <w:pPr>
              <w:tabs>
                <w:tab w:val="left" w:pos="790"/>
                <w:tab w:val="left" w:pos="1264"/>
              </w:tabs>
              <w:overflowPunct w:val="0"/>
              <w:adjustRightInd w:val="0"/>
              <w:snapToGrid w:val="0"/>
              <w:ind w:left="-140" w:leftChars="-68" w:right="-226" w:rightChars="-110"/>
              <w:rPr>
                <w:rFonts w:hAnsi="宋体"/>
                <w:color w:val="auto"/>
                <w:sz w:val="24"/>
                <w:szCs w:val="24"/>
              </w:rPr>
            </w:pPr>
          </w:p>
        </w:tc>
      </w:tr>
    </w:tbl>
    <w:p>
      <w:pPr>
        <w:adjustRightInd w:val="0"/>
        <w:snapToGrid w:val="0"/>
        <w:spacing w:before="60"/>
        <w:ind w:left="573" w:leftChars="-68" w:right="-226" w:rightChars="-110" w:hanging="713"/>
        <w:rPr>
          <w:rFonts w:ascii="楷体_GB2312" w:hAnsi="黑体" w:eastAsia="楷体_GB2312" w:cs="仿宋"/>
          <w:color w:val="auto"/>
          <w:sz w:val="24"/>
          <w:szCs w:val="24"/>
        </w:rPr>
      </w:pPr>
      <w:r>
        <w:rPr>
          <w:rFonts w:hint="eastAsia" w:ascii="楷体_GB2312" w:hAnsi="黑体" w:eastAsia="楷体_GB2312" w:cs="仿宋"/>
          <w:color w:val="auto"/>
          <w:sz w:val="24"/>
          <w:szCs w:val="24"/>
        </w:rPr>
        <w:t>备注：检查项目符合要求的在结果记录中打“√”，不符合的予以注明具体事实；不适用的划“—”。</w:t>
      </w:r>
    </w:p>
    <w:p>
      <w:pPr>
        <w:widowControl/>
        <w:tabs>
          <w:tab w:val="left" w:pos="4536"/>
        </w:tabs>
        <w:adjustRightInd w:val="0"/>
        <w:snapToGrid w:val="0"/>
        <w:spacing w:line="312" w:lineRule="auto"/>
        <w:ind w:left="-140" w:leftChars="-68" w:right="-226" w:rightChars="-110"/>
        <w:rPr>
          <w:rFonts w:hAnsi="仿宋" w:cs="仿宋"/>
          <w:color w:val="auto"/>
          <w:sz w:val="24"/>
          <w:szCs w:val="24"/>
        </w:rPr>
      </w:pPr>
      <w:r>
        <w:rPr>
          <w:rFonts w:hint="eastAsia" w:hAnsi="仿宋" w:cs="仿宋"/>
          <w:color w:val="auto"/>
          <w:sz w:val="24"/>
          <w:szCs w:val="24"/>
        </w:rPr>
        <w:t>接待单位负责人签名：　　　　　　　　　监督保障人员签名：　</w:t>
      </w:r>
    </w:p>
    <w:p>
      <w:pPr>
        <w:widowControl/>
        <w:tabs>
          <w:tab w:val="left" w:pos="4253"/>
          <w:tab w:val="left" w:pos="4395"/>
        </w:tabs>
        <w:adjustRightInd w:val="0"/>
        <w:snapToGrid w:val="0"/>
        <w:spacing w:line="312" w:lineRule="auto"/>
        <w:ind w:left="-140" w:leftChars="-68" w:right="-226" w:rightChars="-110" w:firstLine="236" w:firstLineChars="100"/>
        <w:rPr>
          <w:rFonts w:hAnsi="仿宋" w:cs="仿宋"/>
          <w:color w:val="auto"/>
          <w:sz w:val="24"/>
          <w:szCs w:val="24"/>
        </w:rPr>
      </w:pPr>
      <w:r>
        <w:rPr>
          <w:rFonts w:hint="eastAsia" w:hAnsi="仿宋" w:cs="仿宋"/>
          <w:color w:val="auto"/>
          <w:sz w:val="24"/>
          <w:szCs w:val="24"/>
        </w:rPr>
        <w:t>　</w:t>
      </w:r>
      <w:r>
        <w:rPr>
          <w:rFonts w:hint="eastAsia" w:hAnsi="仿宋" w:cs="仿宋"/>
          <w:color w:val="auto"/>
          <w:sz w:val="24"/>
          <w:szCs w:val="24"/>
          <w:lang w:val="en-US" w:eastAsia="zh-CN"/>
        </w:rPr>
        <w:t xml:space="preserve">                 </w:t>
      </w:r>
      <w:r>
        <w:rPr>
          <w:rFonts w:hint="eastAsia" w:hAnsi="仿宋" w:cs="仿宋"/>
          <w:color w:val="auto"/>
          <w:sz w:val="24"/>
          <w:szCs w:val="24"/>
        </w:rPr>
        <w:t>年　　月　　日　　　　　　　　　　　年　　月　　日</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.1.9　重大活动餐用具和人员手部消毒效果检查表</w:t>
      </w:r>
    </w:p>
    <w:p>
      <w:pPr>
        <w:adjustRightInd w:val="0"/>
        <w:snapToGrid w:val="0"/>
        <w:spacing w:before="120"/>
        <w:jc w:val="center"/>
        <w:rPr>
          <w:rFonts w:hAnsi="仿宋" w:cs="仿宋"/>
          <w:color w:val="auto"/>
          <w:sz w:val="28"/>
          <w:szCs w:val="28"/>
        </w:rPr>
      </w:pPr>
      <w:r>
        <w:rPr>
          <w:rFonts w:hint="eastAsia" w:hAnsi="仿宋" w:cs="仿宋"/>
          <w:color w:val="auto"/>
          <w:sz w:val="28"/>
          <w:szCs w:val="28"/>
        </w:rPr>
        <w:t>（供餐单位：</w:t>
      </w:r>
      <w:r>
        <w:rPr>
          <w:rFonts w:hint="eastAsia" w:hAnsi="仿宋" w:cs="仿宋"/>
          <w:color w:val="auto"/>
          <w:sz w:val="28"/>
          <w:szCs w:val="28"/>
          <w:u w:val="single"/>
        </w:rPr>
        <w:t>　　　　　　　　　　</w:t>
      </w:r>
      <w:r>
        <w:rPr>
          <w:rFonts w:hint="eastAsia" w:hAnsi="仿宋" w:cs="仿宋"/>
          <w:color w:val="auto"/>
          <w:sz w:val="28"/>
          <w:szCs w:val="28"/>
        </w:rPr>
        <w:t>）</w:t>
      </w:r>
    </w:p>
    <w:p>
      <w:pPr>
        <w:adjustRightInd w:val="0"/>
        <w:snapToGrid w:val="0"/>
        <w:rPr>
          <w:rFonts w:hAnsi="仿宋" w:cs="仿宋"/>
          <w:color w:val="auto"/>
          <w:sz w:val="28"/>
          <w:szCs w:val="28"/>
        </w:rPr>
      </w:pP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9"/>
        <w:gridCol w:w="1077"/>
        <w:gridCol w:w="1077"/>
        <w:gridCol w:w="1077"/>
        <w:gridCol w:w="1077"/>
        <w:gridCol w:w="1077"/>
        <w:gridCol w:w="1077"/>
        <w:gridCol w:w="107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9" w:type="dxa"/>
            <w:vMerge w:val="restart"/>
            <w:vAlign w:val="center"/>
          </w:tcPr>
          <w:p>
            <w:pPr>
              <w:tabs>
                <w:tab w:val="left" w:pos="790"/>
                <w:tab w:val="left" w:pos="1264"/>
              </w:tabs>
              <w:overflowPunct w:val="0"/>
              <w:adjustRightInd w:val="0"/>
              <w:snapToGrid w:val="0"/>
              <w:ind w:left="-57" w:right="-57"/>
              <w:jc w:val="center"/>
              <w:rPr>
                <w:rFonts w:ascii="黑体" w:hAnsi="黑体" w:eastAsia="黑体"/>
                <w:color w:val="auto"/>
                <w:sz w:val="24"/>
                <w:szCs w:val="24"/>
              </w:rPr>
            </w:pPr>
            <w:r>
              <w:rPr>
                <w:rFonts w:hint="eastAsia" w:ascii="黑体" w:hAnsi="黑体" w:eastAsia="黑体"/>
                <w:color w:val="auto"/>
                <w:sz w:val="24"/>
                <w:szCs w:val="24"/>
              </w:rPr>
              <w:t>序号</w:t>
            </w:r>
          </w:p>
        </w:tc>
        <w:tc>
          <w:tcPr>
            <w:tcW w:w="4308" w:type="dxa"/>
            <w:gridSpan w:val="4"/>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餐用具消毒效果（ATP检测）</w:t>
            </w:r>
          </w:p>
        </w:tc>
        <w:tc>
          <w:tcPr>
            <w:tcW w:w="3231" w:type="dxa"/>
            <w:gridSpan w:val="3"/>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人员手部消毒效果（ATP检测）</w:t>
            </w:r>
          </w:p>
        </w:tc>
        <w:tc>
          <w:tcPr>
            <w:tcW w:w="737"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9"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检测时点</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样品名称</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场所</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检测值</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检测时点</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姓名</w:t>
            </w: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检测值</w:t>
            </w:r>
          </w:p>
        </w:tc>
        <w:tc>
          <w:tcPr>
            <w:tcW w:w="737"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1</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2</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3</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4</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5</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6</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7</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8</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9</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atLeast"/>
          <w:jc w:val="center"/>
        </w:trPr>
        <w:tc>
          <w:tcPr>
            <w:tcW w:w="569"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10</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r>
    </w:tbl>
    <w:p>
      <w:pPr>
        <w:widowControl/>
        <w:adjustRightInd w:val="0"/>
        <w:snapToGrid w:val="0"/>
        <w:spacing w:line="312" w:lineRule="auto"/>
        <w:rPr>
          <w:rFonts w:hAnsi="仿宋" w:cs="仿宋"/>
          <w:color w:val="auto"/>
          <w:sz w:val="28"/>
          <w:szCs w:val="28"/>
        </w:rPr>
      </w:pPr>
    </w:p>
    <w:p>
      <w:pPr>
        <w:widowControl/>
        <w:tabs>
          <w:tab w:val="left" w:pos="4536"/>
        </w:tabs>
        <w:adjustRightInd w:val="0"/>
        <w:snapToGrid w:val="0"/>
        <w:spacing w:line="312" w:lineRule="auto"/>
        <w:rPr>
          <w:rFonts w:hAnsi="仿宋" w:cs="仿宋"/>
          <w:color w:val="auto"/>
          <w:sz w:val="24"/>
          <w:szCs w:val="24"/>
        </w:rPr>
      </w:pPr>
      <w:r>
        <w:rPr>
          <w:rFonts w:hint="eastAsia" w:hAnsi="仿宋" w:cs="仿宋"/>
          <w:color w:val="auto"/>
          <w:sz w:val="24"/>
          <w:szCs w:val="24"/>
        </w:rPr>
        <w:t>接待单位负责人签名：　　　　　　　　　监督保障人员签名：　</w:t>
      </w:r>
    </w:p>
    <w:p>
      <w:pPr>
        <w:widowControl/>
        <w:adjustRightInd w:val="0"/>
        <w:snapToGrid w:val="0"/>
        <w:spacing w:line="312" w:lineRule="auto"/>
        <w:rPr>
          <w:rFonts w:hAnsi="仿宋" w:cs="仿宋"/>
          <w:color w:val="auto"/>
          <w:sz w:val="24"/>
          <w:szCs w:val="24"/>
        </w:rPr>
      </w:pPr>
    </w:p>
    <w:p>
      <w:pPr>
        <w:widowControl/>
        <w:tabs>
          <w:tab w:val="left" w:pos="4253"/>
          <w:tab w:val="left" w:pos="4395"/>
        </w:tabs>
        <w:adjustRightInd w:val="0"/>
        <w:snapToGrid w:val="0"/>
        <w:spacing w:line="312" w:lineRule="auto"/>
        <w:rPr>
          <w:rFonts w:hAnsi="仿宋" w:cs="仿宋"/>
          <w:color w:val="auto"/>
          <w:sz w:val="24"/>
          <w:szCs w:val="24"/>
        </w:rPr>
      </w:pPr>
      <w:r>
        <w:rPr>
          <w:rFonts w:hint="eastAsia" w:hAnsi="仿宋" w:cs="仿宋"/>
          <w:color w:val="auto"/>
          <w:sz w:val="24"/>
          <w:szCs w:val="24"/>
        </w:rPr>
        <w:t>　　　　　　　　　　　年　　月　　日　　　　　　　　　　　年　　月　　日</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sectPr>
          <w:headerReference r:id="rId9" w:type="default"/>
          <w:footerReference r:id="rId10" w:type="default"/>
          <w:pgSz w:w="11907" w:h="16840"/>
          <w:pgMar w:top="2098" w:right="1474" w:bottom="1985" w:left="1588" w:header="851" w:footer="1418" w:gutter="0"/>
          <w:cols w:space="425" w:num="1"/>
          <w:docGrid w:type="linesAndChars" w:linePitch="579" w:charSpace="-842"/>
        </w:sectPr>
      </w:pP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.1.10　重大活动外送食品及食品原料运输验收记录单</w:t>
      </w:r>
    </w:p>
    <w:p>
      <w:pPr>
        <w:adjustRightInd w:val="0"/>
        <w:snapToGrid w:val="0"/>
        <w:rPr>
          <w:rFonts w:hAnsi="仿宋" w:cs="仿宋"/>
          <w:color w:val="auto"/>
          <w:sz w:val="24"/>
          <w:szCs w:val="24"/>
        </w:rPr>
      </w:pPr>
    </w:p>
    <w:p>
      <w:pPr>
        <w:adjustRightInd w:val="0"/>
        <w:snapToGrid w:val="0"/>
        <w:spacing w:after="120"/>
        <w:rPr>
          <w:rFonts w:hAnsi="仿宋" w:cs="仿宋"/>
          <w:color w:val="auto"/>
          <w:sz w:val="24"/>
          <w:szCs w:val="24"/>
          <w:u w:val="single"/>
        </w:rPr>
      </w:pPr>
      <w:r>
        <w:rPr>
          <w:rFonts w:hint="eastAsia" w:hAnsi="仿宋" w:cs="仿宋"/>
          <w:color w:val="auto"/>
          <w:sz w:val="24"/>
          <w:szCs w:val="24"/>
        </w:rPr>
        <w:t>发货单位：</w:t>
      </w:r>
      <w:r>
        <w:rPr>
          <w:rFonts w:hint="eastAsia" w:hAnsi="仿宋" w:cs="仿宋"/>
          <w:color w:val="auto"/>
          <w:sz w:val="24"/>
          <w:szCs w:val="24"/>
          <w:u w:val="single"/>
        </w:rPr>
        <w:t>　　　　　　　　　　　　　　</w:t>
      </w:r>
      <w:r>
        <w:rPr>
          <w:rFonts w:hint="eastAsia" w:hAnsi="仿宋" w:cs="仿宋"/>
          <w:color w:val="auto"/>
          <w:sz w:val="24"/>
          <w:szCs w:val="24"/>
        </w:rPr>
        <w:t>　收货单位：</w:t>
      </w:r>
      <w:r>
        <w:rPr>
          <w:rFonts w:hint="eastAsia" w:hAnsi="仿宋" w:cs="仿宋"/>
          <w:color w:val="auto"/>
          <w:sz w:val="24"/>
          <w:szCs w:val="24"/>
          <w:u w:val="single"/>
        </w:rPr>
        <w:t>　　　　　　　　　　　　　</w:t>
      </w:r>
    </w:p>
    <w:tbl>
      <w:tblPr>
        <w:tblStyle w:val="16"/>
        <w:tblW w:w="1281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511"/>
        <w:gridCol w:w="1078"/>
        <w:gridCol w:w="681"/>
        <w:gridCol w:w="907"/>
        <w:gridCol w:w="907"/>
        <w:gridCol w:w="737"/>
        <w:gridCol w:w="907"/>
        <w:gridCol w:w="907"/>
        <w:gridCol w:w="907"/>
        <w:gridCol w:w="907"/>
        <w:gridCol w:w="737"/>
        <w:gridCol w:w="907"/>
        <w:gridCol w:w="907"/>
        <w:gridCol w:w="907"/>
        <w:gridCol w:w="9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Merge w:val="restart"/>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序号</w:t>
            </w:r>
          </w:p>
        </w:tc>
        <w:tc>
          <w:tcPr>
            <w:tcW w:w="1077" w:type="dxa"/>
            <w:gridSpan w:val="8"/>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加工分发和运输情况</w:t>
            </w:r>
          </w:p>
        </w:tc>
        <w:tc>
          <w:tcPr>
            <w:tcW w:w="737" w:type="dxa"/>
            <w:gridSpan w:val="6"/>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接收验收情况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Merge w:val="continue"/>
            <w:vAlign w:val="center"/>
          </w:tcPr>
          <w:p>
            <w:pPr>
              <w:tabs>
                <w:tab w:val="left" w:pos="790"/>
                <w:tab w:val="left" w:pos="1264"/>
              </w:tabs>
              <w:overflowPunct w:val="0"/>
              <w:adjustRightInd w:val="0"/>
              <w:snapToGrid w:val="0"/>
              <w:jc w:val="center"/>
              <w:rPr>
                <w:rFonts w:ascii="黑体" w:hAnsi="黑体" w:eastAsia="黑体"/>
                <w:color w:val="auto"/>
                <w:sz w:val="24"/>
                <w:szCs w:val="24"/>
              </w:rPr>
            </w:pPr>
          </w:p>
        </w:tc>
        <w:tc>
          <w:tcPr>
            <w:tcW w:w="107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品名</w:t>
            </w:r>
          </w:p>
        </w:tc>
        <w:tc>
          <w:tcPr>
            <w:tcW w:w="680"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数量</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加工完</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成时间</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包装</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状况</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温度</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车辆消毒时间</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发车</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时间</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铅封</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情况</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车辆到达时间</w:t>
            </w:r>
          </w:p>
        </w:tc>
        <w:tc>
          <w:tcPr>
            <w:tcW w:w="73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温度</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包装</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状况</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标识</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情况</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铅封</w:t>
            </w:r>
          </w:p>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情况</w:t>
            </w:r>
          </w:p>
        </w:tc>
        <w:tc>
          <w:tcPr>
            <w:tcW w:w="907" w:type="dxa"/>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其他情况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1</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2</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3</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4</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5</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6</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7</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8</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9</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7" w:hRule="atLeast"/>
          <w:jc w:val="center"/>
        </w:trPr>
        <w:tc>
          <w:tcPr>
            <w:tcW w:w="510" w:type="dxa"/>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10</w:t>
            </w:r>
          </w:p>
        </w:tc>
        <w:tc>
          <w:tcPr>
            <w:tcW w:w="1077" w:type="dxa"/>
            <w:vAlign w:val="center"/>
          </w:tcPr>
          <w:p>
            <w:pPr>
              <w:tabs>
                <w:tab w:val="left" w:pos="790"/>
                <w:tab w:val="left" w:pos="1264"/>
              </w:tabs>
              <w:overflowPunct w:val="0"/>
              <w:adjustRightInd w:val="0"/>
              <w:snapToGrid w:val="0"/>
              <w:jc w:val="center"/>
              <w:rPr>
                <w:rFonts w:hAnsi="宋体"/>
                <w:color w:val="auto"/>
                <w:sz w:val="24"/>
                <w:szCs w:val="24"/>
              </w:rPr>
            </w:pPr>
          </w:p>
        </w:tc>
        <w:tc>
          <w:tcPr>
            <w:tcW w:w="680"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73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c>
          <w:tcPr>
            <w:tcW w:w="907" w:type="dxa"/>
            <w:vAlign w:val="center"/>
          </w:tcPr>
          <w:p>
            <w:pPr>
              <w:tabs>
                <w:tab w:val="left" w:pos="790"/>
                <w:tab w:val="left" w:pos="1264"/>
              </w:tabs>
              <w:overflowPunct w:val="0"/>
              <w:adjustRightInd w:val="0"/>
              <w:snapToGrid w:val="0"/>
              <w:jc w:val="center"/>
              <w:rPr>
                <w:rFonts w:hAnsi="宋体"/>
                <w:color w:val="auto"/>
                <w:sz w:val="24"/>
                <w:szCs w:val="24"/>
              </w:rPr>
            </w:pPr>
          </w:p>
        </w:tc>
      </w:tr>
    </w:tbl>
    <w:p>
      <w:pPr>
        <w:keepNext w:val="0"/>
        <w:keepLines w:val="0"/>
        <w:pageBreakBefore w:val="0"/>
        <w:widowControl/>
        <w:tabs>
          <w:tab w:val="left" w:pos="4536"/>
        </w:tabs>
        <w:kinsoku/>
        <w:wordWrap/>
        <w:overflowPunct/>
        <w:topLinePunct w:val="0"/>
        <w:autoSpaceDE/>
        <w:autoSpaceDN/>
        <w:bidi w:val="0"/>
        <w:adjustRightInd w:val="0"/>
        <w:snapToGrid w:val="0"/>
        <w:spacing w:before="292" w:beforeLines="50" w:line="312" w:lineRule="auto"/>
        <w:textAlignment w:val="auto"/>
        <w:rPr>
          <w:rFonts w:hAnsi="仿宋" w:cs="仿宋"/>
          <w:color w:val="auto"/>
          <w:sz w:val="24"/>
          <w:szCs w:val="24"/>
        </w:rPr>
      </w:pPr>
      <w:r>
        <w:rPr>
          <w:rFonts w:hint="eastAsia" w:hAnsi="仿宋" w:cs="仿宋"/>
          <w:color w:val="auto"/>
          <w:sz w:val="24"/>
          <w:szCs w:val="24"/>
        </w:rPr>
        <w:t>发货单位负责人签名：　　　　　　　　　　　　　　　　　　发货保障人员签名：　　</w:t>
      </w:r>
    </w:p>
    <w:p>
      <w:pPr>
        <w:widowControl/>
        <w:tabs>
          <w:tab w:val="left" w:pos="4536"/>
        </w:tabs>
        <w:adjustRightInd w:val="0"/>
        <w:snapToGrid w:val="0"/>
        <w:spacing w:line="312" w:lineRule="auto"/>
        <w:rPr>
          <w:rFonts w:hAnsi="仿宋" w:cs="仿宋"/>
          <w:color w:val="auto"/>
          <w:sz w:val="24"/>
          <w:szCs w:val="24"/>
        </w:rPr>
      </w:pPr>
      <w:r>
        <w:rPr>
          <w:rFonts w:hint="eastAsia" w:hAnsi="仿宋" w:cs="仿宋"/>
          <w:color w:val="auto"/>
          <w:sz w:val="24"/>
          <w:szCs w:val="24"/>
        </w:rPr>
        <w:t>　　　　　　　　　　　　年　　月　　日　　　　　　　　　　　　　　　　　　　　年　　月　　日</w:t>
      </w:r>
    </w:p>
    <w:p>
      <w:pPr>
        <w:widowControl/>
        <w:tabs>
          <w:tab w:val="left" w:pos="4536"/>
        </w:tabs>
        <w:adjustRightInd w:val="0"/>
        <w:snapToGrid w:val="0"/>
        <w:spacing w:line="312" w:lineRule="auto"/>
        <w:rPr>
          <w:rFonts w:hAnsi="仿宋" w:cs="仿宋"/>
          <w:color w:val="auto"/>
          <w:sz w:val="24"/>
          <w:szCs w:val="24"/>
        </w:rPr>
      </w:pPr>
      <w:r>
        <w:rPr>
          <w:rFonts w:hint="eastAsia" w:hAnsi="仿宋" w:cs="仿宋"/>
          <w:color w:val="auto"/>
          <w:sz w:val="24"/>
          <w:szCs w:val="24"/>
        </w:rPr>
        <w:t>收货单位负责人签名：　　　　　　　　　　　　　　　　　　验收保障人员签名：</w:t>
      </w:r>
    </w:p>
    <w:p>
      <w:pPr>
        <w:widowControl/>
        <w:tabs>
          <w:tab w:val="left" w:pos="4536"/>
        </w:tabs>
        <w:adjustRightInd w:val="0"/>
        <w:snapToGrid w:val="0"/>
        <w:spacing w:line="312" w:lineRule="auto"/>
        <w:rPr>
          <w:rFonts w:hAnsi="仿宋" w:cs="仿宋"/>
          <w:color w:val="auto"/>
          <w:sz w:val="24"/>
          <w:szCs w:val="24"/>
        </w:rPr>
      </w:pPr>
      <w:r>
        <w:rPr>
          <w:rFonts w:hint="eastAsia" w:hAnsi="仿宋" w:cs="仿宋"/>
          <w:color w:val="auto"/>
          <w:sz w:val="24"/>
          <w:szCs w:val="24"/>
        </w:rPr>
        <w:t>　　　　　　　　　　　　年　　月　　日　　　　　　　　　　　　　　　　　　　　年　　月　　日</w:t>
      </w: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sectPr>
          <w:headerReference r:id="rId11" w:type="even"/>
          <w:footerReference r:id="rId12" w:type="even"/>
          <w:pgSz w:w="16840" w:h="11907" w:orient="landscape"/>
          <w:pgMar w:top="1588" w:right="2098" w:bottom="1474" w:left="1985" w:header="851" w:footer="907" w:gutter="0"/>
          <w:cols w:space="425" w:num="1"/>
          <w:docGrid w:type="lines" w:linePitch="579" w:charSpace="-842"/>
        </w:sectPr>
      </w:pP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.1.11　重大活动食品安全保障应急处理记录表</w:t>
      </w:r>
    </w:p>
    <w:p>
      <w:pPr>
        <w:widowControl/>
        <w:tabs>
          <w:tab w:val="left" w:pos="4536"/>
        </w:tabs>
        <w:adjustRightInd w:val="0"/>
        <w:snapToGrid w:val="0"/>
        <w:rPr>
          <w:rFonts w:hAnsi="仿宋" w:cs="仿宋"/>
          <w:color w:val="auto"/>
          <w:sz w:val="24"/>
          <w:szCs w:val="24"/>
        </w:rPr>
      </w:pP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04"/>
        <w:gridCol w:w="2409"/>
        <w:gridCol w:w="1217"/>
        <w:gridCol w:w="58"/>
        <w:gridCol w:w="127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编号：</w:t>
            </w:r>
          </w:p>
        </w:tc>
        <w:tc>
          <w:tcPr>
            <w:tcW w:w="1362" w:type="pct"/>
            <w:vAlign w:val="center"/>
          </w:tcPr>
          <w:p>
            <w:pPr>
              <w:widowControl/>
              <w:tabs>
                <w:tab w:val="left" w:pos="4536"/>
              </w:tabs>
              <w:adjustRightInd w:val="0"/>
              <w:snapToGrid w:val="0"/>
              <w:jc w:val="center"/>
              <w:rPr>
                <w:rFonts w:hAnsi="仿宋" w:cs="仿宋"/>
                <w:color w:val="auto"/>
                <w:sz w:val="24"/>
                <w:szCs w:val="24"/>
              </w:rPr>
            </w:pPr>
          </w:p>
        </w:tc>
        <w:tc>
          <w:tcPr>
            <w:tcW w:w="721" w:type="pct"/>
            <w:gridSpan w:val="2"/>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来源单位</w:t>
            </w:r>
          </w:p>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（保障点）</w:t>
            </w:r>
          </w:p>
        </w:tc>
        <w:tc>
          <w:tcPr>
            <w:tcW w:w="1955" w:type="pct"/>
            <w:gridSpan w:val="2"/>
            <w:vAlign w:val="center"/>
          </w:tcPr>
          <w:p>
            <w:pPr>
              <w:widowControl/>
              <w:tabs>
                <w:tab w:val="left" w:pos="4536"/>
              </w:tabs>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报告时间</w:t>
            </w:r>
          </w:p>
        </w:tc>
        <w:tc>
          <w:tcPr>
            <w:tcW w:w="2083" w:type="pct"/>
            <w:gridSpan w:val="3"/>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　　　　月　　日　　时　　分</w:t>
            </w:r>
          </w:p>
        </w:tc>
        <w:tc>
          <w:tcPr>
            <w:tcW w:w="1955" w:type="pct"/>
            <w:gridSpan w:val="2"/>
            <w:vAlign w:val="center"/>
          </w:tcPr>
          <w:p>
            <w:pPr>
              <w:widowControl/>
              <w:tabs>
                <w:tab w:val="left" w:pos="4536"/>
              </w:tabs>
              <w:adjustRightInd w:val="0"/>
              <w:snapToGrid w:val="0"/>
              <w:rPr>
                <w:rFonts w:hAnsi="仿宋" w:cs="仿宋"/>
                <w:color w:val="auto"/>
                <w:sz w:val="24"/>
                <w:szCs w:val="24"/>
              </w:rPr>
            </w:pPr>
            <w:r>
              <w:rPr>
                <w:rFonts w:hint="eastAsia" w:hAnsi="仿宋" w:cs="仿宋"/>
                <w:color w:val="auto"/>
                <w:sz w:val="24"/>
                <w:szCs w:val="24"/>
              </w:rPr>
              <w:t>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报告人</w:t>
            </w:r>
          </w:p>
        </w:tc>
        <w:tc>
          <w:tcPr>
            <w:tcW w:w="2083" w:type="pct"/>
            <w:gridSpan w:val="3"/>
            <w:vAlign w:val="center"/>
          </w:tcPr>
          <w:p>
            <w:pPr>
              <w:widowControl/>
              <w:tabs>
                <w:tab w:val="left" w:pos="4536"/>
              </w:tabs>
              <w:adjustRightInd w:val="0"/>
              <w:snapToGrid w:val="0"/>
              <w:jc w:val="center"/>
              <w:rPr>
                <w:rFonts w:hAnsi="仿宋" w:cs="仿宋"/>
                <w:color w:val="auto"/>
                <w:sz w:val="24"/>
                <w:szCs w:val="24"/>
              </w:rPr>
            </w:pPr>
          </w:p>
        </w:tc>
        <w:tc>
          <w:tcPr>
            <w:tcW w:w="722"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报告方式</w:t>
            </w:r>
          </w:p>
        </w:tc>
        <w:tc>
          <w:tcPr>
            <w:tcW w:w="1233" w:type="pct"/>
            <w:vAlign w:val="center"/>
          </w:tcPr>
          <w:p>
            <w:pPr>
              <w:widowControl/>
              <w:tabs>
                <w:tab w:val="left" w:pos="4536"/>
              </w:tabs>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06"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主要内容</w:t>
            </w:r>
          </w:p>
        </w:tc>
        <w:tc>
          <w:tcPr>
            <w:tcW w:w="4037" w:type="pct"/>
            <w:gridSpan w:val="5"/>
          </w:tcPr>
          <w:p>
            <w:pPr>
              <w:widowControl/>
              <w:tabs>
                <w:tab w:val="left" w:pos="4536"/>
              </w:tabs>
              <w:adjustRightInd w:val="0"/>
              <w:snapToGrid w:val="0"/>
              <w:rPr>
                <w:rFonts w:hAnsi="仿宋" w:cs="仿宋"/>
                <w:color w:val="auto"/>
                <w:sz w:val="24"/>
                <w:szCs w:val="24"/>
              </w:rPr>
            </w:pPr>
          </w:p>
          <w:p>
            <w:pPr>
              <w:widowControl/>
              <w:tabs>
                <w:tab w:val="left" w:pos="4536"/>
              </w:tabs>
              <w:adjustRightInd w:val="0"/>
              <w:snapToGrid w:val="0"/>
              <w:rPr>
                <w:rFonts w:hAnsi="仿宋" w:cs="仿宋"/>
                <w:color w:val="auto"/>
                <w:sz w:val="24"/>
                <w:szCs w:val="24"/>
              </w:rPr>
            </w:pPr>
          </w:p>
          <w:p>
            <w:pPr>
              <w:widowControl/>
              <w:tabs>
                <w:tab w:val="left" w:pos="4536"/>
              </w:tabs>
              <w:adjustRightInd w:val="0"/>
              <w:snapToGrid w:val="0"/>
              <w:rPr>
                <w:rFonts w:hAnsi="仿宋" w:cs="仿宋"/>
                <w:color w:val="auto"/>
                <w:sz w:val="24"/>
                <w:szCs w:val="24"/>
              </w:rPr>
            </w:pPr>
          </w:p>
          <w:p>
            <w:pPr>
              <w:widowControl/>
              <w:tabs>
                <w:tab w:val="left" w:pos="4536"/>
              </w:tabs>
              <w:adjustRightInd w:val="0"/>
              <w:snapToGrid w:val="0"/>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指挥部</w:t>
            </w:r>
          </w:p>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处理意见</w:t>
            </w:r>
          </w:p>
        </w:tc>
        <w:tc>
          <w:tcPr>
            <w:tcW w:w="4037" w:type="pct"/>
            <w:gridSpan w:val="5"/>
          </w:tcPr>
          <w:p>
            <w:pPr>
              <w:widowControl/>
              <w:tabs>
                <w:tab w:val="left" w:pos="4536"/>
              </w:tabs>
              <w:adjustRightInd w:val="0"/>
              <w:snapToGrid w:val="0"/>
              <w:rPr>
                <w:rFonts w:hAnsi="仿宋" w:cs="仿宋"/>
                <w:color w:val="auto"/>
                <w:sz w:val="24"/>
                <w:szCs w:val="24"/>
              </w:rPr>
            </w:pPr>
          </w:p>
          <w:p>
            <w:pPr>
              <w:widowControl/>
              <w:tabs>
                <w:tab w:val="left" w:pos="4536"/>
              </w:tabs>
              <w:adjustRightInd w:val="0"/>
              <w:snapToGrid w:val="0"/>
              <w:rPr>
                <w:rFonts w:hAnsi="仿宋" w:cs="仿宋"/>
                <w:color w:val="auto"/>
                <w:sz w:val="24"/>
                <w:szCs w:val="24"/>
              </w:rPr>
            </w:pPr>
          </w:p>
          <w:p>
            <w:pPr>
              <w:widowControl/>
              <w:tabs>
                <w:tab w:val="left" w:pos="4536"/>
              </w:tabs>
              <w:adjustRightInd w:val="0"/>
              <w:snapToGrid w:val="0"/>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7"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领导审批意见</w:t>
            </w:r>
          </w:p>
        </w:tc>
        <w:tc>
          <w:tcPr>
            <w:tcW w:w="4037" w:type="pct"/>
            <w:gridSpan w:val="5"/>
          </w:tcPr>
          <w:p>
            <w:pPr>
              <w:widowControl/>
              <w:tabs>
                <w:tab w:val="left" w:pos="4536"/>
              </w:tabs>
              <w:adjustRightInd w:val="0"/>
              <w:snapToGrid w:val="0"/>
              <w:rPr>
                <w:rFonts w:hAnsi="仿宋" w:cs="仿宋"/>
                <w:color w:val="auto"/>
                <w:sz w:val="24"/>
                <w:szCs w:val="24"/>
              </w:rPr>
            </w:pPr>
          </w:p>
          <w:p>
            <w:pPr>
              <w:widowControl/>
              <w:tabs>
                <w:tab w:val="left" w:pos="4536"/>
              </w:tabs>
              <w:adjustRightInd w:val="0"/>
              <w:snapToGrid w:val="0"/>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处理意见</w:t>
            </w:r>
          </w:p>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反馈时间</w:t>
            </w:r>
          </w:p>
        </w:tc>
        <w:tc>
          <w:tcPr>
            <w:tcW w:w="2050" w:type="pct"/>
            <w:gridSpan w:val="2"/>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　　　　月　　日　　时　　分</w:t>
            </w:r>
          </w:p>
        </w:tc>
        <w:tc>
          <w:tcPr>
            <w:tcW w:w="755" w:type="pct"/>
            <w:gridSpan w:val="2"/>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反馈方式</w:t>
            </w:r>
          </w:p>
        </w:tc>
        <w:tc>
          <w:tcPr>
            <w:tcW w:w="1233" w:type="pct"/>
            <w:vAlign w:val="center"/>
          </w:tcPr>
          <w:p>
            <w:pPr>
              <w:widowControl/>
              <w:tabs>
                <w:tab w:val="left" w:pos="4536"/>
              </w:tabs>
              <w:adjustRightInd w:val="0"/>
              <w:snapToGrid w:val="0"/>
              <w:jc w:val="center"/>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963" w:type="pct"/>
            <w:vAlign w:val="center"/>
          </w:tcPr>
          <w:p>
            <w:pPr>
              <w:widowControl/>
              <w:tabs>
                <w:tab w:val="left" w:pos="4536"/>
              </w:tabs>
              <w:adjustRightInd w:val="0"/>
              <w:snapToGrid w:val="0"/>
              <w:jc w:val="center"/>
              <w:rPr>
                <w:rFonts w:hAnsi="仿宋" w:cs="仿宋"/>
                <w:color w:val="auto"/>
                <w:sz w:val="24"/>
                <w:szCs w:val="24"/>
              </w:rPr>
            </w:pPr>
            <w:r>
              <w:rPr>
                <w:rFonts w:hint="eastAsia" w:hAnsi="仿宋" w:cs="仿宋"/>
                <w:color w:val="auto"/>
                <w:sz w:val="24"/>
                <w:szCs w:val="24"/>
              </w:rPr>
              <w:t>备　　注</w:t>
            </w:r>
          </w:p>
        </w:tc>
        <w:tc>
          <w:tcPr>
            <w:tcW w:w="4037" w:type="pct"/>
            <w:gridSpan w:val="5"/>
          </w:tcPr>
          <w:p>
            <w:pPr>
              <w:widowControl/>
              <w:tabs>
                <w:tab w:val="left" w:pos="4536"/>
              </w:tabs>
              <w:adjustRightInd w:val="0"/>
              <w:snapToGrid w:val="0"/>
              <w:rPr>
                <w:rFonts w:hAnsi="仿宋" w:cs="仿宋"/>
                <w:color w:val="auto"/>
                <w:sz w:val="24"/>
                <w:szCs w:val="24"/>
              </w:rPr>
            </w:pPr>
          </w:p>
          <w:p>
            <w:pPr>
              <w:widowControl/>
              <w:tabs>
                <w:tab w:val="left" w:pos="4536"/>
              </w:tabs>
              <w:adjustRightInd w:val="0"/>
              <w:snapToGrid w:val="0"/>
              <w:rPr>
                <w:rFonts w:hAnsi="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000" w:type="pct"/>
            <w:gridSpan w:val="6"/>
            <w:vAlign w:val="center"/>
          </w:tcPr>
          <w:p>
            <w:pPr>
              <w:widowControl/>
              <w:tabs>
                <w:tab w:val="left" w:pos="4536"/>
              </w:tabs>
              <w:adjustRightInd w:val="0"/>
              <w:snapToGrid w:val="0"/>
              <w:rPr>
                <w:rFonts w:hAnsi="仿宋" w:cs="仿宋"/>
                <w:color w:val="auto"/>
                <w:sz w:val="24"/>
                <w:szCs w:val="24"/>
              </w:rPr>
            </w:pPr>
            <w:r>
              <w:rPr>
                <w:rFonts w:hint="eastAsia" w:hAnsi="仿宋" w:cs="仿宋"/>
                <w:color w:val="auto"/>
                <w:sz w:val="24"/>
                <w:szCs w:val="24"/>
              </w:rPr>
              <w:t>经办人签名：</w:t>
            </w:r>
          </w:p>
        </w:tc>
      </w:tr>
    </w:tbl>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p>
    <w:p>
      <w:pPr>
        <w:tabs>
          <w:tab w:val="left" w:pos="790"/>
          <w:tab w:val="left" w:pos="1264"/>
        </w:tabs>
        <w:overflowPunct w:val="0"/>
        <w:adjustRightInd w:val="0"/>
        <w:snapToGrid w:val="0"/>
        <w:jc w:val="center"/>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.1.12　重大活动食品安全保障工作动态汇总表</w:t>
      </w:r>
    </w:p>
    <w:p>
      <w:pPr>
        <w:adjustRightInd w:val="0"/>
        <w:snapToGrid w:val="0"/>
        <w:spacing w:line="312" w:lineRule="auto"/>
        <w:rPr>
          <w:rFonts w:hAnsi="仿宋" w:cs="仿宋"/>
          <w:color w:val="auto"/>
          <w:sz w:val="28"/>
          <w:szCs w:val="28"/>
          <w:lang w:val="en-GB"/>
        </w:rPr>
      </w:pPr>
    </w:p>
    <w:p>
      <w:pPr>
        <w:tabs>
          <w:tab w:val="left" w:pos="1701"/>
        </w:tabs>
        <w:adjustRightInd w:val="0"/>
        <w:snapToGrid w:val="0"/>
        <w:spacing w:line="312" w:lineRule="auto"/>
        <w:rPr>
          <w:rFonts w:hAnsi="仿宋" w:cs="仿宋"/>
          <w:color w:val="auto"/>
          <w:sz w:val="28"/>
          <w:szCs w:val="28"/>
          <w:lang w:val="en-GB"/>
        </w:rPr>
      </w:pPr>
      <w:r>
        <w:rPr>
          <w:rFonts w:hint="eastAsia" w:hAnsi="仿宋" w:cs="仿宋"/>
          <w:color w:val="auto"/>
          <w:spacing w:val="88"/>
          <w:sz w:val="28"/>
          <w:szCs w:val="28"/>
          <w:lang w:val="en-GB"/>
        </w:rPr>
        <w:t>活动名</w:t>
      </w:r>
      <w:r>
        <w:rPr>
          <w:rFonts w:hint="eastAsia" w:hAnsi="仿宋" w:cs="仿宋"/>
          <w:color w:val="auto"/>
          <w:sz w:val="28"/>
          <w:szCs w:val="28"/>
          <w:lang w:val="en-GB"/>
        </w:rPr>
        <w:t>称：</w:t>
      </w:r>
      <w:r>
        <w:rPr>
          <w:rFonts w:hint="eastAsia" w:hAnsi="仿宋" w:cs="仿宋"/>
          <w:color w:val="auto"/>
          <w:sz w:val="28"/>
          <w:szCs w:val="28"/>
          <w:u w:val="single"/>
          <w:lang w:val="en-GB"/>
        </w:rPr>
        <w:t>　　　　　　　　　　</w:t>
      </w:r>
      <w:r>
        <w:rPr>
          <w:rFonts w:hint="eastAsia" w:hAnsi="仿宋" w:cs="仿宋"/>
          <w:color w:val="auto"/>
          <w:sz w:val="28"/>
          <w:szCs w:val="28"/>
          <w:lang w:val="en-GB"/>
        </w:rPr>
        <w:t>　出动监督保障人员数：</w:t>
      </w:r>
      <w:r>
        <w:rPr>
          <w:rFonts w:hint="eastAsia" w:hAnsi="仿宋" w:cs="仿宋"/>
          <w:color w:val="auto"/>
          <w:sz w:val="28"/>
          <w:szCs w:val="28"/>
          <w:u w:val="single"/>
          <w:lang w:val="en-GB"/>
        </w:rPr>
        <w:t>　　　　</w:t>
      </w:r>
    </w:p>
    <w:p>
      <w:pPr>
        <w:adjustRightInd w:val="0"/>
        <w:snapToGrid w:val="0"/>
        <w:spacing w:line="312" w:lineRule="auto"/>
        <w:rPr>
          <w:rFonts w:hAnsi="仿宋" w:cs="仿宋"/>
          <w:color w:val="auto"/>
          <w:sz w:val="28"/>
          <w:szCs w:val="28"/>
          <w:u w:val="single"/>
          <w:lang w:val="en-GB"/>
        </w:rPr>
      </w:pPr>
      <w:r>
        <w:rPr>
          <w:rFonts w:hint="eastAsia" w:hAnsi="仿宋" w:cs="仿宋"/>
          <w:color w:val="auto"/>
          <w:sz w:val="28"/>
          <w:szCs w:val="28"/>
          <w:lang w:val="en-GB"/>
        </w:rPr>
        <w:t>接待单位名称：</w:t>
      </w:r>
      <w:r>
        <w:rPr>
          <w:rFonts w:hint="eastAsia" w:hAnsi="仿宋" w:cs="仿宋"/>
          <w:color w:val="auto"/>
          <w:sz w:val="28"/>
          <w:szCs w:val="28"/>
          <w:u w:val="single"/>
          <w:lang w:val="en-GB"/>
        </w:rPr>
        <w:t>　　　　　　　　　　</w:t>
      </w:r>
      <w:r>
        <w:rPr>
          <w:rFonts w:hint="eastAsia" w:hAnsi="仿宋" w:cs="仿宋"/>
          <w:color w:val="auto"/>
          <w:sz w:val="28"/>
          <w:szCs w:val="28"/>
          <w:lang w:val="en-GB"/>
        </w:rPr>
        <w:t>　用餐人数：</w:t>
      </w:r>
      <w:r>
        <w:rPr>
          <w:rFonts w:hint="eastAsia" w:hAnsi="仿宋" w:cs="仿宋"/>
          <w:color w:val="auto"/>
          <w:sz w:val="28"/>
          <w:szCs w:val="28"/>
          <w:u w:val="single"/>
          <w:lang w:val="en-GB"/>
        </w:rPr>
        <w:t>　　　　　　　　　</w:t>
      </w:r>
    </w:p>
    <w:p>
      <w:pPr>
        <w:adjustRightInd w:val="0"/>
        <w:snapToGrid w:val="0"/>
        <w:spacing w:line="312" w:lineRule="auto"/>
        <w:rPr>
          <w:rFonts w:ascii="黑体" w:hAnsi="黑体" w:eastAsia="黑体" w:cs="仿宋"/>
          <w:color w:val="auto"/>
          <w:sz w:val="28"/>
          <w:szCs w:val="28"/>
          <w:lang w:val="en-GB"/>
        </w:rPr>
      </w:pPr>
      <w:r>
        <w:rPr>
          <w:rFonts w:hint="eastAsia" w:ascii="黑体" w:hAnsi="黑体" w:eastAsia="黑体" w:cs="仿宋"/>
          <w:color w:val="auto"/>
          <w:sz w:val="28"/>
          <w:szCs w:val="28"/>
          <w:lang w:val="en-GB"/>
        </w:rPr>
        <w:t>一、现场监督保障情况</w:t>
      </w:r>
    </w:p>
    <w:p>
      <w:pPr>
        <w:adjustRightInd w:val="0"/>
        <w:snapToGrid w:val="0"/>
        <w:spacing w:line="312" w:lineRule="auto"/>
        <w:rPr>
          <w:rFonts w:hAnsi="仿宋" w:cs="仿宋"/>
          <w:color w:val="auto"/>
          <w:sz w:val="28"/>
          <w:szCs w:val="28"/>
          <w:lang w:val="en-GB"/>
        </w:rPr>
      </w:pPr>
      <w:r>
        <w:rPr>
          <w:rFonts w:hint="eastAsia" w:hAnsi="仿宋" w:cs="仿宋"/>
          <w:color w:val="auto"/>
          <w:sz w:val="28"/>
          <w:szCs w:val="28"/>
          <w:lang w:val="en-GB"/>
        </w:rPr>
        <w:t>（应包括各保障点就餐人员、供餐时间、加工供应现场卫生状况等内容。）</w:t>
      </w:r>
    </w:p>
    <w:p>
      <w:pPr>
        <w:adjustRightInd w:val="0"/>
        <w:snapToGrid w:val="0"/>
        <w:spacing w:line="312" w:lineRule="auto"/>
        <w:rPr>
          <w:rFonts w:ascii="黑体" w:hAnsi="黑体" w:eastAsia="黑体" w:cs="仿宋"/>
          <w:color w:val="auto"/>
          <w:sz w:val="28"/>
          <w:szCs w:val="28"/>
          <w:lang w:val="en-GB"/>
        </w:rPr>
      </w:pPr>
      <w:r>
        <w:rPr>
          <w:rFonts w:hint="eastAsia" w:ascii="黑体" w:hAnsi="黑体" w:eastAsia="黑体" w:cs="仿宋"/>
          <w:color w:val="auto"/>
          <w:sz w:val="28"/>
          <w:szCs w:val="28"/>
          <w:lang w:val="en-GB"/>
        </w:rPr>
        <w:t>二、食品与环节样品检测</w:t>
      </w:r>
    </w:p>
    <w:tbl>
      <w:tblPr>
        <w:tblStyle w:val="16"/>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57" w:type="dxa"/>
          <w:bottom w:w="0" w:type="dxa"/>
          <w:right w:w="57" w:type="dxa"/>
        </w:tblCellMar>
      </w:tblPr>
      <w:tblGrid>
        <w:gridCol w:w="1291"/>
        <w:gridCol w:w="1203"/>
        <w:gridCol w:w="1162"/>
        <w:gridCol w:w="1260"/>
        <w:gridCol w:w="1194"/>
        <w:gridCol w:w="1401"/>
        <w:gridCol w:w="13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730" w:type="pct"/>
            <w:vAlign w:val="center"/>
          </w:tcPr>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接待</w:t>
            </w:r>
          </w:p>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单位</w:t>
            </w:r>
          </w:p>
        </w:tc>
        <w:tc>
          <w:tcPr>
            <w:tcW w:w="680" w:type="pct"/>
            <w:vAlign w:val="center"/>
          </w:tcPr>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样品</w:t>
            </w:r>
          </w:p>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名称</w:t>
            </w:r>
          </w:p>
        </w:tc>
        <w:tc>
          <w:tcPr>
            <w:tcW w:w="657" w:type="pct"/>
            <w:vAlign w:val="center"/>
          </w:tcPr>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检测</w:t>
            </w:r>
          </w:p>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项目</w:t>
            </w:r>
          </w:p>
        </w:tc>
        <w:tc>
          <w:tcPr>
            <w:tcW w:w="712" w:type="pct"/>
            <w:vAlign w:val="center"/>
          </w:tcPr>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数量（件）</w:t>
            </w:r>
          </w:p>
        </w:tc>
        <w:tc>
          <w:tcPr>
            <w:tcW w:w="675" w:type="pct"/>
            <w:vAlign w:val="center"/>
          </w:tcPr>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合格</w:t>
            </w:r>
          </w:p>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件数</w:t>
            </w:r>
          </w:p>
        </w:tc>
        <w:tc>
          <w:tcPr>
            <w:tcW w:w="792" w:type="pct"/>
            <w:vAlign w:val="center"/>
          </w:tcPr>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不合格</w:t>
            </w:r>
          </w:p>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件数</w:t>
            </w:r>
          </w:p>
        </w:tc>
        <w:tc>
          <w:tcPr>
            <w:tcW w:w="755" w:type="pct"/>
            <w:vAlign w:val="center"/>
          </w:tcPr>
          <w:p>
            <w:pPr>
              <w:tabs>
                <w:tab w:val="left" w:pos="790"/>
                <w:tab w:val="left" w:pos="1264"/>
              </w:tabs>
              <w:overflowPunct w:val="0"/>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730" w:type="pct"/>
            <w:vAlign w:val="center"/>
          </w:tcPr>
          <w:p>
            <w:pPr>
              <w:tabs>
                <w:tab w:val="left" w:pos="790"/>
                <w:tab w:val="left" w:pos="1264"/>
              </w:tabs>
              <w:overflowPunct w:val="0"/>
              <w:adjustRightInd w:val="0"/>
              <w:snapToGrid w:val="0"/>
              <w:jc w:val="center"/>
              <w:rPr>
                <w:rFonts w:hAnsi="宋体"/>
                <w:color w:val="auto"/>
                <w:sz w:val="24"/>
                <w:szCs w:val="24"/>
              </w:rPr>
            </w:pPr>
          </w:p>
        </w:tc>
        <w:tc>
          <w:tcPr>
            <w:tcW w:w="680" w:type="pct"/>
            <w:vAlign w:val="center"/>
          </w:tcPr>
          <w:p>
            <w:pPr>
              <w:tabs>
                <w:tab w:val="left" w:pos="790"/>
                <w:tab w:val="left" w:pos="1264"/>
              </w:tabs>
              <w:overflowPunct w:val="0"/>
              <w:adjustRightInd w:val="0"/>
              <w:snapToGrid w:val="0"/>
              <w:jc w:val="center"/>
              <w:rPr>
                <w:rFonts w:hAnsi="宋体"/>
                <w:color w:val="auto"/>
                <w:sz w:val="24"/>
                <w:szCs w:val="24"/>
              </w:rPr>
            </w:pPr>
          </w:p>
        </w:tc>
        <w:tc>
          <w:tcPr>
            <w:tcW w:w="657" w:type="pct"/>
            <w:vAlign w:val="center"/>
          </w:tcPr>
          <w:p>
            <w:pPr>
              <w:tabs>
                <w:tab w:val="left" w:pos="790"/>
                <w:tab w:val="left" w:pos="1264"/>
              </w:tabs>
              <w:overflowPunct w:val="0"/>
              <w:adjustRightInd w:val="0"/>
              <w:snapToGrid w:val="0"/>
              <w:jc w:val="center"/>
              <w:rPr>
                <w:rFonts w:hAnsi="宋体"/>
                <w:color w:val="auto"/>
                <w:sz w:val="24"/>
                <w:szCs w:val="24"/>
              </w:rPr>
            </w:pPr>
          </w:p>
        </w:tc>
        <w:tc>
          <w:tcPr>
            <w:tcW w:w="712" w:type="pct"/>
            <w:vAlign w:val="center"/>
          </w:tcPr>
          <w:p>
            <w:pPr>
              <w:tabs>
                <w:tab w:val="left" w:pos="790"/>
                <w:tab w:val="left" w:pos="1264"/>
              </w:tabs>
              <w:overflowPunct w:val="0"/>
              <w:adjustRightInd w:val="0"/>
              <w:snapToGrid w:val="0"/>
              <w:jc w:val="center"/>
              <w:rPr>
                <w:rFonts w:hAnsi="宋体"/>
                <w:color w:val="auto"/>
                <w:sz w:val="24"/>
                <w:szCs w:val="24"/>
              </w:rPr>
            </w:pPr>
          </w:p>
        </w:tc>
        <w:tc>
          <w:tcPr>
            <w:tcW w:w="675" w:type="pct"/>
            <w:vAlign w:val="center"/>
          </w:tcPr>
          <w:p>
            <w:pPr>
              <w:tabs>
                <w:tab w:val="left" w:pos="790"/>
                <w:tab w:val="left" w:pos="1264"/>
              </w:tabs>
              <w:overflowPunct w:val="0"/>
              <w:adjustRightInd w:val="0"/>
              <w:snapToGrid w:val="0"/>
              <w:jc w:val="center"/>
              <w:rPr>
                <w:rFonts w:hAnsi="宋体"/>
                <w:color w:val="auto"/>
                <w:sz w:val="24"/>
                <w:szCs w:val="24"/>
              </w:rPr>
            </w:pPr>
          </w:p>
        </w:tc>
        <w:tc>
          <w:tcPr>
            <w:tcW w:w="792" w:type="pct"/>
            <w:vAlign w:val="center"/>
          </w:tcPr>
          <w:p>
            <w:pPr>
              <w:tabs>
                <w:tab w:val="left" w:pos="790"/>
                <w:tab w:val="left" w:pos="1264"/>
              </w:tabs>
              <w:overflowPunct w:val="0"/>
              <w:adjustRightInd w:val="0"/>
              <w:snapToGrid w:val="0"/>
              <w:jc w:val="center"/>
              <w:rPr>
                <w:rFonts w:hAnsi="宋体"/>
                <w:color w:val="auto"/>
                <w:sz w:val="24"/>
                <w:szCs w:val="24"/>
              </w:rPr>
            </w:pPr>
          </w:p>
        </w:tc>
        <w:tc>
          <w:tcPr>
            <w:tcW w:w="755" w:type="pct"/>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730" w:type="pct"/>
            <w:vAlign w:val="center"/>
          </w:tcPr>
          <w:p>
            <w:pPr>
              <w:tabs>
                <w:tab w:val="left" w:pos="790"/>
                <w:tab w:val="left" w:pos="1264"/>
              </w:tabs>
              <w:overflowPunct w:val="0"/>
              <w:adjustRightInd w:val="0"/>
              <w:snapToGrid w:val="0"/>
              <w:jc w:val="center"/>
              <w:rPr>
                <w:rFonts w:hAnsi="宋体"/>
                <w:color w:val="auto"/>
                <w:sz w:val="24"/>
                <w:szCs w:val="24"/>
              </w:rPr>
            </w:pPr>
          </w:p>
        </w:tc>
        <w:tc>
          <w:tcPr>
            <w:tcW w:w="680" w:type="pct"/>
            <w:vAlign w:val="center"/>
          </w:tcPr>
          <w:p>
            <w:pPr>
              <w:tabs>
                <w:tab w:val="left" w:pos="790"/>
                <w:tab w:val="left" w:pos="1264"/>
              </w:tabs>
              <w:overflowPunct w:val="0"/>
              <w:adjustRightInd w:val="0"/>
              <w:snapToGrid w:val="0"/>
              <w:jc w:val="center"/>
              <w:rPr>
                <w:rFonts w:hAnsi="宋体"/>
                <w:color w:val="auto"/>
                <w:sz w:val="24"/>
                <w:szCs w:val="24"/>
              </w:rPr>
            </w:pPr>
          </w:p>
        </w:tc>
        <w:tc>
          <w:tcPr>
            <w:tcW w:w="657" w:type="pct"/>
            <w:vAlign w:val="center"/>
          </w:tcPr>
          <w:p>
            <w:pPr>
              <w:tabs>
                <w:tab w:val="left" w:pos="790"/>
                <w:tab w:val="left" w:pos="1264"/>
              </w:tabs>
              <w:overflowPunct w:val="0"/>
              <w:adjustRightInd w:val="0"/>
              <w:snapToGrid w:val="0"/>
              <w:jc w:val="center"/>
              <w:rPr>
                <w:rFonts w:hAnsi="宋体"/>
                <w:color w:val="auto"/>
                <w:sz w:val="24"/>
                <w:szCs w:val="24"/>
              </w:rPr>
            </w:pPr>
          </w:p>
        </w:tc>
        <w:tc>
          <w:tcPr>
            <w:tcW w:w="712" w:type="pct"/>
            <w:vAlign w:val="center"/>
          </w:tcPr>
          <w:p>
            <w:pPr>
              <w:tabs>
                <w:tab w:val="left" w:pos="790"/>
                <w:tab w:val="left" w:pos="1264"/>
              </w:tabs>
              <w:overflowPunct w:val="0"/>
              <w:adjustRightInd w:val="0"/>
              <w:snapToGrid w:val="0"/>
              <w:jc w:val="center"/>
              <w:rPr>
                <w:rFonts w:hAnsi="宋体"/>
                <w:color w:val="auto"/>
                <w:sz w:val="24"/>
                <w:szCs w:val="24"/>
              </w:rPr>
            </w:pPr>
          </w:p>
        </w:tc>
        <w:tc>
          <w:tcPr>
            <w:tcW w:w="675" w:type="pct"/>
            <w:vAlign w:val="center"/>
          </w:tcPr>
          <w:p>
            <w:pPr>
              <w:tabs>
                <w:tab w:val="left" w:pos="790"/>
                <w:tab w:val="left" w:pos="1264"/>
              </w:tabs>
              <w:overflowPunct w:val="0"/>
              <w:adjustRightInd w:val="0"/>
              <w:snapToGrid w:val="0"/>
              <w:jc w:val="center"/>
              <w:rPr>
                <w:rFonts w:hAnsi="宋体"/>
                <w:color w:val="auto"/>
                <w:sz w:val="24"/>
                <w:szCs w:val="24"/>
              </w:rPr>
            </w:pPr>
          </w:p>
        </w:tc>
        <w:tc>
          <w:tcPr>
            <w:tcW w:w="792" w:type="pct"/>
            <w:vAlign w:val="center"/>
          </w:tcPr>
          <w:p>
            <w:pPr>
              <w:tabs>
                <w:tab w:val="left" w:pos="790"/>
                <w:tab w:val="left" w:pos="1264"/>
              </w:tabs>
              <w:overflowPunct w:val="0"/>
              <w:adjustRightInd w:val="0"/>
              <w:snapToGrid w:val="0"/>
              <w:jc w:val="center"/>
              <w:rPr>
                <w:rFonts w:hAnsi="宋体"/>
                <w:color w:val="auto"/>
                <w:sz w:val="24"/>
                <w:szCs w:val="24"/>
              </w:rPr>
            </w:pPr>
          </w:p>
        </w:tc>
        <w:tc>
          <w:tcPr>
            <w:tcW w:w="755" w:type="pct"/>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730" w:type="pct"/>
            <w:vAlign w:val="center"/>
          </w:tcPr>
          <w:p>
            <w:pPr>
              <w:tabs>
                <w:tab w:val="left" w:pos="790"/>
                <w:tab w:val="left" w:pos="1264"/>
              </w:tabs>
              <w:overflowPunct w:val="0"/>
              <w:adjustRightInd w:val="0"/>
              <w:snapToGrid w:val="0"/>
              <w:jc w:val="center"/>
              <w:rPr>
                <w:rFonts w:hAnsi="宋体"/>
                <w:color w:val="auto"/>
                <w:sz w:val="24"/>
                <w:szCs w:val="24"/>
              </w:rPr>
            </w:pPr>
          </w:p>
        </w:tc>
        <w:tc>
          <w:tcPr>
            <w:tcW w:w="680" w:type="pct"/>
            <w:vAlign w:val="center"/>
          </w:tcPr>
          <w:p>
            <w:pPr>
              <w:tabs>
                <w:tab w:val="left" w:pos="790"/>
                <w:tab w:val="left" w:pos="1264"/>
              </w:tabs>
              <w:overflowPunct w:val="0"/>
              <w:adjustRightInd w:val="0"/>
              <w:snapToGrid w:val="0"/>
              <w:jc w:val="center"/>
              <w:rPr>
                <w:rFonts w:hAnsi="宋体"/>
                <w:color w:val="auto"/>
                <w:sz w:val="24"/>
                <w:szCs w:val="24"/>
              </w:rPr>
            </w:pPr>
          </w:p>
        </w:tc>
        <w:tc>
          <w:tcPr>
            <w:tcW w:w="657" w:type="pct"/>
            <w:vAlign w:val="center"/>
          </w:tcPr>
          <w:p>
            <w:pPr>
              <w:tabs>
                <w:tab w:val="left" w:pos="790"/>
                <w:tab w:val="left" w:pos="1264"/>
              </w:tabs>
              <w:overflowPunct w:val="0"/>
              <w:adjustRightInd w:val="0"/>
              <w:snapToGrid w:val="0"/>
              <w:jc w:val="center"/>
              <w:rPr>
                <w:rFonts w:hAnsi="宋体"/>
                <w:color w:val="auto"/>
                <w:sz w:val="24"/>
                <w:szCs w:val="24"/>
              </w:rPr>
            </w:pPr>
          </w:p>
        </w:tc>
        <w:tc>
          <w:tcPr>
            <w:tcW w:w="712" w:type="pct"/>
            <w:vAlign w:val="center"/>
          </w:tcPr>
          <w:p>
            <w:pPr>
              <w:tabs>
                <w:tab w:val="left" w:pos="790"/>
                <w:tab w:val="left" w:pos="1264"/>
              </w:tabs>
              <w:overflowPunct w:val="0"/>
              <w:adjustRightInd w:val="0"/>
              <w:snapToGrid w:val="0"/>
              <w:jc w:val="center"/>
              <w:rPr>
                <w:rFonts w:hAnsi="宋体"/>
                <w:color w:val="auto"/>
                <w:sz w:val="24"/>
                <w:szCs w:val="24"/>
              </w:rPr>
            </w:pPr>
          </w:p>
        </w:tc>
        <w:tc>
          <w:tcPr>
            <w:tcW w:w="675" w:type="pct"/>
            <w:vAlign w:val="center"/>
          </w:tcPr>
          <w:p>
            <w:pPr>
              <w:tabs>
                <w:tab w:val="left" w:pos="790"/>
                <w:tab w:val="left" w:pos="1264"/>
              </w:tabs>
              <w:overflowPunct w:val="0"/>
              <w:adjustRightInd w:val="0"/>
              <w:snapToGrid w:val="0"/>
              <w:jc w:val="center"/>
              <w:rPr>
                <w:rFonts w:hAnsi="宋体"/>
                <w:color w:val="auto"/>
                <w:sz w:val="24"/>
                <w:szCs w:val="24"/>
              </w:rPr>
            </w:pPr>
          </w:p>
        </w:tc>
        <w:tc>
          <w:tcPr>
            <w:tcW w:w="792" w:type="pct"/>
            <w:vAlign w:val="center"/>
          </w:tcPr>
          <w:p>
            <w:pPr>
              <w:tabs>
                <w:tab w:val="left" w:pos="790"/>
                <w:tab w:val="left" w:pos="1264"/>
              </w:tabs>
              <w:overflowPunct w:val="0"/>
              <w:adjustRightInd w:val="0"/>
              <w:snapToGrid w:val="0"/>
              <w:jc w:val="center"/>
              <w:rPr>
                <w:rFonts w:hAnsi="宋体"/>
                <w:color w:val="auto"/>
                <w:sz w:val="24"/>
                <w:szCs w:val="24"/>
              </w:rPr>
            </w:pPr>
          </w:p>
        </w:tc>
        <w:tc>
          <w:tcPr>
            <w:tcW w:w="755" w:type="pct"/>
            <w:vAlign w:val="center"/>
          </w:tcPr>
          <w:p>
            <w:pPr>
              <w:tabs>
                <w:tab w:val="left" w:pos="790"/>
                <w:tab w:val="left" w:pos="1264"/>
              </w:tabs>
              <w:overflowPunct w:val="0"/>
              <w:adjustRightInd w:val="0"/>
              <w:snapToGrid w:val="0"/>
              <w:jc w:val="center"/>
              <w:rPr>
                <w:rFonts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730" w:type="pct"/>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合计</w:t>
            </w:r>
          </w:p>
        </w:tc>
        <w:tc>
          <w:tcPr>
            <w:tcW w:w="680" w:type="pct"/>
            <w:vAlign w:val="center"/>
          </w:tcPr>
          <w:p>
            <w:pPr>
              <w:tabs>
                <w:tab w:val="left" w:pos="790"/>
                <w:tab w:val="left" w:pos="1264"/>
              </w:tabs>
              <w:overflowPunct w:val="0"/>
              <w:adjustRightInd w:val="0"/>
              <w:snapToGrid w:val="0"/>
              <w:jc w:val="center"/>
              <w:rPr>
                <w:rFonts w:hAnsi="宋体"/>
                <w:color w:val="auto"/>
                <w:sz w:val="24"/>
                <w:szCs w:val="24"/>
              </w:rPr>
            </w:pPr>
          </w:p>
        </w:tc>
        <w:tc>
          <w:tcPr>
            <w:tcW w:w="657" w:type="pct"/>
            <w:vAlign w:val="center"/>
          </w:tcPr>
          <w:p>
            <w:pPr>
              <w:tabs>
                <w:tab w:val="left" w:pos="790"/>
                <w:tab w:val="left" w:pos="1264"/>
              </w:tabs>
              <w:overflowPunct w:val="0"/>
              <w:adjustRightInd w:val="0"/>
              <w:snapToGrid w:val="0"/>
              <w:jc w:val="center"/>
              <w:rPr>
                <w:rFonts w:hAnsi="宋体"/>
                <w:color w:val="auto"/>
                <w:sz w:val="24"/>
                <w:szCs w:val="24"/>
              </w:rPr>
            </w:pPr>
          </w:p>
        </w:tc>
        <w:tc>
          <w:tcPr>
            <w:tcW w:w="712" w:type="pct"/>
            <w:vAlign w:val="center"/>
          </w:tcPr>
          <w:p>
            <w:pPr>
              <w:tabs>
                <w:tab w:val="left" w:pos="790"/>
                <w:tab w:val="left" w:pos="1264"/>
              </w:tabs>
              <w:overflowPunct w:val="0"/>
              <w:adjustRightInd w:val="0"/>
              <w:snapToGrid w:val="0"/>
              <w:jc w:val="center"/>
              <w:rPr>
                <w:rFonts w:hAnsi="宋体"/>
                <w:color w:val="auto"/>
                <w:sz w:val="24"/>
                <w:szCs w:val="24"/>
              </w:rPr>
            </w:pPr>
          </w:p>
        </w:tc>
        <w:tc>
          <w:tcPr>
            <w:tcW w:w="675" w:type="pct"/>
            <w:vAlign w:val="center"/>
          </w:tcPr>
          <w:p>
            <w:pPr>
              <w:tabs>
                <w:tab w:val="left" w:pos="790"/>
                <w:tab w:val="left" w:pos="1264"/>
              </w:tabs>
              <w:overflowPunct w:val="0"/>
              <w:adjustRightInd w:val="0"/>
              <w:snapToGrid w:val="0"/>
              <w:jc w:val="center"/>
              <w:rPr>
                <w:rFonts w:hAnsi="宋体"/>
                <w:color w:val="auto"/>
                <w:sz w:val="24"/>
                <w:szCs w:val="24"/>
              </w:rPr>
            </w:pPr>
          </w:p>
        </w:tc>
        <w:tc>
          <w:tcPr>
            <w:tcW w:w="792" w:type="pct"/>
            <w:vAlign w:val="center"/>
          </w:tcPr>
          <w:p>
            <w:pPr>
              <w:tabs>
                <w:tab w:val="left" w:pos="790"/>
                <w:tab w:val="left" w:pos="1264"/>
              </w:tabs>
              <w:overflowPunct w:val="0"/>
              <w:adjustRightInd w:val="0"/>
              <w:snapToGrid w:val="0"/>
              <w:jc w:val="center"/>
              <w:rPr>
                <w:rFonts w:hAnsi="宋体"/>
                <w:color w:val="auto"/>
                <w:sz w:val="24"/>
                <w:szCs w:val="24"/>
              </w:rPr>
            </w:pPr>
          </w:p>
        </w:tc>
        <w:tc>
          <w:tcPr>
            <w:tcW w:w="755" w:type="pct"/>
            <w:vAlign w:val="center"/>
          </w:tcPr>
          <w:p>
            <w:pPr>
              <w:tabs>
                <w:tab w:val="left" w:pos="790"/>
                <w:tab w:val="left" w:pos="1264"/>
              </w:tabs>
              <w:overflowPunct w:val="0"/>
              <w:adjustRightInd w:val="0"/>
              <w:snapToGrid w:val="0"/>
              <w:jc w:val="center"/>
              <w:rPr>
                <w:rFonts w:hAnsi="宋体"/>
                <w:color w:val="auto"/>
                <w:sz w:val="24"/>
                <w:szCs w:val="24"/>
              </w:rPr>
            </w:pPr>
          </w:p>
        </w:tc>
      </w:tr>
    </w:tbl>
    <w:p>
      <w:pPr>
        <w:adjustRightInd w:val="0"/>
        <w:snapToGrid w:val="0"/>
        <w:spacing w:before="120" w:line="312" w:lineRule="auto"/>
        <w:rPr>
          <w:rFonts w:ascii="黑体" w:hAnsi="黑体" w:eastAsia="黑体" w:cs="仿宋"/>
          <w:color w:val="auto"/>
          <w:sz w:val="28"/>
          <w:szCs w:val="28"/>
          <w:lang w:val="en-GB"/>
        </w:rPr>
      </w:pPr>
      <w:r>
        <w:rPr>
          <w:rFonts w:hint="eastAsia" w:ascii="黑体" w:hAnsi="黑体" w:eastAsia="黑体" w:cs="仿宋"/>
          <w:color w:val="auto"/>
          <w:sz w:val="28"/>
          <w:szCs w:val="28"/>
          <w:lang w:val="en-GB"/>
        </w:rPr>
        <w:t>三、典型事件（重大或突出问题及其处理情况）</w:t>
      </w:r>
    </w:p>
    <w:p>
      <w:pPr>
        <w:adjustRightInd w:val="0"/>
        <w:snapToGrid w:val="0"/>
        <w:spacing w:line="312" w:lineRule="auto"/>
        <w:rPr>
          <w:rFonts w:hAnsi="仿宋" w:cs="仿宋"/>
          <w:color w:val="auto"/>
          <w:sz w:val="28"/>
          <w:szCs w:val="28"/>
          <w:lang w:val="en-GB"/>
        </w:rPr>
      </w:pPr>
    </w:p>
    <w:p>
      <w:pPr>
        <w:adjustRightInd w:val="0"/>
        <w:snapToGrid w:val="0"/>
        <w:spacing w:line="312" w:lineRule="auto"/>
        <w:rPr>
          <w:rFonts w:hAnsi="仿宋" w:cs="仿宋"/>
          <w:color w:val="auto"/>
          <w:sz w:val="28"/>
          <w:szCs w:val="28"/>
          <w:lang w:val="en-GB"/>
        </w:rPr>
      </w:pPr>
    </w:p>
    <w:p>
      <w:pPr>
        <w:adjustRightInd w:val="0"/>
        <w:snapToGrid w:val="0"/>
        <w:spacing w:line="312" w:lineRule="auto"/>
        <w:rPr>
          <w:rFonts w:ascii="黑体" w:hAnsi="黑体" w:eastAsia="黑体" w:cs="仿宋"/>
          <w:color w:val="auto"/>
          <w:sz w:val="28"/>
          <w:szCs w:val="28"/>
          <w:lang w:val="en-GB"/>
        </w:rPr>
      </w:pPr>
      <w:r>
        <w:rPr>
          <w:rFonts w:hint="eastAsia" w:ascii="黑体" w:hAnsi="黑体" w:eastAsia="黑体" w:cs="仿宋"/>
          <w:color w:val="auto"/>
          <w:sz w:val="28"/>
          <w:szCs w:val="28"/>
          <w:lang w:val="en-GB"/>
        </w:rPr>
        <w:t>四、其他情况</w:t>
      </w:r>
    </w:p>
    <w:p>
      <w:pPr>
        <w:adjustRightInd w:val="0"/>
        <w:snapToGrid w:val="0"/>
        <w:spacing w:line="312" w:lineRule="auto"/>
        <w:rPr>
          <w:rFonts w:hAnsi="仿宋" w:cs="仿宋"/>
          <w:color w:val="auto"/>
          <w:sz w:val="28"/>
          <w:szCs w:val="28"/>
          <w:lang w:val="en-GB"/>
        </w:rPr>
      </w:pPr>
    </w:p>
    <w:p>
      <w:pPr>
        <w:adjustRightInd w:val="0"/>
        <w:snapToGrid w:val="0"/>
        <w:spacing w:line="312" w:lineRule="auto"/>
        <w:rPr>
          <w:rFonts w:hAnsi="仿宋" w:cs="仿宋"/>
          <w:color w:val="auto"/>
          <w:sz w:val="28"/>
          <w:szCs w:val="28"/>
          <w:lang w:val="en-GB"/>
        </w:rPr>
      </w:pPr>
    </w:p>
    <w:p>
      <w:pPr>
        <w:adjustRightInd w:val="0"/>
        <w:snapToGrid w:val="0"/>
        <w:spacing w:line="312" w:lineRule="auto"/>
        <w:rPr>
          <w:rFonts w:ascii="黑体" w:hAnsi="黑体" w:eastAsia="黑体" w:cs="仿宋"/>
          <w:color w:val="auto"/>
          <w:sz w:val="28"/>
          <w:szCs w:val="28"/>
          <w:lang w:val="en-GB"/>
        </w:rPr>
      </w:pPr>
      <w:r>
        <w:rPr>
          <w:rFonts w:hint="eastAsia" w:ascii="黑体" w:hAnsi="黑体" w:eastAsia="黑体" w:cs="仿宋"/>
          <w:color w:val="auto"/>
          <w:sz w:val="28"/>
          <w:szCs w:val="28"/>
          <w:lang w:val="en-GB"/>
        </w:rPr>
        <w:t>五、有关建议</w:t>
      </w:r>
    </w:p>
    <w:p>
      <w:pPr>
        <w:adjustRightInd w:val="0"/>
        <w:snapToGrid w:val="0"/>
        <w:spacing w:line="312" w:lineRule="auto"/>
        <w:rPr>
          <w:rFonts w:hAnsi="仿宋" w:cs="仿宋"/>
          <w:color w:val="auto"/>
          <w:sz w:val="28"/>
          <w:szCs w:val="28"/>
          <w:lang w:val="en-GB"/>
        </w:rPr>
      </w:pPr>
    </w:p>
    <w:p>
      <w:pPr>
        <w:adjustRightInd w:val="0"/>
        <w:snapToGrid w:val="0"/>
        <w:spacing w:line="312" w:lineRule="auto"/>
        <w:rPr>
          <w:rFonts w:hAnsi="仿宋" w:cs="仿宋"/>
          <w:color w:val="auto"/>
          <w:sz w:val="28"/>
          <w:szCs w:val="28"/>
          <w:lang w:val="en-GB"/>
        </w:rPr>
      </w:pPr>
    </w:p>
    <w:p>
      <w:pPr>
        <w:adjustRightInd w:val="0"/>
        <w:snapToGrid w:val="0"/>
        <w:spacing w:line="312" w:lineRule="auto"/>
        <w:rPr>
          <w:rFonts w:hAnsi="仿宋" w:cs="仿宋"/>
          <w:color w:val="auto"/>
          <w:sz w:val="28"/>
          <w:szCs w:val="28"/>
          <w:lang w:val="en-GB"/>
        </w:rPr>
      </w:pPr>
    </w:p>
    <w:p>
      <w:pPr>
        <w:adjustRightInd w:val="0"/>
        <w:snapToGrid w:val="0"/>
        <w:spacing w:line="312" w:lineRule="auto"/>
        <w:rPr>
          <w:rFonts w:hAnsi="仿宋" w:cs="仿宋"/>
          <w:color w:val="auto"/>
          <w:sz w:val="28"/>
          <w:szCs w:val="28"/>
          <w:u w:val="single"/>
          <w:lang w:val="en-GB"/>
        </w:rPr>
      </w:pPr>
      <w:r>
        <w:rPr>
          <w:rFonts w:hint="eastAsia" w:hAnsi="仿宋" w:cs="仿宋"/>
          <w:color w:val="auto"/>
          <w:sz w:val="28"/>
          <w:szCs w:val="28"/>
          <w:lang w:val="en-GB"/>
        </w:rPr>
        <w:t>填表人：</w:t>
      </w:r>
      <w:r>
        <w:rPr>
          <w:rFonts w:hint="eastAsia" w:hAnsi="仿宋" w:cs="仿宋"/>
          <w:color w:val="auto"/>
          <w:sz w:val="28"/>
          <w:szCs w:val="28"/>
          <w:u w:val="single"/>
          <w:lang w:val="en-GB"/>
        </w:rPr>
        <w:t>　　　　　　</w:t>
      </w:r>
      <w:r>
        <w:rPr>
          <w:rFonts w:hint="eastAsia" w:hAnsi="仿宋" w:cs="仿宋"/>
          <w:color w:val="auto"/>
          <w:sz w:val="28"/>
          <w:szCs w:val="28"/>
          <w:lang w:val="en-GB"/>
        </w:rPr>
        <w:t xml:space="preserve"> 联系电话：</w:t>
      </w:r>
      <w:r>
        <w:rPr>
          <w:rFonts w:hint="eastAsia" w:hAnsi="仿宋" w:cs="仿宋"/>
          <w:color w:val="auto"/>
          <w:sz w:val="28"/>
          <w:szCs w:val="28"/>
          <w:u w:val="single"/>
          <w:lang w:val="en-GB"/>
        </w:rPr>
        <w:t>　　　　　　</w:t>
      </w:r>
      <w:r>
        <w:rPr>
          <w:rFonts w:hint="eastAsia" w:hAnsi="仿宋" w:cs="仿宋"/>
          <w:color w:val="auto"/>
          <w:sz w:val="28"/>
          <w:szCs w:val="28"/>
          <w:lang w:val="en-GB"/>
        </w:rPr>
        <w:t xml:space="preserve"> 审核人：</w:t>
      </w:r>
      <w:r>
        <w:rPr>
          <w:rFonts w:hint="eastAsia" w:hAnsi="仿宋" w:cs="仿宋"/>
          <w:color w:val="auto"/>
          <w:sz w:val="28"/>
          <w:szCs w:val="28"/>
          <w:u w:val="single"/>
          <w:lang w:val="en-GB"/>
        </w:rPr>
        <w:t>　　　　　　</w:t>
      </w:r>
    </w:p>
    <w:p>
      <w:pPr>
        <w:adjustRightInd w:val="0"/>
        <w:snapToGrid w:val="0"/>
        <w:spacing w:line="312" w:lineRule="auto"/>
        <w:rPr>
          <w:rFonts w:hAnsi="仿宋" w:cs="仿宋"/>
          <w:color w:val="auto"/>
          <w:sz w:val="28"/>
          <w:szCs w:val="28"/>
          <w:lang w:val="en-GB"/>
        </w:rPr>
      </w:pPr>
    </w:p>
    <w:p>
      <w:pPr>
        <w:widowControl/>
        <w:adjustRightInd w:val="0"/>
        <w:snapToGrid w:val="0"/>
        <w:spacing w:line="312" w:lineRule="auto"/>
        <w:ind w:right="765" w:firstLine="567"/>
        <w:jc w:val="right"/>
        <w:rPr>
          <w:rFonts w:hAnsi="仿宋" w:cs="仿宋"/>
          <w:color w:val="auto"/>
          <w:sz w:val="28"/>
          <w:szCs w:val="28"/>
        </w:rPr>
      </w:pPr>
      <w:r>
        <w:rPr>
          <w:rFonts w:hint="eastAsia" w:hAnsi="仿宋" w:cs="仿宋"/>
          <w:color w:val="auto"/>
          <w:sz w:val="28"/>
          <w:szCs w:val="28"/>
        </w:rPr>
        <w:t>×××市场监督管理局</w:t>
      </w:r>
    </w:p>
    <w:p>
      <w:pPr>
        <w:widowControl/>
        <w:adjustRightInd w:val="0"/>
        <w:snapToGrid w:val="0"/>
        <w:spacing w:line="312" w:lineRule="auto"/>
        <w:ind w:right="1134" w:firstLine="567"/>
        <w:jc w:val="right"/>
        <w:rPr>
          <w:rFonts w:hAnsi="仿宋" w:cs="仿宋"/>
          <w:color w:val="auto"/>
          <w:sz w:val="28"/>
          <w:szCs w:val="28"/>
        </w:rPr>
      </w:pPr>
      <w:r>
        <w:rPr>
          <w:rFonts w:hint="eastAsia" w:hAnsi="仿宋" w:cs="仿宋"/>
          <w:color w:val="auto"/>
          <w:sz w:val="28"/>
          <w:szCs w:val="28"/>
        </w:rPr>
        <w:t>年　　月　　日</w:t>
      </w:r>
    </w:p>
    <w:p>
      <w:pPr>
        <w:widowControl/>
        <w:adjustRightInd w:val="0"/>
        <w:snapToGrid w:val="0"/>
        <w:spacing w:line="312" w:lineRule="auto"/>
        <w:ind w:right="1134" w:firstLine="567"/>
        <w:jc w:val="right"/>
        <w:rPr>
          <w:rFonts w:hAnsi="仿宋" w:cs="仿宋"/>
          <w:color w:val="auto"/>
          <w:sz w:val="28"/>
          <w:szCs w:val="28"/>
        </w:rPr>
      </w:pPr>
    </w:p>
    <w:p>
      <w:pPr>
        <w:widowControl/>
        <w:adjustRightInd w:val="0"/>
        <w:snapToGrid w:val="0"/>
        <w:spacing w:line="312" w:lineRule="auto"/>
        <w:ind w:right="1134" w:firstLine="567"/>
        <w:jc w:val="right"/>
        <w:rPr>
          <w:rFonts w:hAnsi="仿宋" w:cs="仿宋"/>
          <w:color w:val="auto"/>
          <w:sz w:val="28"/>
          <w:szCs w:val="28"/>
        </w:rPr>
      </w:pPr>
    </w:p>
    <w:p>
      <w:pPr>
        <w:widowControl/>
        <w:adjustRightInd w:val="0"/>
        <w:snapToGrid w:val="0"/>
        <w:spacing w:line="312" w:lineRule="auto"/>
        <w:ind w:right="1134" w:firstLine="567"/>
        <w:jc w:val="right"/>
        <w:rPr>
          <w:rFonts w:hAnsi="仿宋" w:cs="仿宋"/>
          <w:color w:val="auto"/>
          <w:sz w:val="28"/>
          <w:szCs w:val="28"/>
        </w:rPr>
      </w:pPr>
    </w:p>
    <w:p>
      <w:pPr>
        <w:tabs>
          <w:tab w:val="left" w:pos="790"/>
          <w:tab w:val="left" w:pos="1264"/>
        </w:tabs>
        <w:overflowPunct w:val="0"/>
        <w:adjustRightInd w:val="0"/>
        <w:snapToGrid w:val="0"/>
        <w:spacing w:line="336" w:lineRule="auto"/>
        <w:ind w:firstLine="624"/>
        <w:rPr>
          <w:rFonts w:ascii="方正小标宋简体" w:hAnsi="仿宋" w:eastAsia="方正小标宋简体" w:cs="仿宋"/>
          <w:color w:val="auto"/>
          <w:kern w:val="0"/>
          <w:sz w:val="36"/>
          <w:szCs w:val="36"/>
          <w:lang w:val="en-GB"/>
        </w:rPr>
      </w:pPr>
      <w:r>
        <w:rPr>
          <w:rFonts w:ascii="方正小标宋简体" w:hAnsi="仿宋" w:eastAsia="方正小标宋简体" w:cs="仿宋"/>
          <w:color w:val="auto"/>
          <w:kern w:val="0"/>
          <w:sz w:val="36"/>
          <w:szCs w:val="36"/>
          <w:lang w:val="en-GB"/>
        </w:rPr>
        <w:t>4</w:t>
      </w:r>
      <w:r>
        <w:rPr>
          <w:rFonts w:hint="eastAsia" w:ascii="方正小标宋简体" w:hAnsi="仿宋" w:eastAsia="方正小标宋简体" w:cs="仿宋"/>
          <w:color w:val="auto"/>
          <w:kern w:val="0"/>
          <w:sz w:val="36"/>
          <w:szCs w:val="36"/>
          <w:lang w:val="en-GB"/>
        </w:rPr>
        <w:t>.2　重大活动保障常用快速检测项目和判定标准</w:t>
      </w:r>
    </w:p>
    <w:p>
      <w:pPr>
        <w:tabs>
          <w:tab w:val="left" w:pos="790"/>
          <w:tab w:val="left" w:pos="1264"/>
        </w:tabs>
        <w:overflowPunct w:val="0"/>
        <w:adjustRightInd w:val="0"/>
        <w:snapToGrid w:val="0"/>
        <w:spacing w:line="336" w:lineRule="auto"/>
        <w:ind w:firstLine="624"/>
        <w:rPr>
          <w:rFonts w:hAnsi="宋体"/>
          <w:color w:val="auto"/>
          <w:szCs w:val="30"/>
        </w:rPr>
      </w:pPr>
      <w:r>
        <w:rPr>
          <w:rFonts w:hint="eastAsia" w:hAnsi="宋体"/>
          <w:color w:val="auto"/>
          <w:szCs w:val="30"/>
        </w:rPr>
        <w:t>市场监管部门可以根据重大活动食品安全保障工作需要，参照重大活动保障食品常用快速检测项目和判断标准对食品原料和加工环节进行快速检测和判定。</w:t>
      </w:r>
    </w:p>
    <w:tbl>
      <w:tblPr>
        <w:tblStyle w:val="16"/>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57" w:type="dxa"/>
          <w:bottom w:w="0" w:type="dxa"/>
          <w:right w:w="57" w:type="dxa"/>
        </w:tblCellMar>
      </w:tblPr>
      <w:tblGrid>
        <w:gridCol w:w="488"/>
        <w:gridCol w:w="1006"/>
        <w:gridCol w:w="1092"/>
        <w:gridCol w:w="1838"/>
        <w:gridCol w:w="1747"/>
        <w:gridCol w:w="26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84" w:hRule="atLeast"/>
          <w:tblHeader/>
          <w:jc w:val="center"/>
        </w:trPr>
        <w:tc>
          <w:tcPr>
            <w:tcW w:w="532" w:type="dxa"/>
            <w:tcBorders>
              <w:top w:val="single" w:color="auto" w:sz="8"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8" w:space="0"/>
              <w:bottom w:val="single" w:color="auto" w:sz="6" w:space="0"/>
            </w:tcBorders>
            <w:shd w:val="clear" w:color="auto" w:fill="auto"/>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品种类别</w:t>
            </w:r>
          </w:p>
        </w:tc>
        <w:tc>
          <w:tcPr>
            <w:tcW w:w="1177" w:type="dxa"/>
            <w:tcBorders>
              <w:top w:val="single" w:color="auto" w:sz="8" w:space="0"/>
              <w:bottom w:val="single" w:color="auto" w:sz="6" w:space="0"/>
            </w:tcBorders>
            <w:shd w:val="clear" w:color="auto" w:fill="auto"/>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检测项目</w:t>
            </w:r>
          </w:p>
        </w:tc>
        <w:tc>
          <w:tcPr>
            <w:tcW w:w="1412" w:type="dxa"/>
            <w:tcBorders>
              <w:top w:val="single" w:color="auto" w:sz="8" w:space="0"/>
              <w:bottom w:val="single" w:color="auto" w:sz="6" w:space="0"/>
            </w:tcBorders>
            <w:shd w:val="clear" w:color="auto" w:fill="auto"/>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检测方法</w:t>
            </w:r>
          </w:p>
        </w:tc>
        <w:tc>
          <w:tcPr>
            <w:tcW w:w="1824" w:type="dxa"/>
            <w:tcBorders>
              <w:top w:val="single" w:color="auto" w:sz="8" w:space="0"/>
              <w:bottom w:val="single" w:color="auto" w:sz="6" w:space="0"/>
            </w:tcBorders>
            <w:shd w:val="clear" w:color="auto" w:fill="auto"/>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判定标准</w:t>
            </w:r>
          </w:p>
        </w:tc>
        <w:tc>
          <w:tcPr>
            <w:tcW w:w="2761" w:type="dxa"/>
            <w:tcBorders>
              <w:top w:val="single" w:color="auto" w:sz="8" w:space="0"/>
              <w:bottom w:val="single" w:color="auto" w:sz="6" w:space="0"/>
            </w:tcBorders>
            <w:shd w:val="clear" w:color="auto" w:fill="auto"/>
            <w:vAlign w:val="center"/>
          </w:tcPr>
          <w:p>
            <w:pPr>
              <w:tabs>
                <w:tab w:val="left" w:pos="790"/>
                <w:tab w:val="left" w:pos="1264"/>
              </w:tabs>
              <w:overflowPunct w:val="0"/>
              <w:adjustRightInd w:val="0"/>
              <w:snapToGrid w:val="0"/>
              <w:jc w:val="center"/>
              <w:rPr>
                <w:rFonts w:ascii="黑体" w:hAnsi="黑体" w:eastAsia="黑体"/>
                <w:color w:val="auto"/>
                <w:sz w:val="24"/>
                <w:szCs w:val="24"/>
              </w:rPr>
            </w:pPr>
            <w:r>
              <w:rPr>
                <w:rFonts w:hint="eastAsia" w:ascii="黑体" w:hAnsi="黑体" w:eastAsia="黑体"/>
                <w:color w:val="auto"/>
                <w:sz w:val="24"/>
                <w:szCs w:val="24"/>
              </w:rPr>
              <w:t>判定结果图示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098" w:hRule="atLeast"/>
          <w:jc w:val="center"/>
        </w:trPr>
        <w:tc>
          <w:tcPr>
            <w:tcW w:w="532" w:type="dxa"/>
            <w:vMerge w:val="restart"/>
            <w:tcBorders>
              <w:top w:val="single" w:color="auto" w:sz="6" w:space="0"/>
            </w:tcBorders>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r>
              <w:rPr>
                <w:rFonts w:hint="eastAsia" w:hAnsi="黑体"/>
                <w:color w:val="auto"/>
                <w:sz w:val="24"/>
                <w:szCs w:val="24"/>
              </w:rPr>
              <w:t>原料检验</w:t>
            </w: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食品（混合样）</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重金属（砷、汞等）</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快速检测</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阴性</w:t>
            </w:r>
          </w:p>
        </w:tc>
        <w:tc>
          <w:tcPr>
            <w:tcW w:w="2761" w:type="dxa"/>
            <w:tcBorders>
              <w:top w:val="single" w:color="auto" w:sz="6" w:space="0"/>
            </w:tcBorders>
            <w:vAlign w:val="center"/>
          </w:tcPr>
          <w:p>
            <w:pPr>
              <w:tabs>
                <w:tab w:val="left" w:pos="790"/>
                <w:tab w:val="left" w:pos="1264"/>
              </w:tabs>
              <w:overflowPunct w:val="0"/>
              <w:adjustRightInd w:val="0"/>
              <w:snapToGrid w:val="0"/>
              <w:jc w:val="center"/>
              <w:rPr>
                <w:rFonts w:hint="eastAsia"/>
                <w:color w:val="auto"/>
              </w:rPr>
            </w:pPr>
            <w:r>
              <w:rPr>
                <w:color w:val="auto"/>
              </w:rPr>
              <w:drawing>
                <wp:inline distT="0" distB="0" distL="0" distR="0">
                  <wp:extent cx="1438275" cy="676275"/>
                  <wp:effectExtent l="0" t="0" r="9525" b="9525"/>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1438275" cy="676275"/>
                          </a:xfrm>
                          <a:prstGeom prst="rect">
                            <a:avLst/>
                          </a:prstGeom>
                          <a:noFill/>
                          <a:ln>
                            <a:noFill/>
                          </a:ln>
                        </pic:spPr>
                      </pic:pic>
                    </a:graphicData>
                  </a:graphic>
                </wp:inline>
              </w:drawing>
            </w:r>
          </w:p>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铜片不变色（左）为阴性，</w:t>
            </w:r>
          </w:p>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铜片变色（右）为阳性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098"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食品（混合样）</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氰化物</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苦味酸试纸法</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阴性</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color w:val="auto"/>
              </w:rPr>
              <w:drawing>
                <wp:inline distT="0" distB="0" distL="0" distR="0">
                  <wp:extent cx="1438275" cy="1076325"/>
                  <wp:effectExtent l="0" t="0" r="9525" b="9525"/>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1438275" cy="1076325"/>
                          </a:xfrm>
                          <a:prstGeom prst="rect">
                            <a:avLst/>
                          </a:prstGeom>
                          <a:noFill/>
                          <a:ln>
                            <a:noFill/>
                          </a:ln>
                        </pic:spPr>
                      </pic:pic>
                    </a:graphicData>
                  </a:graphic>
                </wp:inline>
              </w:drawing>
            </w:r>
          </w:p>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左为阴性，右为阳性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098"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蔬菜</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农残（有机磷、氨基酸甲酸酯类等）</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农药速测卡</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阴性</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rFonts w:hAnsi="宋体"/>
                <w:color w:val="auto"/>
                <w:sz w:val="24"/>
                <w:szCs w:val="24"/>
              </w:rPr>
              <w:drawing>
                <wp:inline distT="0" distB="0" distL="0" distR="0">
                  <wp:extent cx="1438275" cy="1095375"/>
                  <wp:effectExtent l="0" t="0" r="9525" b="9525"/>
                  <wp:docPr id="12" name="图片 12" descr="C:\Users\86137\AppData\Local\Temp\WeChat Files\f2136d4022271c299853b2c33ff73a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86137\AppData\Local\Temp\WeChat Files\f2136d4022271c299853b2c33ff73a5.png"/>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438275" cy="1095375"/>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289"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食用盐、腌制畜禽肉制品</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亚硝酸盐</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比色法、仪器法、试纸法</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食盐≤2mg/kg；肉制品、火腿肠、灌肠类≤30mg/kg；西式蒸煮、烟熏火腿及罐头、西式火腿罐头≤70mg/kg；</w:t>
            </w:r>
          </w:p>
        </w:tc>
        <w:tc>
          <w:tcPr>
            <w:tcW w:w="2761" w:type="dxa"/>
            <w:vAlign w:val="center"/>
          </w:tcPr>
          <w:p>
            <w:pPr>
              <w:tabs>
                <w:tab w:val="left" w:pos="790"/>
                <w:tab w:val="left" w:pos="1264"/>
              </w:tabs>
              <w:overflowPunct w:val="0"/>
              <w:adjustRightInd w:val="0"/>
              <w:snapToGrid w:val="0"/>
              <w:jc w:val="center"/>
              <w:rPr>
                <w:rFonts w:hint="eastAsia"/>
                <w:color w:val="auto"/>
              </w:rPr>
            </w:pPr>
            <w:r>
              <w:rPr>
                <w:color w:val="auto"/>
              </w:rPr>
              <w:drawing>
                <wp:inline distT="0" distB="0" distL="0" distR="0">
                  <wp:extent cx="1438275" cy="1619250"/>
                  <wp:effectExtent l="0" t="0" r="9525" b="0"/>
                  <wp:docPr id="11" name="图片 11" descr="C:\Users\86137\AppData\Local\Temp\WeChat Files\4c8ddfba2b2b69285057ab2156a50e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86137\AppData\Local\Temp\WeChat Files\4c8ddfba2b2b69285057ab2156a50e5.png"/>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438275" cy="1619250"/>
                          </a:xfrm>
                          <a:prstGeom prst="rect">
                            <a:avLst/>
                          </a:prstGeom>
                          <a:noFill/>
                          <a:ln>
                            <a:noFill/>
                          </a:ln>
                        </pic:spPr>
                      </pic:pic>
                    </a:graphicData>
                  </a:graphic>
                </wp:inline>
              </w:drawing>
            </w:r>
          </w:p>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显色比对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876" w:hRule="atLeast"/>
          <w:jc w:val="center"/>
        </w:trPr>
        <w:tc>
          <w:tcPr>
            <w:tcW w:w="532" w:type="dxa"/>
            <w:vMerge w:val="restart"/>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r>
              <w:rPr>
                <w:rFonts w:hint="eastAsia" w:hAnsi="黑体"/>
                <w:color w:val="auto"/>
                <w:sz w:val="24"/>
                <w:szCs w:val="24"/>
              </w:rPr>
              <w:t>原料检验</w:t>
            </w: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牛、羊、猪肉（内脏）</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瘦肉精（盐酸克伦特罗、沙丁胺醇、莱克多巴胺）</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免疫胶体金法</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阴性</w:t>
            </w:r>
          </w:p>
        </w:tc>
        <w:tc>
          <w:tcPr>
            <w:tcW w:w="2761" w:type="dxa"/>
            <w:vAlign w:val="center"/>
          </w:tcPr>
          <w:p>
            <w:pPr>
              <w:tabs>
                <w:tab w:val="left" w:pos="790"/>
                <w:tab w:val="left" w:pos="1264"/>
              </w:tabs>
              <w:overflowPunct w:val="0"/>
              <w:adjustRightInd w:val="0"/>
              <w:snapToGrid w:val="0"/>
              <w:jc w:val="center"/>
              <w:rPr>
                <w:rFonts w:hint="eastAsia"/>
                <w:color w:val="auto"/>
              </w:rPr>
            </w:pPr>
            <w:r>
              <w:rPr>
                <w:color w:val="auto"/>
              </w:rPr>
              <w:drawing>
                <wp:inline distT="0" distB="0" distL="0" distR="0">
                  <wp:extent cx="1438275" cy="838200"/>
                  <wp:effectExtent l="0" t="0" r="9525" b="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1438275" cy="838200"/>
                          </a:xfrm>
                          <a:prstGeom prst="rect">
                            <a:avLst/>
                          </a:prstGeom>
                          <a:noFill/>
                          <a:ln>
                            <a:noFill/>
                          </a:ln>
                        </pic:spPr>
                      </pic:pic>
                    </a:graphicData>
                  </a:graphic>
                </wp:inline>
              </w:drawing>
            </w:r>
          </w:p>
          <w:p>
            <w:pPr>
              <w:tabs>
                <w:tab w:val="left" w:pos="790"/>
                <w:tab w:val="left" w:pos="1264"/>
              </w:tabs>
              <w:overflowPunct w:val="0"/>
              <w:adjustRightInd w:val="0"/>
              <w:snapToGrid w:val="0"/>
              <w:spacing w:before="60" w:line="216" w:lineRule="auto"/>
              <w:rPr>
                <w:rFonts w:hAnsi="宋体"/>
                <w:color w:val="auto"/>
                <w:sz w:val="24"/>
                <w:szCs w:val="24"/>
              </w:rPr>
            </w:pPr>
            <w:r>
              <w:rPr>
                <w:rFonts w:hint="eastAsia" w:hAnsi="宋体"/>
                <w:color w:val="auto"/>
                <w:sz w:val="24"/>
                <w:szCs w:val="24"/>
              </w:rPr>
              <w:t>阴性：C线显色，T线显色且与C线颜色深浅一致，表示样品中药物浓度低于检测限或不含某种药物；</w:t>
            </w:r>
          </w:p>
          <w:p>
            <w:pPr>
              <w:tabs>
                <w:tab w:val="left" w:pos="790"/>
                <w:tab w:val="left" w:pos="1264"/>
              </w:tabs>
              <w:overflowPunct w:val="0"/>
              <w:adjustRightInd w:val="0"/>
              <w:snapToGrid w:val="0"/>
              <w:spacing w:line="216" w:lineRule="auto"/>
              <w:rPr>
                <w:rFonts w:hAnsi="宋体"/>
                <w:color w:val="auto"/>
                <w:sz w:val="24"/>
                <w:szCs w:val="24"/>
              </w:rPr>
            </w:pPr>
            <w:r>
              <w:rPr>
                <w:rFonts w:hint="eastAsia" w:hAnsi="宋体"/>
                <w:color w:val="auto"/>
                <w:sz w:val="24"/>
                <w:szCs w:val="24"/>
              </w:rPr>
              <w:t>阳性：C线显色，T线不显色或显色较C线浅，表示样品中药物浓度高于检测限；T线比C线越浅，表示样品中药物浓度越高；</w:t>
            </w:r>
          </w:p>
          <w:p>
            <w:pPr>
              <w:tabs>
                <w:tab w:val="left" w:pos="790"/>
                <w:tab w:val="left" w:pos="1264"/>
              </w:tabs>
              <w:overflowPunct w:val="0"/>
              <w:adjustRightInd w:val="0"/>
              <w:snapToGrid w:val="0"/>
              <w:spacing w:line="216" w:lineRule="auto"/>
              <w:rPr>
                <w:rFonts w:hAnsi="宋体"/>
                <w:color w:val="auto"/>
                <w:sz w:val="24"/>
                <w:szCs w:val="24"/>
              </w:rPr>
            </w:pPr>
            <w:r>
              <w:rPr>
                <w:rFonts w:hint="eastAsia" w:hAnsi="宋体"/>
                <w:color w:val="auto"/>
                <w:sz w:val="24"/>
                <w:szCs w:val="24"/>
              </w:rPr>
              <w:t>无效：C线不显色，无论T线是否显色，该测试均判为无效。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381"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水发产品</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甲醛</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AHMT比色法、变色酸比色法、GDYQ-201AQ2食品甲醛快速测定仪</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阴性</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color w:val="auto"/>
              </w:rPr>
              <w:drawing>
                <wp:inline distT="0" distB="0" distL="0" distR="0">
                  <wp:extent cx="1438275" cy="1276350"/>
                  <wp:effectExtent l="0" t="0" r="9525"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1438275" cy="1276350"/>
                          </a:xfrm>
                          <a:prstGeom prst="rect">
                            <a:avLst/>
                          </a:prstGeom>
                          <a:noFill/>
                          <a:ln>
                            <a:noFill/>
                          </a:ln>
                        </pic:spPr>
                      </pic:pic>
                    </a:graphicData>
                  </a:graphic>
                </wp:inline>
              </w:drawing>
            </w:r>
          </w:p>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显色比对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84"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vMerge w:val="restart"/>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食用植物油</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酸价</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速测卡</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pacing w:val="-4"/>
                <w:sz w:val="24"/>
                <w:szCs w:val="24"/>
              </w:rPr>
            </w:pPr>
            <w:r>
              <w:rPr>
                <w:rFonts w:hint="eastAsia" w:hAnsi="宋体"/>
                <w:color w:val="auto"/>
                <w:spacing w:val="-4"/>
                <w:sz w:val="24"/>
                <w:szCs w:val="24"/>
              </w:rPr>
              <w:t>花生油、葵花油、米糠油≤20mep/kg；菜子油、大豆油、胡麻油、茶油、麻油、玉米胚芽油棉籽油≤12mep/kg；色拉油≤10mep/kg</w:t>
            </w:r>
          </w:p>
        </w:tc>
        <w:tc>
          <w:tcPr>
            <w:tcW w:w="2761" w:type="dxa"/>
            <w:vAlign w:val="center"/>
          </w:tcPr>
          <w:p>
            <w:pPr>
              <w:tabs>
                <w:tab w:val="left" w:pos="790"/>
                <w:tab w:val="left" w:pos="1264"/>
              </w:tabs>
              <w:overflowPunct w:val="0"/>
              <w:adjustRightInd w:val="0"/>
              <w:snapToGrid w:val="0"/>
              <w:jc w:val="center"/>
              <w:rPr>
                <w:rFonts w:hint="eastAsia"/>
                <w:color w:val="auto"/>
              </w:rPr>
            </w:pPr>
            <w:r>
              <w:rPr>
                <w:color w:val="auto"/>
              </w:rPr>
              <w:drawing>
                <wp:inline distT="0" distB="0" distL="0" distR="0">
                  <wp:extent cx="1438275" cy="981075"/>
                  <wp:effectExtent l="0" t="0" r="9525" b="952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20">
                            <a:extLst>
                              <a:ext uri="{28A0092B-C50C-407E-A947-70E740481C1C}">
                                <a14:useLocalDpi xmlns:a14="http://schemas.microsoft.com/office/drawing/2010/main" val="false"/>
                              </a:ext>
                            </a:extLst>
                          </a:blip>
                          <a:srcRect/>
                          <a:stretch>
                            <a:fillRect/>
                          </a:stretch>
                        </pic:blipFill>
                        <pic:spPr>
                          <a:xfrm>
                            <a:off x="0" y="0"/>
                            <a:ext cx="1438275" cy="981075"/>
                          </a:xfrm>
                          <a:prstGeom prst="rect">
                            <a:avLst/>
                          </a:prstGeom>
                          <a:noFill/>
                          <a:ln>
                            <a:noFill/>
                          </a:ln>
                        </pic:spPr>
                      </pic:pic>
                    </a:graphicData>
                  </a:graphic>
                </wp:inline>
              </w:drawing>
            </w:r>
          </w:p>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显色比对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84" w:hRule="atLeast"/>
          <w:jc w:val="center"/>
        </w:trPr>
        <w:tc>
          <w:tcPr>
            <w:tcW w:w="532" w:type="dxa"/>
            <w:vMerge w:val="continue"/>
            <w:tcBorders>
              <w:bottom w:val="single" w:color="auto" w:sz="6" w:space="0"/>
            </w:tcBorders>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vMerge w:val="continue"/>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过氧化值</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速测卡</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pacing w:val="-4"/>
                <w:sz w:val="24"/>
                <w:szCs w:val="24"/>
              </w:rPr>
            </w:pPr>
            <w:r>
              <w:rPr>
                <w:rFonts w:hint="eastAsia" w:hAnsi="宋体"/>
                <w:color w:val="auto"/>
                <w:spacing w:val="-4"/>
                <w:sz w:val="24"/>
                <w:szCs w:val="24"/>
              </w:rPr>
              <w:t>花生油、菜子油、大豆油、葵花油、胡麻油、茶油、麻油、玉米胚芽油、米糠油≤4mg KOH/g；棉籽油≤1mg KOH/g；色拉油≤0.4mg KOH/g</w:t>
            </w:r>
          </w:p>
        </w:tc>
        <w:tc>
          <w:tcPr>
            <w:tcW w:w="2761" w:type="dxa"/>
            <w:vAlign w:val="center"/>
          </w:tcPr>
          <w:p>
            <w:pPr>
              <w:tabs>
                <w:tab w:val="left" w:pos="790"/>
                <w:tab w:val="left" w:pos="1264"/>
              </w:tabs>
              <w:overflowPunct w:val="0"/>
              <w:adjustRightInd w:val="0"/>
              <w:snapToGrid w:val="0"/>
              <w:jc w:val="center"/>
              <w:rPr>
                <w:rFonts w:hint="eastAsia"/>
                <w:color w:val="auto"/>
              </w:rPr>
            </w:pPr>
            <w:r>
              <w:rPr>
                <w:color w:val="auto"/>
              </w:rPr>
              <w:drawing>
                <wp:inline distT="0" distB="0" distL="0" distR="0">
                  <wp:extent cx="1438275" cy="952500"/>
                  <wp:effectExtent l="0" t="0" r="9525" b="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21">
                            <a:extLst>
                              <a:ext uri="{28A0092B-C50C-407E-A947-70E740481C1C}">
                                <a14:useLocalDpi xmlns:a14="http://schemas.microsoft.com/office/drawing/2010/main" val="false"/>
                              </a:ext>
                            </a:extLst>
                          </a:blip>
                          <a:srcRect/>
                          <a:stretch>
                            <a:fillRect/>
                          </a:stretch>
                        </pic:blipFill>
                        <pic:spPr>
                          <a:xfrm>
                            <a:off x="0" y="0"/>
                            <a:ext cx="1438275" cy="952500"/>
                          </a:xfrm>
                          <a:prstGeom prst="rect">
                            <a:avLst/>
                          </a:prstGeom>
                          <a:noFill/>
                          <a:ln>
                            <a:noFill/>
                          </a:ln>
                        </pic:spPr>
                      </pic:pic>
                    </a:graphicData>
                  </a:graphic>
                </wp:inline>
              </w:drawing>
            </w:r>
          </w:p>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显色比对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948" w:hRule="atLeast"/>
          <w:jc w:val="center"/>
        </w:trPr>
        <w:tc>
          <w:tcPr>
            <w:tcW w:w="532" w:type="dxa"/>
            <w:vMerge w:val="restart"/>
            <w:tcBorders>
              <w:top w:val="single" w:color="auto" w:sz="6" w:space="0"/>
            </w:tcBorders>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r>
              <w:rPr>
                <w:rFonts w:hint="eastAsia" w:hAnsi="黑体"/>
                <w:color w:val="auto"/>
                <w:sz w:val="24"/>
                <w:szCs w:val="24"/>
              </w:rPr>
              <w:t>过程监管</w:t>
            </w: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即食食品环节表面</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清洁度</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ATP荧光光度法测定仪</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≤30 RLU 良好；≤100 RLU 合格；＞100 RLU 不合格；</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rFonts w:hAnsi="宋体"/>
                <w:color w:val="auto"/>
                <w:sz w:val="24"/>
                <w:szCs w:val="24"/>
              </w:rPr>
              <w:drawing>
                <wp:inline distT="0" distB="0" distL="0" distR="0">
                  <wp:extent cx="1076325" cy="1285875"/>
                  <wp:effectExtent l="0" t="0" r="9525" b="952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1076325" cy="1285875"/>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948"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消毒液</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有效氯</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有效氯试纸法</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200PPM</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rFonts w:hAnsi="宋体"/>
                <w:color w:val="auto"/>
                <w:sz w:val="24"/>
                <w:szCs w:val="24"/>
              </w:rPr>
              <w:drawing>
                <wp:inline distT="0" distB="0" distL="0" distR="0">
                  <wp:extent cx="1438275" cy="1438275"/>
                  <wp:effectExtent l="0" t="0" r="9525" b="9525"/>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438275" cy="1438275"/>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948"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热加工食物中心温度</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中心温度</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中心温度计</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≥70℃</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color w:val="auto"/>
              </w:rPr>
              <w:drawing>
                <wp:inline distT="0" distB="0" distL="0" distR="0">
                  <wp:extent cx="1438275" cy="1428750"/>
                  <wp:effectExtent l="0" t="0" r="952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24">
                            <a:extLst>
                              <a:ext uri="{28A0092B-C50C-407E-A947-70E740481C1C}">
                                <a14:useLocalDpi xmlns:a14="http://schemas.microsoft.com/office/drawing/2010/main" val="false"/>
                              </a:ext>
                            </a:extLst>
                          </a:blip>
                          <a:srcRect/>
                          <a:stretch>
                            <a:fillRect/>
                          </a:stretch>
                        </pic:blipFill>
                        <pic:spPr>
                          <a:xfrm>
                            <a:off x="0" y="0"/>
                            <a:ext cx="1438275" cy="142875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948" w:hRule="atLeast"/>
          <w:jc w:val="center"/>
        </w:trPr>
        <w:tc>
          <w:tcPr>
            <w:tcW w:w="532" w:type="dxa"/>
            <w:vMerge w:val="continue"/>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二次加热中心温度</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中心温度</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中心温度计</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≥70℃</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color w:val="auto"/>
              </w:rPr>
              <w:drawing>
                <wp:inline distT="0" distB="0" distL="0" distR="0">
                  <wp:extent cx="1438275" cy="1295400"/>
                  <wp:effectExtent l="0" t="0" r="952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25">
                            <a:extLst>
                              <a:ext uri="{28A0092B-C50C-407E-A947-70E740481C1C}">
                                <a14:useLocalDpi xmlns:a14="http://schemas.microsoft.com/office/drawing/2010/main" val="false"/>
                              </a:ext>
                            </a:extLst>
                          </a:blip>
                          <a:srcRect/>
                          <a:stretch>
                            <a:fillRect/>
                          </a:stretch>
                        </pic:blipFill>
                        <pic:spPr>
                          <a:xfrm>
                            <a:off x="0" y="0"/>
                            <a:ext cx="1438275" cy="1295400"/>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948" w:hRule="atLeast"/>
          <w:jc w:val="center"/>
        </w:trPr>
        <w:tc>
          <w:tcPr>
            <w:tcW w:w="532" w:type="dxa"/>
            <w:vMerge w:val="restart"/>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r>
              <w:rPr>
                <w:rFonts w:hint="eastAsia" w:hAnsi="黑体"/>
                <w:color w:val="auto"/>
                <w:sz w:val="24"/>
                <w:szCs w:val="24"/>
              </w:rPr>
              <w:t>过程监管</w:t>
            </w:r>
          </w:p>
        </w:tc>
        <w:tc>
          <w:tcPr>
            <w:tcW w:w="1139"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专间温度</w:t>
            </w:r>
          </w:p>
        </w:tc>
        <w:tc>
          <w:tcPr>
            <w:tcW w:w="1177"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室温</w:t>
            </w:r>
          </w:p>
        </w:tc>
        <w:tc>
          <w:tcPr>
            <w:tcW w:w="1412"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温度计</w:t>
            </w:r>
          </w:p>
        </w:tc>
        <w:tc>
          <w:tcPr>
            <w:tcW w:w="1824" w:type="dxa"/>
            <w:tcBorders>
              <w:top w:val="single" w:color="auto" w:sz="6" w:space="0"/>
              <w:bottom w:val="single" w:color="auto" w:sz="6"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≤25℃</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color w:val="auto"/>
              </w:rPr>
              <w:drawing>
                <wp:inline distT="0" distB="0" distL="0" distR="0">
                  <wp:extent cx="723900" cy="1343025"/>
                  <wp:effectExtent l="0" t="0" r="0" b="952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26">
                            <a:extLst>
                              <a:ext uri="{28A0092B-C50C-407E-A947-70E740481C1C}">
                                <a14:useLocalDpi xmlns:a14="http://schemas.microsoft.com/office/drawing/2010/main" val="false"/>
                              </a:ext>
                            </a:extLst>
                          </a:blip>
                          <a:srcRect/>
                          <a:stretch>
                            <a:fillRect/>
                          </a:stretch>
                        </pic:blipFill>
                        <pic:spPr>
                          <a:xfrm>
                            <a:off x="0" y="0"/>
                            <a:ext cx="723900" cy="1343025"/>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948" w:hRule="atLeast"/>
          <w:jc w:val="center"/>
        </w:trPr>
        <w:tc>
          <w:tcPr>
            <w:tcW w:w="532" w:type="dxa"/>
            <w:vMerge w:val="continue"/>
            <w:tcBorders>
              <w:bottom w:val="single" w:color="auto" w:sz="8" w:space="0"/>
            </w:tcBorders>
            <w:shd w:val="clear" w:color="auto" w:fill="auto"/>
            <w:vAlign w:val="center"/>
          </w:tcPr>
          <w:p>
            <w:pPr>
              <w:tabs>
                <w:tab w:val="left" w:pos="790"/>
                <w:tab w:val="left" w:pos="1264"/>
              </w:tabs>
              <w:overflowPunct w:val="0"/>
              <w:adjustRightInd w:val="0"/>
              <w:snapToGrid w:val="0"/>
              <w:jc w:val="center"/>
              <w:rPr>
                <w:rFonts w:hAnsi="黑体"/>
                <w:color w:val="auto"/>
                <w:sz w:val="24"/>
                <w:szCs w:val="24"/>
              </w:rPr>
            </w:pPr>
          </w:p>
        </w:tc>
        <w:tc>
          <w:tcPr>
            <w:tcW w:w="1139" w:type="dxa"/>
            <w:tcBorders>
              <w:top w:val="single" w:color="auto" w:sz="6" w:space="0"/>
              <w:bottom w:val="single" w:color="auto" w:sz="8"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煎炸油</w:t>
            </w:r>
          </w:p>
        </w:tc>
        <w:tc>
          <w:tcPr>
            <w:tcW w:w="1177" w:type="dxa"/>
            <w:tcBorders>
              <w:top w:val="single" w:color="auto" w:sz="6" w:space="0"/>
              <w:bottom w:val="single" w:color="auto" w:sz="8"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极性组分</w:t>
            </w:r>
          </w:p>
        </w:tc>
        <w:tc>
          <w:tcPr>
            <w:tcW w:w="1412" w:type="dxa"/>
            <w:tcBorders>
              <w:top w:val="single" w:color="auto" w:sz="6" w:space="0"/>
              <w:bottom w:val="single" w:color="auto" w:sz="8"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极性组分仪</w:t>
            </w:r>
          </w:p>
        </w:tc>
        <w:tc>
          <w:tcPr>
            <w:tcW w:w="1824" w:type="dxa"/>
            <w:tcBorders>
              <w:top w:val="single" w:color="auto" w:sz="6" w:space="0"/>
              <w:bottom w:val="single" w:color="auto" w:sz="8" w:space="0"/>
            </w:tcBorders>
            <w:shd w:val="clear" w:color="auto" w:fill="auto"/>
            <w:vAlign w:val="center"/>
          </w:tcPr>
          <w:p>
            <w:pPr>
              <w:tabs>
                <w:tab w:val="left" w:pos="790"/>
                <w:tab w:val="left" w:pos="1264"/>
              </w:tabs>
              <w:overflowPunct w:val="0"/>
              <w:adjustRightInd w:val="0"/>
              <w:snapToGrid w:val="0"/>
              <w:jc w:val="center"/>
              <w:rPr>
                <w:rFonts w:hAnsi="宋体"/>
                <w:color w:val="auto"/>
                <w:sz w:val="24"/>
                <w:szCs w:val="24"/>
              </w:rPr>
            </w:pPr>
            <w:r>
              <w:rPr>
                <w:rFonts w:hint="eastAsia" w:hAnsi="宋体"/>
                <w:color w:val="auto"/>
                <w:sz w:val="24"/>
                <w:szCs w:val="24"/>
              </w:rPr>
              <w:t>≤27%</w:t>
            </w:r>
          </w:p>
        </w:tc>
        <w:tc>
          <w:tcPr>
            <w:tcW w:w="2761" w:type="dxa"/>
            <w:vAlign w:val="center"/>
          </w:tcPr>
          <w:p>
            <w:pPr>
              <w:tabs>
                <w:tab w:val="left" w:pos="790"/>
                <w:tab w:val="left" w:pos="1264"/>
              </w:tabs>
              <w:overflowPunct w:val="0"/>
              <w:adjustRightInd w:val="0"/>
              <w:snapToGrid w:val="0"/>
              <w:jc w:val="center"/>
              <w:rPr>
                <w:rFonts w:hAnsi="宋体"/>
                <w:color w:val="auto"/>
                <w:sz w:val="24"/>
                <w:szCs w:val="24"/>
              </w:rPr>
            </w:pPr>
            <w:r>
              <w:rPr>
                <w:color w:val="auto"/>
              </w:rPr>
              <w:drawing>
                <wp:inline distT="0" distB="0" distL="0" distR="0">
                  <wp:extent cx="1438275" cy="1552575"/>
                  <wp:effectExtent l="0" t="0" r="9525"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27">
                            <a:extLst>
                              <a:ext uri="{28A0092B-C50C-407E-A947-70E740481C1C}">
                                <a14:useLocalDpi xmlns:a14="http://schemas.microsoft.com/office/drawing/2010/main" val="false"/>
                              </a:ext>
                            </a:extLst>
                          </a:blip>
                          <a:srcRect/>
                          <a:stretch>
                            <a:fillRect/>
                          </a:stretch>
                        </pic:blipFill>
                        <pic:spPr>
                          <a:xfrm>
                            <a:off x="0" y="0"/>
                            <a:ext cx="1438275" cy="1552575"/>
                          </a:xfrm>
                          <a:prstGeom prst="rect">
                            <a:avLst/>
                          </a:prstGeom>
                          <a:noFill/>
                          <a:ln>
                            <a:noFill/>
                          </a:ln>
                        </pic:spPr>
                      </pic:pic>
                    </a:graphicData>
                  </a:graphic>
                </wp:inline>
              </w:drawing>
            </w:r>
          </w:p>
        </w:tc>
      </w:tr>
    </w:tbl>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tabs>
          <w:tab w:val="left" w:pos="790"/>
          <w:tab w:val="left" w:pos="1264"/>
        </w:tabs>
        <w:overflowPunct w:val="0"/>
        <w:adjustRightInd w:val="0"/>
        <w:snapToGrid w:val="0"/>
        <w:spacing w:line="336" w:lineRule="auto"/>
        <w:ind w:firstLine="624"/>
        <w:rPr>
          <w:rFonts w:hAnsi="宋体"/>
          <w:color w:val="auto"/>
          <w:szCs w:val="30"/>
        </w:rPr>
      </w:pPr>
    </w:p>
    <w:p>
      <w:pPr>
        <w:spacing w:line="580" w:lineRule="exact"/>
        <w:ind w:firstLine="645"/>
        <w:rPr>
          <w:rFonts w:hint="eastAsia" w:ascii="方正仿宋_GBK" w:eastAsia="方正仿宋_GBK"/>
          <w:color w:val="auto"/>
          <w:sz w:val="32"/>
          <w:szCs w:val="32"/>
        </w:rPr>
      </w:pPr>
    </w:p>
    <w:p>
      <w:pPr>
        <w:spacing w:line="580" w:lineRule="exact"/>
        <w:ind w:firstLine="645"/>
        <w:rPr>
          <w:rFonts w:hint="eastAsia" w:ascii="方正仿宋_GBK" w:eastAsia="方正仿宋_GBK"/>
          <w:color w:val="auto"/>
          <w:sz w:val="32"/>
          <w:szCs w:val="32"/>
        </w:rPr>
      </w:pPr>
    </w:p>
    <w:p>
      <w:pPr>
        <w:spacing w:line="560" w:lineRule="exact"/>
        <w:jc w:val="center"/>
        <w:rPr>
          <w:rFonts w:ascii="方正小标宋简体" w:hAnsi="仿宋" w:eastAsia="方正小标宋简体" w:cs="仿宋"/>
          <w:color w:val="auto"/>
          <w:kern w:val="0"/>
          <w:sz w:val="36"/>
          <w:szCs w:val="36"/>
          <w:lang w:val="en-GB"/>
        </w:rPr>
      </w:pPr>
      <w:r>
        <w:rPr>
          <w:rFonts w:hint="eastAsia" w:ascii="方正小标宋简体" w:hAnsi="仿宋" w:eastAsia="方正小标宋简体" w:cs="仿宋"/>
          <w:color w:val="auto"/>
          <w:kern w:val="0"/>
          <w:sz w:val="36"/>
          <w:szCs w:val="36"/>
          <w:lang w:val="en-US" w:eastAsia="zh-CN"/>
        </w:rPr>
        <w:t>4.3</w:t>
      </w:r>
      <w:r>
        <w:rPr>
          <w:rFonts w:hint="eastAsia" w:ascii="方正小标宋简体" w:hAnsi="仿宋" w:eastAsia="方正小标宋简体" w:cs="仿宋"/>
          <w:color w:val="auto"/>
          <w:kern w:val="0"/>
          <w:sz w:val="36"/>
          <w:szCs w:val="36"/>
          <w:lang w:val="en-GB"/>
        </w:rPr>
        <w:t>.重大活动餐饮服务禁用、慎用</w:t>
      </w:r>
    </w:p>
    <w:p>
      <w:pPr>
        <w:spacing w:after="312" w:afterLines="100" w:line="560" w:lineRule="exact"/>
        <w:jc w:val="center"/>
        <w:rPr>
          <w:rFonts w:ascii="方正小标宋简体" w:hAnsi="华文中宋" w:eastAsia="方正小标宋简体"/>
          <w:color w:val="auto"/>
          <w:sz w:val="24"/>
          <w:szCs w:val="24"/>
        </w:rPr>
      </w:pPr>
      <w:r>
        <w:rPr>
          <w:rFonts w:hint="eastAsia" w:ascii="方正小标宋简体" w:hAnsi="仿宋" w:eastAsia="方正小标宋简体" w:cs="仿宋"/>
          <w:color w:val="auto"/>
          <w:kern w:val="0"/>
          <w:sz w:val="36"/>
          <w:szCs w:val="36"/>
          <w:lang w:val="en-GB"/>
        </w:rPr>
        <w:t>食品类别（品种）清单</w:t>
      </w:r>
      <w:r>
        <w:rPr>
          <w:rFonts w:hint="eastAsia" w:ascii="方正小标宋简体" w:hAnsi="华文中宋" w:eastAsia="方正小标宋简体"/>
          <w:color w:val="auto"/>
          <w:sz w:val="24"/>
          <w:szCs w:val="24"/>
        </w:rPr>
        <w:t xml:space="preserve"> </w:t>
      </w:r>
    </w:p>
    <w:p>
      <w:pPr>
        <w:numPr>
          <w:ilvl w:val="0"/>
          <w:numId w:val="3"/>
        </w:num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禁止食用(使用)的食品(原料)类别(品种)名单</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非本单位加工的直接入口食品。如：熟卤菜、凉拌菜、蛋糕、烧饼、油条等。</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直接入口的生海产品、水产品（定型包装有卫生许可的除外）。包括海蜇、海带、海产贝类、深海鱼、虾、蟹及其炝制、酱制、腌制、冰制品。</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死的甲鱼、黄鳝、虾、蟹、鳗等不得用作食品加工原料。</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生的围边菜、雕花菜、塑胶雕花围边、剩余饭菜。</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硝酸盐、亚硝酸盐等食品添加剂。</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未经许可的各类药膳。</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野生蘑菇。</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河豚鱼、鲐鱼、青条鱼、金枪鱼、毛蚶、织纹螺、荔枝螺、泥螺。</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杏仁、枇杷仁。</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木薯、发芽马铃薯。</w:t>
      </w:r>
    </w:p>
    <w:p>
      <w:pPr>
        <w:numPr>
          <w:ilvl w:val="0"/>
          <w:numId w:val="4"/>
        </w:numPr>
        <w:spacing w:line="580" w:lineRule="exact"/>
        <w:ind w:firstLine="560" w:firstLineChars="200"/>
        <w:rPr>
          <w:rFonts w:hAnsi="仿宋" w:cs="仿宋"/>
          <w:color w:val="auto"/>
          <w:sz w:val="28"/>
          <w:szCs w:val="28"/>
        </w:rPr>
      </w:pPr>
      <w:r>
        <w:rPr>
          <w:rFonts w:hint="eastAsia" w:hAnsi="仿宋" w:cs="仿宋"/>
          <w:color w:val="auto"/>
          <w:sz w:val="28"/>
          <w:szCs w:val="28"/>
        </w:rPr>
        <w:t>狗肝、鲨鱼肝、青鱼胆、牲畜甲状腺及其它不明动物的器官、组织和腺体。</w:t>
      </w:r>
    </w:p>
    <w:p>
      <w:pPr>
        <w:numPr>
          <w:ilvl w:val="0"/>
          <w:numId w:val="3"/>
        </w:numPr>
        <w:spacing w:line="58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慎重食用、使用的食品(原料)类别(品种)名单 </w:t>
      </w:r>
    </w:p>
    <w:p>
      <w:pPr>
        <w:numPr>
          <w:ilvl w:val="0"/>
          <w:numId w:val="5"/>
        </w:numPr>
        <w:spacing w:line="580" w:lineRule="exact"/>
        <w:ind w:firstLine="560" w:firstLineChars="200"/>
        <w:rPr>
          <w:rFonts w:hAnsi="仿宋" w:cs="仿宋"/>
          <w:color w:val="auto"/>
          <w:sz w:val="28"/>
          <w:szCs w:val="28"/>
        </w:rPr>
      </w:pPr>
      <w:r>
        <w:rPr>
          <w:rFonts w:hint="eastAsia" w:hAnsi="仿宋" w:cs="仿宋"/>
          <w:color w:val="auto"/>
          <w:sz w:val="28"/>
          <w:szCs w:val="28"/>
        </w:rPr>
        <w:t>需强调烧熟、煮透的：白果、豆浆、四季豆、扁豆、鲜黄花菜，较大块的肉、肉圆以及整鸡、整鸭。</w:t>
      </w:r>
    </w:p>
    <w:p>
      <w:pPr>
        <w:numPr>
          <w:ilvl w:val="0"/>
          <w:numId w:val="5"/>
        </w:numPr>
        <w:spacing w:line="580" w:lineRule="exact"/>
        <w:ind w:firstLine="560" w:firstLineChars="200"/>
        <w:rPr>
          <w:rFonts w:hAnsi="仿宋" w:cs="仿宋"/>
          <w:color w:val="auto"/>
          <w:sz w:val="28"/>
          <w:szCs w:val="28"/>
        </w:rPr>
      </w:pPr>
      <w:r>
        <w:rPr>
          <w:rFonts w:hint="eastAsia" w:hAnsi="仿宋" w:cs="仿宋"/>
          <w:color w:val="auto"/>
          <w:sz w:val="28"/>
          <w:szCs w:val="28"/>
        </w:rPr>
        <w:t>需强调洗净或消毒的：新鲜叶菜、水果、果盘以及盘花等。</w:t>
      </w:r>
    </w:p>
    <w:p>
      <w:pPr>
        <w:numPr>
          <w:ilvl w:val="0"/>
          <w:numId w:val="5"/>
        </w:numPr>
        <w:spacing w:line="580" w:lineRule="exact"/>
        <w:ind w:firstLine="560" w:firstLineChars="200"/>
        <w:rPr>
          <w:rFonts w:hAnsi="仿宋" w:cs="仿宋"/>
          <w:color w:val="auto"/>
          <w:sz w:val="28"/>
          <w:szCs w:val="28"/>
        </w:rPr>
      </w:pPr>
      <w:r>
        <w:rPr>
          <w:rFonts w:hint="eastAsia" w:hAnsi="仿宋" w:cs="仿宋"/>
          <w:color w:val="auto"/>
          <w:sz w:val="28"/>
          <w:szCs w:val="28"/>
        </w:rPr>
        <w:t>需注意存放温度和存放时间的：熟肉制品、凉拌菜、色拉、鲜奶制品、鲜奶油裱化食品、改刀装盘食品、生鲜啤酒、鲜榨果汁。</w:t>
      </w:r>
    </w:p>
    <w:p>
      <w:pPr>
        <w:numPr>
          <w:ilvl w:val="0"/>
          <w:numId w:val="5"/>
        </w:numPr>
        <w:spacing w:line="580" w:lineRule="exact"/>
        <w:ind w:firstLine="560" w:firstLineChars="200"/>
        <w:rPr>
          <w:rFonts w:hAnsi="仿宋" w:cs="仿宋"/>
          <w:color w:val="auto"/>
          <w:sz w:val="28"/>
          <w:szCs w:val="28"/>
        </w:rPr>
      </w:pPr>
      <w:r>
        <w:rPr>
          <w:rFonts w:hint="eastAsia" w:hAnsi="仿宋" w:cs="仿宋"/>
          <w:color w:val="auto"/>
          <w:sz w:val="28"/>
          <w:szCs w:val="28"/>
        </w:rPr>
        <w:t>需特别注意防止加工过程工具、用具、操作人员手交叉污染的生家禽及其内脏、鲜蛋、海产品、水产品等。</w:t>
      </w:r>
    </w:p>
    <w:p>
      <w:pPr>
        <w:pStyle w:val="5"/>
        <w:ind w:firstLine="640" w:firstLineChars="200"/>
        <w:jc w:val="both"/>
        <w:rPr>
          <w:rFonts w:ascii="仿宋" w:hAnsi="仿宋" w:eastAsia="仿宋" w:cs="仿宋"/>
          <w:color w:val="auto"/>
          <w:sz w:val="32"/>
          <w:szCs w:val="32"/>
        </w:rPr>
      </w:pPr>
    </w:p>
    <w:p>
      <w:pPr>
        <w:pStyle w:val="5"/>
        <w:ind w:firstLine="640" w:firstLineChars="200"/>
        <w:jc w:val="both"/>
        <w:rPr>
          <w:rFonts w:ascii="仿宋" w:hAnsi="仿宋" w:eastAsia="仿宋" w:cs="仿宋"/>
          <w:color w:val="auto"/>
          <w:sz w:val="32"/>
          <w:szCs w:val="32"/>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after="312" w:afterLines="100" w:line="580" w:lineRule="exact"/>
        <w:jc w:val="left"/>
        <w:rPr>
          <w:rFonts w:ascii="方正小标宋简体" w:hAnsi="华文中宋" w:eastAsia="方正小标宋简体"/>
          <w:color w:val="auto"/>
          <w:sz w:val="28"/>
          <w:szCs w:val="28"/>
        </w:rPr>
      </w:pPr>
    </w:p>
    <w:p>
      <w:pPr>
        <w:spacing w:line="580" w:lineRule="exact"/>
        <w:ind w:firstLine="645"/>
        <w:rPr>
          <w:rFonts w:hint="eastAsia" w:ascii="方正仿宋_GBK" w:eastAsia="方正仿宋_GBK"/>
          <w:color w:val="auto"/>
          <w:sz w:val="32"/>
          <w:szCs w:val="32"/>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方正书宋_GBK"/>
    <w:panose1 w:val="02010601030101010101"/>
    <w:charset w:val="86"/>
    <w:family w:val="script"/>
    <w:pitch w:val="default"/>
    <w:sig w:usb0="00000000" w:usb1="00000000" w:usb2="0000000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12" w:right="312"/>
      <w:jc w:val="right"/>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21</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12" w:right="312"/>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24</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12" w:right="312"/>
      <w:jc w:val="right"/>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41</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12" w:right="312"/>
      <w:jc w:val="right"/>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54</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12" w:right="312"/>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30</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97424"/>
    <w:multiLevelType w:val="multilevel"/>
    <w:tmpl w:val="00F97424"/>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0E601DC9"/>
    <w:multiLevelType w:val="multilevel"/>
    <w:tmpl w:val="0E601DC9"/>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54D9B542"/>
    <w:multiLevelType w:val="singleLevel"/>
    <w:tmpl w:val="54D9B542"/>
    <w:lvl w:ilvl="0" w:tentative="0">
      <w:start w:val="1"/>
      <w:numFmt w:val="chineseCounting"/>
      <w:suff w:val="nothing"/>
      <w:lvlText w:val="%1、"/>
      <w:lvlJc w:val="left"/>
    </w:lvl>
  </w:abstractNum>
  <w:abstractNum w:abstractNumId="3">
    <w:nsid w:val="54D9B55D"/>
    <w:multiLevelType w:val="singleLevel"/>
    <w:tmpl w:val="54D9B55D"/>
    <w:lvl w:ilvl="0" w:tentative="0">
      <w:start w:val="1"/>
      <w:numFmt w:val="decimal"/>
      <w:suff w:val="nothing"/>
      <w:lvlText w:val="%1、"/>
      <w:lvlJc w:val="left"/>
    </w:lvl>
  </w:abstractNum>
  <w:abstractNum w:abstractNumId="4">
    <w:nsid w:val="54D9B668"/>
    <w:multiLevelType w:val="singleLevel"/>
    <w:tmpl w:val="54D9B66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50"/>
    <w:rsid w:val="00000BF3"/>
    <w:rsid w:val="00017F8D"/>
    <w:rsid w:val="00020FD7"/>
    <w:rsid w:val="00024B87"/>
    <w:rsid w:val="000353F6"/>
    <w:rsid w:val="00042DFC"/>
    <w:rsid w:val="00047D1F"/>
    <w:rsid w:val="00053BBB"/>
    <w:rsid w:val="00057AFC"/>
    <w:rsid w:val="00066F5C"/>
    <w:rsid w:val="00067D5E"/>
    <w:rsid w:val="000773DA"/>
    <w:rsid w:val="00080E11"/>
    <w:rsid w:val="00083D32"/>
    <w:rsid w:val="00096261"/>
    <w:rsid w:val="000A4758"/>
    <w:rsid w:val="000B60DF"/>
    <w:rsid w:val="000B6628"/>
    <w:rsid w:val="000C1A16"/>
    <w:rsid w:val="000C39AD"/>
    <w:rsid w:val="000C5D53"/>
    <w:rsid w:val="000C7058"/>
    <w:rsid w:val="000D203F"/>
    <w:rsid w:val="000D390F"/>
    <w:rsid w:val="000E6B55"/>
    <w:rsid w:val="000E7C60"/>
    <w:rsid w:val="000F27EB"/>
    <w:rsid w:val="00100AA2"/>
    <w:rsid w:val="00101331"/>
    <w:rsid w:val="00107A6A"/>
    <w:rsid w:val="00126A00"/>
    <w:rsid w:val="0014043E"/>
    <w:rsid w:val="00144AEA"/>
    <w:rsid w:val="0014555F"/>
    <w:rsid w:val="001473E0"/>
    <w:rsid w:val="00154264"/>
    <w:rsid w:val="00154528"/>
    <w:rsid w:val="00155486"/>
    <w:rsid w:val="00167CD0"/>
    <w:rsid w:val="00175E63"/>
    <w:rsid w:val="00180904"/>
    <w:rsid w:val="00180D98"/>
    <w:rsid w:val="001837FC"/>
    <w:rsid w:val="00195AE6"/>
    <w:rsid w:val="001A419F"/>
    <w:rsid w:val="001A688C"/>
    <w:rsid w:val="001B04EA"/>
    <w:rsid w:val="001B46EC"/>
    <w:rsid w:val="001B7B5B"/>
    <w:rsid w:val="001C033F"/>
    <w:rsid w:val="001C7714"/>
    <w:rsid w:val="001C7DAA"/>
    <w:rsid w:val="001C7F92"/>
    <w:rsid w:val="001D080D"/>
    <w:rsid w:val="001D2812"/>
    <w:rsid w:val="001D556E"/>
    <w:rsid w:val="001D7A1B"/>
    <w:rsid w:val="001E7510"/>
    <w:rsid w:val="001F23E3"/>
    <w:rsid w:val="001F4C34"/>
    <w:rsid w:val="002211EA"/>
    <w:rsid w:val="002215C4"/>
    <w:rsid w:val="0022773A"/>
    <w:rsid w:val="00230A9D"/>
    <w:rsid w:val="0023251F"/>
    <w:rsid w:val="00232F68"/>
    <w:rsid w:val="00240CFA"/>
    <w:rsid w:val="00252BC7"/>
    <w:rsid w:val="00254F88"/>
    <w:rsid w:val="002711AC"/>
    <w:rsid w:val="002733AA"/>
    <w:rsid w:val="002746EC"/>
    <w:rsid w:val="002775FE"/>
    <w:rsid w:val="002A2DD9"/>
    <w:rsid w:val="002A72FD"/>
    <w:rsid w:val="002B7065"/>
    <w:rsid w:val="002C234C"/>
    <w:rsid w:val="002C303F"/>
    <w:rsid w:val="002C4827"/>
    <w:rsid w:val="002D3B15"/>
    <w:rsid w:val="002E3EF9"/>
    <w:rsid w:val="002E747C"/>
    <w:rsid w:val="002F18F2"/>
    <w:rsid w:val="00311B59"/>
    <w:rsid w:val="00327170"/>
    <w:rsid w:val="003310CB"/>
    <w:rsid w:val="003477B1"/>
    <w:rsid w:val="00350899"/>
    <w:rsid w:val="00357AE2"/>
    <w:rsid w:val="00370665"/>
    <w:rsid w:val="00376906"/>
    <w:rsid w:val="0038164F"/>
    <w:rsid w:val="00383FAA"/>
    <w:rsid w:val="003B16A6"/>
    <w:rsid w:val="003B20A4"/>
    <w:rsid w:val="003B7C1C"/>
    <w:rsid w:val="003C2871"/>
    <w:rsid w:val="003C5DE7"/>
    <w:rsid w:val="003C6780"/>
    <w:rsid w:val="003F7C57"/>
    <w:rsid w:val="00400FA8"/>
    <w:rsid w:val="00405892"/>
    <w:rsid w:val="0041452D"/>
    <w:rsid w:val="0041635B"/>
    <w:rsid w:val="00430237"/>
    <w:rsid w:val="00443273"/>
    <w:rsid w:val="004707B4"/>
    <w:rsid w:val="0047208D"/>
    <w:rsid w:val="00492E06"/>
    <w:rsid w:val="00494DF7"/>
    <w:rsid w:val="00495AE9"/>
    <w:rsid w:val="004A64D4"/>
    <w:rsid w:val="004B070C"/>
    <w:rsid w:val="004B3447"/>
    <w:rsid w:val="004B6EFA"/>
    <w:rsid w:val="004E17C8"/>
    <w:rsid w:val="004E2C55"/>
    <w:rsid w:val="004E300C"/>
    <w:rsid w:val="004E7A30"/>
    <w:rsid w:val="00505866"/>
    <w:rsid w:val="00511E5F"/>
    <w:rsid w:val="005351E1"/>
    <w:rsid w:val="0053778F"/>
    <w:rsid w:val="00543754"/>
    <w:rsid w:val="00545C22"/>
    <w:rsid w:val="0054698D"/>
    <w:rsid w:val="005512E6"/>
    <w:rsid w:val="005538CA"/>
    <w:rsid w:val="00554476"/>
    <w:rsid w:val="005545BC"/>
    <w:rsid w:val="00576154"/>
    <w:rsid w:val="005764B2"/>
    <w:rsid w:val="0058584C"/>
    <w:rsid w:val="005932DE"/>
    <w:rsid w:val="00594962"/>
    <w:rsid w:val="005A305C"/>
    <w:rsid w:val="005A36AF"/>
    <w:rsid w:val="005B2A03"/>
    <w:rsid w:val="005B31E5"/>
    <w:rsid w:val="005B5938"/>
    <w:rsid w:val="005C2148"/>
    <w:rsid w:val="005C2931"/>
    <w:rsid w:val="005C6959"/>
    <w:rsid w:val="005D4A35"/>
    <w:rsid w:val="005D50AC"/>
    <w:rsid w:val="005D6DAB"/>
    <w:rsid w:val="005E0957"/>
    <w:rsid w:val="005E3DC2"/>
    <w:rsid w:val="005E546D"/>
    <w:rsid w:val="005E63C1"/>
    <w:rsid w:val="005E72B8"/>
    <w:rsid w:val="005F268F"/>
    <w:rsid w:val="0060351A"/>
    <w:rsid w:val="00603853"/>
    <w:rsid w:val="0060764E"/>
    <w:rsid w:val="006124A9"/>
    <w:rsid w:val="00624888"/>
    <w:rsid w:val="006404AD"/>
    <w:rsid w:val="0064203D"/>
    <w:rsid w:val="00642061"/>
    <w:rsid w:val="0065424D"/>
    <w:rsid w:val="00660FF6"/>
    <w:rsid w:val="00665BA4"/>
    <w:rsid w:val="00683368"/>
    <w:rsid w:val="00683F4F"/>
    <w:rsid w:val="00696A0D"/>
    <w:rsid w:val="00696DDC"/>
    <w:rsid w:val="006A12F8"/>
    <w:rsid w:val="006A2918"/>
    <w:rsid w:val="006A3915"/>
    <w:rsid w:val="006A6396"/>
    <w:rsid w:val="006A744E"/>
    <w:rsid w:val="006B1238"/>
    <w:rsid w:val="006B5787"/>
    <w:rsid w:val="006C3D2B"/>
    <w:rsid w:val="006D1666"/>
    <w:rsid w:val="006E20B7"/>
    <w:rsid w:val="006E3B46"/>
    <w:rsid w:val="006E546E"/>
    <w:rsid w:val="006F7457"/>
    <w:rsid w:val="006F75E9"/>
    <w:rsid w:val="00704160"/>
    <w:rsid w:val="007123E2"/>
    <w:rsid w:val="0071410A"/>
    <w:rsid w:val="00726E37"/>
    <w:rsid w:val="00743978"/>
    <w:rsid w:val="007459B1"/>
    <w:rsid w:val="00746DB7"/>
    <w:rsid w:val="007471A4"/>
    <w:rsid w:val="00750DA1"/>
    <w:rsid w:val="0075243D"/>
    <w:rsid w:val="00754198"/>
    <w:rsid w:val="00773436"/>
    <w:rsid w:val="007753E0"/>
    <w:rsid w:val="00777050"/>
    <w:rsid w:val="0078686F"/>
    <w:rsid w:val="0079527A"/>
    <w:rsid w:val="007976BB"/>
    <w:rsid w:val="007A24CC"/>
    <w:rsid w:val="007B63A2"/>
    <w:rsid w:val="007E064D"/>
    <w:rsid w:val="007E1910"/>
    <w:rsid w:val="007E550F"/>
    <w:rsid w:val="00805A20"/>
    <w:rsid w:val="00815192"/>
    <w:rsid w:val="0081684F"/>
    <w:rsid w:val="008174D2"/>
    <w:rsid w:val="00820596"/>
    <w:rsid w:val="00823119"/>
    <w:rsid w:val="00852F23"/>
    <w:rsid w:val="00877065"/>
    <w:rsid w:val="008803F3"/>
    <w:rsid w:val="008A5895"/>
    <w:rsid w:val="008B118D"/>
    <w:rsid w:val="008B3DC4"/>
    <w:rsid w:val="008C1679"/>
    <w:rsid w:val="008C2E50"/>
    <w:rsid w:val="008C723F"/>
    <w:rsid w:val="008D1649"/>
    <w:rsid w:val="008D1749"/>
    <w:rsid w:val="008D22E2"/>
    <w:rsid w:val="008D59A4"/>
    <w:rsid w:val="008E5389"/>
    <w:rsid w:val="008E5D5D"/>
    <w:rsid w:val="00923C83"/>
    <w:rsid w:val="0095200B"/>
    <w:rsid w:val="00952E28"/>
    <w:rsid w:val="00974ED3"/>
    <w:rsid w:val="009769B8"/>
    <w:rsid w:val="00977F74"/>
    <w:rsid w:val="0098175F"/>
    <w:rsid w:val="00985E20"/>
    <w:rsid w:val="009866A0"/>
    <w:rsid w:val="00993AE7"/>
    <w:rsid w:val="00993C21"/>
    <w:rsid w:val="009B3ED5"/>
    <w:rsid w:val="009B528B"/>
    <w:rsid w:val="009C0F11"/>
    <w:rsid w:val="009C1400"/>
    <w:rsid w:val="009C3C07"/>
    <w:rsid w:val="009C6CF0"/>
    <w:rsid w:val="009D0193"/>
    <w:rsid w:val="009D5F56"/>
    <w:rsid w:val="009D74B5"/>
    <w:rsid w:val="009E1F74"/>
    <w:rsid w:val="009E5D10"/>
    <w:rsid w:val="009E6A7A"/>
    <w:rsid w:val="00A009C3"/>
    <w:rsid w:val="00A14C07"/>
    <w:rsid w:val="00A23C74"/>
    <w:rsid w:val="00A245B4"/>
    <w:rsid w:val="00A463F6"/>
    <w:rsid w:val="00A471F8"/>
    <w:rsid w:val="00A510FD"/>
    <w:rsid w:val="00A866E0"/>
    <w:rsid w:val="00A90FC9"/>
    <w:rsid w:val="00A95937"/>
    <w:rsid w:val="00AA5502"/>
    <w:rsid w:val="00AB1B79"/>
    <w:rsid w:val="00AB78B2"/>
    <w:rsid w:val="00AC07A5"/>
    <w:rsid w:val="00AC137D"/>
    <w:rsid w:val="00AC1BA0"/>
    <w:rsid w:val="00AC47DE"/>
    <w:rsid w:val="00AC7489"/>
    <w:rsid w:val="00AD7DF2"/>
    <w:rsid w:val="00AE42C0"/>
    <w:rsid w:val="00B11A04"/>
    <w:rsid w:val="00B2056A"/>
    <w:rsid w:val="00B3037A"/>
    <w:rsid w:val="00B329F4"/>
    <w:rsid w:val="00B37BDD"/>
    <w:rsid w:val="00B37C61"/>
    <w:rsid w:val="00B564E0"/>
    <w:rsid w:val="00B577A5"/>
    <w:rsid w:val="00B666BA"/>
    <w:rsid w:val="00B66D86"/>
    <w:rsid w:val="00B71DF8"/>
    <w:rsid w:val="00B7301D"/>
    <w:rsid w:val="00B775D9"/>
    <w:rsid w:val="00B82B7A"/>
    <w:rsid w:val="00B87675"/>
    <w:rsid w:val="00BA0142"/>
    <w:rsid w:val="00BA23FD"/>
    <w:rsid w:val="00BB180F"/>
    <w:rsid w:val="00BC3608"/>
    <w:rsid w:val="00BC3986"/>
    <w:rsid w:val="00BC4C25"/>
    <w:rsid w:val="00BC70B5"/>
    <w:rsid w:val="00BC711A"/>
    <w:rsid w:val="00BD3F75"/>
    <w:rsid w:val="00BE1AC4"/>
    <w:rsid w:val="00BE7C25"/>
    <w:rsid w:val="00C15FB3"/>
    <w:rsid w:val="00C160D2"/>
    <w:rsid w:val="00C4471D"/>
    <w:rsid w:val="00C44908"/>
    <w:rsid w:val="00C460AA"/>
    <w:rsid w:val="00C463C1"/>
    <w:rsid w:val="00C47C4C"/>
    <w:rsid w:val="00C5687E"/>
    <w:rsid w:val="00C603D2"/>
    <w:rsid w:val="00C615C8"/>
    <w:rsid w:val="00C708F1"/>
    <w:rsid w:val="00C71DD3"/>
    <w:rsid w:val="00C73D8A"/>
    <w:rsid w:val="00C774D0"/>
    <w:rsid w:val="00C829C0"/>
    <w:rsid w:val="00C86B72"/>
    <w:rsid w:val="00C9047F"/>
    <w:rsid w:val="00C97901"/>
    <w:rsid w:val="00CA5847"/>
    <w:rsid w:val="00CB0235"/>
    <w:rsid w:val="00CB5C29"/>
    <w:rsid w:val="00CB77D6"/>
    <w:rsid w:val="00CC28DC"/>
    <w:rsid w:val="00CD2518"/>
    <w:rsid w:val="00CE67C9"/>
    <w:rsid w:val="00CF0C1F"/>
    <w:rsid w:val="00CF0FA5"/>
    <w:rsid w:val="00CF3E7A"/>
    <w:rsid w:val="00CF4EC6"/>
    <w:rsid w:val="00D06410"/>
    <w:rsid w:val="00D1112D"/>
    <w:rsid w:val="00D12C04"/>
    <w:rsid w:val="00D12E62"/>
    <w:rsid w:val="00D135DB"/>
    <w:rsid w:val="00D26C60"/>
    <w:rsid w:val="00D31E73"/>
    <w:rsid w:val="00D32AB2"/>
    <w:rsid w:val="00D34CA7"/>
    <w:rsid w:val="00D35857"/>
    <w:rsid w:val="00D4103E"/>
    <w:rsid w:val="00D42BEF"/>
    <w:rsid w:val="00D51ED2"/>
    <w:rsid w:val="00D5292B"/>
    <w:rsid w:val="00D5402E"/>
    <w:rsid w:val="00D60B5B"/>
    <w:rsid w:val="00D616D5"/>
    <w:rsid w:val="00D64982"/>
    <w:rsid w:val="00D64C07"/>
    <w:rsid w:val="00D849F9"/>
    <w:rsid w:val="00D85582"/>
    <w:rsid w:val="00D90788"/>
    <w:rsid w:val="00D933C7"/>
    <w:rsid w:val="00DA7CA7"/>
    <w:rsid w:val="00DB0CC2"/>
    <w:rsid w:val="00DB2053"/>
    <w:rsid w:val="00DB2098"/>
    <w:rsid w:val="00DB2F79"/>
    <w:rsid w:val="00DD2A83"/>
    <w:rsid w:val="00DE2C40"/>
    <w:rsid w:val="00DE5803"/>
    <w:rsid w:val="00E03850"/>
    <w:rsid w:val="00E065D0"/>
    <w:rsid w:val="00E14D42"/>
    <w:rsid w:val="00E14EC8"/>
    <w:rsid w:val="00E16870"/>
    <w:rsid w:val="00E26649"/>
    <w:rsid w:val="00E31FA2"/>
    <w:rsid w:val="00E355A4"/>
    <w:rsid w:val="00E41965"/>
    <w:rsid w:val="00E45C17"/>
    <w:rsid w:val="00E50C29"/>
    <w:rsid w:val="00E54523"/>
    <w:rsid w:val="00E57A66"/>
    <w:rsid w:val="00E63E45"/>
    <w:rsid w:val="00E65249"/>
    <w:rsid w:val="00E705DE"/>
    <w:rsid w:val="00E75404"/>
    <w:rsid w:val="00E767C3"/>
    <w:rsid w:val="00E84678"/>
    <w:rsid w:val="00E86B0B"/>
    <w:rsid w:val="00E97562"/>
    <w:rsid w:val="00EB179D"/>
    <w:rsid w:val="00EB575D"/>
    <w:rsid w:val="00EB6BFF"/>
    <w:rsid w:val="00ED0934"/>
    <w:rsid w:val="00EE557D"/>
    <w:rsid w:val="00EF38A8"/>
    <w:rsid w:val="00EF5D57"/>
    <w:rsid w:val="00EF72A7"/>
    <w:rsid w:val="00F23043"/>
    <w:rsid w:val="00F46EFD"/>
    <w:rsid w:val="00F5126B"/>
    <w:rsid w:val="00F53E4D"/>
    <w:rsid w:val="00F56C34"/>
    <w:rsid w:val="00F6301D"/>
    <w:rsid w:val="00F651EA"/>
    <w:rsid w:val="00F70C87"/>
    <w:rsid w:val="00F732A2"/>
    <w:rsid w:val="00F7570A"/>
    <w:rsid w:val="00F96E56"/>
    <w:rsid w:val="00F97014"/>
    <w:rsid w:val="00FA7750"/>
    <w:rsid w:val="00FC13AB"/>
    <w:rsid w:val="00FD4672"/>
    <w:rsid w:val="00FD6CBB"/>
    <w:rsid w:val="00FE06FB"/>
    <w:rsid w:val="00FF4317"/>
    <w:rsid w:val="00FF48EF"/>
    <w:rsid w:val="00FF5314"/>
    <w:rsid w:val="43FF1992"/>
    <w:rsid w:val="57DFA83E"/>
    <w:rsid w:val="5D5FE591"/>
    <w:rsid w:val="5EFA7CCD"/>
    <w:rsid w:val="725EFD73"/>
    <w:rsid w:val="738FC227"/>
    <w:rsid w:val="79FC0896"/>
    <w:rsid w:val="7C7F6757"/>
    <w:rsid w:val="7F68085D"/>
    <w:rsid w:val="7F7D58EC"/>
    <w:rsid w:val="7FDF6ACF"/>
    <w:rsid w:val="7FFF20FB"/>
    <w:rsid w:val="9D4B5CFF"/>
    <w:rsid w:val="A7FF578E"/>
    <w:rsid w:val="AA65CFA4"/>
    <w:rsid w:val="BA7B23C6"/>
    <w:rsid w:val="BFBEDCA1"/>
    <w:rsid w:val="BFDF3351"/>
    <w:rsid w:val="CCDD4492"/>
    <w:rsid w:val="CCFF005D"/>
    <w:rsid w:val="CF5FB58C"/>
    <w:rsid w:val="D135D0EB"/>
    <w:rsid w:val="D8FE97CF"/>
    <w:rsid w:val="DBBC25F8"/>
    <w:rsid w:val="DF723835"/>
    <w:rsid w:val="E7FD0D8F"/>
    <w:rsid w:val="ECB5A5AD"/>
    <w:rsid w:val="F4AD1648"/>
    <w:rsid w:val="F667A143"/>
    <w:rsid w:val="FDEBA428"/>
    <w:rsid w:val="FE734873"/>
    <w:rsid w:val="FEFBA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仿宋_GB2312" w:hAnsi="Calibri" w:eastAsia="仿宋_GB2312" w:cs="Times New Roman"/>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2"/>
    <w:qFormat/>
    <w:uiPriority w:val="0"/>
    <w:pPr>
      <w:widowControl/>
      <w:spacing w:before="100" w:beforeAutospacing="1" w:after="100" w:afterAutospacing="1"/>
      <w:jc w:val="left"/>
      <w:outlineLvl w:val="2"/>
    </w:pPr>
    <w:rPr>
      <w:rFonts w:ascii="宋体" w:hAnsi="宋体" w:eastAsia="仿宋_GB2312" w:cs="Times New Roman"/>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pPr>
      <w:jc w:val="left"/>
    </w:pPr>
  </w:style>
  <w:style w:type="paragraph" w:styleId="6">
    <w:name w:val="Body Text"/>
    <w:basedOn w:val="1"/>
    <w:link w:val="33"/>
    <w:semiHidden/>
    <w:qFormat/>
    <w:uiPriority w:val="0"/>
    <w:pPr>
      <w:jc w:val="center"/>
    </w:pPr>
    <w:rPr>
      <w:rFonts w:ascii="黑体" w:eastAsia="黑体"/>
      <w:b/>
      <w:sz w:val="24"/>
    </w:rPr>
  </w:style>
  <w:style w:type="paragraph" w:styleId="7">
    <w:name w:val="Body Text Indent"/>
    <w:basedOn w:val="1"/>
    <w:link w:val="29"/>
    <w:semiHidden/>
    <w:qFormat/>
    <w:uiPriority w:val="0"/>
    <w:pPr>
      <w:ind w:firstLine="560" w:firstLineChars="200"/>
    </w:pPr>
    <w:rPr>
      <w:rFonts w:eastAsia="仿宋_GB2312"/>
      <w:sz w:val="24"/>
    </w:rPr>
  </w:style>
  <w:style w:type="paragraph" w:styleId="8">
    <w:name w:val="Date"/>
    <w:basedOn w:val="1"/>
    <w:next w:val="1"/>
    <w:link w:val="40"/>
    <w:semiHidden/>
    <w:qFormat/>
    <w:uiPriority w:val="0"/>
    <w:pPr>
      <w:ind w:left="100" w:leftChars="2500"/>
    </w:pPr>
    <w:rPr>
      <w:rFonts w:ascii="Calibri" w:hAnsi="Calibri" w:eastAsia="仿宋_GB2312" w:cs="Times New Roman"/>
      <w:sz w:val="30"/>
      <w:szCs w:val="30"/>
    </w:rPr>
  </w:style>
  <w:style w:type="paragraph" w:styleId="9">
    <w:name w:val="Balloon Text"/>
    <w:basedOn w:val="1"/>
    <w:link w:val="25"/>
    <w:semiHidden/>
    <w:qFormat/>
    <w:uiPriority w:val="0"/>
    <w:rPr>
      <w:sz w:val="18"/>
    </w:rPr>
  </w:style>
  <w:style w:type="paragraph" w:styleId="10">
    <w:name w:val="footer"/>
    <w:basedOn w:val="1"/>
    <w:link w:val="24"/>
    <w:unhideWhenUsed/>
    <w:qFormat/>
    <w:uiPriority w:val="0"/>
    <w:pPr>
      <w:tabs>
        <w:tab w:val="center" w:pos="4153"/>
        <w:tab w:val="right" w:pos="8306"/>
      </w:tabs>
      <w:snapToGrid w:val="0"/>
      <w:jc w:val="left"/>
    </w:pPr>
    <w:rPr>
      <w:rFonts w:ascii="仿宋_GB2312" w:hAnsi="Calibri" w:eastAsia="仿宋_GB2312" w:cs="Times New Roman"/>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rFonts w:ascii="仿宋_GB2312" w:hAnsi="Calibri" w:eastAsia="仿宋_GB2312" w:cs="Times New Roman"/>
      <w:sz w:val="18"/>
      <w:szCs w:val="18"/>
    </w:rPr>
  </w:style>
  <w:style w:type="paragraph" w:styleId="12">
    <w:name w:val="toc 1"/>
    <w:basedOn w:val="1"/>
    <w:next w:val="1"/>
    <w:semiHidden/>
    <w:qFormat/>
    <w:uiPriority w:val="0"/>
    <w:pPr>
      <w:widowControl/>
      <w:spacing w:after="100" w:line="259" w:lineRule="auto"/>
      <w:jc w:val="left"/>
    </w:pPr>
    <w:rPr>
      <w:rFonts w:ascii="仿宋_GB2312" w:hAnsi="Calibri" w:eastAsia="仿宋_GB2312" w:cs="Times New Roman"/>
      <w:kern w:val="0"/>
      <w:sz w:val="22"/>
    </w:rPr>
  </w:style>
  <w:style w:type="paragraph" w:styleId="13">
    <w:name w:val="Body Text 2"/>
    <w:basedOn w:val="1"/>
    <w:link w:val="35"/>
    <w:semiHidden/>
    <w:qFormat/>
    <w:uiPriority w:val="0"/>
    <w:pPr>
      <w:spacing w:after="120" w:line="480" w:lineRule="auto"/>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5"/>
    <w:next w:val="5"/>
    <w:link w:val="37"/>
    <w:semiHidden/>
    <w:qFormat/>
    <w:uiPriority w:val="0"/>
    <w:rPr>
      <w:b/>
    </w:rPr>
  </w:style>
  <w:style w:type="character" w:styleId="18">
    <w:name w:val="Strong"/>
    <w:basedOn w:val="17"/>
    <w:qFormat/>
    <w:uiPriority w:val="22"/>
    <w:rPr>
      <w:b/>
    </w:rPr>
  </w:style>
  <w:style w:type="paragraph" w:styleId="19">
    <w:name w:val="List Paragraph"/>
    <w:basedOn w:val="1"/>
    <w:qFormat/>
    <w:uiPriority w:val="34"/>
    <w:pPr>
      <w:ind w:firstLine="420" w:firstLineChars="200"/>
    </w:pPr>
  </w:style>
  <w:style w:type="character" w:customStyle="1" w:styleId="20">
    <w:name w:val="标题 1 Char"/>
    <w:basedOn w:val="17"/>
    <w:link w:val="2"/>
    <w:qFormat/>
    <w:uiPriority w:val="0"/>
    <w:rPr>
      <w:rFonts w:ascii="仿宋_GB2312" w:hAnsi="Calibri" w:eastAsia="仿宋_GB2312" w:cs="Times New Roman"/>
      <w:b/>
      <w:bCs/>
      <w:kern w:val="44"/>
      <w:sz w:val="44"/>
      <w:szCs w:val="44"/>
    </w:rPr>
  </w:style>
  <w:style w:type="character" w:customStyle="1" w:styleId="21">
    <w:name w:val="标题 2 Char"/>
    <w:basedOn w:val="17"/>
    <w:link w:val="3"/>
    <w:qFormat/>
    <w:uiPriority w:val="0"/>
    <w:rPr>
      <w:rFonts w:ascii="Arial" w:hAnsi="Arial" w:eastAsia="黑体" w:cs="Times New Roman"/>
      <w:b/>
      <w:bCs/>
      <w:sz w:val="32"/>
      <w:szCs w:val="32"/>
    </w:rPr>
  </w:style>
  <w:style w:type="character" w:customStyle="1" w:styleId="22">
    <w:name w:val="标题 3 Char"/>
    <w:basedOn w:val="17"/>
    <w:link w:val="4"/>
    <w:qFormat/>
    <w:uiPriority w:val="0"/>
    <w:rPr>
      <w:rFonts w:ascii="宋体" w:hAnsi="宋体" w:eastAsia="仿宋_GB2312" w:cs="Times New Roman"/>
      <w:b/>
      <w:bCs/>
      <w:kern w:val="0"/>
      <w:sz w:val="27"/>
      <w:szCs w:val="27"/>
    </w:rPr>
  </w:style>
  <w:style w:type="character" w:customStyle="1" w:styleId="23">
    <w:name w:val="页眉 Char"/>
    <w:basedOn w:val="17"/>
    <w:link w:val="11"/>
    <w:qFormat/>
    <w:uiPriority w:val="0"/>
    <w:rPr>
      <w:rFonts w:ascii="仿宋_GB2312" w:hAnsi="Calibri" w:eastAsia="仿宋_GB2312" w:cs="Times New Roman"/>
      <w:sz w:val="18"/>
      <w:szCs w:val="18"/>
    </w:rPr>
  </w:style>
  <w:style w:type="character" w:customStyle="1" w:styleId="24">
    <w:name w:val="页脚 Char"/>
    <w:basedOn w:val="17"/>
    <w:link w:val="10"/>
    <w:qFormat/>
    <w:uiPriority w:val="0"/>
    <w:rPr>
      <w:rFonts w:ascii="仿宋_GB2312" w:hAnsi="Calibri" w:eastAsia="仿宋_GB2312" w:cs="Times New Roman"/>
      <w:sz w:val="18"/>
      <w:szCs w:val="18"/>
    </w:rPr>
  </w:style>
  <w:style w:type="character" w:customStyle="1" w:styleId="25">
    <w:name w:val="批注框文本 Char"/>
    <w:link w:val="9"/>
    <w:semiHidden/>
    <w:qFormat/>
    <w:locked/>
    <w:uiPriority w:val="0"/>
    <w:rPr>
      <w:sz w:val="18"/>
    </w:rPr>
  </w:style>
  <w:style w:type="character" w:customStyle="1" w:styleId="26">
    <w:name w:val="批注框文本 Char1"/>
    <w:basedOn w:val="17"/>
    <w:semiHidden/>
    <w:qFormat/>
    <w:uiPriority w:val="99"/>
    <w:rPr>
      <w:sz w:val="18"/>
      <w:szCs w:val="18"/>
    </w:rPr>
  </w:style>
  <w:style w:type="character" w:customStyle="1" w:styleId="27">
    <w:name w:val="批注文字 Char"/>
    <w:link w:val="5"/>
    <w:semiHidden/>
    <w:qFormat/>
    <w:locked/>
    <w:uiPriority w:val="0"/>
  </w:style>
  <w:style w:type="character" w:customStyle="1" w:styleId="28">
    <w:name w:val="批注文字 Char1"/>
    <w:basedOn w:val="17"/>
    <w:semiHidden/>
    <w:qFormat/>
    <w:uiPriority w:val="99"/>
  </w:style>
  <w:style w:type="character" w:customStyle="1" w:styleId="29">
    <w:name w:val="正文文本缩进 Char"/>
    <w:link w:val="7"/>
    <w:semiHidden/>
    <w:qFormat/>
    <w:locked/>
    <w:uiPriority w:val="0"/>
    <w:rPr>
      <w:rFonts w:eastAsia="仿宋_GB2312"/>
      <w:sz w:val="24"/>
    </w:rPr>
  </w:style>
  <w:style w:type="character" w:customStyle="1" w:styleId="30">
    <w:name w:val="正文文本缩进 Char1"/>
    <w:basedOn w:val="17"/>
    <w:semiHidden/>
    <w:qFormat/>
    <w:uiPriority w:val="99"/>
  </w:style>
  <w:style w:type="character" w:customStyle="1" w:styleId="31">
    <w:name w:val="No Spacing Char"/>
    <w:link w:val="32"/>
    <w:semiHidden/>
    <w:qFormat/>
    <w:locked/>
    <w:uiPriority w:val="0"/>
    <w:rPr>
      <w:sz w:val="22"/>
    </w:rPr>
  </w:style>
  <w:style w:type="paragraph" w:customStyle="1" w:styleId="32">
    <w:name w:val="无间隔1"/>
    <w:link w:val="31"/>
    <w:semiHidden/>
    <w:qFormat/>
    <w:uiPriority w:val="0"/>
    <w:rPr>
      <w:rFonts w:asciiTheme="minorHAnsi" w:hAnsiTheme="minorHAnsi" w:eastAsiaTheme="minorEastAsia" w:cstheme="minorBidi"/>
      <w:kern w:val="2"/>
      <w:sz w:val="22"/>
      <w:szCs w:val="22"/>
      <w:lang w:val="en-US" w:eastAsia="zh-CN" w:bidi="ar-SA"/>
    </w:rPr>
  </w:style>
  <w:style w:type="character" w:customStyle="1" w:styleId="33">
    <w:name w:val="正文文本 Char"/>
    <w:link w:val="6"/>
    <w:semiHidden/>
    <w:qFormat/>
    <w:locked/>
    <w:uiPriority w:val="0"/>
    <w:rPr>
      <w:rFonts w:ascii="黑体" w:eastAsia="黑体"/>
      <w:b/>
      <w:sz w:val="24"/>
    </w:rPr>
  </w:style>
  <w:style w:type="character" w:customStyle="1" w:styleId="34">
    <w:name w:val="正文文本 Char1"/>
    <w:basedOn w:val="17"/>
    <w:semiHidden/>
    <w:qFormat/>
    <w:uiPriority w:val="99"/>
  </w:style>
  <w:style w:type="character" w:customStyle="1" w:styleId="35">
    <w:name w:val="正文文本 2 Char"/>
    <w:link w:val="13"/>
    <w:semiHidden/>
    <w:qFormat/>
    <w:locked/>
    <w:uiPriority w:val="0"/>
  </w:style>
  <w:style w:type="character" w:customStyle="1" w:styleId="36">
    <w:name w:val="正文文本 2 Char1"/>
    <w:basedOn w:val="17"/>
    <w:semiHidden/>
    <w:qFormat/>
    <w:uiPriority w:val="99"/>
  </w:style>
  <w:style w:type="character" w:customStyle="1" w:styleId="37">
    <w:name w:val="批注主题 Char"/>
    <w:link w:val="15"/>
    <w:semiHidden/>
    <w:qFormat/>
    <w:locked/>
    <w:uiPriority w:val="0"/>
    <w:rPr>
      <w:b/>
    </w:rPr>
  </w:style>
  <w:style w:type="character" w:customStyle="1" w:styleId="38">
    <w:name w:val="批注主题 Char1"/>
    <w:basedOn w:val="28"/>
    <w:semiHidden/>
    <w:qFormat/>
    <w:uiPriority w:val="99"/>
    <w:rPr>
      <w:b/>
      <w:bCs/>
    </w:rPr>
  </w:style>
  <w:style w:type="paragraph" w:customStyle="1" w:styleId="39">
    <w:name w:val="列出段落1"/>
    <w:basedOn w:val="1"/>
    <w:semiHidden/>
    <w:qFormat/>
    <w:uiPriority w:val="0"/>
    <w:pPr>
      <w:ind w:firstLine="420" w:firstLineChars="200"/>
    </w:pPr>
    <w:rPr>
      <w:rFonts w:ascii="仿宋_GB2312" w:hAnsi="Calibri" w:eastAsia="仿宋_GB2312" w:cs="Times New Roman"/>
      <w:sz w:val="32"/>
    </w:rPr>
  </w:style>
  <w:style w:type="character" w:customStyle="1" w:styleId="40">
    <w:name w:val="日期 Char"/>
    <w:basedOn w:val="17"/>
    <w:link w:val="8"/>
    <w:semiHidden/>
    <w:qFormat/>
    <w:uiPriority w:val="0"/>
    <w:rPr>
      <w:rFonts w:ascii="Calibri" w:hAnsi="Calibri" w:eastAsia="仿宋_GB2312" w:cs="Times New Roman"/>
      <w:sz w:val="30"/>
      <w:szCs w:val="30"/>
    </w:rPr>
  </w:style>
  <w:style w:type="character" w:customStyle="1" w:styleId="41">
    <w:name w:val="日期 Char1"/>
    <w:basedOn w:val="17"/>
    <w:semiHidden/>
    <w:qFormat/>
    <w:uiPriority w:val="99"/>
  </w:style>
  <w:style w:type="paragraph" w:customStyle="1" w:styleId="42">
    <w:name w:val="1.标题"/>
    <w:basedOn w:val="1"/>
    <w:qFormat/>
    <w:uiPriority w:val="0"/>
    <w:pPr>
      <w:widowControl/>
      <w:spacing w:line="560" w:lineRule="exact"/>
      <w:jc w:val="center"/>
    </w:pPr>
    <w:rPr>
      <w:rFonts w:ascii="方正大标宋简体" w:hAnsi="黑体" w:eastAsia="方正大标宋简体" w:cs="黑体"/>
      <w:sz w:val="32"/>
      <w:szCs w:val="32"/>
      <w:lang w:val="en-GB"/>
    </w:rPr>
  </w:style>
  <w:style w:type="paragraph" w:customStyle="1" w:styleId="43">
    <w:name w:val="2.一级标题"/>
    <w:basedOn w:val="1"/>
    <w:qFormat/>
    <w:uiPriority w:val="0"/>
    <w:pPr>
      <w:widowControl/>
      <w:spacing w:line="400" w:lineRule="exact"/>
      <w:ind w:firstLine="440" w:firstLineChars="200"/>
    </w:pPr>
    <w:rPr>
      <w:rFonts w:ascii="方正黑体简体" w:hAnsi="仿宋" w:eastAsia="方正黑体简体" w:cs="仿宋"/>
      <w:color w:val="000000"/>
      <w:kern w:val="0"/>
      <w:sz w:val="22"/>
      <w:lang w:val="en-GB"/>
    </w:rPr>
  </w:style>
  <w:style w:type="paragraph" w:customStyle="1" w:styleId="44">
    <w:name w:val="3.二级标题"/>
    <w:basedOn w:val="1"/>
    <w:qFormat/>
    <w:uiPriority w:val="0"/>
    <w:pPr>
      <w:widowControl/>
      <w:spacing w:line="400" w:lineRule="exact"/>
      <w:ind w:firstLine="442" w:firstLineChars="200"/>
    </w:pPr>
    <w:rPr>
      <w:rFonts w:ascii="方正楷体简体" w:hAnsi="仿宋" w:eastAsia="方正楷体简体" w:cs="仿宋"/>
      <w:b/>
      <w:color w:val="000000"/>
      <w:kern w:val="0"/>
      <w:sz w:val="22"/>
      <w:lang w:val="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4.jpe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3325</Words>
  <Characters>18957</Characters>
  <Lines>157</Lines>
  <Paragraphs>44</Paragraphs>
  <TotalTime>76</TotalTime>
  <ScaleCrop>false</ScaleCrop>
  <LinksUpToDate>false</LinksUpToDate>
  <CharactersWithSpaces>22238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2019-12-09T03:23:00Z</dcterms:created>
  <dc:creator>lei</dc:creator>
  <cp:lastModifiedBy>uos</cp:lastModifiedBy>
  <dcterms:modified xsi:type="dcterms:W3CDTF">2022-11-25T14:59:29Z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