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cs="Times New Roman"/>
          <w:b/>
          <w:bCs/>
          <w:sz w:val="30"/>
          <w:szCs w:val="30"/>
        </w:rPr>
      </w:pPr>
      <w:r>
        <w:rPr>
          <w:rFonts w:ascii="Times New Roman" w:hAnsi="Times New Roman" w:eastAsia="仿宋" w:cs="Times New Roman"/>
          <w:b/>
          <w:bCs/>
          <w:sz w:val="30"/>
          <w:szCs w:val="30"/>
        </w:rPr>
        <w:t>海南省地方标准编制说明</w:t>
      </w:r>
    </w:p>
    <w:p>
      <w:pPr>
        <w:spacing w:line="400" w:lineRule="exact"/>
        <w:rPr>
          <w:rFonts w:ascii="Times New Roman" w:hAnsi="Times New Roman" w:eastAsia="仿宋" w:cs="Times New Roman"/>
          <w:b/>
          <w:bCs/>
          <w:sz w:val="24"/>
          <w:szCs w:val="24"/>
        </w:rPr>
      </w:pPr>
      <w:r>
        <w:rPr>
          <w:rFonts w:ascii="Times New Roman" w:hAnsi="Times New Roman" w:eastAsia="仿宋" w:cs="Times New Roman"/>
          <w:b/>
          <w:bCs/>
          <w:sz w:val="24"/>
          <w:szCs w:val="24"/>
        </w:rPr>
        <w:t>一、项目简况</w:t>
      </w:r>
    </w:p>
    <w:p>
      <w:pPr>
        <w:spacing w:line="400" w:lineRule="exact"/>
        <w:rPr>
          <w:rFonts w:ascii="Times New Roman" w:hAnsi="Times New Roman" w:eastAsia="仿宋" w:cs="Times New Roman"/>
          <w:sz w:val="24"/>
          <w:szCs w:val="24"/>
        </w:rPr>
      </w:pPr>
      <w:r>
        <w:rPr>
          <w:rFonts w:ascii="Times New Roman" w:hAnsi="Times New Roman" w:eastAsia="仿宋" w:cs="Times New Roman"/>
          <w:b/>
          <w:bCs/>
          <w:sz w:val="24"/>
          <w:szCs w:val="24"/>
        </w:rPr>
        <w:t>（一）标准名称</w:t>
      </w:r>
      <w:r>
        <w:rPr>
          <w:rFonts w:ascii="Times New Roman" w:hAnsi="Times New Roman" w:eastAsia="仿宋" w:cs="Times New Roman"/>
          <w:sz w:val="24"/>
          <w:szCs w:val="24"/>
        </w:rPr>
        <w:t>：</w:t>
      </w:r>
      <w:r>
        <w:rPr>
          <w:rFonts w:hint="eastAsia" w:ascii="Times New Roman" w:hAnsi="Times New Roman" w:eastAsia="仿宋" w:cs="Times New Roman"/>
          <w:sz w:val="24"/>
          <w:szCs w:val="24"/>
        </w:rPr>
        <w:t>屯昌黑猪（商品猪）饲养技术规程</w:t>
      </w:r>
      <w:r>
        <w:rPr>
          <w:rFonts w:ascii="Times New Roman" w:hAnsi="Times New Roman" w:eastAsia="仿宋" w:cs="Times New Roman"/>
          <w:sz w:val="24"/>
          <w:szCs w:val="24"/>
        </w:rPr>
        <w:t>。</w:t>
      </w:r>
    </w:p>
    <w:p>
      <w:pPr>
        <w:spacing w:line="400" w:lineRule="exact"/>
        <w:rPr>
          <w:rFonts w:ascii="Times New Roman" w:hAnsi="Times New Roman" w:eastAsia="仿宋" w:cs="Times New Roman"/>
          <w:sz w:val="24"/>
          <w:szCs w:val="24"/>
        </w:rPr>
      </w:pPr>
      <w:r>
        <w:rPr>
          <w:rFonts w:ascii="Times New Roman" w:hAnsi="Times New Roman" w:eastAsia="仿宋" w:cs="Times New Roman"/>
          <w:b/>
          <w:bCs/>
          <w:sz w:val="24"/>
          <w:szCs w:val="24"/>
        </w:rPr>
        <w:t>（二）任务来源（项目计划号）</w:t>
      </w:r>
      <w:r>
        <w:rPr>
          <w:rFonts w:ascii="Times New Roman" w:hAnsi="Times New Roman" w:eastAsia="仿宋" w:cs="Times New Roman"/>
          <w:sz w:val="24"/>
          <w:szCs w:val="24"/>
        </w:rPr>
        <w:t>：本标准由海南省农业农村厅提出并申请，经海南省市场监督管理局批准，列入海南省 202</w:t>
      </w:r>
      <w:r>
        <w:rPr>
          <w:rFonts w:hint="eastAsia" w:ascii="Times New Roman" w:hAnsi="Times New Roman" w:eastAsia="仿宋" w:cs="Times New Roman"/>
          <w:sz w:val="24"/>
          <w:szCs w:val="24"/>
        </w:rPr>
        <w:t>2</w:t>
      </w:r>
      <w:r>
        <w:rPr>
          <w:rFonts w:ascii="Times New Roman" w:hAnsi="Times New Roman" w:eastAsia="仿宋" w:cs="Times New Roman"/>
          <w:sz w:val="24"/>
          <w:szCs w:val="24"/>
        </w:rPr>
        <w:t xml:space="preserve"> 年度第二批地方标准制修订项目计划表，项目编号为202</w:t>
      </w:r>
      <w:r>
        <w:rPr>
          <w:rFonts w:hint="eastAsia" w:ascii="Times New Roman" w:hAnsi="Times New Roman" w:eastAsia="仿宋" w:cs="Times New Roman"/>
          <w:sz w:val="24"/>
          <w:szCs w:val="24"/>
        </w:rPr>
        <w:t>2</w:t>
      </w:r>
      <w:r>
        <w:rPr>
          <w:rFonts w:ascii="Times New Roman" w:hAnsi="Times New Roman" w:eastAsia="仿宋" w:cs="Times New Roman"/>
          <w:sz w:val="24"/>
          <w:szCs w:val="24"/>
        </w:rPr>
        <w:t>-X0</w:t>
      </w:r>
      <w:r>
        <w:rPr>
          <w:rFonts w:hint="eastAsia" w:ascii="Times New Roman" w:hAnsi="Times New Roman" w:eastAsia="仿宋" w:cs="Times New Roman"/>
          <w:sz w:val="24"/>
          <w:szCs w:val="24"/>
        </w:rPr>
        <w:t>36</w:t>
      </w:r>
      <w:r>
        <w:rPr>
          <w:rFonts w:ascii="Times New Roman" w:hAnsi="Times New Roman" w:eastAsia="仿宋" w:cs="Times New Roman"/>
          <w:sz w:val="24"/>
          <w:szCs w:val="24"/>
        </w:rPr>
        <w:t>。</w:t>
      </w:r>
    </w:p>
    <w:p>
      <w:pPr>
        <w:spacing w:line="400" w:lineRule="exact"/>
        <w:rPr>
          <w:rFonts w:ascii="Times New Roman" w:hAnsi="Times New Roman" w:eastAsia="仿宋" w:cs="Times New Roman"/>
          <w:sz w:val="24"/>
          <w:szCs w:val="24"/>
        </w:rPr>
      </w:pPr>
      <w:r>
        <w:rPr>
          <w:rFonts w:ascii="Times New Roman" w:hAnsi="Times New Roman" w:eastAsia="仿宋" w:cs="Times New Roman"/>
          <w:b/>
          <w:bCs/>
          <w:sz w:val="24"/>
          <w:szCs w:val="24"/>
        </w:rPr>
        <w:t>（三）起草单位</w:t>
      </w:r>
      <w:r>
        <w:rPr>
          <w:rFonts w:ascii="Times New Roman" w:hAnsi="Times New Roman" w:eastAsia="仿宋" w:cs="Times New Roman"/>
          <w:sz w:val="24"/>
          <w:szCs w:val="24"/>
        </w:rPr>
        <w:t>：</w:t>
      </w:r>
      <w:r>
        <w:rPr>
          <w:rFonts w:hint="eastAsia" w:ascii="Times New Roman" w:hAnsi="Times New Roman" w:eastAsia="仿宋" w:cs="Times New Roman"/>
          <w:sz w:val="24"/>
          <w:szCs w:val="24"/>
        </w:rPr>
        <w:t>海南大学、屯昌县养猪协会</w:t>
      </w:r>
      <w:r>
        <w:rPr>
          <w:rFonts w:ascii="Times New Roman" w:hAnsi="Times New Roman" w:eastAsia="仿宋" w:cs="Times New Roman"/>
          <w:sz w:val="24"/>
          <w:szCs w:val="24"/>
        </w:rPr>
        <w:t>。</w:t>
      </w:r>
    </w:p>
    <w:p>
      <w:pPr>
        <w:spacing w:line="400" w:lineRule="exact"/>
        <w:rPr>
          <w:rFonts w:ascii="Times New Roman" w:hAnsi="Times New Roman" w:eastAsia="仿宋" w:cs="Times New Roman"/>
          <w:sz w:val="24"/>
          <w:szCs w:val="24"/>
        </w:rPr>
      </w:pPr>
      <w:r>
        <w:rPr>
          <w:rFonts w:ascii="Times New Roman" w:hAnsi="Times New Roman" w:eastAsia="仿宋" w:cs="Times New Roman"/>
          <w:b/>
          <w:bCs/>
          <w:sz w:val="24"/>
          <w:szCs w:val="24"/>
        </w:rPr>
        <w:t>（四）单位地址</w:t>
      </w:r>
      <w:r>
        <w:rPr>
          <w:rFonts w:ascii="Times New Roman" w:hAnsi="Times New Roman" w:eastAsia="仿宋" w:cs="Times New Roman"/>
          <w:sz w:val="24"/>
          <w:szCs w:val="24"/>
        </w:rPr>
        <w:t>：海南省海口市</w:t>
      </w:r>
      <w:r>
        <w:rPr>
          <w:rFonts w:hint="eastAsia" w:ascii="Times New Roman" w:hAnsi="Times New Roman" w:eastAsia="仿宋" w:cs="Times New Roman"/>
          <w:sz w:val="24"/>
          <w:szCs w:val="24"/>
        </w:rPr>
        <w:t>美兰区人民大道58号；屯昌县屯城镇东风小区11栋1楼21号</w:t>
      </w:r>
      <w:r>
        <w:rPr>
          <w:rFonts w:ascii="Times New Roman" w:hAnsi="Times New Roman" w:eastAsia="仿宋" w:cs="Times New Roman"/>
          <w:sz w:val="24"/>
          <w:szCs w:val="24"/>
        </w:rPr>
        <w:t>。</w:t>
      </w:r>
    </w:p>
    <w:p>
      <w:pPr>
        <w:spacing w:line="400" w:lineRule="exact"/>
        <w:rPr>
          <w:rFonts w:ascii="Times New Roman" w:hAnsi="Times New Roman" w:eastAsia="仿宋" w:cs="Times New Roman"/>
          <w:sz w:val="24"/>
          <w:szCs w:val="24"/>
        </w:rPr>
      </w:pPr>
      <w:r>
        <w:rPr>
          <w:rFonts w:ascii="Times New Roman" w:hAnsi="Times New Roman" w:eastAsia="仿宋" w:cs="Times New Roman"/>
          <w:b/>
          <w:bCs/>
          <w:sz w:val="24"/>
          <w:szCs w:val="24"/>
        </w:rPr>
        <w:t>（五）参与起草单位</w:t>
      </w:r>
      <w:r>
        <w:rPr>
          <w:rFonts w:ascii="Times New Roman" w:hAnsi="Times New Roman" w:eastAsia="仿宋" w:cs="Times New Roman"/>
          <w:sz w:val="24"/>
          <w:szCs w:val="24"/>
        </w:rPr>
        <w:t>：</w:t>
      </w:r>
      <w:r>
        <w:rPr>
          <w:rFonts w:hint="eastAsia" w:ascii="Times New Roman" w:hAnsi="Times New Roman" w:eastAsia="仿宋" w:cs="Times New Roman"/>
          <w:sz w:val="24"/>
          <w:szCs w:val="24"/>
        </w:rPr>
        <w:t>海南大学、屯昌县养猪协会</w:t>
      </w:r>
      <w:r>
        <w:rPr>
          <w:rFonts w:ascii="Times New Roman" w:hAnsi="Times New Roman" w:eastAsia="仿宋" w:cs="Times New Roman"/>
          <w:sz w:val="24"/>
          <w:szCs w:val="24"/>
        </w:rPr>
        <w:t>。</w:t>
      </w:r>
    </w:p>
    <w:p>
      <w:pPr>
        <w:spacing w:line="400" w:lineRule="exact"/>
        <w:rPr>
          <w:rFonts w:ascii="Times New Roman" w:hAnsi="Times New Roman" w:eastAsia="仿宋" w:cs="Times New Roman"/>
          <w:sz w:val="24"/>
          <w:szCs w:val="24"/>
        </w:rPr>
      </w:pPr>
      <w:r>
        <w:rPr>
          <w:rFonts w:ascii="Times New Roman" w:hAnsi="Times New Roman" w:eastAsia="仿宋" w:cs="Times New Roman"/>
          <w:b/>
          <w:bCs/>
          <w:sz w:val="24"/>
          <w:szCs w:val="24"/>
        </w:rPr>
        <w:t>（六）标准起草人</w:t>
      </w:r>
      <w:r>
        <w:rPr>
          <w:rFonts w:ascii="Times New Roman" w:hAnsi="Times New Roman" w:eastAsia="仿宋" w:cs="Times New Roman"/>
          <w:sz w:val="24"/>
          <w:szCs w:val="24"/>
        </w:rPr>
        <w:t>：</w:t>
      </w:r>
      <w:r>
        <w:rPr>
          <w:rFonts w:hint="eastAsia" w:ascii="Times New Roman" w:hAnsi="Times New Roman" w:eastAsia="仿宋" w:cs="Times New Roman"/>
          <w:sz w:val="24"/>
          <w:szCs w:val="24"/>
        </w:rPr>
        <w:t>谭振、肖倩、那威、金桩、邓磊、吴科榜</w:t>
      </w:r>
      <w:r>
        <w:rPr>
          <w:rFonts w:ascii="Times New Roman" w:hAnsi="Times New Roman" w:eastAsia="仿宋" w:cs="Times New Roman"/>
          <w:sz w:val="24"/>
          <w:szCs w:val="24"/>
        </w:rPr>
        <w:t>。</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表1 标准起草人</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986"/>
        <w:gridCol w:w="2410"/>
        <w:gridCol w:w="708"/>
        <w:gridCol w:w="851"/>
        <w:gridCol w:w="1701"/>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Times New Roman" w:hAnsi="Times New Roman" w:eastAsia="仿宋" w:cs="Times New Roman"/>
                <w:szCs w:val="21"/>
              </w:rPr>
            </w:pPr>
            <w:r>
              <w:rPr>
                <w:rFonts w:ascii="Times New Roman" w:hAnsi="Times New Roman" w:eastAsia="仿宋" w:cs="Times New Roman"/>
                <w:szCs w:val="21"/>
              </w:rPr>
              <w:t>序号</w:t>
            </w:r>
          </w:p>
        </w:tc>
        <w:tc>
          <w:tcPr>
            <w:tcW w:w="986" w:type="dxa"/>
            <w:vAlign w:val="center"/>
          </w:tcPr>
          <w:p>
            <w:pPr>
              <w:rPr>
                <w:rFonts w:ascii="Times New Roman" w:hAnsi="Times New Roman" w:eastAsia="仿宋" w:cs="Times New Roman"/>
                <w:szCs w:val="21"/>
              </w:rPr>
            </w:pPr>
            <w:r>
              <w:rPr>
                <w:rFonts w:ascii="Times New Roman" w:hAnsi="Times New Roman" w:eastAsia="仿宋" w:cs="Times New Roman"/>
                <w:szCs w:val="21"/>
              </w:rPr>
              <w:t>姓名</w:t>
            </w:r>
          </w:p>
        </w:tc>
        <w:tc>
          <w:tcPr>
            <w:tcW w:w="2410" w:type="dxa"/>
            <w:vAlign w:val="center"/>
          </w:tcPr>
          <w:p>
            <w:pPr>
              <w:rPr>
                <w:rFonts w:ascii="Times New Roman" w:hAnsi="Times New Roman" w:eastAsia="仿宋" w:cs="Times New Roman"/>
                <w:szCs w:val="21"/>
              </w:rPr>
            </w:pPr>
            <w:r>
              <w:rPr>
                <w:rFonts w:ascii="Times New Roman" w:hAnsi="Times New Roman" w:eastAsia="仿宋" w:cs="Times New Roman"/>
                <w:szCs w:val="21"/>
              </w:rPr>
              <w:t>单位</w:t>
            </w:r>
          </w:p>
        </w:tc>
        <w:tc>
          <w:tcPr>
            <w:tcW w:w="708" w:type="dxa"/>
            <w:vAlign w:val="center"/>
          </w:tcPr>
          <w:p>
            <w:pPr>
              <w:rPr>
                <w:rFonts w:ascii="Times New Roman" w:hAnsi="Times New Roman" w:eastAsia="仿宋" w:cs="Times New Roman"/>
                <w:szCs w:val="21"/>
              </w:rPr>
            </w:pPr>
            <w:r>
              <w:rPr>
                <w:rFonts w:ascii="Times New Roman" w:hAnsi="Times New Roman" w:eastAsia="仿宋" w:cs="Times New Roman"/>
                <w:szCs w:val="21"/>
              </w:rPr>
              <w:t>职务</w:t>
            </w:r>
          </w:p>
        </w:tc>
        <w:tc>
          <w:tcPr>
            <w:tcW w:w="851" w:type="dxa"/>
            <w:vAlign w:val="center"/>
          </w:tcPr>
          <w:p>
            <w:pPr>
              <w:rPr>
                <w:rFonts w:ascii="Times New Roman" w:hAnsi="Times New Roman" w:eastAsia="仿宋" w:cs="Times New Roman"/>
                <w:szCs w:val="21"/>
              </w:rPr>
            </w:pPr>
            <w:r>
              <w:rPr>
                <w:rFonts w:ascii="Times New Roman" w:hAnsi="Times New Roman" w:eastAsia="仿宋" w:cs="Times New Roman"/>
                <w:szCs w:val="21"/>
              </w:rPr>
              <w:t>职称</w:t>
            </w:r>
          </w:p>
        </w:tc>
        <w:tc>
          <w:tcPr>
            <w:tcW w:w="1701" w:type="dxa"/>
            <w:vAlign w:val="center"/>
          </w:tcPr>
          <w:p>
            <w:pPr>
              <w:rPr>
                <w:rFonts w:ascii="Times New Roman" w:hAnsi="Times New Roman" w:eastAsia="仿宋" w:cs="Times New Roman"/>
                <w:szCs w:val="21"/>
              </w:rPr>
            </w:pPr>
            <w:r>
              <w:rPr>
                <w:rFonts w:ascii="Times New Roman" w:hAnsi="Times New Roman" w:eastAsia="仿宋" w:cs="Times New Roman"/>
                <w:szCs w:val="21"/>
              </w:rPr>
              <w:t>任务分工</w:t>
            </w:r>
          </w:p>
        </w:tc>
        <w:tc>
          <w:tcPr>
            <w:tcW w:w="1213" w:type="dxa"/>
            <w:vAlign w:val="center"/>
          </w:tcPr>
          <w:p>
            <w:pPr>
              <w:rPr>
                <w:rFonts w:ascii="Times New Roman" w:hAnsi="Times New Roman" w:eastAsia="仿宋" w:cs="Times New Roman"/>
                <w:szCs w:val="21"/>
              </w:rPr>
            </w:pPr>
            <w:r>
              <w:rPr>
                <w:rFonts w:ascii="Times New Roman" w:hAnsi="Times New Roman" w:eastAsia="仿宋" w:cs="Times New Roman"/>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Times New Roman" w:hAnsi="Times New Roman" w:eastAsia="仿宋" w:cs="Times New Roman"/>
                <w:szCs w:val="21"/>
              </w:rPr>
            </w:pPr>
            <w:r>
              <w:rPr>
                <w:rFonts w:ascii="Times New Roman" w:hAnsi="Times New Roman" w:eastAsia="仿宋" w:cs="Times New Roman"/>
                <w:szCs w:val="21"/>
              </w:rPr>
              <w:t>1</w:t>
            </w:r>
          </w:p>
        </w:tc>
        <w:tc>
          <w:tcPr>
            <w:tcW w:w="986"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谭振</w:t>
            </w:r>
          </w:p>
        </w:tc>
        <w:tc>
          <w:tcPr>
            <w:tcW w:w="2410"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海南大学动物科技学院</w:t>
            </w:r>
          </w:p>
        </w:tc>
        <w:tc>
          <w:tcPr>
            <w:tcW w:w="708" w:type="dxa"/>
            <w:vAlign w:val="center"/>
          </w:tcPr>
          <w:p>
            <w:pPr>
              <w:rPr>
                <w:rFonts w:ascii="Times New Roman" w:hAnsi="Times New Roman" w:eastAsia="仿宋" w:cs="Times New Roman"/>
                <w:szCs w:val="21"/>
              </w:rPr>
            </w:pPr>
            <w:r>
              <w:rPr>
                <w:rFonts w:ascii="Times New Roman" w:hAnsi="Times New Roman" w:eastAsia="仿宋" w:cs="Times New Roman"/>
                <w:szCs w:val="21"/>
              </w:rPr>
              <w:t>无</w:t>
            </w:r>
          </w:p>
        </w:tc>
        <w:tc>
          <w:tcPr>
            <w:tcW w:w="851"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讲师</w:t>
            </w:r>
          </w:p>
        </w:tc>
        <w:tc>
          <w:tcPr>
            <w:tcW w:w="1701" w:type="dxa"/>
            <w:vAlign w:val="center"/>
          </w:tcPr>
          <w:p>
            <w:pPr>
              <w:rPr>
                <w:rFonts w:ascii="Times New Roman" w:hAnsi="Times New Roman" w:eastAsia="仿宋" w:cs="Times New Roman"/>
                <w:szCs w:val="21"/>
              </w:rPr>
            </w:pPr>
            <w:r>
              <w:rPr>
                <w:rFonts w:ascii="Times New Roman" w:hAnsi="Times New Roman" w:eastAsia="仿宋" w:cs="Times New Roman"/>
                <w:szCs w:val="21"/>
              </w:rPr>
              <w:t>负责起草方案、起草框架制订，组织协调编写征求意见稿，负责编写编制说明</w:t>
            </w:r>
          </w:p>
        </w:tc>
        <w:tc>
          <w:tcPr>
            <w:tcW w:w="1213"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18078980657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Times New Roman" w:hAnsi="Times New Roman" w:eastAsia="仿宋" w:cs="Times New Roman"/>
                <w:szCs w:val="21"/>
              </w:rPr>
            </w:pPr>
            <w:r>
              <w:rPr>
                <w:rFonts w:ascii="Times New Roman" w:hAnsi="Times New Roman" w:eastAsia="仿宋" w:cs="Times New Roman"/>
                <w:szCs w:val="21"/>
              </w:rPr>
              <w:t>2</w:t>
            </w:r>
          </w:p>
        </w:tc>
        <w:tc>
          <w:tcPr>
            <w:tcW w:w="986"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肖倩</w:t>
            </w:r>
          </w:p>
        </w:tc>
        <w:tc>
          <w:tcPr>
            <w:tcW w:w="2410"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海南大学动物科技学院</w:t>
            </w:r>
          </w:p>
        </w:tc>
        <w:tc>
          <w:tcPr>
            <w:tcW w:w="708" w:type="dxa"/>
            <w:vAlign w:val="center"/>
          </w:tcPr>
          <w:p>
            <w:pPr>
              <w:rPr>
                <w:rFonts w:ascii="Times New Roman" w:hAnsi="Times New Roman" w:eastAsia="仿宋" w:cs="Times New Roman"/>
                <w:szCs w:val="21"/>
              </w:rPr>
            </w:pPr>
            <w:r>
              <w:rPr>
                <w:rFonts w:ascii="Times New Roman" w:hAnsi="Times New Roman" w:eastAsia="仿宋" w:cs="Times New Roman"/>
                <w:szCs w:val="21"/>
              </w:rPr>
              <w:t>无</w:t>
            </w:r>
          </w:p>
        </w:tc>
        <w:tc>
          <w:tcPr>
            <w:tcW w:w="851"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讲师</w:t>
            </w:r>
          </w:p>
        </w:tc>
        <w:tc>
          <w:tcPr>
            <w:tcW w:w="1701" w:type="dxa"/>
            <w:vAlign w:val="center"/>
          </w:tcPr>
          <w:p>
            <w:pPr>
              <w:rPr>
                <w:rFonts w:ascii="Times New Roman" w:hAnsi="Times New Roman" w:eastAsia="仿宋" w:cs="Times New Roman"/>
                <w:szCs w:val="21"/>
              </w:rPr>
            </w:pPr>
            <w:r>
              <w:rPr>
                <w:rFonts w:ascii="Times New Roman" w:hAnsi="Times New Roman" w:eastAsia="仿宋" w:cs="Times New Roman"/>
                <w:szCs w:val="21"/>
              </w:rPr>
              <w:t>参与起草方案、起草框架制订，</w:t>
            </w:r>
            <w:r>
              <w:rPr>
                <w:rFonts w:hint="eastAsia" w:ascii="Times New Roman" w:hAnsi="Times New Roman" w:eastAsia="仿宋" w:cs="Times New Roman"/>
                <w:szCs w:val="21"/>
              </w:rPr>
              <w:t>参与数据收集、测定</w:t>
            </w:r>
          </w:p>
        </w:tc>
        <w:tc>
          <w:tcPr>
            <w:tcW w:w="1213"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18280160865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Times New Roman" w:hAnsi="Times New Roman" w:eastAsia="仿宋" w:cs="Times New Roman"/>
                <w:szCs w:val="21"/>
              </w:rPr>
            </w:pPr>
            <w:r>
              <w:rPr>
                <w:rFonts w:ascii="Times New Roman" w:hAnsi="Times New Roman" w:eastAsia="仿宋" w:cs="Times New Roman"/>
                <w:szCs w:val="21"/>
              </w:rPr>
              <w:t>3</w:t>
            </w:r>
          </w:p>
        </w:tc>
        <w:tc>
          <w:tcPr>
            <w:tcW w:w="986" w:type="dxa"/>
            <w:vAlign w:val="center"/>
          </w:tcPr>
          <w:p>
            <w:pPr>
              <w:rPr>
                <w:rFonts w:ascii="Times New Roman" w:hAnsi="Times New Roman" w:eastAsia="仿宋" w:cs="Times New Roman"/>
                <w:szCs w:val="21"/>
              </w:rPr>
            </w:pPr>
            <w:r>
              <w:rPr>
                <w:rFonts w:hint="eastAsia" w:ascii="Times New Roman" w:hAnsi="Times New Roman" w:eastAsia="仿宋" w:cs="Times New Roman"/>
                <w:sz w:val="24"/>
                <w:szCs w:val="24"/>
              </w:rPr>
              <w:t>那威</w:t>
            </w:r>
          </w:p>
        </w:tc>
        <w:tc>
          <w:tcPr>
            <w:tcW w:w="2410"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海南大学动物科技学院</w:t>
            </w:r>
          </w:p>
        </w:tc>
        <w:tc>
          <w:tcPr>
            <w:tcW w:w="708" w:type="dxa"/>
            <w:vAlign w:val="center"/>
          </w:tcPr>
          <w:p>
            <w:pPr>
              <w:rPr>
                <w:rFonts w:ascii="Times New Roman" w:hAnsi="Times New Roman" w:eastAsia="仿宋" w:cs="Times New Roman"/>
                <w:szCs w:val="21"/>
              </w:rPr>
            </w:pPr>
            <w:r>
              <w:rPr>
                <w:rFonts w:ascii="Times New Roman" w:hAnsi="Times New Roman" w:eastAsia="仿宋" w:cs="Times New Roman"/>
                <w:szCs w:val="21"/>
              </w:rPr>
              <w:t>无</w:t>
            </w:r>
          </w:p>
        </w:tc>
        <w:tc>
          <w:tcPr>
            <w:tcW w:w="851"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讲师</w:t>
            </w:r>
          </w:p>
        </w:tc>
        <w:tc>
          <w:tcPr>
            <w:tcW w:w="1701"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参与</w:t>
            </w:r>
            <w:r>
              <w:rPr>
                <w:rFonts w:ascii="Times New Roman" w:hAnsi="Times New Roman" w:eastAsia="仿宋" w:cs="Times New Roman"/>
                <w:szCs w:val="21"/>
              </w:rPr>
              <w:t>起草方案、起草框架制订</w:t>
            </w:r>
            <w:r>
              <w:rPr>
                <w:rFonts w:hint="eastAsia" w:ascii="Times New Roman" w:hAnsi="Times New Roman" w:eastAsia="仿宋" w:cs="Times New Roman"/>
                <w:szCs w:val="21"/>
              </w:rPr>
              <w:t>，</w:t>
            </w:r>
            <w:r>
              <w:rPr>
                <w:rFonts w:ascii="Times New Roman" w:hAnsi="Times New Roman" w:eastAsia="仿宋" w:cs="Times New Roman"/>
                <w:szCs w:val="21"/>
              </w:rPr>
              <w:t>参与编写编制说明。</w:t>
            </w:r>
            <w:r>
              <w:rPr>
                <w:rFonts w:hint="eastAsia" w:ascii="Times New Roman" w:hAnsi="Times New Roman" w:eastAsia="仿宋" w:cs="Times New Roman"/>
                <w:szCs w:val="21"/>
              </w:rPr>
              <w:t>参与数据收集、测定</w:t>
            </w:r>
          </w:p>
        </w:tc>
        <w:tc>
          <w:tcPr>
            <w:tcW w:w="1213"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18845798015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7" w:type="dxa"/>
            <w:vAlign w:val="center"/>
          </w:tcPr>
          <w:p>
            <w:pPr>
              <w:rPr>
                <w:rFonts w:ascii="Times New Roman" w:hAnsi="Times New Roman" w:eastAsia="仿宋" w:cs="Times New Roman"/>
                <w:szCs w:val="21"/>
              </w:rPr>
            </w:pPr>
            <w:r>
              <w:rPr>
                <w:rFonts w:ascii="Times New Roman" w:hAnsi="Times New Roman" w:eastAsia="仿宋" w:cs="Times New Roman"/>
                <w:szCs w:val="21"/>
              </w:rPr>
              <w:t>4</w:t>
            </w:r>
          </w:p>
        </w:tc>
        <w:tc>
          <w:tcPr>
            <w:tcW w:w="986" w:type="dxa"/>
            <w:vAlign w:val="center"/>
          </w:tcPr>
          <w:p>
            <w:pPr>
              <w:rPr>
                <w:rFonts w:ascii="Times New Roman" w:hAnsi="Times New Roman" w:eastAsia="仿宋" w:cs="Times New Roman"/>
                <w:szCs w:val="21"/>
              </w:rPr>
            </w:pPr>
            <w:r>
              <w:rPr>
                <w:rFonts w:hint="eastAsia" w:ascii="Times New Roman" w:hAnsi="Times New Roman" w:eastAsia="仿宋" w:cs="Times New Roman"/>
                <w:sz w:val="24"/>
                <w:szCs w:val="24"/>
              </w:rPr>
              <w:t>金桩</w:t>
            </w:r>
          </w:p>
        </w:tc>
        <w:tc>
          <w:tcPr>
            <w:tcW w:w="2410" w:type="dxa"/>
            <w:vAlign w:val="center"/>
          </w:tcPr>
          <w:p>
            <w:pPr>
              <w:rPr>
                <w:rFonts w:ascii="Times New Roman" w:hAnsi="Times New Roman" w:eastAsia="仿宋" w:cs="Times New Roman"/>
                <w:szCs w:val="21"/>
              </w:rPr>
            </w:pPr>
            <w:r>
              <w:rPr>
                <w:rFonts w:ascii="Times New Roman" w:hAnsi="Times New Roman" w:eastAsia="仿宋" w:cs="Times New Roman"/>
                <w:szCs w:val="21"/>
              </w:rPr>
              <w:t>海南</w:t>
            </w:r>
            <w:r>
              <w:rPr>
                <w:rFonts w:hint="eastAsia" w:ascii="Times New Roman" w:hAnsi="Times New Roman" w:eastAsia="仿宋" w:cs="Times New Roman"/>
                <w:szCs w:val="21"/>
              </w:rPr>
              <w:t>罗牛山畜牧股份有限公司</w:t>
            </w:r>
          </w:p>
        </w:tc>
        <w:tc>
          <w:tcPr>
            <w:tcW w:w="708" w:type="dxa"/>
            <w:vAlign w:val="center"/>
          </w:tcPr>
          <w:p>
            <w:pPr>
              <w:rPr>
                <w:rFonts w:ascii="Times New Roman" w:hAnsi="Times New Roman" w:eastAsia="仿宋" w:cs="Times New Roman"/>
                <w:szCs w:val="21"/>
              </w:rPr>
            </w:pPr>
            <w:r>
              <w:rPr>
                <w:rFonts w:ascii="Times New Roman" w:hAnsi="Times New Roman" w:eastAsia="仿宋" w:cs="Times New Roman"/>
                <w:szCs w:val="21"/>
              </w:rPr>
              <w:t>无</w:t>
            </w:r>
          </w:p>
        </w:tc>
        <w:tc>
          <w:tcPr>
            <w:tcW w:w="851" w:type="dxa"/>
            <w:vAlign w:val="center"/>
          </w:tcPr>
          <w:p>
            <w:pPr>
              <w:rPr>
                <w:rFonts w:ascii="Times New Roman" w:hAnsi="Times New Roman" w:eastAsia="仿宋" w:cs="Times New Roman"/>
                <w:szCs w:val="21"/>
              </w:rPr>
            </w:pPr>
            <w:r>
              <w:rPr>
                <w:rFonts w:ascii="Times New Roman" w:hAnsi="Times New Roman" w:eastAsia="仿宋" w:cs="Times New Roman"/>
                <w:szCs w:val="21"/>
              </w:rPr>
              <w:t>研究员</w:t>
            </w:r>
          </w:p>
        </w:tc>
        <w:tc>
          <w:tcPr>
            <w:tcW w:w="1701" w:type="dxa"/>
            <w:vAlign w:val="center"/>
          </w:tcPr>
          <w:p>
            <w:pPr>
              <w:rPr>
                <w:rFonts w:ascii="Times New Roman" w:hAnsi="Times New Roman" w:eastAsia="仿宋" w:cs="Times New Roman"/>
                <w:szCs w:val="21"/>
              </w:rPr>
            </w:pPr>
            <w:r>
              <w:rPr>
                <w:rFonts w:ascii="Times New Roman" w:hAnsi="Times New Roman" w:eastAsia="仿宋" w:cs="Times New Roman"/>
                <w:szCs w:val="21"/>
              </w:rPr>
              <w:t>参加标准起草方案的制订</w:t>
            </w:r>
          </w:p>
        </w:tc>
        <w:tc>
          <w:tcPr>
            <w:tcW w:w="1213"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13976679845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Times New Roman" w:hAnsi="Times New Roman" w:eastAsia="仿宋" w:cs="Times New Roman"/>
                <w:szCs w:val="21"/>
              </w:rPr>
            </w:pPr>
            <w:r>
              <w:rPr>
                <w:rFonts w:ascii="Times New Roman" w:hAnsi="Times New Roman" w:eastAsia="仿宋" w:cs="Times New Roman"/>
                <w:szCs w:val="21"/>
              </w:rPr>
              <w:t>5</w:t>
            </w:r>
          </w:p>
        </w:tc>
        <w:tc>
          <w:tcPr>
            <w:tcW w:w="986"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邓磊</w:t>
            </w:r>
          </w:p>
        </w:tc>
        <w:tc>
          <w:tcPr>
            <w:tcW w:w="2410"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屯昌天之虹生态农牧有限公司</w:t>
            </w:r>
          </w:p>
        </w:tc>
        <w:tc>
          <w:tcPr>
            <w:tcW w:w="708"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总经理</w:t>
            </w:r>
          </w:p>
        </w:tc>
        <w:tc>
          <w:tcPr>
            <w:tcW w:w="851" w:type="dxa"/>
            <w:vAlign w:val="center"/>
          </w:tcPr>
          <w:p>
            <w:pPr>
              <w:rPr>
                <w:rFonts w:ascii="Times New Roman" w:hAnsi="Times New Roman" w:eastAsia="仿宋" w:cs="Times New Roman"/>
                <w:szCs w:val="21"/>
              </w:rPr>
            </w:pPr>
          </w:p>
        </w:tc>
        <w:tc>
          <w:tcPr>
            <w:tcW w:w="1701" w:type="dxa"/>
            <w:vAlign w:val="center"/>
          </w:tcPr>
          <w:p>
            <w:pPr>
              <w:rPr>
                <w:rFonts w:ascii="Times New Roman" w:hAnsi="Times New Roman" w:eastAsia="仿宋" w:cs="Times New Roman"/>
                <w:szCs w:val="21"/>
              </w:rPr>
            </w:pPr>
            <w:r>
              <w:rPr>
                <w:rFonts w:ascii="Times New Roman" w:hAnsi="Times New Roman" w:eastAsia="仿宋" w:cs="Times New Roman"/>
                <w:szCs w:val="21"/>
              </w:rPr>
              <w:t>参加标准起草方案的制订，提供</w:t>
            </w:r>
            <w:r>
              <w:rPr>
                <w:rFonts w:hint="eastAsia" w:ascii="Times New Roman" w:hAnsi="Times New Roman" w:eastAsia="仿宋" w:cs="Times New Roman"/>
                <w:szCs w:val="21"/>
              </w:rPr>
              <w:t>屯昌天之虹生态农牧有限公司</w:t>
            </w:r>
            <w:r>
              <w:rPr>
                <w:rFonts w:ascii="Times New Roman" w:hAnsi="Times New Roman" w:eastAsia="仿宋" w:cs="Times New Roman"/>
                <w:szCs w:val="21"/>
              </w:rPr>
              <w:t>的相关情况</w:t>
            </w:r>
          </w:p>
        </w:tc>
        <w:tc>
          <w:tcPr>
            <w:tcW w:w="1213"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13807639828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rPr>
                <w:rFonts w:ascii="Times New Roman" w:hAnsi="Times New Roman" w:eastAsia="仿宋" w:cs="Times New Roman"/>
                <w:szCs w:val="21"/>
              </w:rPr>
            </w:pPr>
            <w:r>
              <w:rPr>
                <w:rFonts w:ascii="Times New Roman" w:hAnsi="Times New Roman" w:eastAsia="仿宋" w:cs="Times New Roman"/>
                <w:szCs w:val="21"/>
              </w:rPr>
              <w:t>6</w:t>
            </w:r>
          </w:p>
        </w:tc>
        <w:tc>
          <w:tcPr>
            <w:tcW w:w="986"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吴科榜</w:t>
            </w:r>
          </w:p>
        </w:tc>
        <w:tc>
          <w:tcPr>
            <w:tcW w:w="2410"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海南大学动物科技学院</w:t>
            </w:r>
          </w:p>
        </w:tc>
        <w:tc>
          <w:tcPr>
            <w:tcW w:w="708"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无</w:t>
            </w:r>
          </w:p>
        </w:tc>
        <w:tc>
          <w:tcPr>
            <w:tcW w:w="851"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教授</w:t>
            </w:r>
          </w:p>
        </w:tc>
        <w:tc>
          <w:tcPr>
            <w:tcW w:w="1701"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参与</w:t>
            </w:r>
            <w:r>
              <w:rPr>
                <w:rFonts w:ascii="Times New Roman" w:hAnsi="Times New Roman" w:eastAsia="仿宋" w:cs="Times New Roman"/>
                <w:szCs w:val="21"/>
              </w:rPr>
              <w:t>起草方案、起草框架制订</w:t>
            </w:r>
            <w:r>
              <w:rPr>
                <w:rFonts w:hint="eastAsia" w:ascii="Times New Roman" w:hAnsi="Times New Roman" w:eastAsia="仿宋" w:cs="Times New Roman"/>
                <w:szCs w:val="21"/>
              </w:rPr>
              <w:t>，</w:t>
            </w:r>
            <w:r>
              <w:rPr>
                <w:rFonts w:ascii="Times New Roman" w:hAnsi="Times New Roman" w:eastAsia="仿宋" w:cs="Times New Roman"/>
                <w:szCs w:val="21"/>
              </w:rPr>
              <w:t>参与编写编制说明。负责相关调研交流等相关协调工作</w:t>
            </w:r>
          </w:p>
        </w:tc>
        <w:tc>
          <w:tcPr>
            <w:tcW w:w="1213" w:type="dxa"/>
            <w:vAlign w:val="center"/>
          </w:tcPr>
          <w:p>
            <w:pPr>
              <w:rPr>
                <w:rFonts w:ascii="Times New Roman" w:hAnsi="Times New Roman" w:eastAsia="仿宋" w:cs="Times New Roman"/>
                <w:szCs w:val="21"/>
              </w:rPr>
            </w:pPr>
            <w:r>
              <w:rPr>
                <w:rFonts w:hint="eastAsia" w:ascii="Times New Roman" w:hAnsi="Times New Roman" w:eastAsia="仿宋" w:cs="Times New Roman"/>
                <w:szCs w:val="21"/>
              </w:rPr>
              <w:t>13907692135</w:t>
            </w:r>
          </w:p>
        </w:tc>
      </w:tr>
    </w:tbl>
    <w:p>
      <w:pPr>
        <w:spacing w:line="440" w:lineRule="exact"/>
        <w:rPr>
          <w:rFonts w:ascii="Times New Roman" w:hAnsi="Times New Roman" w:eastAsia="仿宋" w:cs="Times New Roman"/>
          <w:b/>
          <w:bCs/>
          <w:sz w:val="24"/>
          <w:szCs w:val="24"/>
        </w:rPr>
      </w:pPr>
      <w:r>
        <w:rPr>
          <w:rFonts w:ascii="Times New Roman" w:hAnsi="Times New Roman" w:eastAsia="仿宋" w:cs="Times New Roman"/>
          <w:b/>
          <w:bCs/>
          <w:sz w:val="24"/>
          <w:szCs w:val="24"/>
        </w:rPr>
        <w:t>二、编制情况</w:t>
      </w:r>
    </w:p>
    <w:p>
      <w:pPr>
        <w:spacing w:line="440" w:lineRule="exact"/>
        <w:rPr>
          <w:rFonts w:ascii="Times New Roman" w:hAnsi="Times New Roman" w:eastAsia="仿宋" w:cs="Times New Roman"/>
          <w:b/>
          <w:bCs/>
          <w:sz w:val="24"/>
          <w:szCs w:val="24"/>
        </w:rPr>
      </w:pPr>
      <w:r>
        <w:rPr>
          <w:rFonts w:ascii="Times New Roman" w:hAnsi="Times New Roman" w:eastAsia="仿宋" w:cs="Times New Roman"/>
          <w:b/>
          <w:bCs/>
          <w:sz w:val="24"/>
          <w:szCs w:val="24"/>
        </w:rPr>
        <w:t>（一）</w:t>
      </w:r>
      <w:r>
        <w:rPr>
          <w:rFonts w:hint="eastAsia" w:ascii="Times New Roman" w:hAnsi="Times New Roman" w:eastAsia="仿宋" w:cs="Times New Roman"/>
          <w:b/>
          <w:bCs/>
          <w:sz w:val="24"/>
          <w:szCs w:val="24"/>
        </w:rPr>
        <w:t>修订</w:t>
      </w:r>
      <w:r>
        <w:rPr>
          <w:rFonts w:ascii="Times New Roman" w:hAnsi="Times New Roman" w:eastAsia="仿宋" w:cs="Times New Roman"/>
          <w:b/>
          <w:bCs/>
          <w:sz w:val="24"/>
          <w:szCs w:val="24"/>
        </w:rPr>
        <w:t>标准的必要性和意义及背景</w:t>
      </w:r>
    </w:p>
    <w:p>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修订标准是指对一项已在生产中实施多年的标准进行修订，对标准的内容和表达形式作全面必要的修改，以保持标准的先进性和实用性。修订部分主要是生产实践中反映出来的不适应生产现状和科学技术发展那一部分，或者修改其内容，或者予以补充，或者予以删除。修订的结果是发布新版标准。标准的制定与修订</w:t>
      </w:r>
      <w:r>
        <w:rPr>
          <w:rFonts w:ascii="Times New Roman" w:hAnsi="Times New Roman" w:eastAsia="仿宋" w:cs="Times New Roman"/>
          <w:sz w:val="24"/>
          <w:szCs w:val="24"/>
        </w:rPr>
        <w:t>是现代化大生产的必要条件、科学管理的基础、调整产品结构和产业结构的需要、促进科学技术转化成生产力的平台以及提高质量和保护安全的重要手段，具有重要意义。</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近年来，国家非常重视种业的发展，中央强调要克服一切困难，为了避免因国内动物遗传资源流失而被人卡脖子问题，先后出台了新的政策和法规。《</w:t>
      </w:r>
      <w:r>
        <w:rPr>
          <w:rFonts w:hint="eastAsia" w:ascii="Times New Roman" w:hAnsi="Times New Roman" w:eastAsia="仿宋" w:cs="Times New Roman"/>
          <w:sz w:val="24"/>
          <w:szCs w:val="24"/>
          <w:lang w:eastAsia="zh-CN"/>
        </w:rPr>
        <w:t>中华</w:t>
      </w:r>
      <w:r>
        <w:rPr>
          <w:rFonts w:ascii="Times New Roman" w:hAnsi="Times New Roman" w:eastAsia="仿宋" w:cs="Times New Roman"/>
          <w:sz w:val="24"/>
          <w:szCs w:val="24"/>
        </w:rPr>
        <w:t>人民共和国畜牧法》修订，NY/T 3450-2019 家畜遗传资源保种场保种技术规范等把地方畜禽品种保护和利用提上了新的高度，</w:t>
      </w:r>
      <w:bookmarkStart w:id="4" w:name="_GoBack"/>
      <w:bookmarkEnd w:id="4"/>
      <w:r>
        <w:rPr>
          <w:rFonts w:ascii="Times New Roman" w:hAnsi="Times New Roman" w:eastAsia="仿宋" w:cs="Times New Roman"/>
          <w:sz w:val="24"/>
          <w:szCs w:val="24"/>
        </w:rPr>
        <w:t>大力开展新的畜禽遗传资源普查，国内地方品种应保尽保。屯昌黑猪是海南优良的地方猪种屯昌猪与国外引进猪种杂交得出的商品黑猪，屯昌猪品种的生长性能直接影响屯昌黑猪生产性能的发挥。目前由于海南屯昌猪品种选育和杂交改良工作滞后，品种呈现退化严重，屯昌猪群体的生产性能和产品质降低的现状，各种优良特性也都在消失。屯昌猪保种是为了利用，杂交利用也促进了保种。</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在当今崇尚动物食品的</w:t>
      </w:r>
      <w:r>
        <w:rPr>
          <w:rFonts w:hint="eastAsia" w:ascii="Times New Roman" w:hAnsi="Times New Roman" w:eastAsia="仿宋" w:cs="Times New Roman"/>
          <w:sz w:val="24"/>
          <w:szCs w:val="24"/>
        </w:rPr>
        <w:t>“</w:t>
      </w:r>
      <w:r>
        <w:rPr>
          <w:rFonts w:ascii="Times New Roman" w:hAnsi="Times New Roman" w:eastAsia="仿宋" w:cs="Times New Roman"/>
          <w:sz w:val="24"/>
          <w:szCs w:val="24"/>
        </w:rPr>
        <w:t>自然、生态、安全、美味、口感好</w:t>
      </w:r>
      <w:r>
        <w:rPr>
          <w:rFonts w:hint="eastAsia" w:ascii="Times New Roman" w:hAnsi="Times New Roman" w:eastAsia="仿宋" w:cs="Times New Roman"/>
          <w:sz w:val="24"/>
          <w:szCs w:val="24"/>
        </w:rPr>
        <w:t>”</w:t>
      </w:r>
      <w:r>
        <w:rPr>
          <w:rFonts w:ascii="Times New Roman" w:hAnsi="Times New Roman" w:eastAsia="仿宋" w:cs="Times New Roman"/>
          <w:sz w:val="24"/>
          <w:szCs w:val="24"/>
        </w:rPr>
        <w:t>等消费心理下，虽然受到非洲猪瘟疫情的影响，屯昌黑猪养殖项目市场开发前景非常广阔。屯昌黑猪具有耐热、耐劳、耐粗饲、抗病力强、遗传性能稳定、饲养成本低、售价高、利润高等优点，</w:t>
      </w:r>
      <w:r>
        <w:rPr>
          <w:rFonts w:hint="eastAsia" w:ascii="Times New Roman" w:hAnsi="Times New Roman" w:eastAsia="仿宋" w:cs="Times New Roman"/>
          <w:sz w:val="24"/>
          <w:szCs w:val="24"/>
        </w:rPr>
        <w:t>受到</w:t>
      </w:r>
      <w:r>
        <w:rPr>
          <w:rFonts w:ascii="Times New Roman" w:hAnsi="Times New Roman" w:eastAsia="仿宋" w:cs="Times New Roman"/>
          <w:sz w:val="24"/>
          <w:szCs w:val="24"/>
        </w:rPr>
        <w:t>广大养殖户的青睐。生产过程的控制是食品质量控制的关键环节，为了确保屯昌黑猪肉质稳定、可靠，保障消费者安全，迫切需要正确使用生产资料，控制药物使用安全，规范生产和疾病防疫等操作技术。通过以屯昌黑猪饲养基地为示范点，研究和总结其饲养管理技术，对屯昌黑猪生产过程中猪场建设、人员要求、引种、养殖环境、疾病防治、饲料</w:t>
      </w:r>
      <w:r>
        <w:rPr>
          <w:rFonts w:hint="eastAsia" w:ascii="Times New Roman" w:hAnsi="Times New Roman" w:eastAsia="仿宋" w:cs="Times New Roman"/>
          <w:sz w:val="24"/>
          <w:szCs w:val="24"/>
        </w:rPr>
        <w:t>营养</w:t>
      </w:r>
      <w:r>
        <w:rPr>
          <w:rFonts w:ascii="Times New Roman" w:hAnsi="Times New Roman" w:eastAsia="仿宋" w:cs="Times New Roman"/>
          <w:sz w:val="24"/>
          <w:szCs w:val="24"/>
        </w:rPr>
        <w:t>、兽药使用、生产档案等饲养管理环节进行规范，以充分发挥其优良性能，加快屯昌黑猪产业化进程，促进当地畜牧业经济的发展。本项目属于畜牧业，畜牧业发达的国家养猪业已实行饲养和屠宰产品的标准化，国内也相继出台了相关标准，由于地方猪种不同，生产性能，生长特性不同，养殖技术有较大的差异。</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2013年海南省发布了</w:t>
      </w:r>
      <w:r>
        <w:rPr>
          <w:rFonts w:hint="eastAsia" w:ascii="Times New Roman" w:hAnsi="Times New Roman" w:eastAsia="仿宋" w:cs="Times New Roman"/>
          <w:sz w:val="24"/>
          <w:szCs w:val="24"/>
        </w:rPr>
        <w:t>D</w:t>
      </w:r>
      <w:r>
        <w:rPr>
          <w:rFonts w:ascii="Times New Roman" w:hAnsi="Times New Roman" w:eastAsia="仿宋" w:cs="Times New Roman"/>
          <w:sz w:val="24"/>
          <w:szCs w:val="24"/>
        </w:rPr>
        <w:t>B46/T 71-2013 《屯昌黑猪（商品猪）饲养技术规程》，因近年来受非洲猪瘟疫情影响，黑猪养殖规模、方式和疫情防控技术改变，促进了养殖技术的转型升级，黑猪杂交组合的多元化对肉质理化指标影响较大等诸多因素对原标准条款都有难于执行的地方。如：</w:t>
      </w:r>
      <w:r>
        <w:rPr>
          <w:rFonts w:hint="eastAsia" w:ascii="Times New Roman" w:hAnsi="Times New Roman" w:eastAsia="仿宋" w:cs="Times New Roman"/>
          <w:sz w:val="24"/>
          <w:szCs w:val="24"/>
        </w:rPr>
        <w:t>D</w:t>
      </w:r>
      <w:r>
        <w:rPr>
          <w:rFonts w:ascii="Times New Roman" w:hAnsi="Times New Roman" w:eastAsia="仿宋" w:cs="Times New Roman"/>
          <w:sz w:val="24"/>
          <w:szCs w:val="24"/>
        </w:rPr>
        <w:t>B46/T 71-2013《屯昌黑猪（商品猪）饲养技术规程》，3.3猪场设施设备；5</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饲料；6</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疫病防治等条款都不适应新的技术要求，需对该标准进行修订。该标准的修订，对我省黑猪产业的振兴和规范化发展，具有深远和重大的意义，大大有利于海南本地猪的保种，保护海南省遗传资源的多态性，发挥较大的社会效益，有利于地方畜牧业产值大幅度的提升，产生巨大的经济效益，帮助农民脱贫致富。</w:t>
      </w:r>
    </w:p>
    <w:p>
      <w:pPr>
        <w:spacing w:line="440" w:lineRule="exact"/>
        <w:rPr>
          <w:rFonts w:ascii="Times New Roman" w:hAnsi="Times New Roman" w:eastAsia="仿宋" w:cs="Times New Roman"/>
          <w:b/>
          <w:bCs/>
          <w:sz w:val="24"/>
          <w:szCs w:val="24"/>
        </w:rPr>
      </w:pPr>
      <w:r>
        <w:rPr>
          <w:rFonts w:ascii="Times New Roman" w:hAnsi="Times New Roman" w:eastAsia="仿宋" w:cs="Times New Roman"/>
          <w:b/>
          <w:bCs/>
          <w:sz w:val="24"/>
          <w:szCs w:val="24"/>
        </w:rPr>
        <w:t>（二）</w:t>
      </w:r>
      <w:r>
        <w:rPr>
          <w:rFonts w:hint="eastAsia" w:ascii="Times New Roman" w:hAnsi="Times New Roman" w:eastAsia="仿宋" w:cs="Times New Roman"/>
          <w:b/>
          <w:bCs/>
          <w:sz w:val="24"/>
          <w:szCs w:val="24"/>
        </w:rPr>
        <w:t>修订</w:t>
      </w:r>
      <w:r>
        <w:rPr>
          <w:rFonts w:ascii="Times New Roman" w:hAnsi="Times New Roman" w:eastAsia="仿宋" w:cs="Times New Roman"/>
          <w:b/>
          <w:bCs/>
          <w:sz w:val="24"/>
          <w:szCs w:val="24"/>
        </w:rPr>
        <w:t>过程简介</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2022年</w:t>
      </w:r>
      <w:r>
        <w:rPr>
          <w:rFonts w:hint="eastAsia" w:ascii="Times New Roman" w:hAnsi="Times New Roman" w:eastAsia="仿宋" w:cs="Times New Roman"/>
          <w:sz w:val="24"/>
          <w:szCs w:val="24"/>
        </w:rPr>
        <w:t>9月28日</w:t>
      </w:r>
      <w:r>
        <w:rPr>
          <w:rFonts w:ascii="Times New Roman" w:hAnsi="Times New Roman" w:eastAsia="仿宋" w:cs="Times New Roman"/>
          <w:sz w:val="24"/>
          <w:szCs w:val="24"/>
        </w:rPr>
        <w:t>，收到《关于下达海南省202</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年第二批地方标准制修订项目计划的通知》后，成立标准编制小组，成员有</w:t>
      </w:r>
      <w:r>
        <w:rPr>
          <w:rFonts w:hint="eastAsia" w:ascii="Times New Roman" w:hAnsi="Times New Roman" w:eastAsia="仿宋" w:cs="Times New Roman"/>
          <w:sz w:val="24"/>
          <w:szCs w:val="24"/>
        </w:rPr>
        <w:t>谭振、肖倩、那威、金桩、邓磊、吴科榜</w:t>
      </w:r>
      <w:r>
        <w:rPr>
          <w:rFonts w:ascii="Times New Roman" w:hAnsi="Times New Roman" w:eastAsia="仿宋" w:cs="Times New Roman"/>
          <w:sz w:val="24"/>
          <w:szCs w:val="24"/>
        </w:rPr>
        <w:t>。</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标准</w:t>
      </w:r>
      <w:r>
        <w:rPr>
          <w:rFonts w:hint="eastAsia" w:ascii="Times New Roman" w:hAnsi="Times New Roman" w:eastAsia="仿宋" w:cs="Times New Roman"/>
          <w:sz w:val="24"/>
          <w:szCs w:val="24"/>
        </w:rPr>
        <w:t>修订</w:t>
      </w:r>
      <w:r>
        <w:rPr>
          <w:rFonts w:ascii="Times New Roman" w:hAnsi="Times New Roman" w:eastAsia="仿宋" w:cs="Times New Roman"/>
          <w:sz w:val="24"/>
          <w:szCs w:val="24"/>
        </w:rPr>
        <w:t>过程：分为准备阶段、原始数据收集及考察调研阶段、数据处理和征求意见稿起草阶段、征求意见稿的</w:t>
      </w:r>
      <w:bookmarkStart w:id="0" w:name="_Hlk109919926"/>
      <w:r>
        <w:rPr>
          <w:rFonts w:ascii="Times New Roman" w:hAnsi="Times New Roman" w:eastAsia="仿宋" w:cs="Times New Roman"/>
          <w:sz w:val="24"/>
          <w:szCs w:val="24"/>
        </w:rPr>
        <w:t>征求意见阶段、审查阶段以及报批阶段</w:t>
      </w:r>
      <w:bookmarkEnd w:id="0"/>
      <w:r>
        <w:rPr>
          <w:rFonts w:ascii="Times New Roman" w:hAnsi="Times New Roman" w:eastAsia="仿宋" w:cs="Times New Roman"/>
          <w:sz w:val="24"/>
          <w:szCs w:val="24"/>
        </w:rPr>
        <w:t>等。</w:t>
      </w:r>
      <w:r>
        <w:rPr>
          <w:rFonts w:hint="eastAsia" w:ascii="Times New Roman" w:hAnsi="Times New Roman" w:eastAsia="仿宋" w:cs="Times New Roman"/>
          <w:sz w:val="24"/>
          <w:szCs w:val="24"/>
        </w:rPr>
        <w:t>具体如下：</w:t>
      </w:r>
      <w:r>
        <w:rPr>
          <w:rFonts w:ascii="Times New Roman" w:hAnsi="Times New Roman" w:eastAsia="仿宋" w:cs="Times New Roman"/>
          <w:sz w:val="24"/>
          <w:szCs w:val="24"/>
        </w:rPr>
        <w:t>（1）准备阶段。召开起草协作单位会议，组建起草小组、</w:t>
      </w:r>
      <w:r>
        <w:rPr>
          <w:rFonts w:hint="eastAsia" w:ascii="Times New Roman" w:hAnsi="Times New Roman" w:eastAsia="仿宋" w:cs="Times New Roman"/>
          <w:sz w:val="24"/>
          <w:szCs w:val="24"/>
        </w:rPr>
        <w:t>确定标准起草人。</w:t>
      </w:r>
      <w:r>
        <w:rPr>
          <w:rFonts w:ascii="Times New Roman" w:hAnsi="Times New Roman" w:eastAsia="仿宋" w:cs="Times New Roman"/>
          <w:sz w:val="24"/>
          <w:szCs w:val="24"/>
        </w:rPr>
        <w:t>明确</w:t>
      </w:r>
      <w:r>
        <w:rPr>
          <w:rFonts w:hint="eastAsia" w:ascii="Times New Roman" w:hAnsi="Times New Roman" w:eastAsia="仿宋" w:cs="Times New Roman"/>
          <w:sz w:val="24"/>
          <w:szCs w:val="24"/>
        </w:rPr>
        <w:t>标准修订</w:t>
      </w:r>
      <w:r>
        <w:rPr>
          <w:rFonts w:ascii="Times New Roman" w:hAnsi="Times New Roman" w:eastAsia="仿宋" w:cs="Times New Roman"/>
          <w:sz w:val="24"/>
          <w:szCs w:val="24"/>
        </w:rPr>
        <w:t>原则</w:t>
      </w:r>
      <w:r>
        <w:rPr>
          <w:rFonts w:hint="eastAsia" w:ascii="Times New Roman" w:hAnsi="Times New Roman" w:eastAsia="仿宋" w:cs="Times New Roman"/>
          <w:sz w:val="24"/>
          <w:szCs w:val="24"/>
        </w:rPr>
        <w:t>，</w:t>
      </w:r>
      <w:r>
        <w:rPr>
          <w:rFonts w:ascii="Times New Roman" w:hAnsi="Times New Roman" w:eastAsia="仿宋" w:cs="Times New Roman"/>
          <w:sz w:val="24"/>
          <w:szCs w:val="24"/>
        </w:rPr>
        <w:t>商讨</w:t>
      </w:r>
      <w:r>
        <w:rPr>
          <w:rFonts w:hint="eastAsia" w:ascii="Times New Roman" w:hAnsi="Times New Roman" w:eastAsia="仿宋" w:cs="Times New Roman"/>
          <w:sz w:val="24"/>
          <w:szCs w:val="24"/>
        </w:rPr>
        <w:t>标准修订的</w:t>
      </w:r>
      <w:r>
        <w:rPr>
          <w:rFonts w:ascii="Times New Roman" w:hAnsi="Times New Roman" w:eastAsia="仿宋" w:cs="Times New Roman"/>
          <w:sz w:val="24"/>
          <w:szCs w:val="24"/>
        </w:rPr>
        <w:t>计划及内容并分工。（2）原始数据收集及考察调研阶段。确定</w:t>
      </w:r>
      <w:r>
        <w:rPr>
          <w:rFonts w:hint="eastAsia" w:ascii="Times New Roman" w:hAnsi="Times New Roman" w:eastAsia="仿宋" w:cs="Times New Roman"/>
          <w:sz w:val="24"/>
          <w:szCs w:val="24"/>
        </w:rPr>
        <w:t>标准修订的内容</w:t>
      </w:r>
      <w:r>
        <w:rPr>
          <w:rFonts w:ascii="Times New Roman" w:hAnsi="Times New Roman" w:eastAsia="仿宋" w:cs="Times New Roman"/>
          <w:sz w:val="24"/>
          <w:szCs w:val="24"/>
        </w:rPr>
        <w:t>后，起草小组对修定标准</w:t>
      </w:r>
      <w:r>
        <w:rPr>
          <w:rFonts w:hint="eastAsia" w:ascii="Times New Roman" w:hAnsi="Times New Roman" w:eastAsia="仿宋" w:cs="Times New Roman"/>
          <w:sz w:val="24"/>
          <w:szCs w:val="24"/>
        </w:rPr>
        <w:t>所</w:t>
      </w:r>
      <w:r>
        <w:rPr>
          <w:rFonts w:ascii="Times New Roman" w:hAnsi="Times New Roman" w:eastAsia="仿宋" w:cs="Times New Roman"/>
          <w:sz w:val="24"/>
          <w:szCs w:val="24"/>
        </w:rPr>
        <w:t>需要的数据</w:t>
      </w:r>
      <w:r>
        <w:rPr>
          <w:rFonts w:hint="eastAsia" w:ascii="Times New Roman" w:hAnsi="Times New Roman" w:eastAsia="仿宋" w:cs="Times New Roman"/>
          <w:sz w:val="24"/>
          <w:szCs w:val="24"/>
        </w:rPr>
        <w:t>及屯昌黑猪（商品猪）生长</w:t>
      </w:r>
      <w:r>
        <w:rPr>
          <w:rFonts w:ascii="Times New Roman" w:hAnsi="Times New Roman" w:eastAsia="仿宋" w:cs="Times New Roman"/>
          <w:sz w:val="24"/>
          <w:szCs w:val="24"/>
        </w:rPr>
        <w:t>性能</w:t>
      </w:r>
      <w:r>
        <w:rPr>
          <w:rFonts w:hint="eastAsia" w:ascii="Times New Roman" w:hAnsi="Times New Roman" w:eastAsia="仿宋" w:cs="Times New Roman"/>
          <w:sz w:val="24"/>
          <w:szCs w:val="24"/>
        </w:rPr>
        <w:t>等进行</w:t>
      </w:r>
      <w:r>
        <w:rPr>
          <w:rFonts w:ascii="Times New Roman" w:hAnsi="Times New Roman" w:eastAsia="仿宋" w:cs="Times New Roman"/>
          <w:sz w:val="24"/>
          <w:szCs w:val="24"/>
        </w:rPr>
        <w:t>测定</w:t>
      </w:r>
      <w:r>
        <w:rPr>
          <w:rFonts w:hint="eastAsia" w:ascii="Times New Roman" w:hAnsi="Times New Roman" w:eastAsia="仿宋" w:cs="Times New Roman"/>
          <w:sz w:val="24"/>
          <w:szCs w:val="24"/>
        </w:rPr>
        <w:t>。</w:t>
      </w:r>
      <w:r>
        <w:rPr>
          <w:rFonts w:ascii="Times New Roman" w:hAnsi="Times New Roman" w:eastAsia="仿宋" w:cs="Times New Roman"/>
          <w:sz w:val="24"/>
          <w:szCs w:val="24"/>
        </w:rPr>
        <w:t>同时</w:t>
      </w:r>
      <w:r>
        <w:rPr>
          <w:rFonts w:hint="eastAsia" w:ascii="Times New Roman" w:hAnsi="Times New Roman" w:eastAsia="仿宋" w:cs="Times New Roman"/>
          <w:sz w:val="24"/>
          <w:szCs w:val="24"/>
        </w:rPr>
        <w:t>对屯昌黑猪养殖</w:t>
      </w:r>
      <w:r>
        <w:rPr>
          <w:rFonts w:ascii="Times New Roman" w:hAnsi="Times New Roman" w:eastAsia="仿宋" w:cs="Times New Roman"/>
          <w:sz w:val="24"/>
          <w:szCs w:val="24"/>
        </w:rPr>
        <w:t>进行了实地考察，</w:t>
      </w:r>
      <w:r>
        <w:rPr>
          <w:rFonts w:hint="eastAsia" w:ascii="Times New Roman" w:hAnsi="Times New Roman" w:eastAsia="仿宋" w:cs="Times New Roman"/>
          <w:sz w:val="24"/>
          <w:szCs w:val="24"/>
        </w:rPr>
        <w:t>并</w:t>
      </w:r>
      <w:r>
        <w:rPr>
          <w:rFonts w:ascii="Times New Roman" w:hAnsi="Times New Roman" w:eastAsia="仿宋" w:cs="Times New Roman"/>
          <w:sz w:val="24"/>
          <w:szCs w:val="24"/>
        </w:rPr>
        <w:t>查看</w:t>
      </w:r>
      <w:r>
        <w:rPr>
          <w:rFonts w:hint="eastAsia" w:ascii="Times New Roman" w:hAnsi="Times New Roman" w:eastAsia="仿宋" w:cs="Times New Roman"/>
          <w:sz w:val="24"/>
          <w:szCs w:val="24"/>
        </w:rPr>
        <w:t>相关</w:t>
      </w:r>
      <w:r>
        <w:rPr>
          <w:rFonts w:ascii="Times New Roman" w:hAnsi="Times New Roman" w:eastAsia="仿宋" w:cs="Times New Roman"/>
          <w:sz w:val="24"/>
          <w:szCs w:val="24"/>
        </w:rPr>
        <w:t>文献</w:t>
      </w:r>
      <w:r>
        <w:rPr>
          <w:rFonts w:hint="eastAsia" w:ascii="Times New Roman" w:hAnsi="Times New Roman" w:eastAsia="仿宋" w:cs="Times New Roman"/>
          <w:sz w:val="24"/>
          <w:szCs w:val="24"/>
        </w:rPr>
        <w:t>和资料</w:t>
      </w:r>
      <w:r>
        <w:rPr>
          <w:rFonts w:ascii="Times New Roman" w:hAnsi="Times New Roman" w:eastAsia="仿宋" w:cs="Times New Roman"/>
          <w:sz w:val="24"/>
          <w:szCs w:val="24"/>
        </w:rPr>
        <w:t>，获得了</w:t>
      </w:r>
      <w:r>
        <w:rPr>
          <w:rFonts w:hint="eastAsia" w:ascii="Times New Roman" w:hAnsi="Times New Roman" w:eastAsia="仿宋" w:cs="Times New Roman"/>
          <w:sz w:val="24"/>
          <w:szCs w:val="24"/>
        </w:rPr>
        <w:t>屯昌黑猪猪场建设、环境控制、饲养管理、饲料营养、兽医防疫、兽药使用等相关</w:t>
      </w:r>
      <w:r>
        <w:rPr>
          <w:rFonts w:ascii="Times New Roman" w:hAnsi="Times New Roman" w:eastAsia="仿宋" w:cs="Times New Roman"/>
          <w:sz w:val="24"/>
          <w:szCs w:val="24"/>
        </w:rPr>
        <w:t>资料。（3）数据处理和征求意见</w:t>
      </w:r>
      <w:r>
        <w:rPr>
          <w:rFonts w:hint="eastAsia" w:ascii="Times New Roman" w:hAnsi="Times New Roman" w:eastAsia="仿宋" w:cs="Times New Roman"/>
          <w:sz w:val="24"/>
          <w:szCs w:val="24"/>
        </w:rPr>
        <w:t>稿起草阶段。起草小组对所获屯昌黑猪资料和数据进行统计分析，编写形成海南省地方标准《屯昌黑猪（商品猪）饲养技术规程》修订征求意见稿（初稿）。（4）征求意见情况。</w:t>
      </w:r>
      <w:r>
        <w:rPr>
          <w:rFonts w:ascii="Times New Roman" w:hAnsi="Times New Roman" w:eastAsia="仿宋" w:cs="Times New Roman"/>
          <w:sz w:val="24"/>
          <w:szCs w:val="24"/>
        </w:rPr>
        <w:t>202</w:t>
      </w:r>
      <w:r>
        <w:rPr>
          <w:rFonts w:hint="eastAsia" w:ascii="Times New Roman" w:hAnsi="Times New Roman" w:eastAsia="仿宋" w:cs="Times New Roman"/>
          <w:sz w:val="24"/>
          <w:szCs w:val="24"/>
        </w:rPr>
        <w:t>3</w:t>
      </w:r>
      <w:r>
        <w:rPr>
          <w:rFonts w:ascii="Times New Roman" w:hAnsi="Times New Roman" w:eastAsia="仿宋" w:cs="Times New Roman"/>
          <w:sz w:val="24"/>
          <w:szCs w:val="24"/>
        </w:rPr>
        <w:t>年</w:t>
      </w:r>
      <w:r>
        <w:rPr>
          <w:rFonts w:hint="eastAsia" w:ascii="Times New Roman" w:hAnsi="Times New Roman" w:eastAsia="仿宋" w:cs="Times New Roman"/>
          <w:sz w:val="24"/>
          <w:szCs w:val="24"/>
        </w:rPr>
        <w:t>2</w:t>
      </w:r>
      <w:r>
        <w:rPr>
          <w:rFonts w:ascii="Times New Roman" w:hAnsi="Times New Roman" w:eastAsia="仿宋" w:cs="Times New Roman"/>
          <w:sz w:val="24"/>
          <w:szCs w:val="24"/>
        </w:rPr>
        <w:t>月</w:t>
      </w:r>
      <w:r>
        <w:rPr>
          <w:rFonts w:hint="eastAsia" w:ascii="Times New Roman" w:hAnsi="Times New Roman" w:eastAsia="仿宋" w:cs="Times New Roman"/>
          <w:sz w:val="24"/>
          <w:szCs w:val="24"/>
        </w:rPr>
        <w:t>18日下午在屯昌县畜牧局召开企业征求意见会</w:t>
      </w:r>
      <w:r>
        <w:rPr>
          <w:rFonts w:ascii="Times New Roman" w:hAnsi="Times New Roman" w:eastAsia="仿宋" w:cs="Times New Roman"/>
          <w:sz w:val="24"/>
          <w:szCs w:val="24"/>
        </w:rPr>
        <w:t>，</w:t>
      </w:r>
      <w:r>
        <w:rPr>
          <w:rFonts w:hint="eastAsia" w:ascii="Times New Roman" w:hAnsi="Times New Roman" w:eastAsia="仿宋" w:cs="Times New Roman"/>
          <w:sz w:val="24"/>
          <w:szCs w:val="24"/>
        </w:rPr>
        <w:t xml:space="preserve">会议邀请了屯昌县养殖协会、屯昌县黑猪养殖企业人员参与，征求意见会共收集到 </w:t>
      </w:r>
      <w:r>
        <w:rPr>
          <w:rFonts w:hint="eastAsia" w:ascii="Times New Roman" w:hAnsi="Times New Roman" w:eastAsia="仿宋" w:cs="Times New Roman"/>
          <w:sz w:val="24"/>
          <w:szCs w:val="24"/>
          <w:shd w:val="clear" w:color="auto" w:fill="FFFF00"/>
        </w:rPr>
        <w:t xml:space="preserve">       </w:t>
      </w:r>
      <w:r>
        <w:rPr>
          <w:rFonts w:hint="eastAsia" w:ascii="Times New Roman" w:hAnsi="Times New Roman" w:eastAsia="仿宋" w:cs="Times New Roman"/>
          <w:sz w:val="24"/>
          <w:szCs w:val="24"/>
        </w:rPr>
        <w:t>20条意见，均被采纳；2023年3月</w:t>
      </w:r>
      <w:r>
        <w:rPr>
          <w:rFonts w:ascii="Times New Roman" w:hAnsi="Times New Roman" w:eastAsia="仿宋" w:cs="Times New Roman"/>
          <w:sz w:val="24"/>
          <w:szCs w:val="24"/>
        </w:rPr>
        <w:t>由起草单位牵头负责向有关行业单位、科研院所、大专院校</w:t>
      </w:r>
      <w:r>
        <w:rPr>
          <w:rFonts w:hint="eastAsia" w:ascii="Times New Roman" w:hAnsi="Times New Roman" w:eastAsia="仿宋" w:cs="Times New Roman"/>
          <w:sz w:val="24"/>
          <w:szCs w:val="24"/>
        </w:rPr>
        <w:t>等</w:t>
      </w:r>
      <w:r>
        <w:rPr>
          <w:rFonts w:ascii="Times New Roman" w:hAnsi="Times New Roman" w:eastAsia="仿宋" w:cs="Times New Roman"/>
          <w:sz w:val="24"/>
          <w:szCs w:val="24"/>
        </w:rPr>
        <w:t>征求意见</w:t>
      </w:r>
      <w:r>
        <w:rPr>
          <w:rFonts w:hint="eastAsia" w:ascii="Times New Roman" w:hAnsi="Times New Roman" w:eastAsia="仿宋" w:cs="Times New Roman"/>
          <w:sz w:val="24"/>
          <w:szCs w:val="24"/>
        </w:rPr>
        <w:t>，共</w:t>
      </w:r>
      <w:r>
        <w:rPr>
          <w:rFonts w:ascii="Times New Roman" w:hAnsi="Times New Roman" w:eastAsia="仿宋" w:cs="Times New Roman"/>
          <w:sz w:val="24"/>
          <w:szCs w:val="24"/>
        </w:rPr>
        <w:t>收到征求意见</w:t>
      </w:r>
      <w:r>
        <w:rPr>
          <w:rFonts w:hint="eastAsia" w:ascii="Times New Roman" w:hAnsi="Times New Roman" w:eastAsia="仿宋" w:cs="Times New Roman"/>
          <w:b/>
          <w:bCs/>
          <w:sz w:val="24"/>
          <w:szCs w:val="24"/>
        </w:rPr>
        <w:t>40</w:t>
      </w:r>
      <w:r>
        <w:rPr>
          <w:rFonts w:ascii="Times New Roman" w:hAnsi="Times New Roman" w:eastAsia="仿宋" w:cs="Times New Roman"/>
          <w:sz w:val="24"/>
          <w:szCs w:val="24"/>
        </w:rPr>
        <w:t>条，最终</w:t>
      </w:r>
      <w:r>
        <w:rPr>
          <w:rFonts w:hint="eastAsia" w:ascii="Times New Roman" w:hAnsi="Times New Roman" w:eastAsia="仿宋" w:cs="Times New Roman"/>
          <w:sz w:val="24"/>
          <w:szCs w:val="24"/>
        </w:rPr>
        <w:t>35</w:t>
      </w:r>
      <w:r>
        <w:rPr>
          <w:rFonts w:ascii="Times New Roman" w:hAnsi="Times New Roman" w:eastAsia="仿宋" w:cs="Times New Roman"/>
          <w:sz w:val="24"/>
          <w:szCs w:val="24"/>
        </w:rPr>
        <w:t>条采纳</w:t>
      </w:r>
      <w:r>
        <w:rPr>
          <w:rFonts w:hint="eastAsia" w:ascii="Times New Roman" w:hAnsi="Times New Roman" w:eastAsia="仿宋" w:cs="Times New Roman"/>
          <w:sz w:val="24"/>
          <w:szCs w:val="24"/>
        </w:rPr>
        <w:t>；2023年4月21日上午8:30至12:30在海南鑫源温泉大酒店四楼鑫源会议室召开海南省地方标准《屯昌黑猪（商品猪）饲养技术规程》专家征求意见会，会议邀请了海南大学教授李绍鹏、海南省畜牧技术推广站正高级畜牧师刘仙喜、中国热带农业科学院研究院徐铁山、海南省农业科学院副研究员孙瑞萍、海南省罗牛山农工贸股份有限公司生产总监陈杰、海南农垦草畜猪业有限公司育种总监廖柱、海南省农业农村厅祝英武调研员，屯昌县畜牧渔业中心主任郑丹、屯昌农业农村局畜渔室负责人符冰、屯昌天之虹生态农牧有限公司总经理韦格等。征求意见会共收集到  20条意见，均被采纳。审查阶段以及报批情况尚未涉及。</w:t>
      </w:r>
    </w:p>
    <w:p>
      <w:pPr>
        <w:spacing w:line="440" w:lineRule="exact"/>
        <w:rPr>
          <w:rFonts w:ascii="Times New Roman" w:hAnsi="Times New Roman" w:eastAsia="仿宋" w:cs="Times New Roman"/>
          <w:b/>
          <w:bCs/>
          <w:sz w:val="24"/>
          <w:szCs w:val="24"/>
        </w:rPr>
      </w:pPr>
      <w:r>
        <w:rPr>
          <w:rFonts w:ascii="Times New Roman" w:hAnsi="Times New Roman" w:eastAsia="仿宋" w:cs="Times New Roman"/>
          <w:b/>
          <w:bCs/>
          <w:sz w:val="24"/>
          <w:szCs w:val="24"/>
        </w:rPr>
        <w:t>（三）</w:t>
      </w:r>
      <w:r>
        <w:rPr>
          <w:rFonts w:hint="eastAsia" w:ascii="Times New Roman" w:hAnsi="Times New Roman" w:eastAsia="仿宋" w:cs="Times New Roman"/>
          <w:b/>
          <w:bCs/>
          <w:sz w:val="24"/>
          <w:szCs w:val="24"/>
        </w:rPr>
        <w:t>修订</w:t>
      </w:r>
      <w:r>
        <w:rPr>
          <w:rFonts w:ascii="Times New Roman" w:hAnsi="Times New Roman" w:eastAsia="仿宋" w:cs="Times New Roman"/>
          <w:b/>
          <w:bCs/>
          <w:sz w:val="24"/>
          <w:szCs w:val="24"/>
        </w:rPr>
        <w:t>标准的原则和依据，与现行法律法规、标准的关系</w:t>
      </w:r>
    </w:p>
    <w:p>
      <w:pPr>
        <w:spacing w:line="440" w:lineRule="exact"/>
        <w:rPr>
          <w:rFonts w:ascii="Times New Roman" w:hAnsi="Times New Roman" w:eastAsia="仿宋" w:cs="Times New Roman"/>
          <w:sz w:val="24"/>
          <w:szCs w:val="24"/>
        </w:rPr>
      </w:pPr>
      <w:r>
        <w:rPr>
          <w:rFonts w:ascii="Times New Roman" w:hAnsi="Times New Roman" w:eastAsia="仿宋" w:cs="Times New Roman"/>
          <w:sz w:val="24"/>
          <w:szCs w:val="24"/>
        </w:rPr>
        <w:t>(从科学性、统一性、协调性、适用性、一致性和规范性等方面说明标准</w:t>
      </w:r>
      <w:r>
        <w:rPr>
          <w:rFonts w:hint="eastAsia" w:ascii="Times New Roman" w:hAnsi="Times New Roman" w:eastAsia="仿宋" w:cs="Times New Roman"/>
          <w:sz w:val="24"/>
          <w:szCs w:val="24"/>
        </w:rPr>
        <w:t>修订</w:t>
      </w:r>
      <w:r>
        <w:rPr>
          <w:rFonts w:ascii="Times New Roman" w:hAnsi="Times New Roman" w:eastAsia="仿宋" w:cs="Times New Roman"/>
          <w:sz w:val="24"/>
          <w:szCs w:val="24"/>
        </w:rPr>
        <w:t>的原则，从技术方面说明标准</w:t>
      </w:r>
      <w:r>
        <w:rPr>
          <w:rFonts w:hint="eastAsia" w:ascii="Times New Roman" w:hAnsi="Times New Roman" w:eastAsia="仿宋" w:cs="Times New Roman"/>
          <w:sz w:val="24"/>
          <w:szCs w:val="24"/>
        </w:rPr>
        <w:t>修订</w:t>
      </w:r>
      <w:r>
        <w:rPr>
          <w:rFonts w:ascii="Times New Roman" w:hAnsi="Times New Roman" w:eastAsia="仿宋" w:cs="Times New Roman"/>
          <w:sz w:val="24"/>
          <w:szCs w:val="24"/>
        </w:rPr>
        <w:t>过程中所依据的技术性文件。应写清该项标准与现行法律、法规、标准是否协调一致、有无冲突。)</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修订</w:t>
      </w:r>
      <w:r>
        <w:rPr>
          <w:rFonts w:ascii="Times New Roman" w:hAnsi="Times New Roman" w:eastAsia="仿宋" w:cs="Times New Roman"/>
          <w:sz w:val="24"/>
          <w:szCs w:val="24"/>
        </w:rPr>
        <w:t>标准的原则</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在</w:t>
      </w:r>
      <w:r>
        <w:rPr>
          <w:rFonts w:hint="eastAsia" w:ascii="Times New Roman" w:hAnsi="Times New Roman" w:eastAsia="仿宋" w:cs="Times New Roman"/>
          <w:sz w:val="24"/>
          <w:szCs w:val="24"/>
        </w:rPr>
        <w:t>修订</w:t>
      </w:r>
      <w:r>
        <w:rPr>
          <w:rFonts w:ascii="Times New Roman" w:hAnsi="Times New Roman" w:eastAsia="仿宋" w:cs="Times New Roman"/>
          <w:sz w:val="24"/>
          <w:szCs w:val="24"/>
        </w:rPr>
        <w:t>编制过程中，遵循了</w:t>
      </w:r>
      <w:r>
        <w:rPr>
          <w:rFonts w:hint="eastAsia" w:ascii="Times New Roman" w:hAnsi="Times New Roman" w:eastAsia="仿宋" w:cs="Times New Roman"/>
          <w:sz w:val="24"/>
          <w:szCs w:val="24"/>
        </w:rPr>
        <w:t>“</w:t>
      </w:r>
      <w:r>
        <w:rPr>
          <w:rFonts w:ascii="Times New Roman" w:hAnsi="Times New Roman" w:eastAsia="仿宋" w:cs="Times New Roman"/>
          <w:sz w:val="24"/>
          <w:szCs w:val="24"/>
        </w:rPr>
        <w:t>科学性、先进性、实用性、统一性、规范性</w:t>
      </w:r>
      <w:r>
        <w:rPr>
          <w:rFonts w:hint="eastAsia" w:ascii="Times New Roman" w:hAnsi="Times New Roman" w:eastAsia="仿宋" w:cs="Times New Roman"/>
          <w:sz w:val="24"/>
          <w:szCs w:val="24"/>
        </w:rPr>
        <w:t>”</w:t>
      </w:r>
      <w:r>
        <w:rPr>
          <w:rFonts w:ascii="Times New Roman" w:hAnsi="Times New Roman" w:eastAsia="仿宋" w:cs="Times New Roman"/>
          <w:sz w:val="24"/>
          <w:szCs w:val="24"/>
        </w:rPr>
        <w:t>的原则，注重了标准的</w:t>
      </w:r>
      <w:r>
        <w:rPr>
          <w:rFonts w:hint="eastAsia" w:ascii="Times New Roman" w:hAnsi="Times New Roman" w:eastAsia="仿宋" w:cs="Times New Roman"/>
          <w:sz w:val="24"/>
          <w:szCs w:val="24"/>
        </w:rPr>
        <w:t>“</w:t>
      </w:r>
      <w:r>
        <w:rPr>
          <w:rFonts w:ascii="Times New Roman" w:hAnsi="Times New Roman" w:eastAsia="仿宋" w:cs="Times New Roman"/>
          <w:sz w:val="24"/>
          <w:szCs w:val="24"/>
        </w:rPr>
        <w:t>适用性、可操作性、针对性和通用性</w:t>
      </w:r>
      <w:r>
        <w:rPr>
          <w:rFonts w:hint="eastAsia" w:ascii="Times New Roman" w:hAnsi="Times New Roman" w:eastAsia="仿宋" w:cs="Times New Roman"/>
          <w:sz w:val="24"/>
          <w:szCs w:val="24"/>
        </w:rPr>
        <w:t>”</w:t>
      </w:r>
      <w:r>
        <w:rPr>
          <w:rFonts w:ascii="Times New Roman" w:hAnsi="Times New Roman" w:eastAsia="仿宋" w:cs="Times New Roman"/>
          <w:sz w:val="24"/>
          <w:szCs w:val="24"/>
        </w:rPr>
        <w:t>，以保证</w:t>
      </w:r>
      <w:r>
        <w:rPr>
          <w:rFonts w:hint="eastAsia" w:ascii="Times New Roman" w:hAnsi="Times New Roman" w:eastAsia="仿宋" w:cs="Times New Roman"/>
          <w:sz w:val="24"/>
          <w:szCs w:val="24"/>
        </w:rPr>
        <w:t>屯昌黑猪（商品猪）生产</w:t>
      </w:r>
      <w:r>
        <w:rPr>
          <w:rFonts w:ascii="Times New Roman" w:hAnsi="Times New Roman" w:eastAsia="仿宋" w:cs="Times New Roman"/>
          <w:sz w:val="24"/>
          <w:szCs w:val="24"/>
        </w:rPr>
        <w:t>为目标，力求做到科学规范、指标准确、可操作性强，既与国家、农业部相关标准接轨，又有符合海南省</w:t>
      </w:r>
      <w:r>
        <w:rPr>
          <w:rFonts w:hint="eastAsia" w:ascii="Times New Roman" w:hAnsi="Times New Roman" w:eastAsia="仿宋" w:cs="Times New Roman"/>
          <w:sz w:val="24"/>
          <w:szCs w:val="24"/>
        </w:rPr>
        <w:t>黑猪</w:t>
      </w:r>
      <w:r>
        <w:rPr>
          <w:rFonts w:ascii="Times New Roman" w:hAnsi="Times New Roman" w:eastAsia="仿宋" w:cs="Times New Roman"/>
          <w:sz w:val="24"/>
          <w:szCs w:val="24"/>
        </w:rPr>
        <w:t>产业发展实际，按照 GB/T</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1.1</w:t>
      </w:r>
      <w:r>
        <w:rPr>
          <w:rFonts w:hint="eastAsia" w:ascii="Times New Roman" w:hAnsi="Times New Roman" w:eastAsia="仿宋" w:cs="Times New Roman"/>
          <w:sz w:val="24"/>
          <w:szCs w:val="24"/>
        </w:rPr>
        <w:t>—</w:t>
      </w:r>
      <w:r>
        <w:rPr>
          <w:rFonts w:ascii="Times New Roman" w:hAnsi="Times New Roman" w:eastAsia="仿宋" w:cs="Times New Roman"/>
          <w:sz w:val="24"/>
          <w:szCs w:val="24"/>
        </w:rPr>
        <w:t>2020《标准化工作导则第1部分：标准化文件的结构和起草规则》、海南省地方标准《DB 46/ T 74</w:t>
      </w:r>
      <w:r>
        <w:rPr>
          <w:rFonts w:hint="eastAsia" w:ascii="Times New Roman" w:hAnsi="Times New Roman" w:eastAsia="仿宋" w:cs="Times New Roman"/>
          <w:sz w:val="24"/>
          <w:szCs w:val="24"/>
        </w:rPr>
        <w:t>—</w:t>
      </w:r>
      <w:r>
        <w:rPr>
          <w:rFonts w:ascii="Times New Roman" w:hAnsi="Times New Roman" w:eastAsia="仿宋" w:cs="Times New Roman"/>
          <w:sz w:val="24"/>
          <w:szCs w:val="24"/>
        </w:rPr>
        <w:t>2021地方标准制修订工作规范》给出的规则起草，</w:t>
      </w:r>
      <w:bookmarkStart w:id="1" w:name="_Hlk110262018"/>
      <w:r>
        <w:rPr>
          <w:rFonts w:ascii="Times New Roman" w:hAnsi="Times New Roman" w:eastAsia="仿宋" w:cs="Times New Roman"/>
          <w:sz w:val="24"/>
          <w:szCs w:val="24"/>
        </w:rPr>
        <w:t>在海南省地方标准《DB 46/ T 56</w:t>
      </w:r>
      <w:r>
        <w:rPr>
          <w:rFonts w:hint="eastAsia" w:ascii="Times New Roman" w:hAnsi="Times New Roman" w:eastAsia="仿宋" w:cs="Times New Roman"/>
          <w:sz w:val="24"/>
          <w:szCs w:val="24"/>
        </w:rPr>
        <w:t>—</w:t>
      </w:r>
      <w:r>
        <w:rPr>
          <w:rFonts w:ascii="Times New Roman" w:hAnsi="Times New Roman" w:eastAsia="仿宋" w:cs="Times New Roman"/>
          <w:sz w:val="24"/>
          <w:szCs w:val="24"/>
        </w:rPr>
        <w:t>2006地方标准制修订工作规范》的基础上，</w:t>
      </w:r>
      <w:bookmarkEnd w:id="1"/>
      <w:r>
        <w:rPr>
          <w:rFonts w:ascii="Times New Roman" w:hAnsi="Times New Roman" w:eastAsia="仿宋" w:cs="Times New Roman"/>
          <w:sz w:val="24"/>
          <w:szCs w:val="24"/>
        </w:rPr>
        <w:t>结合</w:t>
      </w:r>
      <w:r>
        <w:rPr>
          <w:rFonts w:hint="eastAsia" w:ascii="Times New Roman" w:hAnsi="Times New Roman" w:eastAsia="仿宋" w:cs="Times New Roman"/>
          <w:sz w:val="24"/>
          <w:szCs w:val="24"/>
        </w:rPr>
        <w:t>D</w:t>
      </w:r>
      <w:r>
        <w:rPr>
          <w:rFonts w:ascii="Times New Roman" w:hAnsi="Times New Roman" w:eastAsia="仿宋" w:cs="Times New Roman"/>
          <w:sz w:val="24"/>
          <w:szCs w:val="24"/>
        </w:rPr>
        <w:t>B</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46/T 71</w:t>
      </w:r>
      <w:r>
        <w:rPr>
          <w:rFonts w:hint="eastAsia" w:ascii="Times New Roman" w:hAnsi="Times New Roman" w:eastAsia="仿宋" w:cs="Times New Roman"/>
          <w:sz w:val="24"/>
          <w:szCs w:val="24"/>
        </w:rPr>
        <w:t>—</w:t>
      </w:r>
      <w:r>
        <w:rPr>
          <w:rFonts w:ascii="Times New Roman" w:hAnsi="Times New Roman" w:eastAsia="仿宋" w:cs="Times New Roman"/>
          <w:sz w:val="24"/>
          <w:szCs w:val="24"/>
        </w:rPr>
        <w:t>2013《屯昌黑猪（商品猪）饲养技术规程》</w:t>
      </w:r>
      <w:r>
        <w:rPr>
          <w:rFonts w:hint="eastAsia" w:ascii="Times New Roman" w:hAnsi="Times New Roman" w:eastAsia="仿宋" w:cs="Times New Roman"/>
          <w:sz w:val="24"/>
          <w:szCs w:val="24"/>
        </w:rPr>
        <w:t>与</w:t>
      </w:r>
      <w:r>
        <w:rPr>
          <w:rFonts w:ascii="Times New Roman" w:hAnsi="Times New Roman" w:eastAsia="仿宋" w:cs="Times New Roman"/>
          <w:sz w:val="24"/>
          <w:szCs w:val="24"/>
        </w:rPr>
        <w:t>目前</w:t>
      </w:r>
      <w:r>
        <w:rPr>
          <w:rFonts w:hint="eastAsia" w:ascii="Times New Roman" w:hAnsi="Times New Roman" w:eastAsia="仿宋" w:cs="Times New Roman"/>
          <w:sz w:val="24"/>
          <w:szCs w:val="24"/>
        </w:rPr>
        <w:t>屯昌黑猪实际</w:t>
      </w:r>
      <w:r>
        <w:rPr>
          <w:rFonts w:ascii="Times New Roman" w:hAnsi="Times New Roman" w:eastAsia="仿宋" w:cs="Times New Roman"/>
          <w:sz w:val="24"/>
          <w:szCs w:val="24"/>
        </w:rPr>
        <w:t>饲养管理现状、加入最新的技术，修订形成本标准。</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修订</w:t>
      </w:r>
      <w:r>
        <w:rPr>
          <w:rFonts w:ascii="Times New Roman" w:hAnsi="Times New Roman" w:eastAsia="仿宋" w:cs="Times New Roman"/>
          <w:sz w:val="24"/>
          <w:szCs w:val="24"/>
        </w:rPr>
        <w:t>标准的依据</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在海南省地方标准《DB 46/ T 56</w:t>
      </w:r>
      <w:r>
        <w:rPr>
          <w:rFonts w:hint="eastAsia" w:ascii="Times New Roman" w:hAnsi="Times New Roman" w:eastAsia="仿宋" w:cs="Times New Roman"/>
          <w:sz w:val="24"/>
          <w:szCs w:val="24"/>
        </w:rPr>
        <w:t>—</w:t>
      </w:r>
      <w:r>
        <w:rPr>
          <w:rFonts w:ascii="Times New Roman" w:hAnsi="Times New Roman" w:eastAsia="仿宋" w:cs="Times New Roman"/>
          <w:sz w:val="24"/>
          <w:szCs w:val="24"/>
        </w:rPr>
        <w:t>2006地方标准制修订工作规范》的基础上，充分调研</w:t>
      </w:r>
      <w:r>
        <w:rPr>
          <w:rFonts w:hint="eastAsia" w:ascii="Times New Roman" w:hAnsi="Times New Roman" w:eastAsia="仿宋" w:cs="Times New Roman"/>
          <w:sz w:val="24"/>
          <w:szCs w:val="24"/>
        </w:rPr>
        <w:t>屯昌黑猪（商品猪）</w:t>
      </w:r>
      <w:r>
        <w:rPr>
          <w:rFonts w:ascii="Times New Roman" w:hAnsi="Times New Roman" w:eastAsia="仿宋" w:cs="Times New Roman"/>
          <w:sz w:val="24"/>
          <w:szCs w:val="24"/>
        </w:rPr>
        <w:t>饲养管理情况，认真</w:t>
      </w:r>
      <w:r>
        <w:rPr>
          <w:rFonts w:hint="eastAsia" w:ascii="Times New Roman" w:hAnsi="Times New Roman" w:eastAsia="仿宋" w:cs="Times New Roman"/>
          <w:sz w:val="24"/>
          <w:szCs w:val="24"/>
        </w:rPr>
        <w:t>考察</w:t>
      </w:r>
      <w:r>
        <w:rPr>
          <w:rFonts w:ascii="Times New Roman" w:hAnsi="Times New Roman" w:eastAsia="仿宋" w:cs="Times New Roman"/>
          <w:sz w:val="24"/>
          <w:szCs w:val="24"/>
        </w:rPr>
        <w:t>并征求</w:t>
      </w:r>
      <w:r>
        <w:rPr>
          <w:rFonts w:hint="eastAsia" w:ascii="Times New Roman" w:hAnsi="Times New Roman" w:eastAsia="仿宋" w:cs="Times New Roman"/>
          <w:sz w:val="24"/>
          <w:szCs w:val="24"/>
        </w:rPr>
        <w:t>屯昌黑猪</w:t>
      </w:r>
      <w:r>
        <w:rPr>
          <w:rFonts w:ascii="Times New Roman" w:hAnsi="Times New Roman" w:eastAsia="仿宋" w:cs="Times New Roman"/>
          <w:sz w:val="24"/>
          <w:szCs w:val="24"/>
        </w:rPr>
        <w:t>生产者的意见，总结实践经验，参考</w:t>
      </w:r>
      <w:r>
        <w:rPr>
          <w:rFonts w:hint="eastAsia" w:ascii="Times New Roman" w:hAnsi="Times New Roman" w:eastAsia="仿宋" w:cs="Times New Roman"/>
          <w:sz w:val="24"/>
          <w:szCs w:val="24"/>
        </w:rPr>
        <w:t>D</w:t>
      </w:r>
      <w:r>
        <w:rPr>
          <w:rFonts w:ascii="Times New Roman" w:hAnsi="Times New Roman" w:eastAsia="仿宋" w:cs="Times New Roman"/>
          <w:sz w:val="24"/>
          <w:szCs w:val="24"/>
        </w:rPr>
        <w:t>B46/T 71</w:t>
      </w:r>
      <w:r>
        <w:rPr>
          <w:rFonts w:hint="eastAsia" w:ascii="Times New Roman" w:hAnsi="Times New Roman" w:eastAsia="仿宋" w:cs="Times New Roman"/>
          <w:sz w:val="24"/>
          <w:szCs w:val="24"/>
        </w:rPr>
        <w:t>—</w:t>
      </w:r>
      <w:r>
        <w:rPr>
          <w:rFonts w:ascii="Times New Roman" w:hAnsi="Times New Roman" w:eastAsia="仿宋" w:cs="Times New Roman"/>
          <w:sz w:val="24"/>
          <w:szCs w:val="24"/>
        </w:rPr>
        <w:t>2013《屯昌黑猪（商品猪）饲养技术规程》</w:t>
      </w:r>
      <w:r>
        <w:rPr>
          <w:rFonts w:hint="eastAsia" w:ascii="Times New Roman" w:hAnsi="Times New Roman" w:eastAsia="仿宋" w:cs="Times New Roman"/>
          <w:sz w:val="24"/>
          <w:szCs w:val="24"/>
        </w:rPr>
        <w:t>与当前商品猪</w:t>
      </w:r>
      <w:r>
        <w:rPr>
          <w:rFonts w:ascii="Times New Roman" w:hAnsi="Times New Roman" w:eastAsia="仿宋" w:cs="Times New Roman"/>
          <w:sz w:val="24"/>
          <w:szCs w:val="24"/>
        </w:rPr>
        <w:t>饲养管理相关科技文献，确定本文件主要内容与主要指标。</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目前尚未发现本标准与有关法律、法规和强制性国家标准有抵触或相矛盾之处。</w:t>
      </w:r>
    </w:p>
    <w:p>
      <w:pPr>
        <w:spacing w:line="440" w:lineRule="exact"/>
        <w:rPr>
          <w:rFonts w:ascii="Times New Roman" w:hAnsi="Times New Roman" w:eastAsia="仿宋" w:cs="Times New Roman"/>
          <w:b/>
          <w:bCs/>
          <w:sz w:val="24"/>
          <w:szCs w:val="24"/>
        </w:rPr>
      </w:pPr>
      <w:r>
        <w:rPr>
          <w:rFonts w:ascii="Times New Roman" w:hAnsi="Times New Roman" w:eastAsia="仿宋" w:cs="Times New Roman"/>
          <w:b/>
          <w:bCs/>
          <w:sz w:val="24"/>
          <w:szCs w:val="24"/>
        </w:rPr>
        <w:t>（四）主要条款的说明，主要技术指标、参数、试验验证的论述</w:t>
      </w:r>
    </w:p>
    <w:p>
      <w:pPr>
        <w:spacing w:line="440" w:lineRule="exact"/>
        <w:rPr>
          <w:rFonts w:ascii="Times New Roman" w:hAnsi="Times New Roman" w:eastAsia="仿宋" w:cs="Times New Roman"/>
          <w:sz w:val="24"/>
          <w:szCs w:val="24"/>
        </w:rPr>
      </w:pPr>
      <w:r>
        <w:rPr>
          <w:rFonts w:ascii="Times New Roman" w:hAnsi="Times New Roman" w:eastAsia="仿宋" w:cs="Times New Roman"/>
          <w:sz w:val="24"/>
          <w:szCs w:val="24"/>
        </w:rPr>
        <w:t>1、主要条款</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本文件的章节由范围、规范性引用文件、术语和定义、</w:t>
      </w:r>
      <w:bookmarkStart w:id="2" w:name="_Hlk110262363"/>
      <w:r>
        <w:rPr>
          <w:rFonts w:hint="eastAsia" w:ascii="Times New Roman" w:hAnsi="Times New Roman" w:eastAsia="仿宋" w:cs="Times New Roman"/>
          <w:sz w:val="24"/>
          <w:szCs w:val="24"/>
        </w:rPr>
        <w:t>猪场建设、饲养管理、营养需要、生长性能、疫病防控、废弃物处理、档案管理、生产技术路线</w:t>
      </w:r>
      <w:bookmarkEnd w:id="2"/>
      <w:r>
        <w:rPr>
          <w:rFonts w:hint="eastAsia" w:ascii="Times New Roman" w:hAnsi="Times New Roman" w:eastAsia="仿宋" w:cs="Times New Roman"/>
          <w:sz w:val="24"/>
          <w:szCs w:val="24"/>
        </w:rPr>
        <w:t>和附录</w:t>
      </w:r>
      <w:r>
        <w:rPr>
          <w:rFonts w:ascii="Times New Roman" w:hAnsi="Times New Roman" w:eastAsia="仿宋" w:cs="Times New Roman"/>
          <w:sz w:val="24"/>
          <w:szCs w:val="24"/>
        </w:rPr>
        <w:t>组成。其中</w:t>
      </w:r>
      <w:r>
        <w:rPr>
          <w:rFonts w:hint="eastAsia" w:ascii="Times New Roman" w:hAnsi="Times New Roman" w:eastAsia="仿宋" w:cs="Times New Roman"/>
          <w:sz w:val="24"/>
          <w:szCs w:val="24"/>
        </w:rPr>
        <w:t>猪场建设、</w:t>
      </w:r>
      <w:r>
        <w:rPr>
          <w:rFonts w:ascii="Times New Roman" w:hAnsi="Times New Roman" w:eastAsia="仿宋" w:cs="Times New Roman"/>
          <w:sz w:val="24"/>
          <w:szCs w:val="24"/>
        </w:rPr>
        <w:t>饲养管理、</w:t>
      </w:r>
      <w:r>
        <w:rPr>
          <w:rFonts w:hint="eastAsia" w:ascii="Times New Roman" w:hAnsi="Times New Roman" w:eastAsia="仿宋" w:cs="Times New Roman"/>
          <w:sz w:val="24"/>
          <w:szCs w:val="24"/>
        </w:rPr>
        <w:t>营养需要</w:t>
      </w:r>
      <w:r>
        <w:rPr>
          <w:rFonts w:ascii="Times New Roman" w:hAnsi="Times New Roman" w:eastAsia="仿宋" w:cs="Times New Roman"/>
          <w:sz w:val="24"/>
          <w:szCs w:val="24"/>
        </w:rPr>
        <w:t>和</w:t>
      </w:r>
      <w:r>
        <w:rPr>
          <w:rFonts w:hint="eastAsia" w:ascii="Times New Roman" w:hAnsi="Times New Roman" w:eastAsia="仿宋" w:cs="Times New Roman"/>
          <w:sz w:val="24"/>
          <w:szCs w:val="24"/>
        </w:rPr>
        <w:t>疫病防控</w:t>
      </w:r>
      <w:r>
        <w:rPr>
          <w:rFonts w:ascii="Times New Roman" w:hAnsi="Times New Roman" w:eastAsia="仿宋" w:cs="Times New Roman"/>
          <w:sz w:val="24"/>
          <w:szCs w:val="24"/>
        </w:rPr>
        <w:t>是本标准的主要技术内容。</w:t>
      </w:r>
    </w:p>
    <w:p>
      <w:pPr>
        <w:spacing w:line="440" w:lineRule="exact"/>
        <w:ind w:firstLine="480" w:firstLineChars="200"/>
        <w:rPr>
          <w:rFonts w:ascii="Times New Roman" w:hAnsi="Times New Roman" w:eastAsia="仿宋" w:cs="Times New Roman"/>
          <w:sz w:val="24"/>
          <w:szCs w:val="24"/>
          <w:highlight w:val="yellow"/>
        </w:rPr>
      </w:pPr>
      <w:r>
        <w:rPr>
          <w:rFonts w:ascii="Times New Roman" w:hAnsi="Times New Roman" w:eastAsia="仿宋" w:cs="Times New Roman"/>
          <w:sz w:val="24"/>
          <w:szCs w:val="24"/>
        </w:rPr>
        <w:t>本文件规定了</w:t>
      </w:r>
      <w:r>
        <w:rPr>
          <w:rFonts w:hint="eastAsia" w:ascii="Times New Roman" w:hAnsi="Times New Roman" w:eastAsia="仿宋" w:cs="Times New Roman"/>
          <w:sz w:val="24"/>
          <w:szCs w:val="24"/>
        </w:rPr>
        <w:t>猪场</w:t>
      </w:r>
      <w:r>
        <w:rPr>
          <w:rFonts w:ascii="Times New Roman" w:hAnsi="Times New Roman" w:eastAsia="仿宋" w:cs="Times New Roman"/>
          <w:sz w:val="24"/>
          <w:szCs w:val="24"/>
        </w:rPr>
        <w:t>的选址、环境与布局，</w:t>
      </w:r>
      <w:r>
        <w:rPr>
          <w:rFonts w:hint="eastAsia" w:ascii="Times New Roman" w:hAnsi="Times New Roman" w:eastAsia="仿宋" w:cs="Times New Roman"/>
          <w:sz w:val="24"/>
          <w:szCs w:val="24"/>
        </w:rPr>
        <w:t>屯昌黑猪（商品猪）</w:t>
      </w:r>
      <w:r>
        <w:rPr>
          <w:rFonts w:ascii="Times New Roman" w:hAnsi="Times New Roman" w:eastAsia="仿宋" w:cs="Times New Roman"/>
          <w:sz w:val="24"/>
          <w:szCs w:val="24"/>
        </w:rPr>
        <w:t>的饲养期划分、营养需要、</w:t>
      </w:r>
      <w:r>
        <w:rPr>
          <w:rFonts w:hint="eastAsia" w:ascii="Times New Roman" w:hAnsi="Times New Roman" w:eastAsia="仿宋" w:cs="Times New Roman"/>
          <w:sz w:val="24"/>
          <w:szCs w:val="24"/>
        </w:rPr>
        <w:t>生长性能</w:t>
      </w:r>
      <w:r>
        <w:rPr>
          <w:rFonts w:ascii="Times New Roman" w:hAnsi="Times New Roman" w:eastAsia="仿宋" w:cs="Times New Roman"/>
          <w:sz w:val="24"/>
          <w:szCs w:val="24"/>
        </w:rPr>
        <w:t>、</w:t>
      </w:r>
      <w:r>
        <w:rPr>
          <w:rFonts w:hint="eastAsia" w:ascii="Times New Roman" w:hAnsi="Times New Roman" w:eastAsia="仿宋" w:cs="Times New Roman"/>
          <w:sz w:val="24"/>
          <w:szCs w:val="24"/>
        </w:rPr>
        <w:t>不同生长阶段猪只的</w:t>
      </w:r>
      <w:r>
        <w:rPr>
          <w:rFonts w:ascii="Times New Roman" w:hAnsi="Times New Roman" w:eastAsia="仿宋" w:cs="Times New Roman"/>
          <w:sz w:val="24"/>
          <w:szCs w:val="24"/>
        </w:rPr>
        <w:t>饲养管理，</w:t>
      </w:r>
      <w:r>
        <w:rPr>
          <w:rFonts w:hint="eastAsia" w:ascii="Times New Roman" w:hAnsi="Times New Roman" w:eastAsia="仿宋" w:cs="Times New Roman"/>
          <w:sz w:val="24"/>
          <w:szCs w:val="24"/>
        </w:rPr>
        <w:t>猪苗引进防疫、免疫、驱虫、消毒、非洲猪瘟防控、兽药使用</w:t>
      </w:r>
      <w:r>
        <w:rPr>
          <w:rFonts w:ascii="Times New Roman" w:hAnsi="Times New Roman" w:eastAsia="仿宋" w:cs="Times New Roman"/>
          <w:sz w:val="24"/>
          <w:szCs w:val="24"/>
        </w:rPr>
        <w:t>，</w:t>
      </w:r>
      <w:r>
        <w:rPr>
          <w:rFonts w:hint="eastAsia" w:ascii="Times New Roman" w:hAnsi="Times New Roman" w:eastAsia="仿宋" w:cs="Times New Roman"/>
          <w:sz w:val="24"/>
          <w:szCs w:val="24"/>
        </w:rPr>
        <w:t>废弃物处理及档案管理</w:t>
      </w:r>
      <w:r>
        <w:rPr>
          <w:rFonts w:ascii="Times New Roman" w:hAnsi="Times New Roman" w:eastAsia="仿宋" w:cs="Times New Roman"/>
          <w:sz w:val="24"/>
          <w:szCs w:val="24"/>
        </w:rPr>
        <w:t>等技术要求。</w:t>
      </w:r>
    </w:p>
    <w:p>
      <w:pPr>
        <w:spacing w:line="440" w:lineRule="exact"/>
        <w:rPr>
          <w:rFonts w:ascii="Times New Roman" w:hAnsi="Times New Roman" w:eastAsia="仿宋" w:cs="Times New Roman"/>
          <w:sz w:val="24"/>
          <w:szCs w:val="24"/>
        </w:rPr>
      </w:pPr>
      <w:r>
        <w:rPr>
          <w:rFonts w:ascii="Times New Roman" w:hAnsi="Times New Roman" w:eastAsia="仿宋" w:cs="Times New Roman"/>
          <w:sz w:val="24"/>
          <w:szCs w:val="24"/>
        </w:rPr>
        <w:t>2、主要技术指标、参数</w:t>
      </w:r>
    </w:p>
    <w:p>
      <w:pPr>
        <w:spacing w:line="440" w:lineRule="exact"/>
        <w:rPr>
          <w:rFonts w:ascii="Times New Roman" w:hAnsi="Times New Roman" w:eastAsia="仿宋" w:cs="Times New Roman"/>
          <w:sz w:val="24"/>
          <w:szCs w:val="24"/>
        </w:rPr>
      </w:pPr>
      <w:r>
        <w:rPr>
          <w:rFonts w:ascii="Times New Roman" w:hAnsi="Times New Roman" w:eastAsia="仿宋" w:cs="Times New Roman"/>
          <w:sz w:val="24"/>
          <w:szCs w:val="24"/>
        </w:rPr>
        <w:t xml:space="preserve">2.1 </w:t>
      </w:r>
      <w:r>
        <w:rPr>
          <w:rFonts w:hint="eastAsia" w:ascii="Times New Roman" w:hAnsi="Times New Roman" w:eastAsia="仿宋" w:cs="Times New Roman"/>
          <w:sz w:val="24"/>
          <w:szCs w:val="24"/>
        </w:rPr>
        <w:t>猪场建设</w:t>
      </w:r>
    </w:p>
    <w:p>
      <w:pPr>
        <w:spacing w:line="440" w:lineRule="exact"/>
        <w:rPr>
          <w:rFonts w:ascii="Times New Roman" w:hAnsi="Times New Roman" w:eastAsia="仿宋" w:cs="Times New Roman"/>
          <w:sz w:val="24"/>
          <w:szCs w:val="24"/>
        </w:rPr>
      </w:pPr>
      <w:r>
        <w:rPr>
          <w:rFonts w:ascii="Times New Roman" w:hAnsi="Times New Roman" w:eastAsia="仿宋" w:cs="Times New Roman"/>
          <w:sz w:val="24"/>
          <w:szCs w:val="24"/>
        </w:rPr>
        <w:t>2.1.1</w:t>
      </w:r>
      <w:r>
        <w:rPr>
          <w:rFonts w:hint="eastAsia" w:ascii="Times New Roman" w:hAnsi="Times New Roman" w:eastAsia="仿宋" w:cs="Times New Roman"/>
          <w:sz w:val="24"/>
          <w:szCs w:val="24"/>
        </w:rPr>
        <w:t xml:space="preserve"> 选址</w:t>
      </w:r>
    </w:p>
    <w:p>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猪场选址应严格遵守《中华人民共和国畜牧法》《动物防疫条件审查办法》的规定，并符合当地土地利用规划的要求，宜建在居民区的下风向或侧风向处，并远离人居场所、旅游区、工业区，距离交通主干道和饮用水源。猪场环境质量应符合NY/T 1167的规定。猪场的地势要高，要求高出当地历年最高洪水线1米以上，并有一定坡度，便于排涝。地形要开阔、有一定量的林木、灌木等。土质最好是透水性强的砂土或沙壤土。猪场与主要公路连接路段路面要坚实，保证水源充足、水质符合饮用标准。猪场最好自建机井、水塔，以管道直通各猪舍。电力要有保障，最好配备相应的发电机，预防停电</w:t>
      </w:r>
      <w:r>
        <w:rPr>
          <w:rFonts w:ascii="Times New Roman" w:hAnsi="Times New Roman" w:eastAsia="仿宋" w:cs="Times New Roman"/>
          <w:sz w:val="24"/>
          <w:szCs w:val="24"/>
        </w:rPr>
        <w:t>。</w:t>
      </w:r>
    </w:p>
    <w:p>
      <w:pPr>
        <w:spacing w:line="440" w:lineRule="exact"/>
        <w:rPr>
          <w:rFonts w:ascii="Times New Roman" w:hAnsi="Times New Roman" w:eastAsia="仿宋" w:cs="Times New Roman"/>
          <w:sz w:val="24"/>
          <w:szCs w:val="24"/>
        </w:rPr>
      </w:pPr>
      <w:r>
        <w:rPr>
          <w:rFonts w:ascii="Times New Roman" w:hAnsi="Times New Roman" w:eastAsia="仿宋" w:cs="Times New Roman"/>
          <w:sz w:val="24"/>
          <w:szCs w:val="24"/>
        </w:rPr>
        <w:t>2.1.2</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布局</w:t>
      </w:r>
    </w:p>
    <w:p>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根据全年主风向和场区地势，将猪场划分为生活管理区、生产区、隔离区和粪污处理区四大功能区，生产区内污道与净道分离，以防交叉感染。猪场设饲料间、引种隔离观察舍、猪舍、病猪隔离舍、消毒池、无害化处理设施粪便发酵池、污水沉淀池、病死猪填埋井、兽医室等，并做好绿化工作，符合GB/T 17824.1的要求</w:t>
      </w:r>
      <w:r>
        <w:rPr>
          <w:rFonts w:ascii="Times New Roman" w:hAnsi="Times New Roman" w:eastAsia="仿宋" w:cs="Times New Roman"/>
          <w:sz w:val="24"/>
          <w:szCs w:val="24"/>
        </w:rPr>
        <w:t>。</w:t>
      </w:r>
    </w:p>
    <w:p>
      <w:pPr>
        <w:spacing w:line="440" w:lineRule="exact"/>
        <w:rPr>
          <w:rFonts w:ascii="Times New Roman" w:hAnsi="Times New Roman" w:eastAsia="仿宋" w:cs="Times New Roman"/>
          <w:sz w:val="24"/>
          <w:szCs w:val="24"/>
        </w:rPr>
      </w:pPr>
      <w:r>
        <w:rPr>
          <w:rFonts w:ascii="Times New Roman" w:hAnsi="Times New Roman" w:eastAsia="仿宋" w:cs="Times New Roman"/>
          <w:sz w:val="24"/>
          <w:szCs w:val="24"/>
        </w:rPr>
        <w:t>2.1.</w:t>
      </w:r>
      <w:r>
        <w:rPr>
          <w:rFonts w:hint="eastAsia" w:ascii="Times New Roman" w:hAnsi="Times New Roman" w:eastAsia="仿宋" w:cs="Times New Roman"/>
          <w:sz w:val="24"/>
          <w:szCs w:val="24"/>
        </w:rPr>
        <w:t>3 猪舍</w:t>
      </w:r>
    </w:p>
    <w:p>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舍向坐北朝南，墙体为砖混结构单层或多层，墙壁整洁光滑，利于卫生消毒，猪舍在设计上应充分考虑粪污干湿分离、暗沟输送和雨污分流，外墙设有排水沟。根据不同生长阶段猪群占地面积做好设施设备的安排。不同阶段猪群猪舍设置与规格见表1，占地面积见表2。</w:t>
      </w:r>
    </w:p>
    <w:p>
      <w:pPr>
        <w:tabs>
          <w:tab w:val="left" w:pos="360"/>
        </w:tabs>
        <w:spacing w:before="156" w:beforeLines="50" w:after="156" w:afterLines="50"/>
        <w:jc w:val="center"/>
        <w:rPr>
          <w:rFonts w:ascii="宋体" w:hAnsi="宋体" w:eastAsia="宋体" w:cs="宋体"/>
        </w:rPr>
      </w:pPr>
      <w:r>
        <w:rPr>
          <w:rFonts w:hint="eastAsia" w:ascii="宋体" w:hAnsi="宋体" w:eastAsia="宋体" w:cs="宋体"/>
        </w:rPr>
        <w:t>表1 不同阶段猪栏设置与规格</w:t>
      </w:r>
    </w:p>
    <w:p>
      <w:pPr>
        <w:spacing w:line="440" w:lineRule="exact"/>
        <w:ind w:firstLine="360" w:firstLineChars="200"/>
        <w:jc w:val="right"/>
        <w:rPr>
          <w:rFonts w:ascii="Times New Roman" w:hAnsi="Times New Roman" w:eastAsia="仿宋" w:cs="Times New Roman"/>
          <w:sz w:val="18"/>
          <w:szCs w:val="18"/>
        </w:rPr>
      </w:pPr>
      <w:r>
        <w:rPr>
          <w:rFonts w:hint="eastAsia" w:ascii="Times New Roman" w:hAnsi="Times New Roman" w:eastAsia="仿宋" w:cs="Times New Roman"/>
          <w:sz w:val="18"/>
          <w:szCs w:val="18"/>
        </w:rPr>
        <w:t>单位为米</w:t>
      </w:r>
    </w:p>
    <w:tbl>
      <w:tblPr>
        <w:tblStyle w:val="27"/>
        <w:tblW w:w="4999"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792"/>
        <w:gridCol w:w="1614"/>
        <w:gridCol w:w="1706"/>
        <w:gridCol w:w="1705"/>
        <w:gridCol w:w="170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51" w:type="pct"/>
            <w:tcBorders>
              <w:bottom w:val="single" w:color="auto" w:sz="8"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猪群类别</w:t>
            </w:r>
          </w:p>
        </w:tc>
        <w:tc>
          <w:tcPr>
            <w:tcW w:w="947" w:type="pct"/>
            <w:tcBorders>
              <w:bottom w:val="single" w:color="auto" w:sz="8"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lang w:val="zh-CN"/>
              </w:rPr>
              <w:t>猪舍类型</w:t>
            </w:r>
          </w:p>
        </w:tc>
        <w:tc>
          <w:tcPr>
            <w:tcW w:w="1001" w:type="pct"/>
            <w:tcBorders>
              <w:bottom w:val="single" w:color="auto" w:sz="8"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长</w:t>
            </w:r>
          </w:p>
        </w:tc>
        <w:tc>
          <w:tcPr>
            <w:tcW w:w="1000" w:type="pct"/>
            <w:tcBorders>
              <w:bottom w:val="single" w:color="auto" w:sz="8"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宽</w:t>
            </w:r>
          </w:p>
        </w:tc>
        <w:tc>
          <w:tcPr>
            <w:tcW w:w="999" w:type="pct"/>
            <w:tcBorders>
              <w:bottom w:val="single" w:color="auto" w:sz="8"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51" w:type="pct"/>
            <w:tcBorders>
              <w:top w:val="single" w:color="auto" w:sz="8" w:space="0"/>
              <w:tl2br w:val="nil"/>
              <w:tr2bl w:val="nil"/>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小猪</w:t>
            </w:r>
          </w:p>
        </w:tc>
        <w:tc>
          <w:tcPr>
            <w:tcW w:w="947" w:type="pct"/>
            <w:tcBorders>
              <w:top w:val="single" w:color="auto" w:sz="8" w:space="0"/>
              <w:tl2br w:val="nil"/>
              <w:tr2bl w:val="nil"/>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半封闭双列式</w:t>
            </w:r>
          </w:p>
        </w:tc>
        <w:tc>
          <w:tcPr>
            <w:tcW w:w="1001" w:type="pct"/>
            <w:tcBorders>
              <w:top w:val="single" w:color="auto" w:sz="8" w:space="0"/>
              <w:tl2br w:val="nil"/>
              <w:tr2bl w:val="nil"/>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w:t>
            </w:r>
            <w:r>
              <w:rPr>
                <w:rFonts w:ascii="Times New Roman" w:hAnsi="Times New Roman" w:eastAsia="宋体" w:cs="Times New Roman"/>
                <w:snapToGrid w:val="0"/>
                <w:sz w:val="18"/>
                <w:szCs w:val="18"/>
                <w:lang w:bidi="ar"/>
              </w:rPr>
              <w:t>～</w:t>
            </w:r>
            <w:r>
              <w:rPr>
                <w:rFonts w:ascii="Times New Roman" w:hAnsi="Times New Roman" w:eastAsia="宋体" w:cs="Times New Roman"/>
                <w:sz w:val="18"/>
                <w:szCs w:val="18"/>
              </w:rPr>
              <w:t>7</w:t>
            </w:r>
          </w:p>
        </w:tc>
        <w:tc>
          <w:tcPr>
            <w:tcW w:w="1000" w:type="pct"/>
            <w:tcBorders>
              <w:top w:val="single" w:color="auto" w:sz="8" w:space="0"/>
              <w:tl2br w:val="nil"/>
              <w:tr2bl w:val="nil"/>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2.5</w:t>
            </w:r>
            <w:r>
              <w:rPr>
                <w:rFonts w:ascii="Times New Roman" w:hAnsi="Times New Roman" w:eastAsia="宋体" w:cs="Times New Roman"/>
                <w:snapToGrid w:val="0"/>
                <w:sz w:val="18"/>
                <w:szCs w:val="18"/>
                <w:lang w:bidi="ar"/>
              </w:rPr>
              <w:t>～</w:t>
            </w:r>
            <w:r>
              <w:rPr>
                <w:rFonts w:ascii="Times New Roman" w:hAnsi="Times New Roman" w:eastAsia="宋体" w:cs="Times New Roman"/>
                <w:sz w:val="18"/>
                <w:szCs w:val="18"/>
              </w:rPr>
              <w:t>4</w:t>
            </w:r>
          </w:p>
        </w:tc>
        <w:tc>
          <w:tcPr>
            <w:tcW w:w="999" w:type="pct"/>
            <w:tcBorders>
              <w:top w:val="single" w:color="auto" w:sz="8" w:space="0"/>
              <w:tl2br w:val="nil"/>
              <w:tr2bl w:val="nil"/>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r>
              <w:rPr>
                <w:rFonts w:ascii="Times New Roman" w:hAnsi="Times New Roman" w:eastAsia="宋体" w:cs="Times New Roman"/>
                <w:snapToGrid w:val="0"/>
                <w:sz w:val="18"/>
                <w:szCs w:val="18"/>
                <w:lang w:bidi="ar"/>
              </w:rPr>
              <w:t>～</w:t>
            </w:r>
            <w:r>
              <w:rPr>
                <w:rFonts w:ascii="Times New Roman" w:hAnsi="Times New Roman" w:eastAsia="宋体" w:cs="Times New Roman"/>
                <w:sz w:val="18"/>
                <w:szCs w:val="18"/>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51" w:type="pct"/>
            <w:tcBorders>
              <w:tl2br w:val="nil"/>
              <w:tr2bl w:val="nil"/>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中猪、大猪</w:t>
            </w:r>
          </w:p>
        </w:tc>
        <w:tc>
          <w:tcPr>
            <w:tcW w:w="947" w:type="pct"/>
            <w:tcBorders>
              <w:tl2br w:val="nil"/>
              <w:tr2bl w:val="nil"/>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敞开双列式</w:t>
            </w:r>
          </w:p>
        </w:tc>
        <w:tc>
          <w:tcPr>
            <w:tcW w:w="1001" w:type="pct"/>
            <w:tcBorders>
              <w:tl2br w:val="nil"/>
              <w:tr2bl w:val="nil"/>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w:t>
            </w:r>
            <w:r>
              <w:rPr>
                <w:rFonts w:ascii="Times New Roman" w:hAnsi="Times New Roman" w:eastAsia="宋体" w:cs="Times New Roman"/>
                <w:snapToGrid w:val="0"/>
                <w:sz w:val="18"/>
                <w:szCs w:val="18"/>
                <w:lang w:bidi="ar"/>
              </w:rPr>
              <w:t>～</w:t>
            </w:r>
            <w:r>
              <w:rPr>
                <w:rFonts w:ascii="Times New Roman" w:hAnsi="Times New Roman" w:eastAsia="宋体" w:cs="Times New Roman"/>
                <w:sz w:val="18"/>
                <w:szCs w:val="18"/>
              </w:rPr>
              <w:t>7</w:t>
            </w:r>
          </w:p>
        </w:tc>
        <w:tc>
          <w:tcPr>
            <w:tcW w:w="1000" w:type="pct"/>
            <w:tcBorders>
              <w:tl2br w:val="nil"/>
              <w:tr2bl w:val="nil"/>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w:t>
            </w:r>
            <w:r>
              <w:rPr>
                <w:rFonts w:ascii="Times New Roman" w:hAnsi="Times New Roman" w:eastAsia="宋体" w:cs="Times New Roman"/>
                <w:snapToGrid w:val="0"/>
                <w:sz w:val="18"/>
                <w:szCs w:val="18"/>
                <w:lang w:bidi="ar"/>
              </w:rPr>
              <w:t>～</w:t>
            </w:r>
            <w:r>
              <w:rPr>
                <w:rFonts w:ascii="Times New Roman" w:hAnsi="Times New Roman" w:eastAsia="宋体" w:cs="Times New Roman"/>
                <w:sz w:val="18"/>
                <w:szCs w:val="18"/>
              </w:rPr>
              <w:t>4</w:t>
            </w:r>
          </w:p>
        </w:tc>
        <w:tc>
          <w:tcPr>
            <w:tcW w:w="999" w:type="pct"/>
            <w:tcBorders>
              <w:tl2br w:val="nil"/>
              <w:tr2bl w:val="nil"/>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r>
              <w:rPr>
                <w:rFonts w:ascii="Times New Roman" w:hAnsi="Times New Roman" w:eastAsia="宋体" w:cs="Times New Roman"/>
                <w:snapToGrid w:val="0"/>
                <w:sz w:val="18"/>
                <w:szCs w:val="18"/>
                <w:lang w:bidi="ar"/>
              </w:rPr>
              <w:t>～</w:t>
            </w:r>
            <w:r>
              <w:rPr>
                <w:rFonts w:ascii="Times New Roman" w:hAnsi="Times New Roman" w:eastAsia="宋体" w:cs="Times New Roman"/>
                <w:sz w:val="18"/>
                <w:szCs w:val="18"/>
              </w:rPr>
              <w:t>1.5</w:t>
            </w:r>
          </w:p>
        </w:tc>
      </w:tr>
    </w:tbl>
    <w:p>
      <w:pPr>
        <w:spacing w:line="440" w:lineRule="exact"/>
        <w:ind w:firstLine="480" w:firstLineChars="200"/>
        <w:jc w:val="center"/>
        <w:rPr>
          <w:rFonts w:ascii="Times New Roman" w:hAnsi="Times New Roman" w:eastAsia="仿宋" w:cs="Times New Roman"/>
          <w:sz w:val="24"/>
          <w:szCs w:val="24"/>
        </w:rPr>
      </w:pPr>
    </w:p>
    <w:p>
      <w:pPr>
        <w:tabs>
          <w:tab w:val="left" w:pos="360"/>
        </w:tabs>
        <w:spacing w:before="156" w:beforeLines="50" w:after="156" w:afterLines="50"/>
        <w:jc w:val="center"/>
        <w:rPr>
          <w:rFonts w:ascii="宋体" w:hAnsi="宋体" w:eastAsia="宋体" w:cs="宋体"/>
        </w:rPr>
      </w:pPr>
      <w:r>
        <w:rPr>
          <w:rFonts w:hint="eastAsia" w:ascii="宋体" w:hAnsi="宋体" w:eastAsia="宋体" w:cs="宋体"/>
        </w:rPr>
        <w:t>表2 不同阶段猪群占地面积</w:t>
      </w:r>
    </w:p>
    <w:tbl>
      <w:tblPr>
        <w:tblStyle w:val="27"/>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4" w:space="0"/>
        </w:tblBorders>
        <w:tblLayout w:type="autofit"/>
        <w:tblCellMar>
          <w:top w:w="0" w:type="dxa"/>
          <w:left w:w="108" w:type="dxa"/>
          <w:bottom w:w="0" w:type="dxa"/>
          <w:right w:w="108" w:type="dxa"/>
        </w:tblCellMar>
      </w:tblPr>
      <w:tblGrid>
        <w:gridCol w:w="2527"/>
        <w:gridCol w:w="1998"/>
        <w:gridCol w:w="1998"/>
        <w:gridCol w:w="19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217" w:hRule="atLeast"/>
        </w:trPr>
        <w:tc>
          <w:tcPr>
            <w:tcW w:w="1482" w:type="pct"/>
            <w:tcBorders>
              <w:bottom w:val="single" w:color="auto" w:sz="8"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猪群类别</w:t>
            </w:r>
          </w:p>
        </w:tc>
        <w:tc>
          <w:tcPr>
            <w:tcW w:w="1172" w:type="pct"/>
            <w:tcBorders>
              <w:bottom w:val="single" w:color="auto" w:sz="8"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小猪</w:t>
            </w:r>
          </w:p>
        </w:tc>
        <w:tc>
          <w:tcPr>
            <w:tcW w:w="1172" w:type="pct"/>
            <w:tcBorders>
              <w:bottom w:val="single" w:color="auto" w:sz="8"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中猪</w:t>
            </w:r>
          </w:p>
        </w:tc>
        <w:tc>
          <w:tcPr>
            <w:tcW w:w="1172" w:type="pct"/>
            <w:tcBorders>
              <w:bottom w:val="single" w:color="auto" w:sz="8"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大猪</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35" w:hRule="atLeast"/>
        </w:trPr>
        <w:tc>
          <w:tcPr>
            <w:tcW w:w="1482" w:type="pct"/>
            <w:tcBorders>
              <w:top w:val="single" w:color="auto" w:sz="8" w:space="0"/>
              <w:tl2br w:val="nil"/>
              <w:tr2bl w:val="nil"/>
            </w:tcBorders>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体重/kg</w:t>
            </w:r>
          </w:p>
        </w:tc>
        <w:tc>
          <w:tcPr>
            <w:tcW w:w="1172" w:type="pct"/>
            <w:tcBorders>
              <w:top w:val="single" w:color="auto" w:sz="8" w:space="0"/>
              <w:tl2br w:val="nil"/>
              <w:tr2bl w:val="nil"/>
            </w:tcBorders>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7～30</w:t>
            </w:r>
          </w:p>
        </w:tc>
        <w:tc>
          <w:tcPr>
            <w:tcW w:w="1172" w:type="pct"/>
            <w:tcBorders>
              <w:top w:val="single" w:color="auto" w:sz="8" w:space="0"/>
              <w:tl2br w:val="nil"/>
              <w:tr2bl w:val="nil"/>
            </w:tcBorders>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30～60</w:t>
            </w:r>
          </w:p>
        </w:tc>
        <w:tc>
          <w:tcPr>
            <w:tcW w:w="1172" w:type="pct"/>
            <w:tcBorders>
              <w:top w:val="single" w:color="auto" w:sz="8" w:space="0"/>
              <w:tl2br w:val="nil"/>
              <w:tr2bl w:val="nil"/>
            </w:tcBorders>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60～120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4" w:space="0"/>
          </w:tblBorders>
          <w:tblCellMar>
            <w:top w:w="0" w:type="dxa"/>
            <w:left w:w="108" w:type="dxa"/>
            <w:bottom w:w="0" w:type="dxa"/>
            <w:right w:w="108" w:type="dxa"/>
          </w:tblCellMar>
        </w:tblPrEx>
        <w:tc>
          <w:tcPr>
            <w:tcW w:w="1482" w:type="pct"/>
            <w:tcBorders>
              <w:tl2br w:val="nil"/>
              <w:tr2bl w:val="nil"/>
            </w:tcBorders>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每头占地栏面积实地/m</w:t>
            </w:r>
            <w:r>
              <w:rPr>
                <w:rFonts w:ascii="Times New Roman" w:hAnsi="Times New Roman" w:eastAsia="宋体" w:cs="Times New Roman"/>
                <w:kern w:val="0"/>
                <w:sz w:val="18"/>
                <w:szCs w:val="18"/>
                <w:vertAlign w:val="superscript"/>
                <w:lang w:bidi="ar"/>
              </w:rPr>
              <w:t>2</w:t>
            </w:r>
          </w:p>
        </w:tc>
        <w:tc>
          <w:tcPr>
            <w:tcW w:w="1172" w:type="pct"/>
            <w:tcBorders>
              <w:tl2br w:val="nil"/>
              <w:tr2bl w:val="nil"/>
            </w:tcBorders>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0.4～0.6</w:t>
            </w:r>
          </w:p>
        </w:tc>
        <w:tc>
          <w:tcPr>
            <w:tcW w:w="1172" w:type="pct"/>
            <w:tcBorders>
              <w:tl2br w:val="nil"/>
              <w:tr2bl w:val="nil"/>
            </w:tcBorders>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0.8～1.0</w:t>
            </w:r>
          </w:p>
        </w:tc>
        <w:tc>
          <w:tcPr>
            <w:tcW w:w="1172" w:type="pct"/>
            <w:tcBorders>
              <w:tl2br w:val="nil"/>
              <w:tr2bl w:val="nil"/>
            </w:tcBorders>
            <w:vAlign w:val="center"/>
          </w:tcPr>
          <w:p>
            <w:pPr>
              <w:widowControl/>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1.0～1.3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4" w:space="0"/>
          </w:tblBorders>
          <w:tblCellMar>
            <w:top w:w="0" w:type="dxa"/>
            <w:left w:w="108" w:type="dxa"/>
            <w:bottom w:w="0" w:type="dxa"/>
            <w:right w:w="108" w:type="dxa"/>
          </w:tblCellMar>
        </w:tblPrEx>
        <w:tc>
          <w:tcPr>
            <w:tcW w:w="1482" w:type="pct"/>
            <w:tcBorders>
              <w:tl2br w:val="nil"/>
              <w:tr2bl w:val="nil"/>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每头占地栏面积全漏缝/m</w:t>
            </w:r>
            <w:r>
              <w:rPr>
                <w:rFonts w:ascii="Times New Roman" w:hAnsi="Times New Roman" w:eastAsia="宋体" w:cs="Times New Roman"/>
                <w:kern w:val="0"/>
                <w:sz w:val="18"/>
                <w:szCs w:val="18"/>
                <w:vertAlign w:val="superscript"/>
                <w:lang w:bidi="ar"/>
              </w:rPr>
              <w:t>2</w:t>
            </w:r>
          </w:p>
        </w:tc>
        <w:tc>
          <w:tcPr>
            <w:tcW w:w="1172" w:type="pct"/>
            <w:tcBorders>
              <w:tl2br w:val="nil"/>
              <w:tr2bl w:val="nil"/>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0.3</w:t>
            </w:r>
            <w:r>
              <w:rPr>
                <w:rFonts w:ascii="Times New Roman" w:hAnsi="Times New Roman" w:eastAsia="宋体" w:cs="Times New Roman"/>
                <w:snapToGrid w:val="0"/>
                <w:sz w:val="18"/>
                <w:szCs w:val="18"/>
                <w:lang w:bidi="ar"/>
              </w:rPr>
              <w:t>～</w:t>
            </w:r>
            <w:r>
              <w:rPr>
                <w:rFonts w:ascii="Times New Roman" w:hAnsi="Times New Roman" w:eastAsia="宋体" w:cs="Times New Roman"/>
                <w:kern w:val="0"/>
                <w:sz w:val="18"/>
                <w:szCs w:val="18"/>
                <w:lang w:bidi="ar"/>
              </w:rPr>
              <w:t>0.4</w:t>
            </w:r>
          </w:p>
        </w:tc>
        <w:tc>
          <w:tcPr>
            <w:tcW w:w="1172" w:type="pct"/>
            <w:tcBorders>
              <w:tl2br w:val="nil"/>
              <w:tr2bl w:val="nil"/>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0.5</w:t>
            </w:r>
            <w:r>
              <w:rPr>
                <w:rFonts w:ascii="Times New Roman" w:hAnsi="Times New Roman" w:eastAsia="宋体" w:cs="Times New Roman"/>
                <w:snapToGrid w:val="0"/>
                <w:sz w:val="18"/>
                <w:szCs w:val="18"/>
                <w:lang w:bidi="ar"/>
              </w:rPr>
              <w:t>～</w:t>
            </w:r>
            <w:r>
              <w:rPr>
                <w:rFonts w:ascii="Times New Roman" w:hAnsi="Times New Roman" w:eastAsia="宋体" w:cs="Times New Roman"/>
                <w:kern w:val="0"/>
                <w:sz w:val="18"/>
                <w:szCs w:val="18"/>
                <w:lang w:bidi="ar"/>
              </w:rPr>
              <w:t>0.7</w:t>
            </w:r>
          </w:p>
        </w:tc>
        <w:tc>
          <w:tcPr>
            <w:tcW w:w="1172" w:type="pct"/>
            <w:tcBorders>
              <w:tl2br w:val="nil"/>
              <w:tr2bl w:val="nil"/>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0.7</w:t>
            </w:r>
            <w:r>
              <w:rPr>
                <w:rFonts w:ascii="Times New Roman" w:hAnsi="Times New Roman" w:eastAsia="宋体" w:cs="Times New Roman"/>
                <w:snapToGrid w:val="0"/>
                <w:sz w:val="18"/>
                <w:szCs w:val="18"/>
                <w:lang w:bidi="ar"/>
              </w:rPr>
              <w:t>～</w:t>
            </w:r>
            <w:r>
              <w:rPr>
                <w:rFonts w:ascii="Times New Roman" w:hAnsi="Times New Roman" w:eastAsia="宋体" w:cs="Times New Roman"/>
                <w:kern w:val="0"/>
                <w:sz w:val="18"/>
                <w:szCs w:val="18"/>
                <w:lang w:bidi="ar"/>
              </w:rPr>
              <w:t>1.0</w:t>
            </w:r>
          </w:p>
        </w:tc>
      </w:tr>
    </w:tbl>
    <w:p>
      <w:pPr>
        <w:spacing w:line="440" w:lineRule="exact"/>
        <w:rPr>
          <w:rFonts w:ascii="Times New Roman" w:hAnsi="Times New Roman" w:eastAsia="仿宋" w:cs="Times New Roman"/>
          <w:sz w:val="24"/>
          <w:szCs w:val="24"/>
        </w:rPr>
      </w:pPr>
      <w:r>
        <w:rPr>
          <w:rFonts w:ascii="Times New Roman" w:hAnsi="Times New Roman" w:eastAsia="仿宋" w:cs="Times New Roman"/>
          <w:sz w:val="24"/>
          <w:szCs w:val="24"/>
        </w:rPr>
        <w:t>2.1.</w:t>
      </w:r>
      <w:r>
        <w:rPr>
          <w:rFonts w:hint="eastAsia" w:ascii="Times New Roman" w:hAnsi="Times New Roman" w:eastAsia="仿宋" w:cs="Times New Roman"/>
          <w:sz w:val="24"/>
          <w:szCs w:val="24"/>
        </w:rPr>
        <w:t>4 猪场设施设备</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w:t>
      </w:r>
      <w:r>
        <w:rPr>
          <w:rFonts w:hint="eastAsia" w:ascii="Times New Roman" w:hAnsi="Times New Roman" w:eastAsia="仿宋" w:cs="Times New Roman"/>
          <w:sz w:val="24"/>
          <w:szCs w:val="24"/>
        </w:rPr>
        <w:t xml:space="preserve">4.1 </w:t>
      </w:r>
      <w:r>
        <w:rPr>
          <w:rFonts w:ascii="Times New Roman" w:hAnsi="Times New Roman" w:eastAsia="仿宋" w:cs="Times New Roman"/>
          <w:sz w:val="24"/>
          <w:szCs w:val="24"/>
        </w:rPr>
        <w:t>猪场大门处要按规定设制消毒设施。包括：烧碱水池、高压清洗消毒机、烘干房等。生产区门口设有更衣换鞋室、消毒室或沐浴室。沐浴消毒室按单向进出的要求设计，符合GB/T 17824.1 的要求。</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w:t>
      </w:r>
      <w:r>
        <w:rPr>
          <w:rFonts w:hint="eastAsia" w:ascii="Times New Roman" w:hAnsi="Times New Roman" w:eastAsia="仿宋" w:cs="Times New Roman"/>
          <w:sz w:val="24"/>
          <w:szCs w:val="24"/>
        </w:rPr>
        <w:t xml:space="preserve">4.2 </w:t>
      </w:r>
      <w:r>
        <w:rPr>
          <w:rFonts w:ascii="Times New Roman" w:hAnsi="Times New Roman" w:eastAsia="仿宋" w:cs="Times New Roman"/>
          <w:sz w:val="24"/>
          <w:szCs w:val="24"/>
        </w:rPr>
        <w:t>猪舍要安装自动喂料系统；风扇、鼓风机、水帘等降温设备；布帘、保温箱、保温灯等保温措施；高压清洗消毒机等；漏缝地板、保育栏和、限位栏和监控设备等，符合GB/T 17824.1 的要求。</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w:t>
      </w:r>
      <w:r>
        <w:rPr>
          <w:rFonts w:hint="eastAsia" w:ascii="Times New Roman" w:hAnsi="Times New Roman" w:eastAsia="仿宋" w:cs="Times New Roman"/>
          <w:sz w:val="24"/>
          <w:szCs w:val="24"/>
        </w:rPr>
        <w:t>4.</w:t>
      </w:r>
      <w:r>
        <w:rPr>
          <w:rFonts w:ascii="Times New Roman" w:hAnsi="Times New Roman" w:eastAsia="仿宋" w:cs="Times New Roman"/>
          <w:sz w:val="24"/>
          <w:szCs w:val="24"/>
        </w:rPr>
        <w:t>3</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猪舍内通风良好，空气中有毒有害气体含量应符合NY/T 388要求。猪舍的栋间距离应在10 m以上。</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w:t>
      </w:r>
      <w:r>
        <w:rPr>
          <w:rFonts w:hint="eastAsia" w:ascii="Times New Roman" w:hAnsi="Times New Roman" w:eastAsia="仿宋" w:cs="Times New Roman"/>
          <w:sz w:val="24"/>
          <w:szCs w:val="24"/>
        </w:rPr>
        <w:t>1</w:t>
      </w:r>
      <w:r>
        <w:rPr>
          <w:rFonts w:ascii="Times New Roman" w:hAnsi="Times New Roman" w:eastAsia="仿宋" w:cs="Times New Roman"/>
          <w:sz w:val="24"/>
          <w:szCs w:val="24"/>
        </w:rPr>
        <w:t>.</w:t>
      </w:r>
      <w:r>
        <w:rPr>
          <w:rFonts w:hint="eastAsia" w:ascii="Times New Roman" w:hAnsi="Times New Roman" w:eastAsia="仿宋" w:cs="Times New Roman"/>
          <w:sz w:val="24"/>
          <w:szCs w:val="24"/>
        </w:rPr>
        <w:t>4</w:t>
      </w:r>
      <w:r>
        <w:rPr>
          <w:rFonts w:ascii="Times New Roman" w:hAnsi="Times New Roman" w:eastAsia="仿宋" w:cs="Times New Roman"/>
          <w:sz w:val="24"/>
          <w:szCs w:val="24"/>
        </w:rPr>
        <w:t>.4</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猪场设有病死猪、过期兽药或使用过的疫苗、粪污等废弃物无害化处理设施，贮存池、沉淀池、沼气池、氧化塘、干粪棚、固液分离机等，防止渗漏、溢流、有害气体对周围环境造成污染。</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 饲养管理</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2.2.1 猪不同饲养阶段划分</w:t>
      </w:r>
    </w:p>
    <w:p>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屯昌黑猪的饲养为仔猪保育期结束到肉猪出栏时期的饲养。一般分为小猪、中猪和大猪三个阶段。</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2.2.2 猪的引进</w:t>
      </w:r>
    </w:p>
    <w:p>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坚持自繁自养的原则；需要引进猪饲养时，必须从非疫区引进，并有产地检疫证明；猪在装运及运输过程中避免接触过其他偶蹄动物，运输车辆应做彻底清洗消毒；猪只引入后，至少隔离饲养45 d，在此期间进行观察、保健、消毒，确认为健康后合群饲养，猪的引进参照GB/T 39915执行。</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2.2.3 饲料转变</w:t>
      </w:r>
    </w:p>
    <w:p>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从小猪到中猪、大猪的饲养，根据不同阶段制定不同的饲料营养标准。饲料转变一般采取逐渐过渡的方法（如保育料转中猪料，应在保育料中加入少部分中猪料，喂养3 d～5 d，转为中猪料。在中猪料转为大猪料时，在中猪料中适应加入大猪料，喂养3 d～5 d转为大猪料）。避免由于饲料突然的变换，而导致应激反应。</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2.2.4 小猪饲养管理</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2.2.4.1 分群：小猪饲养时，要根据饲养猪的体重大小、强弱等进行合理分群，个体差异为±1.5 kg。</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2.2.4.2调教（三点定位）：小猪入栏后，要进行调教（如在猪栏排污口处撒上一些猪粪尿，引小猪在该点排泄），养成在固定地点排泄粪尿、睡觉、进食和互不争食的良好习惯。</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2.2.4.3饲喂方式：采用水料（稠料）、湿料或干料饲喂，自由采食和饮水，饮用水质量需符合NY 5027的相关规定。</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2.2.4.4驱虫、健胃：小猪15 kg体重时进行第一次驱虫，60 kg体重时进行第二次驱虫。药物可选用阿苯达唑或伊维菌素等。</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2.2.4.5定期对环境进行消毒，每天清扫圈舍，保持清洁卫生，做好防寒保暖、防暑降温工作。</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2.2.5中猪饲养管理</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2.2.5.1合理分群：从小猪进入中猪饲养时期的猪，最好在原栏饲养，如猪群密度过大，可合理进行分群调整，将体质弱猪留原栏，强大的分出，控制一定密度，保证猪有适量活动空间。</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2.2.5.2饲喂方式：采用水料（稠料）、湿料或干料定时定量饲喂，自由饮水，饮用水质量需符合NY 5027的相关规定。</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2.2.5.3驱虫、健胃：中猪饲养后期，要分别进行驱虫和健胃。</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2.2.6大猪饲养管理</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2.2.6.1饲喂方式：采用水料（稠料）、湿料或干料定时定量饲喂，自由饮水，饮用水质量需符合NY 5027的相关规定。</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2.2.6.2保持饲养环境的清洁卫生和周围环境安静，避免造成猪的惊恐及不安，减少猪的运动量，减少能量消耗，达到增膘长肉的目的。</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2.2.6.3屯昌黑猪生性灵活好动，饲养期内，要多活动和适度太阳光照，增强抗病力，使肉质含水份少，细嫩，风味好。</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2.2.6.4饲养周期：一般饲养8～10个月，体重达120 kg～150 kg出栏。</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2.3 营养需要</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2.3.1 屯昌黑猪营养需要与饲料配方</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2.3.2 饲料与添加剂</w:t>
      </w:r>
    </w:p>
    <w:p>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根据不同生长阶段营养需要进行自配料或饲料厂购进配合料。饲料原料卫生符合GB 13078的要求。不同饲养阶段添加不同种类饲料添加剂，应符合NY 5032的规定。</w:t>
      </w:r>
    </w:p>
    <w:p>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饲料独立存放在清洁、干燥、通风良好的库房，防霉、防雨淋、防污染和防鼠害。</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2.4 生长性能</w:t>
      </w:r>
    </w:p>
    <w:p>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不同饲养阶段屯昌黑猪体重参见表3。</w:t>
      </w:r>
    </w:p>
    <w:p>
      <w:pPr>
        <w:tabs>
          <w:tab w:val="left" w:pos="360"/>
        </w:tabs>
        <w:spacing w:before="156" w:beforeLines="50" w:after="156" w:afterLines="50"/>
        <w:jc w:val="center"/>
        <w:rPr>
          <w:rFonts w:ascii="宋体" w:hAnsi="宋体" w:eastAsia="宋体" w:cs="宋体"/>
        </w:rPr>
      </w:pPr>
      <w:r>
        <w:rPr>
          <w:rFonts w:hint="eastAsia" w:ascii="宋体" w:hAnsi="宋体" w:eastAsia="宋体" w:cs="宋体"/>
        </w:rPr>
        <w:t>表3 不同饲养阶段屯昌黑猪体重</w:t>
      </w:r>
    </w:p>
    <w:tbl>
      <w:tblPr>
        <w:tblStyle w:val="27"/>
        <w:tblW w:w="4999"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217"/>
        <w:gridCol w:w="1217"/>
        <w:gridCol w:w="1217"/>
        <w:gridCol w:w="1217"/>
        <w:gridCol w:w="1217"/>
        <w:gridCol w:w="1217"/>
        <w:gridCol w:w="121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714" w:type="pct"/>
            <w:tcBorders>
              <w:bottom w:val="single" w:color="auto" w:sz="8" w:space="0"/>
              <w:right w:val="single" w:color="auto" w:sz="6" w:space="0"/>
            </w:tcBorders>
          </w:tcPr>
          <w:p>
            <w:pPr>
              <w:jc w:val="center"/>
              <w:rPr>
                <w:rFonts w:ascii="宋体" w:hAnsi="宋体" w:cs="Arial"/>
                <w:spacing w:val="7"/>
                <w:sz w:val="18"/>
                <w:szCs w:val="18"/>
              </w:rPr>
            </w:pPr>
            <w:r>
              <w:rPr>
                <w:rFonts w:hint="eastAsia" w:ascii="宋体" w:hAnsi="宋体" w:cs="Arial"/>
                <w:spacing w:val="-7"/>
                <w:sz w:val="18"/>
                <w:szCs w:val="18"/>
              </w:rPr>
              <w:t>项目</w:t>
            </w:r>
          </w:p>
        </w:tc>
        <w:tc>
          <w:tcPr>
            <w:tcW w:w="714" w:type="pct"/>
            <w:tcBorders>
              <w:left w:val="single" w:color="auto" w:sz="6" w:space="0"/>
              <w:bottom w:val="single" w:color="auto" w:sz="8" w:space="0"/>
              <w:right w:val="single" w:color="auto" w:sz="6" w:space="0"/>
            </w:tcBorders>
          </w:tcPr>
          <w:p>
            <w:pPr>
              <w:jc w:val="center"/>
              <w:rPr>
                <w:rFonts w:ascii="宋体" w:hAnsi="宋体" w:cs="Arial"/>
                <w:spacing w:val="7"/>
                <w:sz w:val="18"/>
                <w:szCs w:val="18"/>
              </w:rPr>
            </w:pPr>
            <w:r>
              <w:rPr>
                <w:rFonts w:ascii="宋体" w:hAnsi="宋体" w:cs="Arial"/>
                <w:spacing w:val="-7"/>
                <w:sz w:val="18"/>
                <w:szCs w:val="18"/>
              </w:rPr>
              <w:t>初</w:t>
            </w:r>
            <w:r>
              <w:rPr>
                <w:rFonts w:hint="eastAsia" w:ascii="宋体" w:hAnsi="宋体" w:cs="Arial"/>
                <w:spacing w:val="-7"/>
                <w:sz w:val="18"/>
                <w:szCs w:val="18"/>
              </w:rPr>
              <w:t>生</w:t>
            </w:r>
            <w:r>
              <w:rPr>
                <w:rFonts w:ascii="宋体" w:hAnsi="宋体" w:cs="Arial"/>
                <w:spacing w:val="-7"/>
                <w:sz w:val="18"/>
                <w:szCs w:val="18"/>
              </w:rPr>
              <w:t>重</w:t>
            </w:r>
          </w:p>
        </w:tc>
        <w:tc>
          <w:tcPr>
            <w:tcW w:w="714" w:type="pct"/>
            <w:tcBorders>
              <w:left w:val="single" w:color="auto" w:sz="6" w:space="0"/>
              <w:bottom w:val="single" w:color="auto" w:sz="8" w:space="0"/>
              <w:right w:val="single" w:color="auto" w:sz="6" w:space="0"/>
            </w:tcBorders>
          </w:tcPr>
          <w:p>
            <w:pPr>
              <w:jc w:val="center"/>
              <w:rPr>
                <w:rFonts w:ascii="宋体" w:hAnsi="宋体" w:cs="Arial"/>
                <w:spacing w:val="7"/>
                <w:sz w:val="18"/>
                <w:szCs w:val="18"/>
              </w:rPr>
            </w:pPr>
            <w:r>
              <w:rPr>
                <w:rFonts w:ascii="宋体" w:hAnsi="宋体" w:cs="Arial"/>
                <w:spacing w:val="-7"/>
                <w:sz w:val="18"/>
                <w:szCs w:val="18"/>
              </w:rPr>
              <w:t>2</w:t>
            </w:r>
            <w:r>
              <w:rPr>
                <w:rFonts w:ascii="宋体" w:hAnsi="宋体" w:cs="Arial"/>
                <w:spacing w:val="-6"/>
                <w:sz w:val="18"/>
                <w:szCs w:val="18"/>
              </w:rPr>
              <w:t>月龄</w:t>
            </w:r>
          </w:p>
        </w:tc>
        <w:tc>
          <w:tcPr>
            <w:tcW w:w="714" w:type="pct"/>
            <w:tcBorders>
              <w:left w:val="single" w:color="auto" w:sz="6" w:space="0"/>
              <w:bottom w:val="single" w:color="auto" w:sz="8" w:space="0"/>
              <w:right w:val="single" w:color="auto" w:sz="6" w:space="0"/>
            </w:tcBorders>
          </w:tcPr>
          <w:p>
            <w:pPr>
              <w:jc w:val="center"/>
              <w:rPr>
                <w:rFonts w:ascii="宋体" w:hAnsi="宋体" w:cs="Arial"/>
                <w:spacing w:val="7"/>
                <w:sz w:val="18"/>
                <w:szCs w:val="18"/>
              </w:rPr>
            </w:pPr>
            <w:r>
              <w:rPr>
                <w:rFonts w:ascii="宋体" w:hAnsi="宋体" w:cs="Arial"/>
                <w:spacing w:val="-7"/>
                <w:sz w:val="18"/>
                <w:szCs w:val="18"/>
              </w:rPr>
              <w:t>4</w:t>
            </w:r>
            <w:r>
              <w:rPr>
                <w:rFonts w:ascii="宋体" w:hAnsi="宋体" w:cs="Arial"/>
                <w:spacing w:val="-5"/>
                <w:sz w:val="18"/>
                <w:szCs w:val="18"/>
              </w:rPr>
              <w:t>月龄</w:t>
            </w:r>
          </w:p>
        </w:tc>
        <w:tc>
          <w:tcPr>
            <w:tcW w:w="714" w:type="pct"/>
            <w:tcBorders>
              <w:left w:val="single" w:color="auto" w:sz="6" w:space="0"/>
              <w:bottom w:val="single" w:color="auto" w:sz="8" w:space="0"/>
              <w:right w:val="single" w:color="auto" w:sz="6" w:space="0"/>
            </w:tcBorders>
          </w:tcPr>
          <w:p>
            <w:pPr>
              <w:jc w:val="center"/>
              <w:rPr>
                <w:rFonts w:ascii="宋体" w:hAnsi="宋体" w:cs="Arial"/>
                <w:spacing w:val="7"/>
                <w:sz w:val="18"/>
                <w:szCs w:val="18"/>
              </w:rPr>
            </w:pPr>
            <w:r>
              <w:rPr>
                <w:rFonts w:ascii="宋体" w:hAnsi="宋体" w:cs="Arial"/>
                <w:spacing w:val="-7"/>
                <w:sz w:val="18"/>
                <w:szCs w:val="18"/>
              </w:rPr>
              <w:t>6</w:t>
            </w:r>
            <w:r>
              <w:rPr>
                <w:rFonts w:ascii="宋体" w:hAnsi="宋体" w:cs="Arial"/>
                <w:spacing w:val="-6"/>
                <w:sz w:val="18"/>
                <w:szCs w:val="18"/>
              </w:rPr>
              <w:t>月龄</w:t>
            </w:r>
          </w:p>
        </w:tc>
        <w:tc>
          <w:tcPr>
            <w:tcW w:w="714" w:type="pct"/>
            <w:tcBorders>
              <w:left w:val="single" w:color="auto" w:sz="6" w:space="0"/>
              <w:bottom w:val="single" w:color="auto" w:sz="8" w:space="0"/>
              <w:right w:val="single" w:color="auto" w:sz="6" w:space="0"/>
            </w:tcBorders>
          </w:tcPr>
          <w:p>
            <w:pPr>
              <w:jc w:val="center"/>
              <w:rPr>
                <w:rFonts w:ascii="宋体" w:hAnsi="宋体" w:cs="Arial"/>
                <w:spacing w:val="7"/>
                <w:sz w:val="18"/>
                <w:szCs w:val="18"/>
              </w:rPr>
            </w:pPr>
            <w:r>
              <w:rPr>
                <w:rFonts w:ascii="宋体" w:hAnsi="宋体" w:cs="Arial"/>
                <w:spacing w:val="-6"/>
                <w:sz w:val="18"/>
                <w:szCs w:val="18"/>
              </w:rPr>
              <w:t>8月龄</w:t>
            </w:r>
          </w:p>
        </w:tc>
        <w:tc>
          <w:tcPr>
            <w:tcW w:w="714" w:type="pct"/>
            <w:tcBorders>
              <w:left w:val="single" w:color="auto" w:sz="6" w:space="0"/>
              <w:bottom w:val="single" w:color="auto" w:sz="8" w:space="0"/>
            </w:tcBorders>
          </w:tcPr>
          <w:p>
            <w:pPr>
              <w:jc w:val="center"/>
              <w:rPr>
                <w:rFonts w:ascii="宋体" w:hAnsi="宋体" w:cs="Arial"/>
                <w:spacing w:val="-6"/>
                <w:sz w:val="18"/>
                <w:szCs w:val="18"/>
              </w:rPr>
            </w:pPr>
            <w:r>
              <w:rPr>
                <w:rFonts w:ascii="宋体" w:hAnsi="宋体" w:cs="Arial"/>
                <w:spacing w:val="-6"/>
                <w:sz w:val="18"/>
                <w:szCs w:val="18"/>
              </w:rPr>
              <w:t>10月龄</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714" w:type="pct"/>
            <w:tcBorders>
              <w:top w:val="single" w:color="auto" w:sz="8" w:space="0"/>
              <w:right w:val="single" w:color="auto" w:sz="6" w:space="0"/>
            </w:tcBorders>
          </w:tcPr>
          <w:p>
            <w:pPr>
              <w:jc w:val="center"/>
              <w:rPr>
                <w:rFonts w:ascii="宋体" w:hAnsi="宋体" w:cs="Arial"/>
                <w:spacing w:val="7"/>
                <w:sz w:val="18"/>
                <w:szCs w:val="18"/>
              </w:rPr>
            </w:pPr>
            <w:r>
              <w:rPr>
                <w:rFonts w:ascii="宋体" w:hAnsi="宋体" w:cs="Arial"/>
                <w:spacing w:val="8"/>
                <w:sz w:val="18"/>
                <w:szCs w:val="18"/>
              </w:rPr>
              <w:t>体重</w:t>
            </w:r>
            <w:r>
              <w:rPr>
                <w:rFonts w:hint="eastAsia" w:ascii="宋体" w:hAnsi="宋体" w:cs="Arial"/>
                <w:spacing w:val="8"/>
                <w:sz w:val="18"/>
                <w:szCs w:val="18"/>
              </w:rPr>
              <w:t>/</w:t>
            </w:r>
            <w:r>
              <w:rPr>
                <w:rFonts w:ascii="宋体" w:hAnsi="宋体" w:cs="Arial"/>
                <w:spacing w:val="8"/>
                <w:sz w:val="18"/>
                <w:szCs w:val="18"/>
              </w:rPr>
              <w:t>kg</w:t>
            </w:r>
          </w:p>
        </w:tc>
        <w:tc>
          <w:tcPr>
            <w:tcW w:w="714" w:type="pct"/>
            <w:tcBorders>
              <w:top w:val="single" w:color="auto" w:sz="8" w:space="0"/>
              <w:left w:val="single" w:color="auto" w:sz="6" w:space="0"/>
              <w:right w:val="single" w:color="auto" w:sz="6" w:space="0"/>
            </w:tcBorders>
          </w:tcPr>
          <w:p>
            <w:pPr>
              <w:jc w:val="center"/>
              <w:rPr>
                <w:rFonts w:ascii="宋体" w:hAnsi="宋体" w:cs="Arial"/>
                <w:spacing w:val="7"/>
                <w:sz w:val="18"/>
                <w:szCs w:val="18"/>
              </w:rPr>
            </w:pPr>
            <w:r>
              <w:rPr>
                <w:rFonts w:hint="eastAsia" w:ascii="宋体" w:hAnsi="宋体" w:cs="Arial"/>
                <w:spacing w:val="7"/>
                <w:sz w:val="18"/>
                <w:szCs w:val="18"/>
              </w:rPr>
              <w:t>0.42</w:t>
            </w:r>
            <w:r>
              <w:rPr>
                <w:rFonts w:ascii="宋体" w:hAnsi="宋体" w:cs="Arial"/>
                <w:snapToGrid w:val="0"/>
                <w:sz w:val="18"/>
                <w:szCs w:val="18"/>
                <w:lang w:bidi="ar"/>
              </w:rPr>
              <w:t>～</w:t>
            </w:r>
            <w:r>
              <w:rPr>
                <w:rFonts w:hint="eastAsia" w:ascii="宋体" w:hAnsi="宋体" w:cs="Arial"/>
                <w:spacing w:val="7"/>
                <w:sz w:val="18"/>
                <w:szCs w:val="18"/>
              </w:rPr>
              <w:t>0.78</w:t>
            </w:r>
          </w:p>
        </w:tc>
        <w:tc>
          <w:tcPr>
            <w:tcW w:w="714" w:type="pct"/>
            <w:tcBorders>
              <w:top w:val="single" w:color="auto" w:sz="8" w:space="0"/>
              <w:left w:val="single" w:color="auto" w:sz="6" w:space="0"/>
              <w:right w:val="single" w:color="auto" w:sz="6" w:space="0"/>
            </w:tcBorders>
          </w:tcPr>
          <w:p>
            <w:pPr>
              <w:jc w:val="center"/>
              <w:rPr>
                <w:rFonts w:ascii="宋体" w:hAnsi="宋体" w:cs="Arial"/>
                <w:spacing w:val="7"/>
                <w:sz w:val="18"/>
                <w:szCs w:val="18"/>
              </w:rPr>
            </w:pPr>
            <w:r>
              <w:rPr>
                <w:rFonts w:ascii="宋体" w:hAnsi="宋体" w:cs="Arial"/>
                <w:spacing w:val="26"/>
                <w:sz w:val="18"/>
                <w:szCs w:val="18"/>
              </w:rPr>
              <w:t>9</w:t>
            </w:r>
            <w:r>
              <w:rPr>
                <w:rFonts w:ascii="宋体" w:hAnsi="宋体" w:cs="Arial"/>
                <w:snapToGrid w:val="0"/>
                <w:sz w:val="18"/>
                <w:szCs w:val="18"/>
                <w:lang w:bidi="ar"/>
              </w:rPr>
              <w:t>～</w:t>
            </w:r>
            <w:r>
              <w:rPr>
                <w:rFonts w:ascii="宋体" w:hAnsi="宋体" w:cs="Arial"/>
                <w:spacing w:val="26"/>
                <w:sz w:val="18"/>
                <w:szCs w:val="18"/>
              </w:rPr>
              <w:t>15</w:t>
            </w:r>
          </w:p>
        </w:tc>
        <w:tc>
          <w:tcPr>
            <w:tcW w:w="714" w:type="pct"/>
            <w:tcBorders>
              <w:top w:val="single" w:color="auto" w:sz="8" w:space="0"/>
              <w:left w:val="single" w:color="auto" w:sz="6" w:space="0"/>
              <w:right w:val="single" w:color="auto" w:sz="6" w:space="0"/>
            </w:tcBorders>
          </w:tcPr>
          <w:p>
            <w:pPr>
              <w:jc w:val="center"/>
              <w:rPr>
                <w:rFonts w:ascii="宋体" w:hAnsi="宋体" w:cs="Arial"/>
                <w:spacing w:val="7"/>
                <w:sz w:val="18"/>
                <w:szCs w:val="18"/>
              </w:rPr>
            </w:pPr>
            <w:r>
              <w:rPr>
                <w:rFonts w:ascii="宋体" w:hAnsi="宋体" w:cs="Arial"/>
                <w:spacing w:val="21"/>
                <w:sz w:val="18"/>
                <w:szCs w:val="18"/>
              </w:rPr>
              <w:t>36</w:t>
            </w:r>
            <w:r>
              <w:rPr>
                <w:rFonts w:ascii="宋体" w:hAnsi="宋体" w:cs="Arial"/>
                <w:snapToGrid w:val="0"/>
                <w:sz w:val="18"/>
                <w:szCs w:val="18"/>
                <w:lang w:bidi="ar"/>
              </w:rPr>
              <w:t>～</w:t>
            </w:r>
            <w:r>
              <w:rPr>
                <w:rFonts w:ascii="宋体" w:hAnsi="宋体" w:cs="Arial"/>
                <w:spacing w:val="21"/>
                <w:sz w:val="18"/>
                <w:szCs w:val="18"/>
              </w:rPr>
              <w:t>55</w:t>
            </w:r>
          </w:p>
        </w:tc>
        <w:tc>
          <w:tcPr>
            <w:tcW w:w="714" w:type="pct"/>
            <w:tcBorders>
              <w:top w:val="single" w:color="auto" w:sz="8" w:space="0"/>
              <w:left w:val="single" w:color="auto" w:sz="6" w:space="0"/>
              <w:right w:val="single" w:color="auto" w:sz="6" w:space="0"/>
            </w:tcBorders>
          </w:tcPr>
          <w:p>
            <w:pPr>
              <w:jc w:val="center"/>
              <w:rPr>
                <w:rFonts w:ascii="宋体" w:hAnsi="宋体" w:cs="Arial"/>
                <w:spacing w:val="7"/>
                <w:sz w:val="18"/>
                <w:szCs w:val="18"/>
              </w:rPr>
            </w:pPr>
            <w:r>
              <w:rPr>
                <w:rFonts w:ascii="宋体" w:hAnsi="宋体" w:cs="Arial"/>
                <w:spacing w:val="23"/>
                <w:sz w:val="18"/>
                <w:szCs w:val="18"/>
              </w:rPr>
              <w:t>63</w:t>
            </w:r>
            <w:r>
              <w:rPr>
                <w:rFonts w:ascii="宋体" w:hAnsi="宋体" w:cs="Arial"/>
                <w:snapToGrid w:val="0"/>
                <w:sz w:val="18"/>
                <w:szCs w:val="18"/>
                <w:lang w:bidi="ar"/>
              </w:rPr>
              <w:t>～</w:t>
            </w:r>
            <w:r>
              <w:rPr>
                <w:rFonts w:ascii="宋体" w:hAnsi="宋体" w:cs="Arial"/>
                <w:spacing w:val="23"/>
                <w:sz w:val="18"/>
                <w:szCs w:val="18"/>
              </w:rPr>
              <w:t>90</w:t>
            </w:r>
          </w:p>
        </w:tc>
        <w:tc>
          <w:tcPr>
            <w:tcW w:w="714" w:type="pct"/>
            <w:tcBorders>
              <w:top w:val="single" w:color="auto" w:sz="8" w:space="0"/>
              <w:left w:val="single" w:color="auto" w:sz="6" w:space="0"/>
              <w:right w:val="single" w:color="auto" w:sz="6" w:space="0"/>
            </w:tcBorders>
          </w:tcPr>
          <w:p>
            <w:pPr>
              <w:jc w:val="center"/>
              <w:rPr>
                <w:rFonts w:ascii="宋体" w:hAnsi="宋体" w:cs="Arial"/>
                <w:spacing w:val="7"/>
                <w:sz w:val="18"/>
                <w:szCs w:val="18"/>
              </w:rPr>
            </w:pPr>
            <w:r>
              <w:rPr>
                <w:rFonts w:ascii="宋体" w:hAnsi="宋体" w:cs="Arial"/>
                <w:spacing w:val="22"/>
                <w:sz w:val="18"/>
                <w:szCs w:val="18"/>
              </w:rPr>
              <w:t>94</w:t>
            </w:r>
            <w:r>
              <w:rPr>
                <w:rFonts w:ascii="宋体" w:hAnsi="宋体" w:cs="Arial"/>
                <w:snapToGrid w:val="0"/>
                <w:sz w:val="18"/>
                <w:szCs w:val="18"/>
                <w:lang w:bidi="ar"/>
              </w:rPr>
              <w:t>～</w:t>
            </w:r>
            <w:r>
              <w:rPr>
                <w:rFonts w:ascii="宋体" w:hAnsi="宋体" w:cs="Arial"/>
                <w:spacing w:val="22"/>
                <w:sz w:val="18"/>
                <w:szCs w:val="18"/>
              </w:rPr>
              <w:t>125</w:t>
            </w:r>
          </w:p>
        </w:tc>
        <w:tc>
          <w:tcPr>
            <w:tcW w:w="714" w:type="pct"/>
            <w:tcBorders>
              <w:top w:val="single" w:color="auto" w:sz="8" w:space="0"/>
              <w:left w:val="single" w:color="auto" w:sz="6" w:space="0"/>
            </w:tcBorders>
          </w:tcPr>
          <w:p>
            <w:pPr>
              <w:jc w:val="center"/>
              <w:rPr>
                <w:rFonts w:ascii="宋体" w:hAnsi="宋体" w:cs="Arial"/>
                <w:spacing w:val="22"/>
                <w:sz w:val="18"/>
                <w:szCs w:val="18"/>
              </w:rPr>
            </w:pPr>
            <w:r>
              <w:rPr>
                <w:rFonts w:ascii="宋体" w:hAnsi="宋体" w:cs="Arial"/>
                <w:spacing w:val="15"/>
                <w:sz w:val="18"/>
                <w:szCs w:val="18"/>
              </w:rPr>
              <w:t>129</w:t>
            </w:r>
            <w:r>
              <w:rPr>
                <w:rFonts w:ascii="宋体" w:hAnsi="宋体" w:cs="Arial"/>
                <w:snapToGrid w:val="0"/>
                <w:sz w:val="18"/>
                <w:szCs w:val="18"/>
                <w:lang w:bidi="ar"/>
              </w:rPr>
              <w:t>～</w:t>
            </w:r>
            <w:r>
              <w:rPr>
                <w:rFonts w:ascii="宋体" w:hAnsi="宋体" w:cs="Arial"/>
                <w:spacing w:val="15"/>
                <w:sz w:val="18"/>
                <w:szCs w:val="18"/>
              </w:rPr>
              <w:t>160</w:t>
            </w:r>
          </w:p>
        </w:tc>
      </w:tr>
    </w:tbl>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2.5 疫病防控</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2.5.1 猪苗引进防疫</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2.5.1.1 猪苗引进前对引进地区进行疫情调查和主要疫病的监测，查实产地确为非疫区，方能引进。引种防疫符合GB/T 39915的要求。</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2.5.1.2 对引入的猪群实行隔离观察，时间为20-30 d，然后转入调教舍，隔离舍观察1周后，对无异常表现的猪只按本场的免疫程序进行防疫接种。隔离观察期间，每3 d对猪舍和运动场消毒1次，每14 d对猪舍周边环境消毒1次。隔离观察期结束前7 d进行驱虫。疫情监测疫病种类按NY 5031执行。</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2.5.1.3 隔离期结束后，按照规定要求对引进的猪苗进行检疫采血，确认无规定疫病后，对该批猪苗进行体表消毒，再转入生产区投入正常生产。新引猪苗猪应符合《中华人民共和国畜牧法》的规定。</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2.5.2免疫</w:t>
      </w:r>
    </w:p>
    <w:p>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根据猪场具体情况及所在地疫情制定相适应的免疫程序，并定期进行抗原抗体检测。免疫程序参照附录B。</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2.5.3驱虫</w:t>
      </w:r>
    </w:p>
    <w:p>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每2～4个月进行1次全场性驱虫。寄生虫病高发地区，每月进行1次全场性驱虫。</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2.5.4消毒</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2.5.4.1 对猪栏、运动场和走廊每7 d彻底消毒1次。对猪舍周边环境、管理区环境及生活区环境每14 d彻底消毒1次。先房顶、墙壁、后空气，再到猪体表、食槽等，到顶到底，到头到边，立体消毒。尤其重视猪舍内粪沟清理后的消毒，避免存在消毒死角。</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2.5.4.2 猪只转出空栏后，要求把粪污、残余饲料等彻底清扫，用去污泡沫或烧碱喷洒浸泡一段时间后进行高压清洗，不留死角，彻底清除掉粪污、杂物；空栏进行喷洒消毒，待清洗栏舍干燥后再进行喷雾消毒，对于不易消毒的用具和栏舍，可以采用熏蒸消毒方式。环境消毒药液和其他消毒程序按NY/T 5033执行。</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2.5.5 非洲猪瘟防控</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2.5.5.1 实行外三层里三层的管控措施。外三层指猪场一级消毒点（场外1 km）、食材消毒点（场外1 km）和猪场二级消毒点（场外200 m～500 m）；内三层指猪场围墙、大门；生活办公区围墙、大门与生产区围墙、大门和猪栏防蝇网、猪栏门。</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2.5.5.2 加强水源、人员与物资进出的消毒，严防蚊、虫、鼠传播病毒，对病死猪、粪污进行无害化处理，生产工具、设备、车辆和进出猪符合生物安全防控的规定和措施。非洲猪瘟防控技术方案参照附录C执行，符合农牧发﹝2021﹞7号的规定。</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2.5.6 兽药使用</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2.5.6.1 在兽医指导下使用兽药，严禁使用未经农业部批准或已经淘汰的兽药、兽用生物制品和添加剂，兽药使用符合NY/T 5030的规定。</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2.5.6.2 屠宰前停止用药，休药期应符合农业部278号公告。</w:t>
      </w:r>
    </w:p>
    <w:p>
      <w:pPr>
        <w:spacing w:line="440" w:lineRule="exact"/>
        <w:rPr>
          <w:rFonts w:ascii="Times New Roman" w:hAnsi="Times New Roman" w:eastAsia="仿宋" w:cs="Times New Roman"/>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6 废弃物处理</w:t>
      </w:r>
    </w:p>
    <w:p>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参照GB/T 36195和《海南省畜禽养殖污染减排技术导则》，结合实际选择适宜的粪污处理模式，粪污经无害化处理后方能还田利用。病死猪、粪便等污染物要做无害化处理，分别符合HJ/T 81和GB/T 36195的规定。</w:t>
      </w:r>
    </w:p>
    <w:p>
      <w:pPr>
        <w:spacing w:line="440" w:lineRule="exact"/>
        <w:rPr>
          <w:rFonts w:ascii="Times New Roman" w:hAnsi="Times New Roman" w:eastAsia="仿宋" w:cs="Times New Roman"/>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7 档案管理</w:t>
      </w:r>
    </w:p>
    <w:p>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做好猪的生产、饲料、饲料添加和兽药使用；检疫、免疫、监测、消毒情况；畜禽发病、诊疗、死亡和无害化处理；畜禽养殖代码、销售和粪污资源化利用台账等记录，档案应保存3年以上，档案管理参照农业部公告令第67号执行。  </w:t>
      </w:r>
    </w:p>
    <w:p>
      <w:pPr>
        <w:spacing w:line="440" w:lineRule="exact"/>
        <w:rPr>
          <w:rFonts w:ascii="Times New Roman" w:hAnsi="Times New Roman" w:eastAsia="仿宋" w:cs="Times New Roman"/>
          <w:b/>
          <w:bCs/>
          <w:sz w:val="24"/>
          <w:szCs w:val="24"/>
        </w:rPr>
      </w:pPr>
      <w:r>
        <w:rPr>
          <w:rFonts w:ascii="Times New Roman" w:hAnsi="Times New Roman" w:eastAsia="仿宋" w:cs="Times New Roman"/>
          <w:b/>
          <w:bCs/>
          <w:sz w:val="24"/>
          <w:szCs w:val="24"/>
        </w:rPr>
        <w:t>3、试验验证的论述</w:t>
      </w:r>
    </w:p>
    <w:p>
      <w:pPr>
        <w:spacing w:line="440" w:lineRule="exact"/>
        <w:ind w:firstLine="480" w:firstLineChars="200"/>
        <w:rPr>
          <w:rFonts w:ascii="Times New Roman" w:hAnsi="Times New Roman" w:eastAsia="仿宋" w:cs="Times New Roman"/>
          <w:color w:val="FF0000"/>
          <w:sz w:val="24"/>
          <w:szCs w:val="24"/>
        </w:rPr>
      </w:pPr>
      <w:r>
        <w:rPr>
          <w:rFonts w:ascii="Times New Roman" w:hAnsi="Times New Roman" w:eastAsia="仿宋" w:cs="Times New Roman"/>
          <w:sz w:val="24"/>
          <w:szCs w:val="24"/>
        </w:rPr>
        <w:t>标准修订组在20</w:t>
      </w:r>
      <w:r>
        <w:rPr>
          <w:rFonts w:hint="eastAsia" w:ascii="Times New Roman" w:hAnsi="Times New Roman" w:eastAsia="仿宋" w:cs="Times New Roman"/>
          <w:sz w:val="24"/>
          <w:szCs w:val="24"/>
        </w:rPr>
        <w:t>13</w:t>
      </w:r>
      <w:r>
        <w:rPr>
          <w:rFonts w:ascii="Times New Roman" w:hAnsi="Times New Roman" w:eastAsia="仿宋" w:cs="Times New Roman"/>
          <w:sz w:val="24"/>
          <w:szCs w:val="24"/>
        </w:rPr>
        <w:t>年制定的《</w:t>
      </w:r>
      <w:r>
        <w:rPr>
          <w:rFonts w:hint="eastAsia" w:ascii="Times New Roman" w:hAnsi="Times New Roman" w:eastAsia="仿宋" w:cs="Times New Roman"/>
          <w:sz w:val="24"/>
          <w:szCs w:val="24"/>
        </w:rPr>
        <w:t>屯昌黑猪（商品猪）饲养技术规程</w:t>
      </w:r>
      <w:r>
        <w:rPr>
          <w:rFonts w:ascii="Times New Roman" w:hAnsi="Times New Roman" w:eastAsia="仿宋" w:cs="Times New Roman"/>
          <w:sz w:val="24"/>
          <w:szCs w:val="24"/>
        </w:rPr>
        <w:t>》（DB</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46/T </w:t>
      </w:r>
      <w:r>
        <w:rPr>
          <w:rFonts w:hint="eastAsia" w:ascii="Times New Roman" w:hAnsi="Times New Roman" w:eastAsia="仿宋" w:cs="Times New Roman"/>
          <w:sz w:val="24"/>
          <w:szCs w:val="24"/>
        </w:rPr>
        <w:t>71—</w:t>
      </w:r>
      <w:r>
        <w:rPr>
          <w:rFonts w:ascii="Times New Roman" w:hAnsi="Times New Roman" w:eastAsia="仿宋" w:cs="Times New Roman"/>
          <w:sz w:val="24"/>
          <w:szCs w:val="24"/>
        </w:rPr>
        <w:t>20</w:t>
      </w:r>
      <w:r>
        <w:rPr>
          <w:rFonts w:hint="eastAsia" w:ascii="Times New Roman" w:hAnsi="Times New Roman" w:eastAsia="仿宋" w:cs="Times New Roman"/>
          <w:sz w:val="24"/>
          <w:szCs w:val="24"/>
        </w:rPr>
        <w:t>13</w:t>
      </w:r>
      <w:r>
        <w:rPr>
          <w:rFonts w:ascii="Times New Roman" w:hAnsi="Times New Roman" w:eastAsia="仿宋" w:cs="Times New Roman"/>
          <w:sz w:val="24"/>
          <w:szCs w:val="24"/>
        </w:rPr>
        <w:t>）基础上，通过对</w:t>
      </w:r>
      <w:r>
        <w:rPr>
          <w:rFonts w:hint="eastAsia" w:ascii="Times New Roman" w:hAnsi="Times New Roman" w:eastAsia="仿宋" w:cs="Times New Roman"/>
          <w:sz w:val="24"/>
          <w:szCs w:val="24"/>
        </w:rPr>
        <w:t>屯昌县黑猪养殖企业和</w:t>
      </w:r>
      <w:r>
        <w:rPr>
          <w:rFonts w:ascii="Times New Roman" w:hAnsi="Times New Roman" w:eastAsia="仿宋" w:cs="Times New Roman"/>
          <w:sz w:val="24"/>
          <w:szCs w:val="24"/>
        </w:rPr>
        <w:t>饲养户进行了实地考察，获得了</w:t>
      </w:r>
      <w:r>
        <w:rPr>
          <w:rFonts w:hint="eastAsia" w:ascii="Times New Roman" w:hAnsi="Times New Roman" w:eastAsia="仿宋" w:cs="Times New Roman"/>
          <w:sz w:val="24"/>
          <w:szCs w:val="24"/>
        </w:rPr>
        <w:t>屯昌黑猪（商品猪）</w:t>
      </w:r>
      <w:r>
        <w:rPr>
          <w:rFonts w:ascii="Times New Roman" w:hAnsi="Times New Roman" w:eastAsia="仿宋" w:cs="Times New Roman"/>
          <w:sz w:val="24"/>
          <w:szCs w:val="24"/>
        </w:rPr>
        <w:t>生产情况、饲养管理等宝贵资料。</w:t>
      </w:r>
      <w:r>
        <w:rPr>
          <w:rFonts w:hint="eastAsia" w:ascii="Times New Roman" w:hAnsi="Times New Roman" w:eastAsia="仿宋" w:cs="Times New Roman"/>
          <w:sz w:val="24"/>
          <w:szCs w:val="24"/>
        </w:rPr>
        <w:t>同时，针对黑猪杂交组合的多元化对肉质理化指标影响较大等诸多因素，进行一系列黑猪养殖试验，测定和调查等工作，通过试验数据和总结，</w:t>
      </w:r>
      <w:r>
        <w:rPr>
          <w:rFonts w:ascii="Times New Roman" w:hAnsi="Times New Roman" w:eastAsia="仿宋" w:cs="Times New Roman"/>
          <w:sz w:val="24"/>
          <w:szCs w:val="24"/>
        </w:rPr>
        <w:t>形成了目前的《</w:t>
      </w:r>
      <w:r>
        <w:rPr>
          <w:rFonts w:hint="eastAsia" w:ascii="Times New Roman" w:hAnsi="Times New Roman" w:eastAsia="仿宋" w:cs="Times New Roman"/>
          <w:sz w:val="24"/>
          <w:szCs w:val="24"/>
        </w:rPr>
        <w:t>屯昌黑猪（商品猪）饲养技术规程</w:t>
      </w:r>
      <w:r>
        <w:rPr>
          <w:rFonts w:ascii="Times New Roman" w:hAnsi="Times New Roman" w:eastAsia="仿宋" w:cs="Times New Roman"/>
          <w:sz w:val="24"/>
          <w:szCs w:val="24"/>
        </w:rPr>
        <w:t>》的修订稿。</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3.1</w:t>
      </w:r>
      <w:r>
        <w:rPr>
          <w:rFonts w:ascii="Times New Roman" w:hAnsi="Times New Roman" w:eastAsia="仿宋" w:cs="Times New Roman"/>
          <w:sz w:val="24"/>
          <w:szCs w:val="24"/>
        </w:rPr>
        <w:t>　更新了</w:t>
      </w:r>
      <w:r>
        <w:rPr>
          <w:rFonts w:hint="eastAsia" w:ascii="Times New Roman" w:hAnsi="Times New Roman" w:eastAsia="仿宋" w:cs="Times New Roman"/>
          <w:sz w:val="24"/>
          <w:szCs w:val="24"/>
        </w:rPr>
        <w:t>规范性引用文件</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原标准《</w:t>
      </w:r>
      <w:r>
        <w:rPr>
          <w:rFonts w:hint="eastAsia" w:ascii="Times New Roman" w:hAnsi="Times New Roman" w:eastAsia="仿宋" w:cs="Times New Roman"/>
          <w:sz w:val="24"/>
          <w:szCs w:val="24"/>
        </w:rPr>
        <w:t>屯昌黑猪（商品猪）饲养技术规程</w:t>
      </w:r>
      <w:r>
        <w:rPr>
          <w:rFonts w:ascii="Times New Roman" w:hAnsi="Times New Roman" w:eastAsia="仿宋" w:cs="Times New Roman"/>
          <w:sz w:val="24"/>
          <w:szCs w:val="24"/>
        </w:rPr>
        <w:t xml:space="preserve">》（DB46/T </w:t>
      </w:r>
      <w:r>
        <w:rPr>
          <w:rFonts w:hint="eastAsia" w:ascii="Times New Roman" w:hAnsi="Times New Roman" w:eastAsia="仿宋" w:cs="Times New Roman"/>
          <w:sz w:val="24"/>
          <w:szCs w:val="24"/>
        </w:rPr>
        <w:t>71—</w:t>
      </w:r>
      <w:r>
        <w:rPr>
          <w:rFonts w:ascii="Times New Roman" w:hAnsi="Times New Roman" w:eastAsia="仿宋" w:cs="Times New Roman"/>
          <w:sz w:val="24"/>
          <w:szCs w:val="24"/>
        </w:rPr>
        <w:t>20</w:t>
      </w:r>
      <w:r>
        <w:rPr>
          <w:rFonts w:hint="eastAsia" w:ascii="Times New Roman" w:hAnsi="Times New Roman" w:eastAsia="仿宋" w:cs="Times New Roman"/>
          <w:sz w:val="24"/>
          <w:szCs w:val="24"/>
        </w:rPr>
        <w:t>13</w:t>
      </w:r>
      <w:r>
        <w:rPr>
          <w:rFonts w:ascii="Times New Roman" w:hAnsi="Times New Roman" w:eastAsia="仿宋" w:cs="Times New Roman"/>
          <w:sz w:val="24"/>
          <w:szCs w:val="24"/>
        </w:rPr>
        <w:t>）中</w:t>
      </w:r>
      <w:r>
        <w:rPr>
          <w:rFonts w:hint="eastAsia" w:ascii="Times New Roman" w:hAnsi="Times New Roman" w:eastAsia="仿宋" w:cs="Times New Roman"/>
          <w:sz w:val="24"/>
          <w:szCs w:val="24"/>
        </w:rPr>
        <w:t>只有NY/T 388  畜禽场环境质量标准和NY/T 5033 无公害食品 生猪饲养管理准则，两个规范性引用文件，修订版本更新了规范性引用文件，如下：</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GB/T 36195  畜禽粪便无害化处理技术规范 </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HJ/T 81  畜禽养殖业污染防治技术规范   </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NY/T 388  畜禽场环境质量标准</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NY/T 1167  畜禽场环境质量与卫生控制规范</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NY 5027  无公害食品  畜禽饮用水水质</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NY/T 5030  无公害农产品  兽药使用准则</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NY 5031  无公害食品  生猪饲养兽医防疫准则</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NY 5032  无公害食品  畜禽饲料和饲料添加剂使用准则</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NY 5033  无公害食品  生猪饲养管理准则</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DB46/T 35  屯昌猪品种</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《畜禽标识和养殖档案管理办法》农业部公告令第67号</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中华人民共和国农业部公告第278号</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《海南省畜禽养殖污染减排技术导则》</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GB/T 39915《动物饲养场防疫准则》</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《非洲猪瘟疫情应急实施方案（第五版）》农牧发﹝2021﹞7号 </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GB/T 17824.1 规模猪场建设</w:t>
      </w:r>
    </w:p>
    <w:p>
      <w:pPr>
        <w:spacing w:line="44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GB 13078 《饲料卫生标准》</w:t>
      </w:r>
    </w:p>
    <w:p>
      <w:pPr>
        <w:spacing w:line="440" w:lineRule="exact"/>
        <w:rPr>
          <w:rFonts w:ascii="Times New Roman" w:hAnsi="Times New Roman" w:eastAsia="仿宋" w:cs="Times New Roman"/>
          <w:sz w:val="24"/>
          <w:szCs w:val="24"/>
        </w:rPr>
      </w:pPr>
      <w:r>
        <w:rPr>
          <w:rFonts w:ascii="Times New Roman" w:hAnsi="Times New Roman" w:eastAsia="仿宋" w:cs="Times New Roman"/>
          <w:sz w:val="24"/>
          <w:szCs w:val="24"/>
        </w:rPr>
        <w:t>3.2　增加了术语和定义部分</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原标准《</w:t>
      </w:r>
      <w:r>
        <w:rPr>
          <w:rFonts w:hint="eastAsia" w:ascii="Times New Roman" w:hAnsi="Times New Roman" w:eastAsia="仿宋" w:cs="Times New Roman"/>
          <w:sz w:val="24"/>
          <w:szCs w:val="24"/>
        </w:rPr>
        <w:t>屯昌黑猪（商品猪）饲养技术规程</w:t>
      </w:r>
      <w:r>
        <w:rPr>
          <w:rFonts w:ascii="Times New Roman" w:hAnsi="Times New Roman" w:eastAsia="仿宋" w:cs="Times New Roman"/>
          <w:sz w:val="24"/>
          <w:szCs w:val="24"/>
        </w:rPr>
        <w:t xml:space="preserve">》（DB46/T </w:t>
      </w:r>
      <w:r>
        <w:rPr>
          <w:rFonts w:hint="eastAsia" w:ascii="Times New Roman" w:hAnsi="Times New Roman" w:eastAsia="仿宋" w:cs="Times New Roman"/>
          <w:sz w:val="24"/>
          <w:szCs w:val="24"/>
        </w:rPr>
        <w:t>71</w:t>
      </w:r>
      <w:r>
        <w:rPr>
          <w:rFonts w:ascii="Times New Roman" w:hAnsi="Times New Roman" w:eastAsia="仿宋" w:cs="Times New Roman"/>
          <w:sz w:val="24"/>
          <w:szCs w:val="24"/>
        </w:rPr>
        <w:t>-20</w:t>
      </w:r>
      <w:r>
        <w:rPr>
          <w:rFonts w:hint="eastAsia" w:ascii="Times New Roman" w:hAnsi="Times New Roman" w:eastAsia="仿宋" w:cs="Times New Roman"/>
          <w:sz w:val="24"/>
          <w:szCs w:val="24"/>
        </w:rPr>
        <w:t>13</w:t>
      </w:r>
      <w:r>
        <w:rPr>
          <w:rFonts w:ascii="Times New Roman" w:hAnsi="Times New Roman" w:eastAsia="仿宋" w:cs="Times New Roman"/>
          <w:sz w:val="24"/>
          <w:szCs w:val="24"/>
        </w:rPr>
        <w:t>）中没有定义标准中使用的术语，导致人们对原标准的理解出现偏差，甚至错误。为了解决该问题，本标准增加了术语和定义部分（详见修订标准的 “</w:t>
      </w:r>
      <w:r>
        <w:rPr>
          <w:rFonts w:hint="eastAsia" w:ascii="Times New Roman" w:hAnsi="Times New Roman" w:eastAsia="仿宋" w:cs="Times New Roman"/>
          <w:sz w:val="24"/>
          <w:szCs w:val="24"/>
        </w:rPr>
        <w:t>3</w:t>
      </w:r>
      <w:r>
        <w:rPr>
          <w:rFonts w:ascii="Times New Roman" w:hAnsi="Times New Roman" w:eastAsia="仿宋" w:cs="Times New Roman"/>
          <w:sz w:val="24"/>
          <w:szCs w:val="24"/>
        </w:rPr>
        <w:t xml:space="preserve"> 术语和定义”部分）。</w:t>
      </w:r>
    </w:p>
    <w:p>
      <w:pPr>
        <w:spacing w:line="440" w:lineRule="exact"/>
        <w:rPr>
          <w:rFonts w:ascii="Times New Roman" w:hAnsi="Times New Roman" w:eastAsia="仿宋" w:cs="Times New Roman"/>
          <w:sz w:val="24"/>
          <w:szCs w:val="24"/>
        </w:rPr>
      </w:pPr>
      <w:r>
        <w:rPr>
          <w:rFonts w:ascii="Times New Roman" w:hAnsi="Times New Roman" w:eastAsia="仿宋" w:cs="Times New Roman"/>
          <w:sz w:val="24"/>
          <w:szCs w:val="24"/>
        </w:rPr>
        <w:t>3.</w:t>
      </w:r>
      <w:r>
        <w:rPr>
          <w:rFonts w:hint="eastAsia" w:ascii="Times New Roman" w:hAnsi="Times New Roman" w:eastAsia="仿宋" w:cs="Times New Roman"/>
          <w:sz w:val="24"/>
          <w:szCs w:val="24"/>
        </w:rPr>
        <w:t>3</w:t>
      </w:r>
      <w:r>
        <w:rPr>
          <w:rFonts w:ascii="Times New Roman" w:hAnsi="Times New Roman" w:eastAsia="仿宋" w:cs="Times New Roman"/>
          <w:sz w:val="24"/>
          <w:szCs w:val="24"/>
        </w:rPr>
        <w:t>　</w:t>
      </w:r>
      <w:r>
        <w:rPr>
          <w:rFonts w:hint="eastAsia" w:ascii="Times New Roman" w:hAnsi="Times New Roman" w:eastAsia="仿宋" w:cs="Times New Roman"/>
          <w:sz w:val="24"/>
          <w:szCs w:val="24"/>
        </w:rPr>
        <w:t>更新</w:t>
      </w:r>
      <w:r>
        <w:rPr>
          <w:rFonts w:ascii="Times New Roman" w:hAnsi="Times New Roman" w:eastAsia="仿宋" w:cs="Times New Roman"/>
          <w:sz w:val="24"/>
          <w:szCs w:val="24"/>
        </w:rPr>
        <w:t>了</w:t>
      </w:r>
      <w:r>
        <w:rPr>
          <w:rFonts w:hint="eastAsia" w:ascii="Times New Roman" w:hAnsi="Times New Roman" w:eastAsia="仿宋" w:cs="Times New Roman"/>
          <w:sz w:val="24"/>
          <w:szCs w:val="24"/>
        </w:rPr>
        <w:t>猪场建设内容</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原标准《</w:t>
      </w:r>
      <w:r>
        <w:rPr>
          <w:rFonts w:hint="eastAsia" w:ascii="Times New Roman" w:hAnsi="Times New Roman" w:eastAsia="仿宋" w:cs="Times New Roman"/>
          <w:sz w:val="24"/>
          <w:szCs w:val="24"/>
        </w:rPr>
        <w:t>屯昌黑猪（商品猪）饲养技术规程</w:t>
      </w:r>
      <w:r>
        <w:rPr>
          <w:rFonts w:ascii="Times New Roman" w:hAnsi="Times New Roman" w:eastAsia="仿宋" w:cs="Times New Roman"/>
          <w:sz w:val="24"/>
          <w:szCs w:val="24"/>
        </w:rPr>
        <w:t xml:space="preserve">》（DB46/T </w:t>
      </w:r>
      <w:r>
        <w:rPr>
          <w:rFonts w:hint="eastAsia" w:ascii="Times New Roman" w:hAnsi="Times New Roman" w:eastAsia="仿宋" w:cs="Times New Roman"/>
          <w:sz w:val="24"/>
          <w:szCs w:val="24"/>
        </w:rPr>
        <w:t>71—</w:t>
      </w:r>
      <w:r>
        <w:rPr>
          <w:rFonts w:ascii="Times New Roman" w:hAnsi="Times New Roman" w:eastAsia="仿宋" w:cs="Times New Roman"/>
          <w:sz w:val="24"/>
          <w:szCs w:val="24"/>
        </w:rPr>
        <w:t>20</w:t>
      </w:r>
      <w:r>
        <w:rPr>
          <w:rFonts w:hint="eastAsia" w:ascii="Times New Roman" w:hAnsi="Times New Roman" w:eastAsia="仿宋" w:cs="Times New Roman"/>
          <w:sz w:val="24"/>
          <w:szCs w:val="24"/>
        </w:rPr>
        <w:t>13</w:t>
      </w:r>
      <w:r>
        <w:rPr>
          <w:rFonts w:ascii="Times New Roman" w:hAnsi="Times New Roman" w:eastAsia="仿宋" w:cs="Times New Roman"/>
          <w:sz w:val="24"/>
          <w:szCs w:val="24"/>
        </w:rPr>
        <w:t>）</w:t>
      </w:r>
      <w:r>
        <w:rPr>
          <w:rFonts w:hint="eastAsia" w:ascii="Times New Roman" w:hAnsi="Times New Roman" w:eastAsia="仿宋" w:cs="Times New Roman"/>
          <w:sz w:val="24"/>
          <w:szCs w:val="24"/>
        </w:rPr>
        <w:t>描述过于简单，同时也不符合目前猪场建设的相关规定，所以修订版本参照相关规定，更新猪场建设内容</w:t>
      </w:r>
      <w:r>
        <w:rPr>
          <w:rFonts w:ascii="Times New Roman" w:hAnsi="Times New Roman" w:eastAsia="仿宋" w:cs="Times New Roman"/>
          <w:sz w:val="24"/>
          <w:szCs w:val="24"/>
        </w:rPr>
        <w:t xml:space="preserve">（详见修订标准的 </w:t>
      </w:r>
      <w:r>
        <w:rPr>
          <w:rFonts w:hint="eastAsia" w:ascii="Times New Roman" w:hAnsi="Times New Roman" w:eastAsia="仿宋" w:cs="Times New Roman"/>
          <w:sz w:val="24"/>
          <w:szCs w:val="24"/>
        </w:rPr>
        <w:t>“4</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猪场建设”</w:t>
      </w:r>
      <w:r>
        <w:rPr>
          <w:rFonts w:ascii="Times New Roman" w:hAnsi="Times New Roman" w:eastAsia="仿宋" w:cs="Times New Roman"/>
          <w:sz w:val="24"/>
          <w:szCs w:val="24"/>
        </w:rPr>
        <w:t>部分）。</w:t>
      </w:r>
    </w:p>
    <w:p>
      <w:pPr>
        <w:spacing w:line="440" w:lineRule="exact"/>
        <w:rPr>
          <w:rFonts w:ascii="Times New Roman" w:hAnsi="Times New Roman" w:eastAsia="仿宋" w:cs="Times New Roman"/>
          <w:sz w:val="24"/>
          <w:szCs w:val="24"/>
        </w:rPr>
      </w:pPr>
      <w:r>
        <w:rPr>
          <w:rFonts w:ascii="Times New Roman" w:hAnsi="Times New Roman" w:eastAsia="仿宋" w:cs="Times New Roman"/>
          <w:sz w:val="24"/>
          <w:szCs w:val="24"/>
        </w:rPr>
        <w:t>3.</w:t>
      </w:r>
      <w:r>
        <w:rPr>
          <w:rFonts w:hint="eastAsia" w:ascii="Times New Roman" w:hAnsi="Times New Roman" w:eastAsia="仿宋" w:cs="Times New Roman"/>
          <w:sz w:val="24"/>
          <w:szCs w:val="24"/>
        </w:rPr>
        <w:t>4</w:t>
      </w:r>
      <w:r>
        <w:rPr>
          <w:rFonts w:ascii="Times New Roman" w:hAnsi="Times New Roman" w:eastAsia="仿宋" w:cs="Times New Roman"/>
          <w:sz w:val="24"/>
          <w:szCs w:val="24"/>
        </w:rPr>
        <w:t>　更新了</w:t>
      </w:r>
      <w:r>
        <w:rPr>
          <w:rFonts w:hint="eastAsia" w:ascii="Times New Roman" w:hAnsi="Times New Roman" w:eastAsia="仿宋" w:cs="Times New Roman"/>
          <w:sz w:val="24"/>
          <w:szCs w:val="24"/>
        </w:rPr>
        <w:t>不同生长阶段屯昌黑猪（商品猪）的饲养管理</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根据调研及标准编制组前期工作的积累，相较于原标准《</w:t>
      </w:r>
      <w:r>
        <w:rPr>
          <w:rFonts w:hint="eastAsia" w:ascii="Times New Roman" w:hAnsi="Times New Roman" w:eastAsia="仿宋" w:cs="Times New Roman"/>
          <w:sz w:val="24"/>
          <w:szCs w:val="24"/>
        </w:rPr>
        <w:t>屯昌黑猪（商品猪）饲养技术规程</w:t>
      </w:r>
      <w:r>
        <w:rPr>
          <w:rFonts w:ascii="Times New Roman" w:hAnsi="Times New Roman" w:eastAsia="仿宋" w:cs="Times New Roman"/>
          <w:sz w:val="24"/>
          <w:szCs w:val="24"/>
        </w:rPr>
        <w:t>》（DB</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46/T </w:t>
      </w:r>
      <w:r>
        <w:rPr>
          <w:rFonts w:hint="eastAsia" w:ascii="Times New Roman" w:hAnsi="Times New Roman" w:eastAsia="仿宋" w:cs="Times New Roman"/>
          <w:sz w:val="24"/>
          <w:szCs w:val="24"/>
        </w:rPr>
        <w:t>71—</w:t>
      </w:r>
      <w:r>
        <w:rPr>
          <w:rFonts w:ascii="Times New Roman" w:hAnsi="Times New Roman" w:eastAsia="仿宋" w:cs="Times New Roman"/>
          <w:sz w:val="24"/>
          <w:szCs w:val="24"/>
        </w:rPr>
        <w:t>20</w:t>
      </w:r>
      <w:r>
        <w:rPr>
          <w:rFonts w:hint="eastAsia" w:ascii="Times New Roman" w:hAnsi="Times New Roman" w:eastAsia="仿宋" w:cs="Times New Roman"/>
          <w:sz w:val="24"/>
          <w:szCs w:val="24"/>
        </w:rPr>
        <w:t>13</w:t>
      </w:r>
      <w:r>
        <w:rPr>
          <w:rFonts w:ascii="Times New Roman" w:hAnsi="Times New Roman" w:eastAsia="仿宋" w:cs="Times New Roman"/>
          <w:sz w:val="24"/>
          <w:szCs w:val="24"/>
        </w:rPr>
        <w:t>）：（1）</w:t>
      </w:r>
      <w:r>
        <w:rPr>
          <w:rFonts w:hint="eastAsia" w:ascii="Times New Roman" w:hAnsi="Times New Roman" w:eastAsia="仿宋" w:cs="Times New Roman"/>
          <w:sz w:val="24"/>
          <w:szCs w:val="24"/>
        </w:rPr>
        <w:t>删除了小猪的去势，当前的养殖环境下，仔猪去势一般为7-15日龄，越早去势，对于猪只的恢复越有利</w:t>
      </w:r>
      <w:r>
        <w:rPr>
          <w:rFonts w:ascii="Times New Roman" w:hAnsi="Times New Roman" w:eastAsia="仿宋" w:cs="Times New Roman"/>
          <w:sz w:val="24"/>
          <w:szCs w:val="24"/>
        </w:rPr>
        <w:t>；（2）</w:t>
      </w:r>
      <w:r>
        <w:rPr>
          <w:rFonts w:hint="eastAsia" w:ascii="Times New Roman" w:hAnsi="Times New Roman" w:eastAsia="仿宋" w:cs="Times New Roman"/>
          <w:sz w:val="24"/>
          <w:szCs w:val="24"/>
        </w:rPr>
        <w:t>饲养时间增加，出栏时间和出栏体重进行修订，符合当前市场屠宰和消费需求</w:t>
      </w:r>
      <w:r>
        <w:rPr>
          <w:rFonts w:ascii="Times New Roman" w:hAnsi="Times New Roman" w:eastAsia="仿宋" w:cs="Times New Roman"/>
          <w:sz w:val="24"/>
          <w:szCs w:val="24"/>
        </w:rPr>
        <w:t>。更新后的</w:t>
      </w:r>
      <w:r>
        <w:rPr>
          <w:rFonts w:hint="eastAsia" w:ascii="Times New Roman" w:hAnsi="Times New Roman" w:eastAsia="仿宋" w:cs="Times New Roman"/>
          <w:sz w:val="24"/>
          <w:szCs w:val="24"/>
        </w:rPr>
        <w:t>饲养管理</w:t>
      </w:r>
      <w:r>
        <w:rPr>
          <w:rFonts w:ascii="Times New Roman" w:hAnsi="Times New Roman" w:eastAsia="仿宋" w:cs="Times New Roman"/>
          <w:sz w:val="24"/>
          <w:szCs w:val="24"/>
        </w:rPr>
        <w:t>更加贴近目前生产需求。</w:t>
      </w:r>
    </w:p>
    <w:p>
      <w:pPr>
        <w:spacing w:line="440" w:lineRule="exact"/>
        <w:rPr>
          <w:rFonts w:ascii="Times New Roman" w:hAnsi="Times New Roman" w:eastAsia="仿宋" w:cs="Times New Roman"/>
          <w:sz w:val="24"/>
          <w:szCs w:val="24"/>
        </w:rPr>
      </w:pPr>
      <w:r>
        <w:rPr>
          <w:rFonts w:ascii="Times New Roman" w:hAnsi="Times New Roman" w:eastAsia="仿宋" w:cs="Times New Roman"/>
          <w:sz w:val="24"/>
          <w:szCs w:val="24"/>
        </w:rPr>
        <w:t>3.</w:t>
      </w:r>
      <w:r>
        <w:rPr>
          <w:rFonts w:hint="eastAsia" w:ascii="Times New Roman" w:hAnsi="Times New Roman" w:eastAsia="仿宋" w:cs="Times New Roman"/>
          <w:sz w:val="24"/>
          <w:szCs w:val="24"/>
        </w:rPr>
        <w:t>5</w:t>
      </w:r>
      <w:r>
        <w:rPr>
          <w:rFonts w:ascii="Times New Roman" w:hAnsi="Times New Roman" w:eastAsia="仿宋" w:cs="Times New Roman"/>
          <w:sz w:val="24"/>
          <w:szCs w:val="24"/>
        </w:rPr>
        <w:t>　更新了</w:t>
      </w:r>
      <w:r>
        <w:rPr>
          <w:rFonts w:hint="eastAsia" w:ascii="Times New Roman" w:hAnsi="Times New Roman" w:eastAsia="仿宋" w:cs="Times New Roman"/>
          <w:sz w:val="24"/>
          <w:szCs w:val="24"/>
        </w:rPr>
        <w:t>猪只</w:t>
      </w:r>
      <w:r>
        <w:rPr>
          <w:rFonts w:ascii="Times New Roman" w:hAnsi="Times New Roman" w:eastAsia="仿宋" w:cs="Times New Roman"/>
          <w:sz w:val="24"/>
          <w:szCs w:val="24"/>
        </w:rPr>
        <w:t>各时期饲料的饲料配方</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相较于原标准，修订标准：（1）</w:t>
      </w:r>
      <w:r>
        <w:rPr>
          <w:rFonts w:hint="eastAsia" w:ascii="Times New Roman" w:hAnsi="Times New Roman" w:eastAsia="仿宋" w:cs="Times New Roman"/>
          <w:sz w:val="24"/>
          <w:szCs w:val="24"/>
        </w:rPr>
        <w:t>调整</w:t>
      </w:r>
      <w:r>
        <w:rPr>
          <w:rFonts w:ascii="Times New Roman" w:hAnsi="Times New Roman" w:eastAsia="仿宋" w:cs="Times New Roman"/>
          <w:sz w:val="24"/>
          <w:szCs w:val="24"/>
        </w:rPr>
        <w:t>了</w:t>
      </w:r>
      <w:r>
        <w:rPr>
          <w:rFonts w:hint="eastAsia" w:ascii="Times New Roman" w:hAnsi="Times New Roman" w:eastAsia="仿宋" w:cs="Times New Roman"/>
          <w:sz w:val="24"/>
          <w:szCs w:val="24"/>
        </w:rPr>
        <w:t>屯昌黑猪营养需要参考标准</w:t>
      </w:r>
      <w:r>
        <w:rPr>
          <w:rFonts w:ascii="Times New Roman" w:hAnsi="Times New Roman" w:eastAsia="仿宋" w:cs="Times New Roman"/>
          <w:sz w:val="24"/>
          <w:szCs w:val="24"/>
        </w:rPr>
        <w:t>；（2）</w:t>
      </w:r>
      <w:r>
        <w:rPr>
          <w:rFonts w:hint="eastAsia" w:ascii="Times New Roman" w:hAnsi="Times New Roman" w:eastAsia="仿宋" w:cs="Times New Roman"/>
          <w:sz w:val="24"/>
          <w:szCs w:val="24"/>
        </w:rPr>
        <w:t>调整了饲料配方</w:t>
      </w:r>
      <w:r>
        <w:rPr>
          <w:rFonts w:ascii="Times New Roman" w:hAnsi="Times New Roman" w:eastAsia="仿宋" w:cs="Times New Roman"/>
          <w:sz w:val="24"/>
          <w:szCs w:val="24"/>
        </w:rPr>
        <w:t>；</w:t>
      </w:r>
      <w:r>
        <w:rPr>
          <w:rFonts w:hint="eastAsia" w:ascii="Times New Roman" w:hAnsi="Times New Roman" w:eastAsia="仿宋" w:cs="Times New Roman"/>
          <w:sz w:val="24"/>
          <w:szCs w:val="24"/>
        </w:rPr>
        <w:t>（3）增加了饲料与饲料添加剂的的使用说明；因屯昌黑猪（商品猪）的定义有更新，同时，饲料与饲料添加剂的使用需要按照新的国家规定执行，新标准更符合当前定义下屯昌黑猪的营养需要与饲料配方</w:t>
      </w:r>
      <w:r>
        <w:rPr>
          <w:rFonts w:ascii="Times New Roman" w:hAnsi="Times New Roman" w:eastAsia="仿宋" w:cs="Times New Roman"/>
          <w:sz w:val="24"/>
          <w:szCs w:val="24"/>
        </w:rPr>
        <w:t>。</w:t>
      </w:r>
    </w:p>
    <w:p>
      <w:pPr>
        <w:spacing w:line="440" w:lineRule="exact"/>
        <w:rPr>
          <w:rFonts w:ascii="Times New Roman" w:hAnsi="Times New Roman" w:eastAsia="仿宋" w:cs="Times New Roman"/>
          <w:sz w:val="24"/>
          <w:szCs w:val="24"/>
        </w:rPr>
      </w:pPr>
      <w:r>
        <w:rPr>
          <w:rFonts w:ascii="Times New Roman" w:hAnsi="Times New Roman" w:eastAsia="仿宋" w:cs="Times New Roman"/>
          <w:sz w:val="24"/>
          <w:szCs w:val="24"/>
        </w:rPr>
        <w:t>3.</w:t>
      </w:r>
      <w:r>
        <w:rPr>
          <w:rFonts w:hint="eastAsia" w:ascii="Times New Roman" w:hAnsi="Times New Roman" w:eastAsia="仿宋" w:cs="Times New Roman"/>
          <w:sz w:val="24"/>
          <w:szCs w:val="24"/>
        </w:rPr>
        <w:t>6</w:t>
      </w:r>
      <w:r>
        <w:rPr>
          <w:rFonts w:ascii="Times New Roman" w:hAnsi="Times New Roman" w:eastAsia="仿宋" w:cs="Times New Roman"/>
          <w:sz w:val="24"/>
          <w:szCs w:val="24"/>
        </w:rPr>
        <w:t>　</w:t>
      </w:r>
      <w:r>
        <w:rPr>
          <w:rFonts w:hint="eastAsia" w:ascii="Times New Roman" w:hAnsi="Times New Roman" w:eastAsia="仿宋" w:cs="Times New Roman"/>
          <w:sz w:val="24"/>
          <w:szCs w:val="24"/>
        </w:rPr>
        <w:t>增加了生长性能部分，删除了屯昌黑猪屠宰性能部分</w:t>
      </w:r>
    </w:p>
    <w:p>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通过猪场调查和试验测定，确定屯昌黑猪（商品猪）各阶段的生长性能，为实际生产提供数据理论支持；删除屯昌黑猪屠宰性能部分，因这一部分在同一批次制定的《屯昌黑猪猪肉品质等级规格》标准有描述</w:t>
      </w:r>
      <w:r>
        <w:rPr>
          <w:rFonts w:ascii="Times New Roman" w:hAnsi="Times New Roman" w:eastAsia="仿宋" w:cs="Times New Roman"/>
          <w:sz w:val="24"/>
          <w:szCs w:val="24"/>
        </w:rPr>
        <w:t>。</w:t>
      </w:r>
    </w:p>
    <w:p>
      <w:pPr>
        <w:spacing w:line="440" w:lineRule="exact"/>
        <w:rPr>
          <w:rFonts w:ascii="Times New Roman" w:hAnsi="Times New Roman" w:eastAsia="仿宋" w:cs="Times New Roman"/>
          <w:sz w:val="24"/>
          <w:szCs w:val="24"/>
        </w:rPr>
      </w:pPr>
      <w:r>
        <w:rPr>
          <w:rFonts w:ascii="Times New Roman" w:hAnsi="Times New Roman" w:eastAsia="仿宋" w:cs="Times New Roman"/>
          <w:sz w:val="24"/>
          <w:szCs w:val="24"/>
        </w:rPr>
        <w:t>3.</w:t>
      </w:r>
      <w:r>
        <w:rPr>
          <w:rFonts w:hint="eastAsia" w:ascii="Times New Roman" w:hAnsi="Times New Roman" w:eastAsia="仿宋" w:cs="Times New Roman"/>
          <w:sz w:val="24"/>
          <w:szCs w:val="24"/>
        </w:rPr>
        <w:t>7</w:t>
      </w:r>
      <w:r>
        <w:rPr>
          <w:rFonts w:ascii="Times New Roman" w:hAnsi="Times New Roman" w:eastAsia="仿宋" w:cs="Times New Roman"/>
          <w:sz w:val="24"/>
          <w:szCs w:val="24"/>
        </w:rPr>
        <w:t>　增加了</w:t>
      </w:r>
      <w:r>
        <w:rPr>
          <w:rFonts w:hint="eastAsia" w:ascii="Times New Roman" w:hAnsi="Times New Roman" w:eastAsia="仿宋" w:cs="Times New Roman"/>
          <w:sz w:val="24"/>
          <w:szCs w:val="24"/>
        </w:rPr>
        <w:t>疫病防控、废弃物处理、档案管理部分</w:t>
      </w:r>
    </w:p>
    <w:p>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原标准</w:t>
      </w:r>
      <w:r>
        <w:rPr>
          <w:rFonts w:ascii="Times New Roman" w:hAnsi="Times New Roman" w:eastAsia="仿宋" w:cs="Times New Roman"/>
          <w:sz w:val="24"/>
          <w:szCs w:val="24"/>
        </w:rPr>
        <w:t>《</w:t>
      </w:r>
      <w:r>
        <w:rPr>
          <w:rFonts w:hint="eastAsia" w:ascii="Times New Roman" w:hAnsi="Times New Roman" w:eastAsia="仿宋" w:cs="Times New Roman"/>
          <w:sz w:val="24"/>
          <w:szCs w:val="24"/>
        </w:rPr>
        <w:t>屯昌黑猪（商品猪）饲养技术规程</w:t>
      </w:r>
      <w:r>
        <w:rPr>
          <w:rFonts w:ascii="Times New Roman" w:hAnsi="Times New Roman" w:eastAsia="仿宋" w:cs="Times New Roman"/>
          <w:sz w:val="24"/>
          <w:szCs w:val="24"/>
        </w:rPr>
        <w:t xml:space="preserve">》（DB46/T </w:t>
      </w:r>
      <w:r>
        <w:rPr>
          <w:rFonts w:hint="eastAsia" w:ascii="Times New Roman" w:hAnsi="Times New Roman" w:eastAsia="仿宋" w:cs="Times New Roman"/>
          <w:sz w:val="24"/>
          <w:szCs w:val="24"/>
        </w:rPr>
        <w:t>71—</w:t>
      </w:r>
      <w:r>
        <w:rPr>
          <w:rFonts w:ascii="Times New Roman" w:hAnsi="Times New Roman" w:eastAsia="仿宋" w:cs="Times New Roman"/>
          <w:sz w:val="24"/>
          <w:szCs w:val="24"/>
        </w:rPr>
        <w:t>20</w:t>
      </w:r>
      <w:r>
        <w:rPr>
          <w:rFonts w:hint="eastAsia" w:ascii="Times New Roman" w:hAnsi="Times New Roman" w:eastAsia="仿宋" w:cs="Times New Roman"/>
          <w:sz w:val="24"/>
          <w:szCs w:val="24"/>
        </w:rPr>
        <w:t>13</w:t>
      </w:r>
      <w:r>
        <w:rPr>
          <w:rFonts w:ascii="Times New Roman" w:hAnsi="Times New Roman" w:eastAsia="仿宋" w:cs="Times New Roman"/>
          <w:sz w:val="24"/>
          <w:szCs w:val="24"/>
        </w:rPr>
        <w:t>）</w:t>
      </w:r>
      <w:r>
        <w:rPr>
          <w:rFonts w:hint="eastAsia" w:ascii="Times New Roman" w:hAnsi="Times New Roman" w:eastAsia="仿宋" w:cs="Times New Roman"/>
          <w:sz w:val="24"/>
          <w:szCs w:val="24"/>
        </w:rPr>
        <w:t>疫病防治部分相对简单，近年来，受非洲猪瘟疫情影响，黑猪养殖规模、方式和疫情防控技术发生了巨大改变。修订的标准增加了疫病防控部分对屯昌黑猪（商品猪）生产的防疫实施有所依据。同时，因国家和省市关于畜禽养殖的相关规定，增加了废弃物处理与档案管理部分。</w:t>
      </w:r>
    </w:p>
    <w:p>
      <w:pPr>
        <w:spacing w:line="440" w:lineRule="exact"/>
        <w:rPr>
          <w:rFonts w:ascii="Times New Roman" w:hAnsi="Times New Roman" w:eastAsia="仿宋" w:cs="Times New Roman"/>
          <w:sz w:val="24"/>
          <w:szCs w:val="24"/>
        </w:rPr>
      </w:pPr>
      <w:r>
        <w:rPr>
          <w:rFonts w:ascii="Times New Roman" w:hAnsi="Times New Roman" w:eastAsia="仿宋" w:cs="Times New Roman"/>
          <w:sz w:val="24"/>
          <w:szCs w:val="24"/>
        </w:rPr>
        <w:t>3.</w:t>
      </w:r>
      <w:r>
        <w:rPr>
          <w:rFonts w:hint="eastAsia" w:ascii="Times New Roman" w:hAnsi="Times New Roman" w:eastAsia="仿宋" w:cs="Times New Roman"/>
          <w:sz w:val="24"/>
          <w:szCs w:val="24"/>
        </w:rPr>
        <w:t>8</w:t>
      </w:r>
      <w:r>
        <w:rPr>
          <w:rFonts w:ascii="Times New Roman" w:hAnsi="Times New Roman" w:eastAsia="仿宋" w:cs="Times New Roman"/>
          <w:sz w:val="24"/>
          <w:szCs w:val="24"/>
        </w:rPr>
        <w:t>　增加了</w:t>
      </w:r>
      <w:r>
        <w:rPr>
          <w:rFonts w:hint="eastAsia" w:ascii="Times New Roman" w:hAnsi="Times New Roman" w:eastAsia="仿宋" w:cs="Times New Roman"/>
          <w:sz w:val="24"/>
          <w:szCs w:val="24"/>
        </w:rPr>
        <w:t>生产技术路线</w:t>
      </w:r>
      <w:r>
        <w:rPr>
          <w:rFonts w:ascii="Times New Roman" w:hAnsi="Times New Roman" w:eastAsia="仿宋" w:cs="Times New Roman"/>
          <w:sz w:val="24"/>
          <w:szCs w:val="24"/>
        </w:rPr>
        <w:t>部分</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原标准《</w:t>
      </w:r>
      <w:r>
        <w:rPr>
          <w:rFonts w:hint="eastAsia" w:ascii="Times New Roman" w:hAnsi="Times New Roman" w:eastAsia="仿宋" w:cs="Times New Roman"/>
          <w:sz w:val="24"/>
          <w:szCs w:val="24"/>
        </w:rPr>
        <w:t>屯昌黑猪（商品猪）饲养技术规程</w:t>
      </w:r>
      <w:r>
        <w:rPr>
          <w:rFonts w:ascii="Times New Roman" w:hAnsi="Times New Roman" w:eastAsia="仿宋" w:cs="Times New Roman"/>
          <w:sz w:val="24"/>
          <w:szCs w:val="24"/>
        </w:rPr>
        <w:t xml:space="preserve">》（DB46/T </w:t>
      </w:r>
      <w:r>
        <w:rPr>
          <w:rFonts w:hint="eastAsia" w:ascii="Times New Roman" w:hAnsi="Times New Roman" w:eastAsia="仿宋" w:cs="Times New Roman"/>
          <w:sz w:val="24"/>
          <w:szCs w:val="24"/>
        </w:rPr>
        <w:t>71—</w:t>
      </w:r>
      <w:r>
        <w:rPr>
          <w:rFonts w:ascii="Times New Roman" w:hAnsi="Times New Roman" w:eastAsia="仿宋" w:cs="Times New Roman"/>
          <w:sz w:val="24"/>
          <w:szCs w:val="24"/>
        </w:rPr>
        <w:t>20</w:t>
      </w:r>
      <w:r>
        <w:rPr>
          <w:rFonts w:hint="eastAsia" w:ascii="Times New Roman" w:hAnsi="Times New Roman" w:eastAsia="仿宋" w:cs="Times New Roman"/>
          <w:sz w:val="24"/>
          <w:szCs w:val="24"/>
        </w:rPr>
        <w:t>13</w:t>
      </w:r>
      <w:r>
        <w:rPr>
          <w:rFonts w:ascii="Times New Roman" w:hAnsi="Times New Roman" w:eastAsia="仿宋" w:cs="Times New Roman"/>
          <w:sz w:val="24"/>
          <w:szCs w:val="24"/>
        </w:rPr>
        <w:t>）中没有</w:t>
      </w:r>
      <w:r>
        <w:rPr>
          <w:rFonts w:hint="eastAsia" w:ascii="Times New Roman" w:hAnsi="Times New Roman" w:eastAsia="仿宋" w:cs="Times New Roman"/>
          <w:sz w:val="24"/>
          <w:szCs w:val="24"/>
        </w:rPr>
        <w:t>生产技术路线，本次修订为了增加标准的直观性。增加了</w:t>
      </w:r>
      <w:bookmarkStart w:id="3" w:name="_Hlk121733330"/>
      <w:r>
        <w:rPr>
          <w:rFonts w:hint="eastAsia" w:ascii="Times New Roman" w:hAnsi="Times New Roman" w:eastAsia="仿宋" w:cs="Times New Roman"/>
          <w:sz w:val="24"/>
          <w:szCs w:val="24"/>
        </w:rPr>
        <w:t>生产技术路线</w:t>
      </w:r>
      <w:bookmarkEnd w:id="3"/>
      <w:r>
        <w:rPr>
          <w:rFonts w:ascii="Times New Roman" w:hAnsi="Times New Roman" w:eastAsia="仿宋" w:cs="Times New Roman"/>
          <w:sz w:val="24"/>
          <w:szCs w:val="24"/>
        </w:rPr>
        <w:t xml:space="preserve">部分（详见修订标准的 </w:t>
      </w:r>
      <w:r>
        <w:rPr>
          <w:rFonts w:hint="eastAsia" w:ascii="Times New Roman" w:hAnsi="Times New Roman" w:eastAsia="仿宋" w:cs="Times New Roman"/>
          <w:sz w:val="24"/>
          <w:szCs w:val="24"/>
        </w:rPr>
        <w:t>“11生产技术路线”</w:t>
      </w:r>
      <w:r>
        <w:rPr>
          <w:rFonts w:ascii="Times New Roman" w:hAnsi="Times New Roman" w:eastAsia="仿宋" w:cs="Times New Roman"/>
          <w:sz w:val="24"/>
          <w:szCs w:val="24"/>
        </w:rPr>
        <w:t>）。</w:t>
      </w:r>
    </w:p>
    <w:p>
      <w:pPr>
        <w:spacing w:line="440" w:lineRule="exact"/>
        <w:rPr>
          <w:rFonts w:ascii="Times New Roman" w:hAnsi="Times New Roman" w:eastAsia="仿宋" w:cs="Times New Roman"/>
          <w:b/>
          <w:bCs/>
          <w:sz w:val="24"/>
          <w:szCs w:val="24"/>
        </w:rPr>
      </w:pPr>
      <w:r>
        <w:rPr>
          <w:rFonts w:ascii="Times New Roman" w:hAnsi="Times New Roman" w:eastAsia="仿宋" w:cs="Times New Roman"/>
          <w:b/>
          <w:bCs/>
          <w:sz w:val="24"/>
          <w:szCs w:val="24"/>
        </w:rPr>
        <w:t>（五）标准中如果涉及专利，应有明确的知识产权说明</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本标准未涉及相关专利。</w:t>
      </w:r>
    </w:p>
    <w:p>
      <w:pPr>
        <w:spacing w:line="440" w:lineRule="exact"/>
        <w:rPr>
          <w:rFonts w:ascii="Times New Roman" w:hAnsi="Times New Roman" w:eastAsia="仿宋" w:cs="Times New Roman"/>
          <w:b/>
          <w:bCs/>
          <w:sz w:val="24"/>
          <w:szCs w:val="24"/>
        </w:rPr>
      </w:pPr>
      <w:r>
        <w:rPr>
          <w:rFonts w:ascii="Times New Roman" w:hAnsi="Times New Roman" w:eastAsia="仿宋" w:cs="Times New Roman"/>
          <w:b/>
          <w:bCs/>
          <w:sz w:val="24"/>
          <w:szCs w:val="24"/>
        </w:rPr>
        <w:t>（六）采用国际标准或国外先进标准的，说明采标程度，以及国内外同类标准水平的对比情况</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本标准规定的技术指标符合</w:t>
      </w:r>
      <w:r>
        <w:rPr>
          <w:rFonts w:hint="eastAsia" w:ascii="Times New Roman" w:hAnsi="Times New Roman" w:eastAsia="仿宋" w:cs="Times New Roman"/>
          <w:sz w:val="24"/>
          <w:szCs w:val="24"/>
        </w:rPr>
        <w:t>屯昌黑猪</w:t>
      </w:r>
      <w:r>
        <w:rPr>
          <w:rFonts w:ascii="Times New Roman" w:hAnsi="Times New Roman" w:eastAsia="仿宋" w:cs="Times New Roman"/>
          <w:sz w:val="24"/>
          <w:szCs w:val="24"/>
        </w:rPr>
        <w:t>（</w:t>
      </w:r>
      <w:r>
        <w:rPr>
          <w:rFonts w:hint="eastAsia" w:ascii="Times New Roman" w:hAnsi="Times New Roman" w:eastAsia="仿宋" w:cs="Times New Roman"/>
          <w:sz w:val="24"/>
          <w:szCs w:val="24"/>
        </w:rPr>
        <w:t>商品猪</w:t>
      </w:r>
      <w:r>
        <w:rPr>
          <w:rFonts w:ascii="Times New Roman" w:hAnsi="Times New Roman" w:eastAsia="仿宋" w:cs="Times New Roman"/>
          <w:sz w:val="24"/>
          <w:szCs w:val="24"/>
        </w:rPr>
        <w:t>）的特点，突出科学性，有较强的可操作性和实用性，适合在</w:t>
      </w:r>
      <w:r>
        <w:rPr>
          <w:rFonts w:hint="eastAsia" w:ascii="Times New Roman" w:hAnsi="Times New Roman" w:eastAsia="仿宋" w:cs="Times New Roman"/>
          <w:sz w:val="24"/>
          <w:szCs w:val="24"/>
        </w:rPr>
        <w:t>海南省屯昌黑猪饲养</w:t>
      </w:r>
      <w:r>
        <w:rPr>
          <w:rFonts w:ascii="Times New Roman" w:hAnsi="Times New Roman" w:eastAsia="仿宋" w:cs="Times New Roman"/>
          <w:sz w:val="24"/>
          <w:szCs w:val="24"/>
        </w:rPr>
        <w:t>饲养管理过程中应用。</w:t>
      </w:r>
    </w:p>
    <w:p>
      <w:pPr>
        <w:spacing w:line="440" w:lineRule="exact"/>
        <w:rPr>
          <w:rFonts w:ascii="Times New Roman" w:hAnsi="Times New Roman" w:eastAsia="仿宋" w:cs="Times New Roman"/>
          <w:b/>
          <w:bCs/>
          <w:sz w:val="24"/>
          <w:szCs w:val="24"/>
        </w:rPr>
      </w:pPr>
      <w:r>
        <w:rPr>
          <w:rFonts w:ascii="Times New Roman" w:hAnsi="Times New Roman" w:eastAsia="仿宋" w:cs="Times New Roman"/>
          <w:b/>
          <w:bCs/>
          <w:sz w:val="24"/>
          <w:szCs w:val="24"/>
        </w:rPr>
        <w:t>（七）重大分歧意见的处理依据和结果</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标准在起草和讨论过程中尚未发现任何重大分歧意见。</w:t>
      </w:r>
    </w:p>
    <w:p>
      <w:pPr>
        <w:spacing w:line="440" w:lineRule="exact"/>
        <w:rPr>
          <w:rFonts w:ascii="Times New Roman" w:hAnsi="Times New Roman" w:eastAsia="仿宋" w:cs="Times New Roman"/>
          <w:b/>
          <w:bCs/>
          <w:sz w:val="24"/>
          <w:szCs w:val="24"/>
        </w:rPr>
      </w:pPr>
      <w:r>
        <w:rPr>
          <w:rFonts w:ascii="Times New Roman" w:hAnsi="Times New Roman" w:eastAsia="仿宋" w:cs="Times New Roman"/>
          <w:b/>
          <w:bCs/>
          <w:sz w:val="24"/>
          <w:szCs w:val="24"/>
        </w:rPr>
        <w:t>（八）贯彻标准的要求和措施建议（包括组织措施、技术措施、过渡办法、实施日期等）</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1、通过举办相关的培训班对标准进行及时的宣贯和推广。</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2、建议在实施标准过程中对所发现的问题及时反馈，以利于标准后期的修订和完善。</w:t>
      </w:r>
    </w:p>
    <w:p>
      <w:pPr>
        <w:spacing w:line="440" w:lineRule="exact"/>
        <w:rPr>
          <w:rFonts w:ascii="Times New Roman" w:hAnsi="Times New Roman" w:eastAsia="仿宋" w:cs="Times New Roman"/>
          <w:b/>
          <w:bCs/>
          <w:sz w:val="24"/>
          <w:szCs w:val="24"/>
        </w:rPr>
      </w:pPr>
      <w:r>
        <w:rPr>
          <w:rFonts w:ascii="Times New Roman" w:hAnsi="Times New Roman" w:eastAsia="仿宋" w:cs="Times New Roman"/>
          <w:b/>
          <w:bCs/>
          <w:sz w:val="24"/>
          <w:szCs w:val="24"/>
        </w:rPr>
        <w:t>（九）预期效果</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随着社会进步、经济的发展和人民生活水平的显著提高，特别是海南自由贸易港建设，社会对优质</w:t>
      </w:r>
      <w:r>
        <w:rPr>
          <w:rFonts w:hint="eastAsia" w:ascii="Times New Roman" w:hAnsi="Times New Roman" w:eastAsia="仿宋" w:cs="Times New Roman"/>
          <w:sz w:val="24"/>
          <w:szCs w:val="24"/>
        </w:rPr>
        <w:t>猪肉</w:t>
      </w:r>
      <w:r>
        <w:rPr>
          <w:rFonts w:ascii="Times New Roman" w:hAnsi="Times New Roman" w:eastAsia="仿宋" w:cs="Times New Roman"/>
          <w:sz w:val="24"/>
          <w:szCs w:val="24"/>
        </w:rPr>
        <w:t>的需求</w:t>
      </w:r>
      <w:r>
        <w:rPr>
          <w:rFonts w:hint="eastAsia" w:ascii="Times New Roman" w:hAnsi="Times New Roman" w:eastAsia="仿宋" w:cs="Times New Roman"/>
          <w:sz w:val="24"/>
          <w:szCs w:val="24"/>
        </w:rPr>
        <w:t>量</w:t>
      </w:r>
      <w:r>
        <w:rPr>
          <w:rFonts w:ascii="Times New Roman" w:hAnsi="Times New Roman" w:eastAsia="仿宋" w:cs="Times New Roman"/>
          <w:sz w:val="24"/>
          <w:szCs w:val="24"/>
        </w:rPr>
        <w:t>越来越大，</w:t>
      </w:r>
      <w:r>
        <w:rPr>
          <w:rFonts w:hint="eastAsia" w:ascii="Times New Roman" w:hAnsi="Times New Roman" w:eastAsia="仿宋" w:cs="Times New Roman"/>
          <w:sz w:val="24"/>
          <w:szCs w:val="24"/>
        </w:rPr>
        <w:t>规范的黑猪生产管理技术</w:t>
      </w:r>
      <w:r>
        <w:rPr>
          <w:rFonts w:ascii="Times New Roman" w:hAnsi="Times New Roman" w:eastAsia="仿宋" w:cs="Times New Roman"/>
          <w:sz w:val="24"/>
          <w:szCs w:val="24"/>
        </w:rPr>
        <w:t>显得尤为重要。本标准规范</w:t>
      </w:r>
      <w:r>
        <w:rPr>
          <w:rFonts w:hint="eastAsia" w:ascii="Times New Roman" w:hAnsi="Times New Roman" w:eastAsia="仿宋" w:cs="Times New Roman"/>
          <w:sz w:val="24"/>
          <w:szCs w:val="24"/>
        </w:rPr>
        <w:t>了猪场的选址、环境与布局，屯昌黑猪（商品猪）的饲养期划分、营养需要、生长性能、不同生长阶段猪只的饲养管理，猪苗引进防疫、免疫、驱虫、消毒、非洲猪瘟防控、兽药使用，废弃物处理及档案管理等技术要求</w:t>
      </w:r>
      <w:r>
        <w:rPr>
          <w:rFonts w:ascii="Times New Roman" w:hAnsi="Times New Roman" w:eastAsia="仿宋" w:cs="Times New Roman"/>
          <w:sz w:val="24"/>
          <w:szCs w:val="24"/>
        </w:rPr>
        <w:t>，完善了</w:t>
      </w:r>
      <w:r>
        <w:rPr>
          <w:rFonts w:hint="eastAsia" w:ascii="Times New Roman" w:hAnsi="Times New Roman" w:eastAsia="仿宋" w:cs="Times New Roman"/>
          <w:sz w:val="24"/>
          <w:szCs w:val="24"/>
        </w:rPr>
        <w:t>屯昌黑猪（商品猪）</w:t>
      </w:r>
      <w:r>
        <w:rPr>
          <w:rFonts w:ascii="Times New Roman" w:hAnsi="Times New Roman" w:eastAsia="仿宋" w:cs="Times New Roman"/>
          <w:sz w:val="24"/>
          <w:szCs w:val="24"/>
        </w:rPr>
        <w:t>饲养管理的技术规范，</w:t>
      </w:r>
      <w:r>
        <w:rPr>
          <w:rFonts w:hint="eastAsia" w:ascii="Times New Roman" w:hAnsi="Times New Roman" w:eastAsia="仿宋" w:cs="Times New Roman"/>
          <w:sz w:val="24"/>
          <w:szCs w:val="24"/>
        </w:rPr>
        <w:t>对我省黑猪产业的振兴和规范化发展，具有深远和重大的意义，大大有利于海南本地猪的保种，保护海南省遗传资源的多态性，发挥较大的社会效益，有利于地方畜牧业产值大幅度的提升，产生巨大的经济效益，帮助农民脱贫致富。</w:t>
      </w:r>
    </w:p>
    <w:p>
      <w:pPr>
        <w:spacing w:line="440" w:lineRule="exact"/>
        <w:rPr>
          <w:rFonts w:ascii="Times New Roman" w:hAnsi="Times New Roman" w:eastAsia="仿宋" w:cs="Times New Roman"/>
          <w:b/>
          <w:bCs/>
          <w:sz w:val="24"/>
          <w:szCs w:val="24"/>
        </w:rPr>
      </w:pPr>
      <w:r>
        <w:rPr>
          <w:rFonts w:ascii="Times New Roman" w:hAnsi="Times New Roman" w:eastAsia="仿宋" w:cs="Times New Roman"/>
          <w:b/>
          <w:bCs/>
          <w:sz w:val="24"/>
          <w:szCs w:val="24"/>
        </w:rPr>
        <w:t>（十）其他应予说明的事项</w:t>
      </w:r>
    </w:p>
    <w:p>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宋体"/>
    <w:panose1 w:val="02010600030101010101"/>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426"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OGNlN2IyZGIxZmE1MTE2ZjE5Zjc0M2IyYmFjYTgifQ=="/>
  </w:docVars>
  <w:rsids>
    <w:rsidRoot w:val="00F1588A"/>
    <w:rsid w:val="00030056"/>
    <w:rsid w:val="000A3C39"/>
    <w:rsid w:val="000A5009"/>
    <w:rsid w:val="000F5041"/>
    <w:rsid w:val="00143CA9"/>
    <w:rsid w:val="00205A6B"/>
    <w:rsid w:val="002A5D57"/>
    <w:rsid w:val="00307CF2"/>
    <w:rsid w:val="0036217A"/>
    <w:rsid w:val="003634E4"/>
    <w:rsid w:val="003A118D"/>
    <w:rsid w:val="00422EDC"/>
    <w:rsid w:val="00436B3C"/>
    <w:rsid w:val="00437AFC"/>
    <w:rsid w:val="00463B3F"/>
    <w:rsid w:val="0047578E"/>
    <w:rsid w:val="004A136A"/>
    <w:rsid w:val="004B42A4"/>
    <w:rsid w:val="004C23D9"/>
    <w:rsid w:val="004F3DC6"/>
    <w:rsid w:val="00502DDC"/>
    <w:rsid w:val="005442F3"/>
    <w:rsid w:val="0058683B"/>
    <w:rsid w:val="005A1B3A"/>
    <w:rsid w:val="005A32AA"/>
    <w:rsid w:val="006128CD"/>
    <w:rsid w:val="0067387A"/>
    <w:rsid w:val="006A1959"/>
    <w:rsid w:val="006B4613"/>
    <w:rsid w:val="006F4720"/>
    <w:rsid w:val="007053AB"/>
    <w:rsid w:val="00744A06"/>
    <w:rsid w:val="00762803"/>
    <w:rsid w:val="007C61D3"/>
    <w:rsid w:val="007D1EC9"/>
    <w:rsid w:val="007F3A35"/>
    <w:rsid w:val="008051D8"/>
    <w:rsid w:val="008562DE"/>
    <w:rsid w:val="008A5052"/>
    <w:rsid w:val="008D63A7"/>
    <w:rsid w:val="009222D5"/>
    <w:rsid w:val="0093054C"/>
    <w:rsid w:val="00930A18"/>
    <w:rsid w:val="00973BD0"/>
    <w:rsid w:val="009E4572"/>
    <w:rsid w:val="00A15EE7"/>
    <w:rsid w:val="00AA0DE6"/>
    <w:rsid w:val="00AA76CE"/>
    <w:rsid w:val="00AD0AAE"/>
    <w:rsid w:val="00AD5FFD"/>
    <w:rsid w:val="00AE2E96"/>
    <w:rsid w:val="00B7605B"/>
    <w:rsid w:val="00B86959"/>
    <w:rsid w:val="00B96187"/>
    <w:rsid w:val="00BA1957"/>
    <w:rsid w:val="00C14ABC"/>
    <w:rsid w:val="00C15C3D"/>
    <w:rsid w:val="00C15EE1"/>
    <w:rsid w:val="00C94A8A"/>
    <w:rsid w:val="00D41969"/>
    <w:rsid w:val="00D60D1D"/>
    <w:rsid w:val="00D82AC5"/>
    <w:rsid w:val="00DA7844"/>
    <w:rsid w:val="00E101D9"/>
    <w:rsid w:val="00E34BFB"/>
    <w:rsid w:val="00E548BC"/>
    <w:rsid w:val="00E87D1C"/>
    <w:rsid w:val="00E91A46"/>
    <w:rsid w:val="00EA45DB"/>
    <w:rsid w:val="00EA796C"/>
    <w:rsid w:val="00ED4746"/>
    <w:rsid w:val="00EF0B68"/>
    <w:rsid w:val="00F1588A"/>
    <w:rsid w:val="00F170E5"/>
    <w:rsid w:val="00F51C41"/>
    <w:rsid w:val="00F56DDA"/>
    <w:rsid w:val="00FB4068"/>
    <w:rsid w:val="00FC1166"/>
    <w:rsid w:val="00FF4884"/>
    <w:rsid w:val="12A37155"/>
    <w:rsid w:val="18CE5AA0"/>
    <w:rsid w:val="1C7B75DB"/>
    <w:rsid w:val="1D0B323C"/>
    <w:rsid w:val="2F5E3315"/>
    <w:rsid w:val="2FD03162"/>
    <w:rsid w:val="33AD2BD0"/>
    <w:rsid w:val="344E5133"/>
    <w:rsid w:val="399A1716"/>
    <w:rsid w:val="3C931612"/>
    <w:rsid w:val="40826380"/>
    <w:rsid w:val="441C75B1"/>
    <w:rsid w:val="45A627B5"/>
    <w:rsid w:val="4B0066C3"/>
    <w:rsid w:val="4CBC4968"/>
    <w:rsid w:val="5D41082E"/>
    <w:rsid w:val="5DCB08EB"/>
    <w:rsid w:val="61685658"/>
    <w:rsid w:val="643514DE"/>
    <w:rsid w:val="66C67529"/>
    <w:rsid w:val="6C711002"/>
    <w:rsid w:val="724B5B72"/>
    <w:rsid w:val="7AA17B72"/>
    <w:rsid w:val="DFF3F4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adjustRightInd w:val="0"/>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adjustRightInd w:val="0"/>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8"/>
    <w:qFormat/>
    <w:uiPriority w:val="0"/>
    <w:pPr>
      <w:keepNext/>
      <w:keepLines/>
      <w:adjustRightInd w:val="0"/>
      <w:spacing w:before="260" w:after="260" w:line="416" w:lineRule="auto"/>
      <w:outlineLvl w:val="2"/>
    </w:pPr>
    <w:rPr>
      <w:rFonts w:ascii="Calibri" w:hAnsi="Calibri" w:eastAsia="宋体" w:cs="Times New Roman"/>
      <w:b/>
      <w:bCs/>
      <w:sz w:val="32"/>
      <w:szCs w:val="32"/>
    </w:rPr>
  </w:style>
  <w:style w:type="paragraph" w:styleId="5">
    <w:name w:val="heading 4"/>
    <w:basedOn w:val="1"/>
    <w:next w:val="1"/>
    <w:link w:val="39"/>
    <w:qFormat/>
    <w:uiPriority w:val="0"/>
    <w:pPr>
      <w:keepNext/>
      <w:keepLines/>
      <w:adjustRightInd w:val="0"/>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40"/>
    <w:qFormat/>
    <w:uiPriority w:val="0"/>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41"/>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42"/>
    <w:qFormat/>
    <w:uiPriority w:val="0"/>
    <w:pPr>
      <w:keepNext/>
      <w:keepLines/>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43"/>
    <w:qFormat/>
    <w:uiPriority w:val="0"/>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link w:val="44"/>
    <w:qFormat/>
    <w:uiPriority w:val="0"/>
    <w:pPr>
      <w:keepNext/>
      <w:keepLines/>
      <w:spacing w:before="240" w:after="64" w:line="320" w:lineRule="auto"/>
      <w:outlineLvl w:val="8"/>
    </w:pPr>
    <w:rPr>
      <w:rFonts w:ascii="Arial" w:hAnsi="Arial" w:eastAsia="黑体" w:cs="Times New Roman"/>
      <w:szCs w:val="21"/>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adjustRightInd w:val="0"/>
      <w:spacing w:line="300" w:lineRule="exact"/>
      <w:ind w:left="1259"/>
    </w:pPr>
    <w:rPr>
      <w:rFonts w:ascii="宋体" w:hAnsi="Calibri" w:eastAsia="宋体" w:cs="Times New Roman"/>
      <w:szCs w:val="21"/>
    </w:rPr>
  </w:style>
  <w:style w:type="paragraph" w:styleId="12">
    <w:name w:val="Normal Indent"/>
    <w:basedOn w:val="1"/>
    <w:qFormat/>
    <w:uiPriority w:val="0"/>
    <w:pPr>
      <w:adjustRightInd w:val="0"/>
      <w:spacing w:line="400" w:lineRule="exact"/>
      <w:ind w:firstLine="420"/>
    </w:pPr>
    <w:rPr>
      <w:rFonts w:ascii="Calibri" w:hAnsi="Calibri" w:eastAsia="宋体" w:cs="Times New Roman"/>
      <w:szCs w:val="21"/>
    </w:rPr>
  </w:style>
  <w:style w:type="paragraph" w:styleId="13">
    <w:name w:val="Body Text"/>
    <w:basedOn w:val="1"/>
    <w:link w:val="45"/>
    <w:qFormat/>
    <w:uiPriority w:val="0"/>
    <w:pPr>
      <w:adjustRightInd w:val="0"/>
      <w:spacing w:after="120" w:line="400" w:lineRule="exact"/>
    </w:pPr>
    <w:rPr>
      <w:rFonts w:ascii="Calibri" w:hAnsi="Calibri" w:eastAsia="宋体" w:cs="Times New Roman"/>
      <w:szCs w:val="21"/>
    </w:rPr>
  </w:style>
  <w:style w:type="paragraph" w:styleId="14">
    <w:name w:val="toc 5"/>
    <w:basedOn w:val="1"/>
    <w:next w:val="1"/>
    <w:unhideWhenUsed/>
    <w:qFormat/>
    <w:uiPriority w:val="39"/>
    <w:pPr>
      <w:adjustRightInd w:val="0"/>
      <w:spacing w:line="400" w:lineRule="exact"/>
      <w:ind w:left="839"/>
    </w:pPr>
    <w:rPr>
      <w:rFonts w:ascii="宋体" w:hAnsi="Calibri" w:eastAsia="宋体" w:cs="Times New Roman"/>
      <w:szCs w:val="21"/>
    </w:rPr>
  </w:style>
  <w:style w:type="paragraph" w:styleId="15">
    <w:name w:val="toc 3"/>
    <w:basedOn w:val="1"/>
    <w:next w:val="1"/>
    <w:unhideWhenUsed/>
    <w:qFormat/>
    <w:uiPriority w:val="39"/>
    <w:pPr>
      <w:adjustRightInd w:val="0"/>
      <w:spacing w:line="300" w:lineRule="exact"/>
      <w:ind w:left="420"/>
    </w:pPr>
    <w:rPr>
      <w:rFonts w:ascii="宋体" w:hAnsi="Calibri" w:eastAsia="宋体" w:cs="Times New Roman"/>
      <w:szCs w:val="21"/>
    </w:rPr>
  </w:style>
  <w:style w:type="paragraph" w:styleId="16">
    <w:name w:val="Balloon Text"/>
    <w:basedOn w:val="1"/>
    <w:link w:val="46"/>
    <w:semiHidden/>
    <w:unhideWhenUsed/>
    <w:qFormat/>
    <w:uiPriority w:val="99"/>
    <w:pPr>
      <w:adjustRightInd w:val="0"/>
      <w:spacing w:line="400" w:lineRule="exact"/>
    </w:pPr>
    <w:rPr>
      <w:rFonts w:ascii="Calibri" w:hAnsi="Calibri" w:eastAsia="宋体" w:cs="Times New Roman"/>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adjustRightInd w:val="0"/>
      <w:spacing w:line="400" w:lineRule="exact"/>
    </w:pPr>
    <w:rPr>
      <w:rFonts w:ascii="宋体" w:hAnsi="Calibri" w:eastAsia="宋体" w:cs="Times New Roman"/>
      <w:szCs w:val="21"/>
    </w:rPr>
  </w:style>
  <w:style w:type="paragraph" w:styleId="20">
    <w:name w:val="toc 4"/>
    <w:basedOn w:val="1"/>
    <w:next w:val="1"/>
    <w:unhideWhenUsed/>
    <w:qFormat/>
    <w:uiPriority w:val="39"/>
    <w:pPr>
      <w:tabs>
        <w:tab w:val="right" w:leader="dot" w:pos="9344"/>
      </w:tabs>
      <w:adjustRightInd w:val="0"/>
      <w:spacing w:line="300" w:lineRule="exact"/>
      <w:ind w:left="629"/>
    </w:pPr>
    <w:rPr>
      <w:rFonts w:ascii="宋体" w:hAnsi="Calibri" w:eastAsia="宋体" w:cs="Times New Roman"/>
      <w:szCs w:val="21"/>
    </w:rPr>
  </w:style>
  <w:style w:type="paragraph" w:styleId="21">
    <w:name w:val="footnote text"/>
    <w:basedOn w:val="1"/>
    <w:next w:val="1"/>
    <w:link w:val="47"/>
    <w:semiHidden/>
    <w:qFormat/>
    <w:uiPriority w:val="0"/>
    <w:pPr>
      <w:snapToGrid w:val="0"/>
      <w:spacing w:line="300" w:lineRule="exact"/>
      <w:ind w:left="400" w:leftChars="200" w:hanging="200" w:hangingChars="200"/>
      <w:jc w:val="left"/>
    </w:pPr>
    <w:rPr>
      <w:rFonts w:ascii="宋体" w:hAnsi="Calibri" w:eastAsia="宋体" w:cs="Times New Roman"/>
      <w:sz w:val="18"/>
      <w:szCs w:val="18"/>
    </w:rPr>
  </w:style>
  <w:style w:type="paragraph" w:styleId="22">
    <w:name w:val="toc 6"/>
    <w:basedOn w:val="1"/>
    <w:next w:val="1"/>
    <w:unhideWhenUsed/>
    <w:qFormat/>
    <w:uiPriority w:val="39"/>
    <w:pPr>
      <w:adjustRightInd w:val="0"/>
      <w:spacing w:line="300" w:lineRule="exact"/>
      <w:ind w:left="1049"/>
    </w:pPr>
    <w:rPr>
      <w:rFonts w:ascii="宋体" w:hAnsi="Calibri" w:eastAsia="宋体" w:cs="Times New Roman"/>
      <w:szCs w:val="21"/>
    </w:rPr>
  </w:style>
  <w:style w:type="paragraph" w:styleId="23">
    <w:name w:val="table of figures"/>
    <w:basedOn w:val="1"/>
    <w:next w:val="1"/>
    <w:semiHidden/>
    <w:qFormat/>
    <w:uiPriority w:val="0"/>
    <w:pPr>
      <w:jc w:val="left"/>
    </w:pPr>
    <w:rPr>
      <w:rFonts w:ascii="Calibri" w:hAnsi="Calibri" w:eastAsia="宋体" w:cs="Times New Roman"/>
      <w:szCs w:val="24"/>
    </w:rPr>
  </w:style>
  <w:style w:type="paragraph" w:styleId="24">
    <w:name w:val="toc 2"/>
    <w:basedOn w:val="1"/>
    <w:next w:val="1"/>
    <w:unhideWhenUsed/>
    <w:qFormat/>
    <w:uiPriority w:val="39"/>
    <w:pPr>
      <w:tabs>
        <w:tab w:val="right" w:leader="dot" w:pos="9344"/>
      </w:tabs>
      <w:adjustRightInd w:val="0"/>
      <w:spacing w:line="300" w:lineRule="exact"/>
      <w:ind w:left="210"/>
    </w:pPr>
    <w:rPr>
      <w:rFonts w:ascii="宋体" w:hAnsi="Calibri" w:eastAsia="宋体" w:cs="Times New Roman"/>
      <w:szCs w:val="21"/>
    </w:rPr>
  </w:style>
  <w:style w:type="paragraph" w:styleId="25">
    <w:name w:val="Title"/>
    <w:basedOn w:val="1"/>
    <w:link w:val="48"/>
    <w:qFormat/>
    <w:uiPriority w:val="0"/>
    <w:pPr>
      <w:adjustRightInd w:val="0"/>
      <w:spacing w:before="240" w:after="60" w:line="400" w:lineRule="exact"/>
      <w:jc w:val="center"/>
      <w:outlineLvl w:val="0"/>
    </w:pPr>
    <w:rPr>
      <w:rFonts w:ascii="Arial" w:hAnsi="Arial" w:eastAsia="宋体"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页眉 Char"/>
    <w:basedOn w:val="28"/>
    <w:link w:val="18"/>
    <w:qFormat/>
    <w:uiPriority w:val="99"/>
    <w:rPr>
      <w:sz w:val="18"/>
      <w:szCs w:val="18"/>
    </w:rPr>
  </w:style>
  <w:style w:type="character" w:customStyle="1" w:styleId="35">
    <w:name w:val="页脚 Char"/>
    <w:basedOn w:val="28"/>
    <w:link w:val="17"/>
    <w:qFormat/>
    <w:uiPriority w:val="99"/>
    <w:rPr>
      <w:sz w:val="18"/>
      <w:szCs w:val="18"/>
    </w:rPr>
  </w:style>
  <w:style w:type="character" w:customStyle="1" w:styleId="36">
    <w:name w:val="标题 1 Char"/>
    <w:basedOn w:val="28"/>
    <w:link w:val="2"/>
    <w:qFormat/>
    <w:uiPriority w:val="0"/>
    <w:rPr>
      <w:rFonts w:ascii="Calibri" w:hAnsi="Calibri" w:eastAsia="宋体" w:cs="Times New Roman"/>
      <w:b/>
      <w:bCs/>
      <w:kern w:val="44"/>
      <w:sz w:val="44"/>
      <w:szCs w:val="44"/>
    </w:rPr>
  </w:style>
  <w:style w:type="character" w:customStyle="1" w:styleId="37">
    <w:name w:val="标题 2 Char"/>
    <w:basedOn w:val="28"/>
    <w:link w:val="3"/>
    <w:qFormat/>
    <w:uiPriority w:val="0"/>
    <w:rPr>
      <w:rFonts w:ascii="Arial" w:hAnsi="Arial" w:eastAsia="黑体" w:cs="Times New Roman"/>
      <w:b/>
      <w:bCs/>
      <w:sz w:val="32"/>
      <w:szCs w:val="32"/>
    </w:rPr>
  </w:style>
  <w:style w:type="character" w:customStyle="1" w:styleId="38">
    <w:name w:val="标题 3 Char"/>
    <w:basedOn w:val="28"/>
    <w:link w:val="4"/>
    <w:qFormat/>
    <w:uiPriority w:val="0"/>
    <w:rPr>
      <w:rFonts w:ascii="Calibri" w:hAnsi="Calibri" w:eastAsia="宋体" w:cs="Times New Roman"/>
      <w:b/>
      <w:bCs/>
      <w:sz w:val="32"/>
      <w:szCs w:val="32"/>
    </w:rPr>
  </w:style>
  <w:style w:type="character" w:customStyle="1" w:styleId="39">
    <w:name w:val="标题 4 Char"/>
    <w:basedOn w:val="28"/>
    <w:link w:val="5"/>
    <w:qFormat/>
    <w:uiPriority w:val="0"/>
    <w:rPr>
      <w:rFonts w:ascii="Arial" w:hAnsi="Arial" w:eastAsia="黑体" w:cs="Times New Roman"/>
      <w:b/>
      <w:bCs/>
      <w:sz w:val="28"/>
      <w:szCs w:val="28"/>
    </w:rPr>
  </w:style>
  <w:style w:type="character" w:customStyle="1" w:styleId="40">
    <w:name w:val="标题 5 Char"/>
    <w:basedOn w:val="28"/>
    <w:link w:val="6"/>
    <w:qFormat/>
    <w:uiPriority w:val="0"/>
    <w:rPr>
      <w:rFonts w:ascii="Calibri" w:hAnsi="Calibri" w:eastAsia="宋体" w:cs="Times New Roman"/>
      <w:b/>
      <w:bCs/>
      <w:sz w:val="28"/>
      <w:szCs w:val="28"/>
    </w:rPr>
  </w:style>
  <w:style w:type="character" w:customStyle="1" w:styleId="41">
    <w:name w:val="标题 6 Char"/>
    <w:basedOn w:val="28"/>
    <w:link w:val="7"/>
    <w:qFormat/>
    <w:uiPriority w:val="0"/>
    <w:rPr>
      <w:rFonts w:ascii="Arial" w:hAnsi="Arial" w:eastAsia="黑体" w:cs="Times New Roman"/>
      <w:b/>
      <w:bCs/>
      <w:sz w:val="24"/>
      <w:szCs w:val="24"/>
    </w:rPr>
  </w:style>
  <w:style w:type="character" w:customStyle="1" w:styleId="42">
    <w:name w:val="标题 7 Char"/>
    <w:basedOn w:val="28"/>
    <w:link w:val="8"/>
    <w:qFormat/>
    <w:uiPriority w:val="0"/>
    <w:rPr>
      <w:rFonts w:ascii="Calibri" w:hAnsi="Calibri" w:eastAsia="宋体" w:cs="Times New Roman"/>
      <w:b/>
      <w:bCs/>
      <w:sz w:val="24"/>
      <w:szCs w:val="24"/>
    </w:rPr>
  </w:style>
  <w:style w:type="character" w:customStyle="1" w:styleId="43">
    <w:name w:val="标题 8 Char"/>
    <w:basedOn w:val="28"/>
    <w:link w:val="9"/>
    <w:qFormat/>
    <w:uiPriority w:val="0"/>
    <w:rPr>
      <w:rFonts w:ascii="Arial" w:hAnsi="Arial" w:eastAsia="黑体" w:cs="Times New Roman"/>
      <w:sz w:val="24"/>
      <w:szCs w:val="24"/>
    </w:rPr>
  </w:style>
  <w:style w:type="character" w:customStyle="1" w:styleId="44">
    <w:name w:val="标题 9 Char"/>
    <w:basedOn w:val="28"/>
    <w:link w:val="10"/>
    <w:qFormat/>
    <w:uiPriority w:val="0"/>
    <w:rPr>
      <w:rFonts w:ascii="Arial" w:hAnsi="Arial" w:eastAsia="黑体" w:cs="Times New Roman"/>
      <w:szCs w:val="21"/>
    </w:rPr>
  </w:style>
  <w:style w:type="character" w:customStyle="1" w:styleId="45">
    <w:name w:val="正文文本 Char"/>
    <w:basedOn w:val="28"/>
    <w:link w:val="13"/>
    <w:qFormat/>
    <w:uiPriority w:val="0"/>
    <w:rPr>
      <w:rFonts w:ascii="Calibri" w:hAnsi="Calibri" w:eastAsia="宋体" w:cs="Times New Roman"/>
      <w:szCs w:val="21"/>
    </w:rPr>
  </w:style>
  <w:style w:type="character" w:customStyle="1" w:styleId="46">
    <w:name w:val="批注框文本 Char"/>
    <w:basedOn w:val="28"/>
    <w:link w:val="16"/>
    <w:semiHidden/>
    <w:qFormat/>
    <w:uiPriority w:val="99"/>
    <w:rPr>
      <w:rFonts w:ascii="Calibri" w:hAnsi="Calibri" w:eastAsia="宋体" w:cs="Times New Roman"/>
      <w:sz w:val="18"/>
      <w:szCs w:val="18"/>
    </w:rPr>
  </w:style>
  <w:style w:type="character" w:customStyle="1" w:styleId="47">
    <w:name w:val="脚注文本 Char"/>
    <w:basedOn w:val="28"/>
    <w:link w:val="21"/>
    <w:semiHidden/>
    <w:qFormat/>
    <w:uiPriority w:val="0"/>
    <w:rPr>
      <w:rFonts w:ascii="宋体" w:hAnsi="Calibri" w:eastAsia="宋体" w:cs="Times New Roman"/>
      <w:sz w:val="18"/>
      <w:szCs w:val="18"/>
    </w:rPr>
  </w:style>
  <w:style w:type="character" w:customStyle="1" w:styleId="48">
    <w:name w:val="标题 Char"/>
    <w:basedOn w:val="28"/>
    <w:link w:val="25"/>
    <w:qFormat/>
    <w:uiPriority w:val="0"/>
    <w:rPr>
      <w:rFonts w:ascii="Arial" w:hAnsi="Arial" w:eastAsia="宋体" w:cs="Arial"/>
      <w:b/>
      <w:bCs/>
      <w:sz w:val="32"/>
      <w:szCs w:val="32"/>
    </w:rPr>
  </w:style>
  <w:style w:type="table" w:customStyle="1" w:styleId="49">
    <w:name w:val="网格型1"/>
    <w:basedOn w:val="26"/>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0">
    <w:name w:val="Quote"/>
    <w:basedOn w:val="1"/>
    <w:next w:val="1"/>
    <w:link w:val="51"/>
    <w:qFormat/>
    <w:uiPriority w:val="29"/>
    <w:pPr>
      <w:adjustRightInd w:val="0"/>
      <w:spacing w:line="400" w:lineRule="exact"/>
    </w:pPr>
    <w:rPr>
      <w:rFonts w:ascii="Calibri" w:hAnsi="Calibri" w:eastAsia="宋体" w:cs="Times New Roman"/>
      <w:i/>
      <w:iCs/>
      <w:color w:val="000000"/>
      <w:szCs w:val="21"/>
    </w:rPr>
  </w:style>
  <w:style w:type="character" w:customStyle="1" w:styleId="51">
    <w:name w:val="引用 Char"/>
    <w:basedOn w:val="28"/>
    <w:link w:val="50"/>
    <w:qFormat/>
    <w:uiPriority w:val="29"/>
    <w:rPr>
      <w:rFonts w:ascii="Calibri" w:hAnsi="Calibri" w:eastAsia="宋体" w:cs="Times New Roman"/>
      <w:i/>
      <w:iCs/>
      <w:color w:val="000000"/>
      <w:szCs w:val="21"/>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adjustRightInd w:val="0"/>
      <w:spacing w:line="0" w:lineRule="atLeast"/>
    </w:pPr>
    <w:rPr>
      <w:rFonts w:ascii="黑体" w:hAnsi="宋体" w:eastAsia="黑体" w:cs="Times New Roman"/>
      <w:szCs w:val="21"/>
    </w:rPr>
  </w:style>
  <w:style w:type="paragraph" w:customStyle="1" w:styleId="58">
    <w:name w:val="标准文件_标准正文"/>
    <w:basedOn w:val="1"/>
    <w:next w:val="59"/>
    <w:qFormat/>
    <w:uiPriority w:val="0"/>
    <w:pPr>
      <w:adjustRightInd w:val="0"/>
      <w:snapToGrid w:val="0"/>
      <w:spacing w:line="400" w:lineRule="exact"/>
      <w:ind w:firstLine="200" w:firstLineChars="200"/>
    </w:pPr>
    <w:rPr>
      <w:rFonts w:ascii="Calibri" w:hAnsi="Calibri" w:eastAsia="宋体" w:cs="Times New Roman"/>
      <w:kern w:val="0"/>
      <w:szCs w:val="21"/>
    </w:rPr>
  </w:style>
  <w:style w:type="paragraph" w:customStyle="1" w:styleId="59">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adjustRightInd w:val="0"/>
      <w:spacing w:line="400" w:lineRule="exact"/>
      <w:jc w:val="center"/>
    </w:pPr>
    <w:rPr>
      <w:rFonts w:ascii="黑体" w:hAnsi="Calibri" w:eastAsia="黑体" w:cs="Times New Roman"/>
      <w:kern w:val="0"/>
      <w:sz w:val="44"/>
      <w:szCs w:val="21"/>
    </w:rPr>
  </w:style>
  <w:style w:type="paragraph" w:customStyle="1" w:styleId="62">
    <w:name w:val="标准文件_标准代替"/>
    <w:basedOn w:val="1"/>
    <w:next w:val="1"/>
    <w:qFormat/>
    <w:uiPriority w:val="0"/>
    <w:pPr>
      <w:adjustRightInd w:val="0"/>
      <w:spacing w:line="310" w:lineRule="exact"/>
      <w:jc w:val="right"/>
    </w:pPr>
    <w:rPr>
      <w:rFonts w:ascii="宋体" w:hAnsi="宋体" w:eastAsia="宋体" w:cs="Times New Roman"/>
      <w:kern w:val="0"/>
      <w:szCs w:val="21"/>
    </w:rPr>
  </w:style>
  <w:style w:type="paragraph" w:customStyle="1" w:styleId="63">
    <w:name w:val="标准文件_标准名称标题"/>
    <w:basedOn w:val="1"/>
    <w:next w:val="1"/>
    <w:qFormat/>
    <w:uiPriority w:val="0"/>
    <w:pPr>
      <w:widowControl/>
      <w:shd w:val="clear" w:color="FFFFFF" w:fill="FFFFFF"/>
      <w:spacing w:before="640" w:after="100" w:line="400" w:lineRule="exact"/>
      <w:jc w:val="center"/>
    </w:pPr>
    <w:rPr>
      <w:rFonts w:ascii="黑体" w:hAnsi="Calibri" w:eastAsia="黑体" w:cs="Times New Roman"/>
      <w:kern w:val="0"/>
      <w:sz w:val="32"/>
      <w:szCs w:val="21"/>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spacing w:beforeLines="40" w:afterLines="50"/>
      <w:jc w:val="center"/>
      <w:outlineLvl w:val="0"/>
    </w:pPr>
    <w:rPr>
      <w:rFonts w:ascii="黑体" w:hAnsi="Calibri" w:eastAsia="黑体" w:cs="Times New Roman"/>
      <w:kern w:val="0"/>
      <w:szCs w:val="21"/>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adjustRightInd w:val="0"/>
      <w:spacing w:line="310" w:lineRule="exact"/>
      <w:jc w:val="right"/>
    </w:pPr>
    <w:rPr>
      <w:rFonts w:ascii="黑体" w:hAnsi="Calibri" w:eastAsia="黑体" w:cs="Times New Roman"/>
      <w:kern w:val="0"/>
      <w:sz w:val="28"/>
      <w:szCs w:val="21"/>
    </w:rPr>
  </w:style>
  <w:style w:type="paragraph" w:customStyle="1" w:styleId="72">
    <w:name w:val="标准文件_封面标准分类号"/>
    <w:basedOn w:val="1"/>
    <w:qFormat/>
    <w:uiPriority w:val="0"/>
    <w:pPr>
      <w:adjustRightInd w:val="0"/>
      <w:spacing w:line="400" w:lineRule="exact"/>
    </w:pPr>
    <w:rPr>
      <w:rFonts w:ascii="黑体" w:hAnsi="Calibri" w:eastAsia="黑体" w:cs="Times New Roman"/>
      <w:b/>
      <w:kern w:val="0"/>
      <w:sz w:val="28"/>
      <w:szCs w:val="21"/>
    </w:rPr>
  </w:style>
  <w:style w:type="paragraph" w:customStyle="1" w:styleId="73">
    <w:name w:val="标准文件_封面标准名称"/>
    <w:basedOn w:val="1"/>
    <w:qFormat/>
    <w:uiPriority w:val="0"/>
    <w:pPr>
      <w:adjustRightInd w:val="0"/>
      <w:jc w:val="center"/>
    </w:pPr>
    <w:rPr>
      <w:rFonts w:ascii="黑体" w:hAnsi="Calibri" w:eastAsia="黑体" w:cs="Times New Roman"/>
      <w:kern w:val="0"/>
      <w:sz w:val="52"/>
      <w:szCs w:val="21"/>
    </w:rPr>
  </w:style>
  <w:style w:type="paragraph" w:customStyle="1" w:styleId="74">
    <w:name w:val="标准文件_封面标准英文名称"/>
    <w:basedOn w:val="1"/>
    <w:qFormat/>
    <w:uiPriority w:val="0"/>
    <w:pPr>
      <w:adjustRightInd w:val="0"/>
      <w:jc w:val="center"/>
    </w:pPr>
    <w:rPr>
      <w:rFonts w:ascii="黑体" w:hAnsi="Calibri" w:eastAsia="黑体" w:cs="Times New Roman"/>
      <w:b/>
      <w:sz w:val="28"/>
      <w:szCs w:val="21"/>
    </w:rPr>
  </w:style>
  <w:style w:type="paragraph" w:customStyle="1" w:styleId="75">
    <w:name w:val="标准文件_封面发布日期"/>
    <w:basedOn w:val="1"/>
    <w:qFormat/>
    <w:uiPriority w:val="0"/>
    <w:pPr>
      <w:adjustRightInd w:val="0"/>
      <w:spacing w:line="310" w:lineRule="exact"/>
    </w:pPr>
    <w:rPr>
      <w:rFonts w:ascii="黑体" w:hAnsi="Calibri" w:eastAsia="黑体" w:cs="Times New Roman"/>
      <w:kern w:val="0"/>
      <w:sz w:val="28"/>
      <w:szCs w:val="21"/>
    </w:rPr>
  </w:style>
  <w:style w:type="paragraph" w:customStyle="1" w:styleId="76">
    <w:name w:val="标准文件_封面密级"/>
    <w:basedOn w:val="1"/>
    <w:qFormat/>
    <w:uiPriority w:val="0"/>
    <w:pPr>
      <w:adjustRightInd w:val="0"/>
      <w:spacing w:line="400" w:lineRule="exact"/>
    </w:pPr>
    <w:rPr>
      <w:rFonts w:ascii="Calibri" w:hAnsi="Calibri" w:eastAsia="黑体" w:cs="Times New Roman"/>
      <w:sz w:val="32"/>
      <w:szCs w:val="21"/>
    </w:rPr>
  </w:style>
  <w:style w:type="paragraph" w:customStyle="1" w:styleId="77">
    <w:name w:val="标准文件_封面实施日期"/>
    <w:basedOn w:val="1"/>
    <w:qFormat/>
    <w:uiPriority w:val="0"/>
    <w:pPr>
      <w:adjustRightInd w:val="0"/>
      <w:spacing w:line="310" w:lineRule="exact"/>
      <w:jc w:val="right"/>
    </w:pPr>
    <w:rPr>
      <w:rFonts w:ascii="黑体" w:hAnsi="Calibri" w:eastAsia="黑体" w:cs="Times New Roman"/>
      <w:sz w:val="28"/>
      <w:szCs w:val="21"/>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89">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9"/>
    <w:next w:val="59"/>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9"/>
    <w:qFormat/>
    <w:uiPriority w:val="0"/>
    <w:pPr>
      <w:spacing w:line="460" w:lineRule="exact"/>
    </w:pPr>
  </w:style>
  <w:style w:type="paragraph" w:customStyle="1" w:styleId="93">
    <w:name w:val="标准文件_目录标题"/>
    <w:basedOn w:val="1"/>
    <w:qFormat/>
    <w:uiPriority w:val="0"/>
    <w:pPr>
      <w:adjustRightInd w:val="0"/>
      <w:spacing w:afterLines="150"/>
      <w:jc w:val="center"/>
    </w:pPr>
    <w:rPr>
      <w:rFonts w:ascii="黑体" w:hAnsi="Calibri" w:eastAsia="黑体" w:cs="Times New Roman"/>
      <w:sz w:val="32"/>
      <w:szCs w:val="21"/>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8"/>
    <w:next w:val="59"/>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ind w:firstLine="200" w:firstLineChars="200"/>
    </w:pPr>
    <w:rPr>
      <w:rFonts w:ascii="Calibri" w:hAnsi="Calibri" w:eastAsia="宋体" w:cs="Times New Roman"/>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9"/>
    <w:qFormat/>
    <w:uiPriority w:val="0"/>
    <w:pPr>
      <w:numPr>
        <w:ilvl w:val="0"/>
        <w:numId w:val="12"/>
      </w:numPr>
      <w:adjustRightInd w:val="0"/>
      <w:jc w:val="left"/>
    </w:pPr>
    <w:rPr>
      <w:rFonts w:ascii="宋体" w:hAnsi="宋体" w:eastAsia="宋体" w:cs="Times New Roman"/>
      <w:sz w:val="18"/>
      <w:szCs w:val="21"/>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9"/>
    <w:qFormat/>
    <w:uiPriority w:val="0"/>
    <w:pPr>
      <w:numPr>
        <w:ilvl w:val="2"/>
      </w:numPr>
      <w:spacing w:beforeLines="50" w:afterLines="50"/>
      <w:outlineLvl w:val="1"/>
    </w:pPr>
  </w:style>
  <w:style w:type="paragraph" w:customStyle="1" w:styleId="107">
    <w:name w:val="标准文件_一致程度"/>
    <w:basedOn w:val="1"/>
    <w:qFormat/>
    <w:uiPriority w:val="0"/>
    <w:pPr>
      <w:adjustRightInd w:val="0"/>
      <w:spacing w:line="440" w:lineRule="exact"/>
      <w:jc w:val="center"/>
    </w:pPr>
    <w:rPr>
      <w:rFonts w:ascii="Calibri" w:hAnsi="Calibri" w:eastAsia="宋体" w:cs="Times New Roman"/>
      <w:sz w:val="28"/>
      <w:szCs w:val="21"/>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9"/>
    <w:qFormat/>
    <w:uiPriority w:val="0"/>
    <w:pPr>
      <w:numPr>
        <w:ilvl w:val="0"/>
        <w:numId w:val="14"/>
      </w:numPr>
      <w:tabs>
        <w:tab w:val="left" w:pos="420"/>
      </w:tabs>
      <w:autoSpaceDE w:val="0"/>
      <w:autoSpaceDN w:val="0"/>
      <w:adjustRightInd w:val="0"/>
    </w:pPr>
    <w:rPr>
      <w:rFonts w:ascii="宋体" w:hAnsi="宋体" w:eastAsia="宋体" w:cs="Times New Roman"/>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adjustRightInd w:val="0"/>
    </w:pPr>
    <w:rPr>
      <w:rFonts w:ascii="宋体" w:hAnsi="宋体" w:eastAsia="宋体" w:cs="Times New Roman"/>
      <w:kern w:val="0"/>
      <w:szCs w:val="20"/>
    </w:rPr>
  </w:style>
  <w:style w:type="paragraph" w:customStyle="1" w:styleId="113">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8"/>
    <w:qFormat/>
    <w:uiPriority w:val="0"/>
    <w:pPr>
      <w:tabs>
        <w:tab w:val="center" w:pos="4678"/>
        <w:tab w:val="right" w:leader="middleDot" w:pos="9356"/>
      </w:tabs>
      <w:adjustRightInd w:val="0"/>
    </w:pPr>
    <w:rPr>
      <w:rFonts w:ascii="宋体" w:hAnsi="宋体" w:eastAsia="宋体" w:cs="Times New Roman"/>
      <w:szCs w:val="21"/>
    </w:rPr>
  </w:style>
  <w:style w:type="paragraph" w:customStyle="1" w:styleId="115">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pPr>
    <w:rPr>
      <w:rFonts w:ascii="宋体" w:hAnsi="宋体" w:eastAsia="宋体" w:cs="Times New Roman"/>
      <w:szCs w:val="24"/>
    </w:rPr>
  </w:style>
  <w:style w:type="paragraph" w:customStyle="1" w:styleId="120">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adjustRightInd w:val="0"/>
      <w:spacing w:before="57" w:line="280" w:lineRule="exact"/>
      <w:jc w:val="right"/>
      <w:textAlignment w:val="center"/>
    </w:pPr>
    <w:rPr>
      <w:rFonts w:ascii="宋体" w:hAnsi="Times New Roman" w:eastAsia="宋体" w:cs="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9"/>
    <w:qFormat/>
    <w:uiPriority w:val="0"/>
    <w:pPr>
      <w:widowControl/>
      <w:wordWrap w:val="0"/>
      <w:overflowPunct w:val="0"/>
      <w:autoSpaceDE w:val="0"/>
      <w:autoSpaceDN w:val="0"/>
      <w:textAlignment w:val="baseline"/>
      <w:outlineLvl w:val="3"/>
    </w:pPr>
    <w:rPr>
      <w:rFonts w:ascii="宋体" w:hAnsi="宋体" w:eastAsia="宋体" w:cs="Times New Roman"/>
      <w:kern w:val="21"/>
      <w:szCs w:val="21"/>
    </w:rPr>
  </w:style>
  <w:style w:type="paragraph" w:customStyle="1" w:styleId="130">
    <w:name w:val="附录三级无标题条"/>
    <w:basedOn w:val="129"/>
    <w:next w:val="59"/>
    <w:qFormat/>
    <w:uiPriority w:val="0"/>
    <w:pPr>
      <w:outlineLvl w:val="4"/>
    </w:pPr>
  </w:style>
  <w:style w:type="paragraph" w:customStyle="1" w:styleId="131">
    <w:name w:val="附录四级无标题条"/>
    <w:basedOn w:val="130"/>
    <w:next w:val="59"/>
    <w:qFormat/>
    <w:uiPriority w:val="0"/>
    <w:pPr>
      <w:outlineLvl w:val="5"/>
    </w:pPr>
  </w:style>
  <w:style w:type="paragraph" w:customStyle="1" w:styleId="132">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9"/>
    <w:qFormat/>
    <w:uiPriority w:val="0"/>
    <w:pPr>
      <w:outlineLvl w:val="6"/>
    </w:pPr>
  </w:style>
  <w:style w:type="paragraph" w:customStyle="1" w:styleId="135">
    <w:name w:val="附录性质"/>
    <w:basedOn w:val="1"/>
    <w:qFormat/>
    <w:uiPriority w:val="0"/>
    <w:pPr>
      <w:widowControl/>
      <w:spacing w:line="400" w:lineRule="exact"/>
      <w:jc w:val="center"/>
    </w:pPr>
    <w:rPr>
      <w:rFonts w:ascii="黑体" w:hAnsi="Calibri" w:eastAsia="黑体" w:cs="Times New Roman"/>
      <w:szCs w:val="21"/>
    </w:rPr>
  </w:style>
  <w:style w:type="paragraph" w:customStyle="1" w:styleId="136">
    <w:name w:val="附录一级无标题条"/>
    <w:basedOn w:val="89"/>
    <w:next w:val="59"/>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9"/>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jc w:val="left"/>
    </w:pPr>
    <w:rPr>
      <w:rFonts w:ascii="Calibri" w:hAnsi="Calibri" w:eastAsia="宋体" w:cs="Times New Roman"/>
      <w:bCs/>
      <w:iCs/>
      <w:szCs w:val="21"/>
    </w:rPr>
  </w:style>
  <w:style w:type="paragraph" w:customStyle="1" w:styleId="144">
    <w:name w:val="目录 31"/>
    <w:basedOn w:val="1"/>
    <w:next w:val="1"/>
    <w:semiHidden/>
    <w:qFormat/>
    <w:uiPriority w:val="0"/>
    <w:pPr>
      <w:adjustRightInd w:val="0"/>
    </w:pPr>
    <w:rPr>
      <w:rFonts w:ascii="宋体" w:hAnsi="宋体" w:eastAsia="宋体" w:cs="Times New Roman"/>
      <w:iCs/>
      <w:szCs w:val="21"/>
    </w:rPr>
  </w:style>
  <w:style w:type="paragraph" w:customStyle="1" w:styleId="145">
    <w:name w:val="目录 41"/>
    <w:basedOn w:val="1"/>
    <w:next w:val="1"/>
    <w:semiHidden/>
    <w:qFormat/>
    <w:uiPriority w:val="0"/>
    <w:pPr>
      <w:jc w:val="left"/>
    </w:pPr>
    <w:rPr>
      <w:rFonts w:ascii="Calibri" w:hAnsi="Calibri" w:eastAsia="宋体" w:cs="Times New Roman"/>
      <w:szCs w:val="21"/>
    </w:rPr>
  </w:style>
  <w:style w:type="paragraph" w:customStyle="1" w:styleId="146">
    <w:name w:val="目录 51"/>
    <w:basedOn w:val="1"/>
    <w:next w:val="1"/>
    <w:semiHidden/>
    <w:qFormat/>
    <w:uiPriority w:val="0"/>
    <w:pPr>
      <w:adjustRightInd w:val="0"/>
    </w:pPr>
    <w:rPr>
      <w:rFonts w:ascii="宋体" w:hAnsi="宋体" w:eastAsia="宋体" w:cs="Times New Roman"/>
      <w:szCs w:val="21"/>
    </w:rPr>
  </w:style>
  <w:style w:type="paragraph" w:customStyle="1" w:styleId="147">
    <w:name w:val="目录 61"/>
    <w:basedOn w:val="1"/>
    <w:next w:val="1"/>
    <w:semiHidden/>
    <w:qFormat/>
    <w:uiPriority w:val="0"/>
    <w:pPr>
      <w:jc w:val="left"/>
    </w:pPr>
    <w:rPr>
      <w:rFonts w:ascii="Calibri" w:hAnsi="Calibri" w:eastAsia="宋体" w:cs="Times New Roman"/>
      <w:szCs w:val="21"/>
    </w:r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pPr>
    <w:rPr>
      <w:rFonts w:ascii="宋体" w:hAnsi="宋体" w:eastAsia="宋体" w:cs="Times New Roman"/>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pPr>
    <w:rPr>
      <w:rFonts w:ascii="宋体" w:hAnsi="宋体" w:eastAsia="宋体" w:cs="Times New Roman"/>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9"/>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spacing w:line="400" w:lineRule="exact"/>
    </w:pPr>
    <w:rPr>
      <w:rFonts w:ascii="Calibri" w:hAnsi="Calibri" w:eastAsia="宋体" w:cs="Times New Roman"/>
      <w:szCs w:val="24"/>
    </w:rPr>
  </w:style>
  <w:style w:type="paragraph" w:customStyle="1" w:styleId="160">
    <w:name w:val="一级无标题条"/>
    <w:basedOn w:val="1"/>
    <w:qFormat/>
    <w:uiPriority w:val="0"/>
    <w:pPr>
      <w:numPr>
        <w:ilvl w:val="2"/>
        <w:numId w:val="20"/>
      </w:numPr>
      <w:spacing w:before="10" w:after="10"/>
    </w:pPr>
    <w:rPr>
      <w:rFonts w:ascii="宋体" w:hAnsi="宋体" w:eastAsia="宋体" w:cs="Times New Roman"/>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6"/>
    <w:qFormat/>
    <w:uiPriority w:val="0"/>
    <w:pPr>
      <w:spacing w:beforeLines="0" w:afterLines="0"/>
      <w:outlineLvl w:val="9"/>
    </w:pPr>
    <w:rPr>
      <w:rFonts w:ascii="宋体" w:eastAsia="宋体"/>
    </w:rPr>
  </w:style>
  <w:style w:type="paragraph" w:customStyle="1" w:styleId="166">
    <w:name w:val="标准文件_二级无标题"/>
    <w:basedOn w:val="68"/>
    <w:qFormat/>
    <w:uiPriority w:val="0"/>
    <w:pPr>
      <w:spacing w:beforeLines="0" w:afterLines="0"/>
      <w:outlineLvl w:val="9"/>
    </w:pPr>
    <w:rPr>
      <w:rFonts w:ascii="宋体" w:eastAsia="宋体"/>
    </w:rPr>
  </w:style>
  <w:style w:type="paragraph" w:customStyle="1" w:styleId="167">
    <w:name w:val="标准_四级无标题"/>
    <w:basedOn w:val="100"/>
    <w:next w:val="59"/>
    <w:qFormat/>
    <w:uiPriority w:val="0"/>
    <w:rPr>
      <w:rFonts w:eastAsia="宋体"/>
    </w:rPr>
  </w:style>
  <w:style w:type="paragraph" w:customStyle="1" w:styleId="168">
    <w:name w:val="标准文件_四级无标题"/>
    <w:basedOn w:val="100"/>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9"/>
    <w:qFormat/>
    <w:uiPriority w:val="0"/>
    <w:pPr>
      <w:numPr>
        <w:ilvl w:val="0"/>
        <w:numId w:val="24"/>
      </w:numPr>
      <w:ind w:firstLine="0" w:firstLineChars="0"/>
    </w:pPr>
    <w:rPr>
      <w:rFonts w:cs="Arial"/>
      <w:szCs w:val="28"/>
    </w:rPr>
  </w:style>
  <w:style w:type="paragraph" w:customStyle="1" w:styleId="171">
    <w:name w:val="标准文件_附录标题"/>
    <w:basedOn w:val="79"/>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adjustRightInd w:val="0"/>
      <w:spacing w:line="536870612" w:lineRule="auto"/>
    </w:pPr>
    <w:rPr>
      <w:rFonts w:ascii="Times New Roman" w:hAnsi="Times New Roman" w:eastAsia="宋体" w:cs="Times New Roman"/>
      <w:szCs w:val="21"/>
    </w:rPr>
  </w:style>
  <w:style w:type="paragraph" w:customStyle="1" w:styleId="174">
    <w:name w:val="图表脚注说明"/>
    <w:basedOn w:val="1"/>
    <w:next w:val="59"/>
    <w:qFormat/>
    <w:uiPriority w:val="0"/>
    <w:pPr>
      <w:numPr>
        <w:ilvl w:val="0"/>
        <w:numId w:val="25"/>
      </w:numPr>
      <w:ind w:left="783"/>
    </w:pPr>
    <w:rPr>
      <w:rFonts w:ascii="宋体" w:hAnsi="Times New Roman" w:eastAsia="宋体" w:cs="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9"/>
    <w:qFormat/>
    <w:uiPriority w:val="0"/>
    <w:pPr>
      <w:ind w:firstLine="0" w:firstLineChars="0"/>
      <w:jc w:val="center"/>
    </w:pPr>
    <w:rPr>
      <w:sz w:val="18"/>
    </w:rPr>
  </w:style>
  <w:style w:type="paragraph" w:customStyle="1" w:styleId="180">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9"/>
    <w:qFormat/>
    <w:uiPriority w:val="0"/>
    <w:pPr>
      <w:ind w:firstLine="420"/>
    </w:pPr>
    <w:rPr>
      <w:sz w:val="18"/>
    </w:rPr>
  </w:style>
  <w:style w:type="paragraph" w:customStyle="1" w:styleId="184">
    <w:name w:val="标准文件_示例×："/>
    <w:basedOn w:val="1"/>
    <w:next w:val="183"/>
    <w:qFormat/>
    <w:uiPriority w:val="0"/>
    <w:pPr>
      <w:widowControl/>
      <w:numPr>
        <w:ilvl w:val="0"/>
        <w:numId w:val="29"/>
      </w:numPr>
    </w:pPr>
    <w:rPr>
      <w:rFonts w:ascii="宋体" w:hAnsi="Times New Roman" w:eastAsia="宋体" w:cs="Times New Roman"/>
      <w:kern w:val="0"/>
      <w:sz w:val="18"/>
      <w:szCs w:val="18"/>
    </w:rPr>
  </w:style>
  <w:style w:type="character" w:customStyle="1" w:styleId="185">
    <w:name w:val="标准文件_段 Char"/>
    <w:link w:val="59"/>
    <w:qFormat/>
    <w:uiPriority w:val="0"/>
    <w:rPr>
      <w:rFonts w:ascii="宋体" w:hAnsi="Times New Roman" w:eastAsia="宋体" w:cs="Times New Roman"/>
      <w:kern w:val="0"/>
      <w:szCs w:val="20"/>
    </w:rPr>
  </w:style>
  <w:style w:type="paragraph" w:customStyle="1" w:styleId="186">
    <w:name w:val="标准文件_表格续"/>
    <w:basedOn w:val="59"/>
    <w:next w:val="59"/>
    <w:qFormat/>
    <w:uiPriority w:val="0"/>
    <w:pPr>
      <w:jc w:val="center"/>
    </w:pPr>
    <w:rPr>
      <w:rFonts w:ascii="黑体" w:hAnsi="黑体" w:eastAsia="黑体"/>
    </w:rPr>
  </w:style>
  <w:style w:type="character" w:styleId="187">
    <w:name w:val="Placeholder Text"/>
    <w:basedOn w:val="28"/>
    <w:semiHidden/>
    <w:qFormat/>
    <w:uiPriority w:val="99"/>
    <w:rPr>
      <w:color w:val="808080"/>
    </w:rPr>
  </w:style>
  <w:style w:type="paragraph" w:customStyle="1" w:styleId="188">
    <w:name w:val="标准文件_二级项2"/>
    <w:basedOn w:val="59"/>
    <w:qFormat/>
    <w:uiPriority w:val="0"/>
    <w:pPr>
      <w:numPr>
        <w:ilvl w:val="1"/>
        <w:numId w:val="21"/>
      </w:numPr>
      <w:ind w:left="1271" w:hanging="420" w:firstLineChars="0"/>
    </w:pPr>
  </w:style>
  <w:style w:type="paragraph" w:customStyle="1" w:styleId="189">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9"/>
    <w:next w:val="59"/>
    <w:qFormat/>
    <w:uiPriority w:val="0"/>
    <w:pPr>
      <w:ind w:firstLine="420"/>
    </w:pPr>
    <w:rPr>
      <w:rFonts w:ascii="黑体" w:eastAsia="黑体"/>
    </w:rPr>
  </w:style>
  <w:style w:type="character" w:customStyle="1" w:styleId="192">
    <w:name w:val="标准文件_来源"/>
    <w:basedOn w:val="28"/>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9"/>
    <w:qFormat/>
    <w:uiPriority w:val="0"/>
    <w:pPr>
      <w:ind w:left="811" w:firstLine="0" w:firstLineChars="0"/>
    </w:pPr>
    <w:rPr>
      <w:sz w:val="18"/>
    </w:rPr>
  </w:style>
  <w:style w:type="paragraph" w:customStyle="1" w:styleId="207">
    <w:name w:val="标准文件_注X后"/>
    <w:basedOn w:val="59"/>
    <w:qFormat/>
    <w:uiPriority w:val="0"/>
    <w:pPr>
      <w:ind w:left="811" w:firstLine="0" w:firstLineChars="0"/>
    </w:pPr>
    <w:rPr>
      <w:sz w:val="18"/>
    </w:rPr>
  </w:style>
  <w:style w:type="paragraph" w:customStyle="1" w:styleId="208">
    <w:name w:val="标准文件_示例后"/>
    <w:basedOn w:val="59"/>
    <w:qFormat/>
    <w:uiPriority w:val="0"/>
    <w:pPr>
      <w:ind w:left="964" w:firstLine="0" w:firstLineChars="0"/>
    </w:pPr>
    <w:rPr>
      <w:sz w:val="18"/>
    </w:rPr>
  </w:style>
  <w:style w:type="paragraph" w:customStyle="1" w:styleId="209">
    <w:name w:val="标准文件_示例X后"/>
    <w:basedOn w:val="59"/>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eastAsia="宋体" w:cs="Times New Roman"/>
      <w:kern w:val="0"/>
      <w:sz w:val="18"/>
      <w:szCs w:val="20"/>
    </w:rPr>
  </w:style>
  <w:style w:type="paragraph" w:customStyle="1" w:styleId="211">
    <w:name w:val="标准文件_索引项"/>
    <w:basedOn w:val="59"/>
    <w:next w:val="59"/>
    <w:qFormat/>
    <w:uiPriority w:val="0"/>
    <w:pPr>
      <w:tabs>
        <w:tab w:val="right" w:leader="dot" w:pos="9356"/>
      </w:tabs>
      <w:ind w:left="210" w:hanging="210" w:firstLineChars="0"/>
      <w:jc w:val="left"/>
    </w:pPr>
  </w:style>
  <w:style w:type="paragraph" w:customStyle="1" w:styleId="212">
    <w:name w:val="标准文件_附录一级无标题"/>
    <w:basedOn w:val="81"/>
    <w:qFormat/>
    <w:uiPriority w:val="0"/>
    <w:pPr>
      <w:spacing w:beforeLines="0" w:afterLines="0" w:line="276" w:lineRule="auto"/>
      <w:outlineLvl w:val="9"/>
    </w:pPr>
    <w:rPr>
      <w:rFonts w:ascii="宋体" w:eastAsia="宋体"/>
    </w:rPr>
  </w:style>
  <w:style w:type="paragraph" w:customStyle="1" w:styleId="213">
    <w:name w:val="标准文件_附录二级无标题"/>
    <w:basedOn w:val="82"/>
    <w:qFormat/>
    <w:uiPriority w:val="0"/>
    <w:pPr>
      <w:spacing w:beforeLines="0" w:afterLines="0" w:line="276" w:lineRule="auto"/>
      <w:outlineLvl w:val="9"/>
    </w:pPr>
    <w:rPr>
      <w:rFonts w:ascii="宋体" w:eastAsia="宋体"/>
    </w:rPr>
  </w:style>
  <w:style w:type="paragraph" w:customStyle="1" w:styleId="214">
    <w:name w:val="标准文件_附录三级无标题"/>
    <w:basedOn w:val="84"/>
    <w:qFormat/>
    <w:uiPriority w:val="0"/>
    <w:pPr>
      <w:spacing w:beforeLines="0" w:afterLines="0" w:line="276" w:lineRule="auto"/>
      <w:outlineLvl w:val="9"/>
    </w:pPr>
    <w:rPr>
      <w:rFonts w:ascii="宋体" w:eastAsia="宋体"/>
    </w:rPr>
  </w:style>
  <w:style w:type="paragraph" w:customStyle="1" w:styleId="215">
    <w:name w:val="标准文件_附录四级无标题"/>
    <w:basedOn w:val="85"/>
    <w:qFormat/>
    <w:uiPriority w:val="0"/>
    <w:pPr>
      <w:spacing w:beforeLines="0" w:afterLines="0" w:line="276" w:lineRule="auto"/>
      <w:outlineLvl w:val="9"/>
    </w:pPr>
    <w:rPr>
      <w:rFonts w:ascii="宋体" w:eastAsia="宋体"/>
    </w:rPr>
  </w:style>
  <w:style w:type="paragraph" w:customStyle="1" w:styleId="216">
    <w:name w:val="标准文件_附录五级无标题"/>
    <w:basedOn w:val="87"/>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9"/>
    <w:qFormat/>
    <w:uiPriority w:val="0"/>
    <w:pPr>
      <w:spacing w:beforeLines="0" w:afterLines="0" w:line="276" w:lineRule="auto"/>
    </w:pPr>
    <w:rPr>
      <w:rFonts w:ascii="宋体" w:eastAsia="宋体"/>
    </w:rPr>
  </w:style>
  <w:style w:type="paragraph" w:customStyle="1" w:styleId="218">
    <w:name w:val="标准文件_引言二级无标题"/>
    <w:basedOn w:val="202"/>
    <w:next w:val="59"/>
    <w:qFormat/>
    <w:uiPriority w:val="0"/>
    <w:pPr>
      <w:spacing w:beforeLines="0" w:afterLines="0" w:line="276" w:lineRule="auto"/>
    </w:pPr>
    <w:rPr>
      <w:rFonts w:ascii="宋体" w:eastAsia="宋体"/>
    </w:rPr>
  </w:style>
  <w:style w:type="paragraph" w:customStyle="1" w:styleId="219">
    <w:name w:val="标准文件_引言三级无标题"/>
    <w:basedOn w:val="203"/>
    <w:next w:val="59"/>
    <w:qFormat/>
    <w:uiPriority w:val="0"/>
    <w:pPr>
      <w:spacing w:beforeLines="0" w:afterLines="0" w:line="276" w:lineRule="auto"/>
    </w:pPr>
    <w:rPr>
      <w:rFonts w:ascii="宋体" w:eastAsia="宋体"/>
    </w:rPr>
  </w:style>
  <w:style w:type="paragraph" w:customStyle="1" w:styleId="220">
    <w:name w:val="标准文件_引言四级无标题"/>
    <w:basedOn w:val="204"/>
    <w:next w:val="59"/>
    <w:qFormat/>
    <w:uiPriority w:val="0"/>
    <w:pPr>
      <w:spacing w:beforeLines="0" w:afterLines="0" w:line="276" w:lineRule="auto"/>
    </w:pPr>
    <w:rPr>
      <w:rFonts w:ascii="宋体" w:eastAsia="宋体"/>
    </w:rPr>
  </w:style>
  <w:style w:type="paragraph" w:customStyle="1" w:styleId="221">
    <w:name w:val="标准文件_引言五级无标题"/>
    <w:basedOn w:val="205"/>
    <w:next w:val="59"/>
    <w:qFormat/>
    <w:uiPriority w:val="0"/>
    <w:pPr>
      <w:spacing w:beforeLines="0" w:afterLines="0" w:line="276" w:lineRule="auto"/>
    </w:pPr>
    <w:rPr>
      <w:rFonts w:ascii="宋体" w:eastAsia="宋体"/>
    </w:rPr>
  </w:style>
  <w:style w:type="paragraph" w:customStyle="1" w:styleId="222">
    <w:name w:val="标准文件_索引标题"/>
    <w:basedOn w:val="66"/>
    <w:next w:val="59"/>
    <w:qFormat/>
    <w:uiPriority w:val="0"/>
    <w:rPr>
      <w:rFonts w:hAnsi="黑体"/>
    </w:rPr>
  </w:style>
  <w:style w:type="paragraph" w:customStyle="1" w:styleId="223">
    <w:name w:val="标准文件_脚注内容"/>
    <w:basedOn w:val="59"/>
    <w:qFormat/>
    <w:uiPriority w:val="0"/>
    <w:pPr>
      <w:ind w:left="400" w:leftChars="200" w:hanging="200" w:hangingChars="200"/>
    </w:pPr>
    <w:rPr>
      <w:sz w:val="15"/>
    </w:rPr>
  </w:style>
  <w:style w:type="paragraph" w:customStyle="1" w:styleId="224">
    <w:name w:val="标准文件_术语条一"/>
    <w:basedOn w:val="163"/>
    <w:next w:val="59"/>
    <w:qFormat/>
    <w:uiPriority w:val="0"/>
  </w:style>
  <w:style w:type="paragraph" w:customStyle="1" w:styleId="225">
    <w:name w:val="标准文件_术语条二"/>
    <w:basedOn w:val="166"/>
    <w:next w:val="59"/>
    <w:qFormat/>
    <w:uiPriority w:val="0"/>
  </w:style>
  <w:style w:type="paragraph" w:customStyle="1" w:styleId="226">
    <w:name w:val="标准文件_术语条三"/>
    <w:basedOn w:val="165"/>
    <w:next w:val="59"/>
    <w:qFormat/>
    <w:uiPriority w:val="0"/>
  </w:style>
  <w:style w:type="paragraph" w:customStyle="1" w:styleId="227">
    <w:name w:val="标准文件_术语条四"/>
    <w:basedOn w:val="168"/>
    <w:next w:val="59"/>
    <w:qFormat/>
    <w:uiPriority w:val="0"/>
  </w:style>
  <w:style w:type="paragraph" w:customStyle="1" w:styleId="228">
    <w:name w:val="标准文件_术语条五"/>
    <w:basedOn w:val="164"/>
    <w:next w:val="59"/>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8"/>
    <w:qFormat/>
    <w:uiPriority w:val="0"/>
    <w:rPr>
      <w:rFonts w:ascii="黑体" w:eastAsia="黑体"/>
      <w:spacing w:val="85"/>
      <w:w w:val="100"/>
      <w:position w:val="3"/>
      <w:sz w:val="28"/>
      <w:szCs w:val="28"/>
    </w:rPr>
  </w:style>
  <w:style w:type="paragraph" w:customStyle="1" w:styleId="231">
    <w:name w:val="样式2"/>
    <w:basedOn w:val="1"/>
    <w:qFormat/>
    <w:uiPriority w:val="0"/>
    <w:rPr>
      <w:rFonts w:ascii="黑体" w:hAnsi="Times New Roman" w:eastAsia="黑体" w:cs="Times New Roman"/>
      <w:szCs w:val="21"/>
    </w:rPr>
  </w:style>
  <w:style w:type="paragraph" w:customStyle="1" w:styleId="23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33">
    <w:name w:val="段 Char"/>
    <w:link w:val="234"/>
    <w:qFormat/>
    <w:uiPriority w:val="0"/>
    <w:rPr>
      <w:rFonts w:ascii="宋体"/>
    </w:rPr>
  </w:style>
  <w:style w:type="paragraph" w:customStyle="1" w:styleId="234">
    <w:name w:val="段"/>
    <w:link w:val="233"/>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235">
    <w:name w:val="二级条标题"/>
    <w:basedOn w:val="236"/>
    <w:next w:val="234"/>
    <w:qFormat/>
    <w:uiPriority w:val="0"/>
    <w:pPr>
      <w:outlineLvl w:val="3"/>
    </w:pPr>
  </w:style>
  <w:style w:type="paragraph" w:customStyle="1" w:styleId="236">
    <w:name w:val="一级条标题"/>
    <w:next w:val="234"/>
    <w:qFormat/>
    <w:uiPriority w:val="0"/>
    <w:pPr>
      <w:outlineLvl w:val="2"/>
    </w:pPr>
    <w:rPr>
      <w:rFonts w:ascii="Times New Roman" w:hAnsi="Times New Roman" w:eastAsia="黑体" w:cs="Times New Roman"/>
      <w:sz w:val="21"/>
      <w:lang w:val="en-US" w:eastAsia="zh-CN" w:bidi="ar-SA"/>
    </w:rPr>
  </w:style>
  <w:style w:type="paragraph" w:customStyle="1" w:styleId="237">
    <w:name w:val="附录标识"/>
    <w:basedOn w:val="232"/>
    <w:next w:val="234"/>
    <w:qFormat/>
    <w:uiPriority w:val="0"/>
    <w:pPr>
      <w:tabs>
        <w:tab w:val="left" w:pos="6405"/>
      </w:tabs>
      <w:spacing w:after="200"/>
    </w:pPr>
    <w:rPr>
      <w:sz w:val="21"/>
    </w:rPr>
  </w:style>
  <w:style w:type="paragraph" w:customStyle="1" w:styleId="238">
    <w:name w:val="附录图标题"/>
    <w:next w:val="234"/>
    <w:qFormat/>
    <w:uiPriority w:val="0"/>
    <w:pPr>
      <w:tabs>
        <w:tab w:val="left" w:pos="360"/>
      </w:tabs>
      <w:jc w:val="center"/>
    </w:pPr>
    <w:rPr>
      <w:rFonts w:ascii="黑体" w:hAnsi="Times New Roman" w:eastAsia="黑体" w:cs="Times New Roman"/>
      <w:sz w:val="21"/>
      <w:lang w:val="en-US" w:eastAsia="zh-CN" w:bidi="ar-SA"/>
    </w:rPr>
  </w:style>
  <w:style w:type="paragraph" w:customStyle="1" w:styleId="239">
    <w:name w:val="章标题"/>
    <w:next w:val="234"/>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40">
    <w:name w:val="一级无"/>
    <w:basedOn w:val="236"/>
    <w:qFormat/>
    <w:uiPriority w:val="0"/>
    <w:rPr>
      <w:rFonts w:ascii="宋体" w:eastAsia="宋体"/>
    </w:rPr>
  </w:style>
  <w:style w:type="paragraph" w:customStyle="1" w:styleId="241">
    <w:name w:val="正文公式编号制表符"/>
    <w:basedOn w:val="234"/>
    <w:next w:val="234"/>
    <w:qFormat/>
    <w:uiPriority w:val="0"/>
    <w:pPr>
      <w:tabs>
        <w:tab w:val="center" w:pos="4201"/>
        <w:tab w:val="right" w:leader="dot" w:pos="9298"/>
      </w:tabs>
      <w:ind w:firstLine="0" w:firstLineChars="0"/>
    </w:pPr>
  </w:style>
  <w:style w:type="table" w:customStyle="1" w:styleId="242">
    <w:name w:val="Table Normal"/>
    <w:semiHidden/>
    <w:unhideWhenUsed/>
    <w:qFormat/>
    <w:uiPriority w:val="2"/>
    <w:tblPr>
      <w:tblCellMar>
        <w:top w:w="0" w:type="dxa"/>
        <w:left w:w="0" w:type="dxa"/>
        <w:bottom w:w="0" w:type="dxa"/>
        <w:right w:w="0" w:type="dxa"/>
      </w:tblCellMar>
    </w:tblPr>
  </w:style>
  <w:style w:type="table" w:customStyle="1" w:styleId="243">
    <w:name w:val="Table Normal1"/>
    <w:semiHidden/>
    <w:unhideWhenUsed/>
    <w:qFormat/>
    <w:uiPriority w:val="2"/>
    <w:tblPr>
      <w:tblCellMar>
        <w:top w:w="0" w:type="dxa"/>
        <w:left w:w="0" w:type="dxa"/>
        <w:bottom w:w="0" w:type="dxa"/>
        <w:right w:w="0" w:type="dxa"/>
      </w:tblCellMar>
    </w:tblPr>
  </w:style>
  <w:style w:type="table" w:customStyle="1" w:styleId="244">
    <w:name w:val="Table Normal2"/>
    <w:semiHidden/>
    <w:unhideWhenUsed/>
    <w:qFormat/>
    <w:uiPriority w:val="2"/>
    <w:tblPr>
      <w:tblCellMar>
        <w:top w:w="0" w:type="dxa"/>
        <w:left w:w="0" w:type="dxa"/>
        <w:bottom w:w="0" w:type="dxa"/>
        <w:right w:w="0" w:type="dxa"/>
      </w:tblCellMar>
    </w:tblPr>
  </w:style>
  <w:style w:type="table" w:customStyle="1" w:styleId="245">
    <w:name w:val="Table Normal3"/>
    <w:semiHidden/>
    <w:unhideWhenUsed/>
    <w:qFormat/>
    <w:uiPriority w:val="2"/>
    <w:tblPr>
      <w:tblCellMar>
        <w:top w:w="0" w:type="dxa"/>
        <w:left w:w="0" w:type="dxa"/>
        <w:bottom w:w="0" w:type="dxa"/>
        <w:right w:w="0" w:type="dxa"/>
      </w:tblCellMar>
    </w:tblPr>
  </w:style>
  <w:style w:type="paragraph" w:customStyle="1" w:styleId="246">
    <w:name w:val="Table Paragraph"/>
    <w:basedOn w:val="1"/>
    <w:qFormat/>
    <w:uiPriority w:val="1"/>
    <w:pPr>
      <w:autoSpaceDE w:val="0"/>
      <w:autoSpaceDN w:val="0"/>
      <w:spacing w:before="52"/>
      <w:jc w:val="center"/>
    </w:pPr>
    <w:rPr>
      <w:rFonts w:ascii="Times New Roman" w:hAnsi="Times New Roman" w:eastAsia="Times New Roman" w:cs="Times New Roman"/>
      <w:kern w:val="0"/>
      <w:sz w:val="22"/>
      <w:lang w:val="ca-ES" w:eastAsia="ca-ES" w:bidi="ca-ES"/>
    </w:rPr>
  </w:style>
  <w:style w:type="table" w:customStyle="1" w:styleId="247">
    <w:name w:val="网格型2"/>
    <w:basedOn w:val="26"/>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
    <w:name w:val="网格型3"/>
    <w:basedOn w:val="26"/>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
    <w:name w:val="网格型4"/>
    <w:basedOn w:val="26"/>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
    <w:name w:val="网格型5"/>
    <w:basedOn w:val="26"/>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1489</Words>
  <Characters>8488</Characters>
  <Lines>70</Lines>
  <Paragraphs>19</Paragraphs>
  <TotalTime>7</TotalTime>
  <ScaleCrop>false</ScaleCrop>
  <LinksUpToDate>false</LinksUpToDate>
  <CharactersWithSpaces>9958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2022-09-20T10:25:00Z</dcterms:created>
  <dc:creator>Administrator</dc:creator>
  <cp:lastModifiedBy>uos</cp:lastModifiedBy>
  <dcterms:modified xsi:type="dcterms:W3CDTF">2023-06-02T08:38:35Z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4B8BCB97AF2D4F758C6BE744DAD7BED3</vt:lpwstr>
  </property>
</Properties>
</file>