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69529F">
      <w:pPr>
        <w:pStyle w:val="13"/>
        <w:kinsoku w:val="0"/>
        <w:overflowPunct w:val="0"/>
        <w:spacing w:before="600" w:after="200"/>
        <w:jc w:val="center"/>
        <w:rPr>
          <w:rFonts w:ascii="仿宋" w:hAnsi="仿宋" w:eastAsia="仿宋"/>
          <w:color w:val="000000"/>
          <w:w w:val="79"/>
          <w:sz w:val="43"/>
          <w:szCs w:val="43"/>
        </w:rPr>
      </w:pPr>
    </w:p>
    <w:p w14:paraId="43C543D6">
      <w:pPr>
        <w:pStyle w:val="13"/>
        <w:kinsoku w:val="0"/>
        <w:overflowPunct w:val="0"/>
        <w:spacing w:before="600" w:after="200" w:line="360" w:lineRule="auto"/>
        <w:ind w:left="0" w:leftChars="0" w:firstLine="0" w:firstLineChars="0"/>
        <w:jc w:val="center"/>
        <w:rPr>
          <w:rFonts w:hint="eastAsia" w:ascii="仿宋" w:hAnsi="仿宋" w:eastAsia="黑体"/>
          <w:b/>
          <w:bCs/>
          <w:color w:val="000000"/>
          <w:w w:val="79"/>
          <w:sz w:val="48"/>
          <w:szCs w:val="48"/>
          <w:lang w:val="en" w:eastAsia="zh-CN"/>
        </w:rPr>
      </w:pPr>
      <w:r>
        <w:rPr>
          <w:rFonts w:hint="eastAsia" w:ascii="黑体" w:hAnsi="黑体" w:eastAsia="黑体" w:cs="黑体"/>
          <w:b/>
          <w:bCs/>
          <w:sz w:val="48"/>
          <w:szCs w:val="48"/>
        </w:rPr>
        <w:t>海南省</w:t>
      </w:r>
      <w:r>
        <w:rPr>
          <w:rFonts w:hint="eastAsia" w:ascii="黑体" w:hAnsi="黑体" w:eastAsia="黑体" w:cs="黑体"/>
          <w:b/>
          <w:bCs/>
          <w:sz w:val="48"/>
          <w:szCs w:val="48"/>
          <w:lang w:eastAsia="zh-CN"/>
        </w:rPr>
        <w:t>地方标准</w:t>
      </w:r>
    </w:p>
    <w:p w14:paraId="6E9A88F4">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center"/>
        <w:textAlignment w:val="auto"/>
        <w:rPr>
          <w:rFonts w:hint="eastAsia" w:ascii="黑体" w:hAnsi="黑体" w:eastAsia="黑体" w:cs="黑体"/>
          <w:b/>
          <w:bCs/>
          <w:sz w:val="60"/>
          <w:szCs w:val="60"/>
        </w:rPr>
      </w:pPr>
      <w:r>
        <w:rPr>
          <w:rFonts w:hint="eastAsia" w:ascii="黑体" w:hAnsi="黑体" w:eastAsia="黑体" w:cs="黑体"/>
          <w:b/>
          <w:bCs/>
          <w:sz w:val="60"/>
          <w:szCs w:val="60"/>
        </w:rPr>
        <w:t>《“智慧消防”信息平台设计规范》</w:t>
      </w:r>
    </w:p>
    <w:p w14:paraId="56D7796B">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center"/>
        <w:textAlignment w:val="auto"/>
        <w:rPr>
          <w:rFonts w:hint="eastAsia" w:ascii="黑体" w:hAnsi="黑体" w:eastAsia="黑体" w:cs="黑体"/>
          <w:b/>
          <w:bCs/>
          <w:sz w:val="60"/>
          <w:szCs w:val="60"/>
        </w:rPr>
      </w:pPr>
      <w:r>
        <w:rPr>
          <w:rFonts w:hint="eastAsia" w:ascii="黑体" w:hAnsi="黑体" w:eastAsia="黑体" w:cs="黑体"/>
          <w:b/>
          <w:bCs/>
          <w:sz w:val="60"/>
          <w:szCs w:val="60"/>
        </w:rPr>
        <w:t>编制说明</w:t>
      </w:r>
    </w:p>
    <w:p w14:paraId="38203596">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center"/>
        <w:textAlignment w:val="auto"/>
        <w:rPr>
          <w:rFonts w:hint="eastAsia" w:ascii="黑体" w:hAnsi="黑体" w:eastAsia="黑体" w:cs="黑体"/>
          <w:b w:val="0"/>
          <w:bCs w:val="0"/>
          <w:sz w:val="48"/>
          <w:szCs w:val="48"/>
          <w:lang w:eastAsia="zh-CN"/>
        </w:rPr>
      </w:pPr>
      <w:r>
        <w:rPr>
          <w:rFonts w:hint="eastAsia" w:ascii="黑体" w:hAnsi="黑体" w:eastAsia="黑体" w:cs="黑体"/>
          <w:b w:val="0"/>
          <w:bCs w:val="0"/>
          <w:sz w:val="48"/>
          <w:szCs w:val="48"/>
          <w:lang w:eastAsia="zh-CN"/>
        </w:rPr>
        <w:t>（</w:t>
      </w:r>
      <w:r>
        <w:rPr>
          <w:rFonts w:hint="eastAsia" w:ascii="黑体" w:hAnsi="黑体" w:eastAsia="黑体" w:cs="黑体"/>
          <w:b w:val="0"/>
          <w:bCs w:val="0"/>
          <w:sz w:val="48"/>
          <w:szCs w:val="48"/>
          <w:lang w:val="en-US" w:eastAsia="zh-CN"/>
        </w:rPr>
        <w:t>征求意见</w:t>
      </w:r>
      <w:r>
        <w:rPr>
          <w:rFonts w:hint="eastAsia" w:ascii="黑体" w:hAnsi="黑体" w:eastAsia="黑体" w:cs="黑体"/>
          <w:b w:val="0"/>
          <w:bCs w:val="0"/>
          <w:sz w:val="48"/>
          <w:szCs w:val="48"/>
          <w:lang w:eastAsia="zh-CN"/>
        </w:rPr>
        <w:t>稿）</w:t>
      </w:r>
    </w:p>
    <w:p w14:paraId="49FBEC1E">
      <w:pPr>
        <w:pStyle w:val="13"/>
        <w:kinsoku w:val="0"/>
        <w:overflowPunct w:val="0"/>
        <w:spacing w:before="600" w:after="200" w:line="360" w:lineRule="auto"/>
        <w:jc w:val="center"/>
        <w:rPr>
          <w:rFonts w:hint="eastAsia" w:ascii="黑体" w:hAnsi="黑体" w:eastAsia="黑体"/>
          <w:color w:val="000000"/>
          <w:w w:val="50"/>
          <w:sz w:val="43"/>
          <w:szCs w:val="43"/>
        </w:rPr>
      </w:pPr>
    </w:p>
    <w:p w14:paraId="0C3E5AC9">
      <w:pPr>
        <w:pStyle w:val="13"/>
        <w:kinsoku w:val="0"/>
        <w:overflowPunct w:val="0"/>
        <w:spacing w:before="600" w:after="200" w:line="360" w:lineRule="auto"/>
        <w:jc w:val="center"/>
        <w:rPr>
          <w:rFonts w:hint="eastAsia" w:ascii="黑体" w:hAnsi="黑体" w:eastAsia="黑体"/>
          <w:color w:val="000000"/>
          <w:w w:val="50"/>
          <w:sz w:val="43"/>
          <w:szCs w:val="43"/>
        </w:rPr>
      </w:pPr>
    </w:p>
    <w:p w14:paraId="77098090">
      <w:pPr>
        <w:pStyle w:val="13"/>
        <w:kinsoku w:val="0"/>
        <w:overflowPunct w:val="0"/>
        <w:spacing w:before="600" w:after="200" w:line="360" w:lineRule="auto"/>
        <w:jc w:val="center"/>
        <w:rPr>
          <w:rFonts w:hint="eastAsia" w:ascii="黑体" w:hAnsi="黑体" w:eastAsia="黑体"/>
          <w:color w:val="000000"/>
          <w:w w:val="50"/>
          <w:sz w:val="43"/>
          <w:szCs w:val="43"/>
        </w:rPr>
      </w:pPr>
    </w:p>
    <w:p w14:paraId="0497A53D">
      <w:pPr>
        <w:pStyle w:val="13"/>
        <w:kinsoku w:val="0"/>
        <w:overflowPunct w:val="0"/>
        <w:spacing w:before="600" w:after="200" w:line="360" w:lineRule="auto"/>
        <w:jc w:val="center"/>
        <w:rPr>
          <w:rFonts w:hint="eastAsia" w:ascii="黑体" w:hAnsi="黑体" w:eastAsia="黑体"/>
          <w:color w:val="000000"/>
          <w:w w:val="50"/>
          <w:sz w:val="43"/>
          <w:szCs w:val="43"/>
        </w:rPr>
      </w:pPr>
    </w:p>
    <w:p w14:paraId="3DE28CE6">
      <w:pPr>
        <w:pStyle w:val="13"/>
        <w:kinsoku w:val="0"/>
        <w:overflowPunct w:val="0"/>
        <w:spacing w:before="6"/>
        <w:ind w:right="240"/>
        <w:rPr>
          <w:rFonts w:hint="eastAsia" w:ascii="仿宋" w:hAnsi="仿宋" w:eastAsia="仿宋"/>
          <w:color w:val="000000"/>
          <w:sz w:val="32"/>
          <w:szCs w:val="32"/>
          <w:highlight w:val="yellow"/>
        </w:rPr>
      </w:pPr>
    </w:p>
    <w:p w14:paraId="3D3D7E3F">
      <w:pPr>
        <w:pStyle w:val="13"/>
        <w:kinsoku w:val="0"/>
        <w:overflowPunct w:val="0"/>
        <w:ind w:right="240"/>
        <w:jc w:val="center"/>
        <w:rPr>
          <w:rFonts w:hint="eastAsia" w:ascii="仿宋" w:hAnsi="仿宋" w:eastAsia="仿宋"/>
          <w:color w:val="000000"/>
          <w:w w:val="95"/>
          <w:sz w:val="32"/>
          <w:szCs w:val="32"/>
        </w:rPr>
      </w:pPr>
    </w:p>
    <w:p w14:paraId="706AB9FD">
      <w:pPr>
        <w:pStyle w:val="13"/>
        <w:kinsoku w:val="0"/>
        <w:overflowPunct w:val="0"/>
        <w:ind w:left="0" w:leftChars="0" w:right="240" w:firstLine="0" w:firstLineChars="0"/>
        <w:jc w:val="center"/>
        <w:rPr>
          <w:rFonts w:hint="eastAsia" w:ascii="宋体" w:hAnsi="宋体" w:eastAsia="宋体" w:cs="宋体"/>
          <w:color w:val="000000"/>
          <w:w w:val="95"/>
          <w:sz w:val="32"/>
          <w:szCs w:val="32"/>
          <w:lang w:val="en-US" w:eastAsia="zh-CN"/>
        </w:rPr>
      </w:pPr>
      <w:r>
        <w:rPr>
          <w:rFonts w:hint="eastAsia" w:ascii="宋体" w:hAnsi="宋体" w:eastAsia="宋体" w:cs="宋体"/>
          <w:color w:val="000000"/>
          <w:w w:val="95"/>
          <w:sz w:val="32"/>
          <w:szCs w:val="32"/>
          <w:lang w:val="en-US" w:eastAsia="zh-CN"/>
        </w:rPr>
        <w:t>海南省地方标准《“智慧消防”信息平台设计规范》起草工作组</w:t>
      </w:r>
    </w:p>
    <w:p w14:paraId="3355F4F4">
      <w:pPr>
        <w:pStyle w:val="13"/>
        <w:kinsoku w:val="0"/>
        <w:overflowPunct w:val="0"/>
        <w:ind w:left="0" w:leftChars="0" w:right="240" w:firstLine="0" w:firstLineChars="0"/>
        <w:jc w:val="center"/>
        <w:rPr>
          <w:rFonts w:hint="eastAsia" w:ascii="宋体" w:hAnsi="宋体" w:eastAsia="宋体" w:cs="宋体"/>
          <w:color w:val="000000"/>
          <w:w w:val="110"/>
          <w:sz w:val="32"/>
          <w:szCs w:val="32"/>
          <w:lang w:eastAsia="zh-CN"/>
        </w:rPr>
      </w:pPr>
      <w:r>
        <w:rPr>
          <w:rFonts w:hint="eastAsia" w:ascii="宋体" w:hAnsi="宋体" w:eastAsia="宋体" w:cs="宋体"/>
          <w:color w:val="000000"/>
          <w:w w:val="110"/>
          <w:sz w:val="32"/>
          <w:szCs w:val="32"/>
          <w:lang w:eastAsia="zh-CN"/>
        </w:rPr>
        <w:t>二〇二</w:t>
      </w:r>
      <w:r>
        <w:rPr>
          <w:rFonts w:hint="eastAsia" w:ascii="宋体" w:hAnsi="宋体" w:eastAsia="宋体" w:cs="宋体"/>
          <w:color w:val="000000"/>
          <w:w w:val="110"/>
          <w:sz w:val="32"/>
          <w:szCs w:val="32"/>
          <w:lang w:val="en-US" w:eastAsia="zh-CN"/>
        </w:rPr>
        <w:t>五</w:t>
      </w:r>
      <w:r>
        <w:rPr>
          <w:rFonts w:hint="eastAsia" w:ascii="宋体" w:hAnsi="宋体" w:eastAsia="宋体" w:cs="宋体"/>
          <w:color w:val="000000"/>
          <w:w w:val="110"/>
          <w:sz w:val="32"/>
          <w:szCs w:val="32"/>
          <w:lang w:eastAsia="zh-CN"/>
        </w:rPr>
        <w:t>年</w:t>
      </w:r>
      <w:r>
        <w:rPr>
          <w:rFonts w:hint="eastAsia" w:ascii="宋体" w:hAnsi="宋体" w:eastAsia="宋体" w:cs="宋体"/>
          <w:color w:val="000000"/>
          <w:w w:val="110"/>
          <w:sz w:val="32"/>
          <w:szCs w:val="32"/>
          <w:lang w:val="en-US" w:eastAsia="zh-CN"/>
        </w:rPr>
        <w:t>三</w:t>
      </w:r>
      <w:r>
        <w:rPr>
          <w:rFonts w:hint="eastAsia" w:ascii="宋体" w:hAnsi="宋体" w:eastAsia="宋体" w:cs="宋体"/>
          <w:color w:val="000000"/>
          <w:w w:val="110"/>
          <w:sz w:val="32"/>
          <w:szCs w:val="32"/>
          <w:lang w:eastAsia="zh-CN"/>
        </w:rPr>
        <w:t>月</w:t>
      </w:r>
    </w:p>
    <w:p w14:paraId="280146C3">
      <w:pPr>
        <w:spacing w:line="600" w:lineRule="exact"/>
        <w:ind w:left="0" w:leftChars="0" w:firstLine="0" w:firstLineChars="0"/>
        <w:jc w:val="center"/>
        <w:rPr>
          <w:rFonts w:hint="eastAsia" w:ascii="宋体" w:hAnsi="宋体" w:eastAsia="宋体" w:cs="宋体"/>
          <w:b/>
          <w:bCs/>
          <w:sz w:val="32"/>
          <w:szCs w:val="32"/>
        </w:rPr>
      </w:pPr>
    </w:p>
    <w:p w14:paraId="27A39375">
      <w:pPr>
        <w:spacing w:line="600" w:lineRule="exact"/>
        <w:ind w:left="0" w:leftChars="0" w:firstLine="0" w:firstLineChars="0"/>
        <w:jc w:val="center"/>
        <w:rPr>
          <w:rFonts w:hint="eastAsia" w:ascii="宋体" w:hAnsi="宋体" w:eastAsia="宋体" w:cs="宋体"/>
          <w:b/>
          <w:bCs/>
          <w:sz w:val="32"/>
          <w:szCs w:val="32"/>
        </w:rPr>
      </w:pPr>
      <w:r>
        <w:rPr>
          <w:rFonts w:hint="eastAsia" w:ascii="宋体" w:hAnsi="宋体" w:eastAsia="宋体" w:cs="宋体"/>
          <w:b/>
          <w:bCs/>
          <w:sz w:val="32"/>
          <w:szCs w:val="32"/>
        </w:rPr>
        <w:t>海南省地方标准</w:t>
      </w:r>
    </w:p>
    <w:p w14:paraId="3254726B">
      <w:pPr>
        <w:spacing w:line="600" w:lineRule="exact"/>
        <w:jc w:val="center"/>
        <w:rPr>
          <w:rFonts w:hint="eastAsia" w:ascii="宋体" w:hAnsi="宋体" w:eastAsia="宋体" w:cs="宋体"/>
          <w:b/>
          <w:bCs/>
          <w:sz w:val="32"/>
          <w:szCs w:val="32"/>
          <w:lang w:eastAsia="zh-CN"/>
        </w:rPr>
      </w:pPr>
      <w:r>
        <w:rPr>
          <w:rFonts w:hint="eastAsia" w:ascii="宋体" w:hAnsi="宋体" w:eastAsia="宋体" w:cs="宋体"/>
          <w:b/>
          <w:bCs/>
          <w:sz w:val="32"/>
          <w:szCs w:val="32"/>
        </w:rPr>
        <w:t>《“智慧消防”信息平台设计规范</w:t>
      </w:r>
      <w:r>
        <w:rPr>
          <w:rFonts w:hint="eastAsia" w:ascii="宋体" w:hAnsi="宋体" w:eastAsia="宋体" w:cs="宋体"/>
          <w:b/>
          <w:bCs/>
          <w:sz w:val="32"/>
          <w:szCs w:val="32"/>
          <w:lang w:eastAsia="zh-CN"/>
        </w:rPr>
        <w:t>》</w:t>
      </w:r>
    </w:p>
    <w:p w14:paraId="627E65C0">
      <w:pPr>
        <w:spacing w:line="600" w:lineRule="exact"/>
        <w:jc w:val="center"/>
        <w:rPr>
          <w:rFonts w:hint="eastAsia" w:ascii="宋体" w:hAnsi="宋体" w:eastAsia="宋体" w:cs="宋体"/>
          <w:b/>
          <w:bCs/>
          <w:sz w:val="32"/>
          <w:szCs w:val="32"/>
        </w:rPr>
      </w:pPr>
      <w:r>
        <w:rPr>
          <w:rFonts w:hint="eastAsia" w:ascii="宋体" w:hAnsi="宋体" w:cs="宋体"/>
          <w:b/>
          <w:bCs/>
          <w:sz w:val="32"/>
          <w:szCs w:val="32"/>
          <w:lang w:val="en-US" w:eastAsia="zh-CN"/>
        </w:rPr>
        <w:t>征求意见</w:t>
      </w:r>
      <w:r>
        <w:rPr>
          <w:rFonts w:hint="eastAsia" w:ascii="宋体" w:hAnsi="宋体" w:eastAsia="宋体" w:cs="宋体"/>
          <w:b/>
          <w:bCs/>
          <w:sz w:val="32"/>
          <w:szCs w:val="32"/>
        </w:rPr>
        <w:t>稿编制说明</w:t>
      </w:r>
    </w:p>
    <w:p w14:paraId="6880F15A">
      <w:pPr>
        <w:pStyle w:val="2"/>
        <w:keepNext/>
        <w:keepLines/>
        <w:pageBreakBefore w:val="0"/>
        <w:widowControl/>
        <w:numPr>
          <w:ilvl w:val="0"/>
          <w:numId w:val="0"/>
        </w:numPr>
        <w:kinsoku/>
        <w:wordWrap/>
        <w:overflowPunct/>
        <w:topLinePunct w:val="0"/>
        <w:autoSpaceDE/>
        <w:autoSpaceDN/>
        <w:bidi w:val="0"/>
        <w:adjustRightInd/>
        <w:snapToGrid/>
        <w:spacing w:line="600" w:lineRule="auto"/>
        <w:ind w:leftChars="0"/>
        <w:textAlignment w:val="auto"/>
        <w:rPr>
          <w:sz w:val="28"/>
          <w:szCs w:val="40"/>
        </w:rPr>
      </w:pPr>
      <w:r>
        <w:rPr>
          <w:rFonts w:hint="eastAsia"/>
          <w:sz w:val="28"/>
          <w:szCs w:val="40"/>
          <w:lang w:val="en-US" w:eastAsia="zh-CN"/>
        </w:rPr>
        <w:t>一、</w:t>
      </w:r>
      <w:r>
        <w:rPr>
          <w:rFonts w:hint="eastAsia"/>
          <w:sz w:val="28"/>
          <w:szCs w:val="40"/>
        </w:rPr>
        <w:t>项目简况</w:t>
      </w:r>
    </w:p>
    <w:p w14:paraId="1DFF450D">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rPr>
          <w:rFonts w:hint="eastAsia" w:asciiTheme="minorEastAsia" w:hAnsiTheme="minorEastAsia" w:eastAsiaTheme="minorEastAsia" w:cstheme="minorEastAsia"/>
          <w:sz w:val="24"/>
          <w:szCs w:val="21"/>
        </w:rPr>
      </w:pPr>
      <w:r>
        <w:rPr>
          <w:rFonts w:hint="eastAsia" w:ascii="黑体" w:hAnsi="黑体" w:eastAsia="黑体" w:cs="黑体"/>
          <w:b w:val="0"/>
          <w:bCs w:val="0"/>
          <w:sz w:val="24"/>
          <w:szCs w:val="21"/>
        </w:rPr>
        <w:t>（一）标准名称：</w:t>
      </w:r>
      <w:r>
        <w:rPr>
          <w:rFonts w:hint="eastAsia" w:asciiTheme="minorEastAsia" w:hAnsiTheme="minorEastAsia" w:eastAsiaTheme="minorEastAsia" w:cstheme="minorEastAsia"/>
          <w:sz w:val="24"/>
          <w:szCs w:val="21"/>
        </w:rPr>
        <w:t>《“智慧消防”信息平台设计规范》</w:t>
      </w:r>
    </w:p>
    <w:p w14:paraId="6E5A3430">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rPr>
          <w:rFonts w:hint="eastAsia" w:asciiTheme="minorEastAsia" w:hAnsiTheme="minorEastAsia" w:eastAsiaTheme="minorEastAsia" w:cstheme="minorEastAsia"/>
          <w:sz w:val="24"/>
          <w:szCs w:val="21"/>
        </w:rPr>
      </w:pPr>
      <w:r>
        <w:rPr>
          <w:rFonts w:hint="eastAsia" w:ascii="黑体" w:hAnsi="黑体" w:eastAsia="黑体" w:cs="黑体"/>
          <w:b w:val="0"/>
          <w:bCs w:val="0"/>
          <w:sz w:val="24"/>
          <w:szCs w:val="21"/>
        </w:rPr>
        <w:t>（二）任务来源（项目计划号）：</w:t>
      </w:r>
      <w:r>
        <w:rPr>
          <w:rFonts w:hint="eastAsia" w:asciiTheme="minorEastAsia" w:hAnsiTheme="minorEastAsia" w:eastAsiaTheme="minorEastAsia" w:cstheme="minorEastAsia"/>
          <w:sz w:val="24"/>
          <w:szCs w:val="21"/>
        </w:rPr>
        <w:t>2023-Z045</w:t>
      </w:r>
    </w:p>
    <w:p w14:paraId="3BE2B5FA">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rPr>
          <w:rFonts w:hint="eastAsia" w:asciiTheme="minorEastAsia" w:hAnsiTheme="minorEastAsia" w:eastAsiaTheme="minorEastAsia" w:cstheme="minorEastAsia"/>
          <w:sz w:val="24"/>
          <w:szCs w:val="21"/>
        </w:rPr>
      </w:pPr>
      <w:r>
        <w:rPr>
          <w:rFonts w:hint="eastAsia" w:ascii="黑体" w:hAnsi="黑体" w:eastAsia="黑体" w:cs="黑体"/>
          <w:b w:val="0"/>
          <w:bCs w:val="0"/>
          <w:sz w:val="24"/>
          <w:szCs w:val="21"/>
        </w:rPr>
        <w:t>（三）起草单位：</w:t>
      </w:r>
      <w:r>
        <w:rPr>
          <w:rFonts w:hint="eastAsia" w:asciiTheme="minorEastAsia" w:hAnsiTheme="minorEastAsia" w:eastAsiaTheme="minorEastAsia" w:cstheme="minorEastAsia"/>
          <w:sz w:val="24"/>
          <w:szCs w:val="21"/>
        </w:rPr>
        <w:t>海南省消防救援总队</w:t>
      </w:r>
    </w:p>
    <w:p w14:paraId="5A4E2A23">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rPr>
          <w:rFonts w:hint="eastAsia" w:asciiTheme="minorEastAsia" w:hAnsiTheme="minorEastAsia" w:eastAsiaTheme="minorEastAsia" w:cstheme="minorEastAsia"/>
          <w:sz w:val="24"/>
          <w:szCs w:val="21"/>
        </w:rPr>
      </w:pPr>
      <w:r>
        <w:rPr>
          <w:rFonts w:hint="eastAsia" w:ascii="黑体" w:hAnsi="黑体" w:eastAsia="黑体" w:cs="黑体"/>
          <w:b w:val="0"/>
          <w:bCs w:val="0"/>
          <w:sz w:val="24"/>
          <w:szCs w:val="21"/>
        </w:rPr>
        <w:t>（四）单位地址：</w:t>
      </w:r>
      <w:r>
        <w:rPr>
          <w:rFonts w:hint="eastAsia" w:asciiTheme="minorEastAsia" w:hAnsiTheme="minorEastAsia" w:eastAsiaTheme="minorEastAsia" w:cstheme="minorEastAsia"/>
          <w:sz w:val="24"/>
          <w:szCs w:val="21"/>
        </w:rPr>
        <w:t>海南省海口市龙华区龙昆南路170号</w:t>
      </w:r>
    </w:p>
    <w:p w14:paraId="582CF272">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rPr>
          <w:rFonts w:hint="eastAsia" w:asciiTheme="minorEastAsia" w:hAnsiTheme="minorEastAsia" w:eastAsiaTheme="minorEastAsia" w:cstheme="minorEastAsia"/>
          <w:sz w:val="24"/>
          <w:szCs w:val="21"/>
        </w:rPr>
      </w:pPr>
      <w:r>
        <w:rPr>
          <w:rFonts w:hint="eastAsia" w:ascii="黑体" w:hAnsi="黑体" w:eastAsia="黑体" w:cs="黑体"/>
          <w:b w:val="0"/>
          <w:bCs w:val="0"/>
          <w:sz w:val="24"/>
          <w:szCs w:val="21"/>
        </w:rPr>
        <w:t>（五）参与起草单位：</w:t>
      </w:r>
      <w:r>
        <w:rPr>
          <w:rFonts w:hint="eastAsia" w:asciiTheme="minorEastAsia" w:hAnsiTheme="minorEastAsia" w:eastAsiaTheme="minorEastAsia" w:cstheme="minorEastAsia"/>
          <w:sz w:val="24"/>
          <w:szCs w:val="21"/>
        </w:rPr>
        <w:t>清华大学合肥公共安全研究院、中电科普天科技股份有限公司、杭州海康消防科技有限公司、海南省信息化专家协会、苏州国网电子科技有限公司等。</w:t>
      </w:r>
    </w:p>
    <w:p w14:paraId="4EA954C8">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rPr>
          <w:rFonts w:hint="eastAsia" w:asciiTheme="minorEastAsia" w:hAnsiTheme="minorEastAsia" w:eastAsiaTheme="minorEastAsia" w:cstheme="minorEastAsia"/>
          <w:sz w:val="24"/>
          <w:szCs w:val="21"/>
        </w:rPr>
      </w:pPr>
      <w:r>
        <w:rPr>
          <w:rFonts w:hint="eastAsia" w:ascii="黑体" w:hAnsi="黑体" w:eastAsia="黑体" w:cs="黑体"/>
          <w:b w:val="0"/>
          <w:bCs w:val="0"/>
          <w:sz w:val="24"/>
          <w:szCs w:val="21"/>
        </w:rPr>
        <w:t>（六）标准起草人：</w:t>
      </w:r>
      <w:r>
        <w:rPr>
          <w:rFonts w:hint="eastAsia" w:asciiTheme="minorEastAsia" w:hAnsiTheme="minorEastAsia" w:eastAsiaTheme="minorEastAsia" w:cstheme="minorEastAsia"/>
          <w:sz w:val="24"/>
          <w:szCs w:val="21"/>
        </w:rPr>
        <w:t>周永鑫、田泽冠、王衍明、乔旭东、</w:t>
      </w:r>
      <w:r>
        <w:rPr>
          <w:rFonts w:hint="eastAsia" w:asciiTheme="minorEastAsia" w:hAnsiTheme="minorEastAsia" w:eastAsiaTheme="minorEastAsia" w:cstheme="minorEastAsia"/>
          <w:sz w:val="24"/>
          <w:szCs w:val="21"/>
          <w:lang w:val="en-US" w:eastAsia="zh-CN"/>
        </w:rPr>
        <w:t>孙鹏、</w:t>
      </w:r>
      <w:r>
        <w:rPr>
          <w:rFonts w:hint="eastAsia" w:asciiTheme="minorEastAsia" w:hAnsiTheme="minorEastAsia" w:eastAsiaTheme="minorEastAsia" w:cstheme="minorEastAsia"/>
          <w:sz w:val="24"/>
          <w:szCs w:val="21"/>
        </w:rPr>
        <w:t>张刚、王麒雄、侯少汝、宣丰、郭天文、王坚平、崔国庆、王静舞、陈其丰、成志明、陈才炜、刘宇峰。</w:t>
      </w:r>
    </w:p>
    <w:p w14:paraId="1D26D992">
      <w:pPr>
        <w:pStyle w:val="2"/>
        <w:keepNext/>
        <w:keepLines/>
        <w:pageBreakBefore w:val="0"/>
        <w:widowControl/>
        <w:numPr>
          <w:ilvl w:val="0"/>
          <w:numId w:val="0"/>
        </w:numPr>
        <w:kinsoku/>
        <w:wordWrap/>
        <w:overflowPunct/>
        <w:topLinePunct w:val="0"/>
        <w:autoSpaceDE/>
        <w:autoSpaceDN/>
        <w:bidi w:val="0"/>
        <w:adjustRightInd/>
        <w:snapToGrid/>
        <w:spacing w:line="600" w:lineRule="auto"/>
        <w:ind w:leftChars="0"/>
        <w:textAlignment w:val="auto"/>
        <w:rPr>
          <w:rFonts w:hint="eastAsia" w:ascii="宋体" w:hAnsi="宋体"/>
          <w:sz w:val="28"/>
          <w:szCs w:val="40"/>
          <w:lang w:val="en-US" w:eastAsia="zh-CN"/>
        </w:rPr>
      </w:pPr>
      <w:r>
        <w:rPr>
          <w:rFonts w:hint="eastAsia" w:ascii="宋体" w:hAnsi="宋体"/>
          <w:sz w:val="28"/>
          <w:szCs w:val="40"/>
          <w:lang w:val="en-US" w:eastAsia="zh-CN"/>
        </w:rPr>
        <w:t>二、编制情况</w:t>
      </w:r>
    </w:p>
    <w:p w14:paraId="3D94DA48">
      <w:pPr>
        <w:pStyle w:val="3"/>
        <w:pageBreakBefore w:val="0"/>
        <w:numPr>
          <w:ilvl w:val="1"/>
          <w:numId w:val="0"/>
        </w:numPr>
        <w:kinsoku/>
        <w:wordWrap/>
        <w:overflowPunct/>
        <w:topLinePunct w:val="0"/>
        <w:bidi w:val="0"/>
        <w:spacing w:line="480" w:lineRule="exact"/>
        <w:ind w:leftChars="0"/>
        <w:textAlignment w:val="auto"/>
        <w:rPr>
          <w:rFonts w:hint="eastAsia"/>
          <w:sz w:val="24"/>
          <w:szCs w:val="24"/>
        </w:rPr>
      </w:pPr>
      <w:r>
        <w:rPr>
          <w:rFonts w:hint="eastAsia"/>
          <w:sz w:val="24"/>
          <w:szCs w:val="24"/>
          <w:lang w:val="en-US" w:eastAsia="zh-CN"/>
        </w:rPr>
        <w:t>（一）编制标准的必要性及政策依据</w:t>
      </w:r>
    </w:p>
    <w:p w14:paraId="1037E564">
      <w:pPr>
        <w:pStyle w:val="4"/>
        <w:pageBreakBefore w:val="0"/>
        <w:numPr>
          <w:ilvl w:val="2"/>
          <w:numId w:val="0"/>
        </w:numPr>
        <w:kinsoku/>
        <w:wordWrap/>
        <w:overflowPunct/>
        <w:topLinePunct w:val="0"/>
        <w:bidi w:val="0"/>
        <w:spacing w:line="480" w:lineRule="exact"/>
        <w:ind w:leftChars="0"/>
        <w:textAlignment w:val="auto"/>
        <w:rPr>
          <w:rFonts w:hint="eastAsia"/>
          <w:sz w:val="24"/>
          <w:szCs w:val="24"/>
        </w:rPr>
      </w:pPr>
      <w:r>
        <w:rPr>
          <w:rFonts w:hint="eastAsia"/>
          <w:sz w:val="24"/>
          <w:szCs w:val="24"/>
          <w:lang w:val="en-US" w:eastAsia="zh-CN"/>
        </w:rPr>
        <w:t>1. 制标的必要性</w:t>
      </w:r>
    </w:p>
    <w:p w14:paraId="3D18B42C">
      <w:pPr>
        <w:pageBreakBefore w:val="0"/>
        <w:kinsoku/>
        <w:wordWrap/>
        <w:overflowPunct/>
        <w:topLinePunct w:val="0"/>
        <w:bidi w:val="0"/>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一是海南省委、省政府高度重视城市安全和信息化建设，智慧消防信息平台作为城市安全和信息化建设的重要组成部分，得到了政策的大力支持和推动。近年来，我省已全面开始智慧消防建设工作，先后启动“海南省智慧消防综合管理服务平台</w:t>
      </w:r>
      <w:r>
        <w:rPr>
          <w:rFonts w:hint="eastAsia" w:ascii="宋体" w:hAnsi="宋体" w:cs="宋体"/>
          <w:sz w:val="24"/>
          <w:szCs w:val="24"/>
          <w:lang w:eastAsia="zh-CN"/>
        </w:rPr>
        <w:t>”“</w:t>
      </w:r>
      <w:r>
        <w:rPr>
          <w:rFonts w:hint="eastAsia" w:ascii="宋体" w:hAnsi="宋体" w:eastAsia="宋体" w:cs="宋体"/>
          <w:sz w:val="24"/>
          <w:szCs w:val="24"/>
        </w:rPr>
        <w:t>海南社会管理信息化平台消防救援综合管控系统”等省级项目，建成后将全面提升我省消防安全火灾风险防控能力、救援力量动态管理能力和全灾种灾害救援指挥能力。同时，儋州、琼海等地区已开始智慧消防建设工作，海口、三亚、东方等地区已启动智慧消防设计规划工作。</w:t>
      </w:r>
    </w:p>
    <w:p w14:paraId="45B8EE8D">
      <w:pPr>
        <w:pageBreakBefore w:val="0"/>
        <w:kinsoku/>
        <w:wordWrap/>
        <w:overflowPunct/>
        <w:topLinePunct w:val="0"/>
        <w:bidi w:val="0"/>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二是现有法律法规未专门制定关于智慧消防建设，现行立法也尚未提及智慧消防建设。目前，各市县根据自身情况已开始了相关建设，但缺乏体系性、统一性和兼容性，数据难以汇聚共享和交换。我省亟待规范规定智慧消防平台设计规范。</w:t>
      </w:r>
    </w:p>
    <w:p w14:paraId="5651CC39">
      <w:pPr>
        <w:pageBreakBefore w:val="0"/>
        <w:kinsoku/>
        <w:wordWrap/>
        <w:overflowPunct/>
        <w:topLinePunct w:val="0"/>
        <w:bidi w:val="0"/>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三是智慧消防建设发展需要。国际上，欧美等国在智慧消防建设中优先进行顶层设计</w:t>
      </w:r>
      <w:r>
        <w:rPr>
          <w:rFonts w:hint="eastAsia" w:ascii="宋体" w:hAnsi="宋体" w:eastAsia="宋体" w:cs="宋体"/>
          <w:sz w:val="24"/>
          <w:szCs w:val="24"/>
          <w:lang w:eastAsia="zh-CN"/>
        </w:rPr>
        <w:t>，</w:t>
      </w:r>
      <w:r>
        <w:rPr>
          <w:rFonts w:hint="eastAsia" w:ascii="宋体" w:hAnsi="宋体" w:eastAsia="宋体" w:cs="宋体"/>
          <w:sz w:val="24"/>
          <w:szCs w:val="24"/>
        </w:rPr>
        <w:t>制定出智慧消防的建设路线和科研方向，推动智慧消防建设的科学、高效发展；在日常消防管理中引入专业组织多元共治，借助专业机构力量参与相关规范的制定，鼓励企业承担部分消防责任，增强火灾防控能力。国内，2017年公安部发布《关于全面推进“智慧消防”建设的指导意见》，提出智慧消防的重点建设任务和工作目标，2019年国务院印发《关于深化消防执法改革的意见》，其中提到消防执法改革的5个方面12项主要任务，在加强事中事后监管方面：完善“互联网+监管”，运用物联网和大数据技术，实时化、智能化评估消防安全风险，实现精准监管。全国各地市也陆续出台智慧消防相关内容，在“互联网+”的趋势下，智能化消防平台愈加重要。省内目前研究情况，省市两级已启动多个智慧消防相关项目，具备一定的实践基础，省消防救援总队已初步研讨智慧消防平台相关技术规范要求，具备发布智慧消防平台标准的理论基础和实践支撑。</w:t>
      </w:r>
    </w:p>
    <w:p w14:paraId="1723C766">
      <w:pPr>
        <w:pStyle w:val="4"/>
        <w:pageBreakBefore w:val="0"/>
        <w:numPr>
          <w:ilvl w:val="0"/>
          <w:numId w:val="5"/>
        </w:numPr>
        <w:kinsoku/>
        <w:wordWrap/>
        <w:overflowPunct/>
        <w:topLinePunct w:val="0"/>
        <w:bidi w:val="0"/>
        <w:spacing w:line="480" w:lineRule="exact"/>
        <w:ind w:leftChars="0"/>
        <w:textAlignment w:val="auto"/>
        <w:rPr>
          <w:rFonts w:hint="eastAsia"/>
          <w:sz w:val="24"/>
          <w:szCs w:val="24"/>
        </w:rPr>
      </w:pPr>
      <w:r>
        <w:rPr>
          <w:rFonts w:hint="eastAsia"/>
          <w:sz w:val="24"/>
          <w:szCs w:val="24"/>
          <w:lang w:val="en-US" w:eastAsia="zh-CN"/>
        </w:rPr>
        <w:t>政策依据</w:t>
      </w:r>
    </w:p>
    <w:p w14:paraId="44E5D718">
      <w:pPr>
        <w:pageBreakBefore w:val="0"/>
        <w:kinsoku/>
        <w:wordWrap/>
        <w:overflowPunct/>
        <w:topLinePunct w:val="0"/>
        <w:bidi w:val="0"/>
        <w:spacing w:line="480" w:lineRule="exact"/>
        <w:textAlignment w:val="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eastAsia="宋体" w:cs="宋体"/>
          <w:sz w:val="24"/>
          <w:szCs w:val="24"/>
        </w:rPr>
        <w:t>关于全面推进“智慧消防”建设指导意见</w:t>
      </w:r>
      <w:r>
        <w:rPr>
          <w:rFonts w:hint="eastAsia" w:ascii="宋体" w:hAnsi="宋体" w:cs="宋体"/>
          <w:sz w:val="24"/>
          <w:szCs w:val="24"/>
          <w:lang w:eastAsia="zh-CN"/>
        </w:rPr>
        <w:t>》</w:t>
      </w:r>
      <w:r>
        <w:rPr>
          <w:rFonts w:hint="eastAsia" w:ascii="宋体" w:hAnsi="宋体" w:eastAsia="宋体" w:cs="宋体"/>
          <w:sz w:val="24"/>
          <w:szCs w:val="24"/>
        </w:rPr>
        <w:t>（公安部消防局【2017】）</w:t>
      </w:r>
      <w:r>
        <w:rPr>
          <w:rFonts w:hint="eastAsia" w:ascii="宋体" w:hAnsi="宋体" w:cs="宋体"/>
          <w:sz w:val="24"/>
          <w:szCs w:val="24"/>
          <w:lang w:eastAsia="zh-CN"/>
        </w:rPr>
        <w:t>：按照“信息互通、快速便捷、辅助指挥”的原则，建立覆盖全国的应急通信系统，提升应急通信网络覆盖能力，搭建“一张图”的实战指挥平台，整合灭火应急救援基础信息和社会资源，做到灭火救援预案随机调阅查询、作战全程评估和灾害事故发展趋势预判，确保部队指挥作战响应迅捷、决策科学、处置高效。</w:t>
      </w:r>
    </w:p>
    <w:p w14:paraId="39F46702">
      <w:pPr>
        <w:pageBreakBefore w:val="0"/>
        <w:kinsoku/>
        <w:wordWrap/>
        <w:overflowPunct/>
        <w:topLinePunct w:val="0"/>
        <w:bidi w:val="0"/>
        <w:spacing w:line="480" w:lineRule="exact"/>
        <w:textAlignment w:val="auto"/>
        <w:rPr>
          <w:rFonts w:hint="eastAsia"/>
          <w:sz w:val="24"/>
          <w:szCs w:val="24"/>
          <w:lang w:val="en-US" w:eastAsia="zh-CN"/>
        </w:rPr>
      </w:pPr>
      <w:r>
        <w:rPr>
          <w:rFonts w:hint="eastAsia" w:ascii="宋体" w:hAnsi="宋体" w:eastAsia="宋体" w:cs="宋体"/>
          <w:sz w:val="24"/>
          <w:szCs w:val="24"/>
        </w:rPr>
        <w:t>2019年5月</w:t>
      </w:r>
      <w:r>
        <w:rPr>
          <w:rFonts w:hint="eastAsia" w:ascii="宋体" w:hAnsi="宋体" w:eastAsia="宋体" w:cs="宋体"/>
          <w:sz w:val="24"/>
          <w:szCs w:val="24"/>
          <w:lang w:eastAsia="zh-CN"/>
        </w:rPr>
        <w:t>，国务院发布《关于深化消防执法改革的意见》</w:t>
      </w:r>
      <w:r>
        <w:rPr>
          <w:rFonts w:hint="eastAsia" w:ascii="宋体" w:hAnsi="宋体" w:eastAsia="宋体" w:cs="宋体"/>
          <w:sz w:val="24"/>
          <w:szCs w:val="24"/>
          <w:lang w:val="en-US" w:eastAsia="zh-CN"/>
        </w:rPr>
        <w:t>要求：完善“互联网+监管”，运用物联网和大数据技术，实时化、智能化评估消防安全风险，实现精准监管，将消防监督执法信息全部纳入消防监督管理信息系统，实现消防监督执法所有环节网上流转、全程留痕、闭环管理。</w:t>
      </w:r>
    </w:p>
    <w:p w14:paraId="3A7CB2EB">
      <w:pPr>
        <w:pageBreakBefore w:val="0"/>
        <w:kinsoku/>
        <w:wordWrap/>
        <w:overflowPunct/>
        <w:topLinePunct w:val="0"/>
        <w:bidi w:val="0"/>
        <w:spacing w:line="480" w:lineRule="exact"/>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2022年4月</w:t>
      </w:r>
      <w:r>
        <w:rPr>
          <w:rFonts w:hint="eastAsia" w:ascii="宋体" w:hAnsi="宋体" w:eastAsia="宋体" w:cs="宋体"/>
          <w:sz w:val="24"/>
          <w:szCs w:val="24"/>
          <w:lang w:val="en-US" w:eastAsia="zh-CN"/>
        </w:rPr>
        <w:t>，国务院安委会印发《“十四五”国家消防工作规划》：积极融入“智慧城市”“智慧应急”，深化“智慧消防”建设，补齐基础设施、网络、数据、安全、标准等短板，加快消防信息化向数字化智能化方向融合发展。</w:t>
      </w:r>
    </w:p>
    <w:p w14:paraId="7B058B82">
      <w:pPr>
        <w:pageBreakBefore w:val="0"/>
        <w:kinsoku/>
        <w:wordWrap/>
        <w:overflowPunct/>
        <w:topLinePunct w:val="0"/>
        <w:bidi w:val="0"/>
        <w:spacing w:line="480" w:lineRule="exact"/>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2023年10月</w:t>
      </w:r>
      <w:r>
        <w:rPr>
          <w:rFonts w:hint="eastAsia" w:ascii="宋体" w:hAnsi="宋体" w:eastAsia="宋体" w:cs="宋体"/>
          <w:sz w:val="24"/>
          <w:szCs w:val="24"/>
          <w:lang w:val="en-US" w:eastAsia="zh-CN"/>
        </w:rPr>
        <w:t>，国家消防救援局发布《“数字消防”建设总体框架和实施方案》：加快推进灭火救援工作专业化、信息化建设，加快科技赋能，实现精准化灭火救援调度，智能化火灾防控和精细化队伍管理的现代化指挥体系。</w:t>
      </w:r>
    </w:p>
    <w:p w14:paraId="53E773ED">
      <w:pPr>
        <w:pStyle w:val="3"/>
        <w:pageBreakBefore w:val="0"/>
        <w:numPr>
          <w:ilvl w:val="1"/>
          <w:numId w:val="0"/>
        </w:numPr>
        <w:kinsoku/>
        <w:wordWrap/>
        <w:overflowPunct/>
        <w:topLinePunct w:val="0"/>
        <w:bidi w:val="0"/>
        <w:spacing w:line="480" w:lineRule="exact"/>
        <w:ind w:leftChars="0"/>
        <w:textAlignment w:val="auto"/>
        <w:rPr>
          <w:rFonts w:hint="eastAsia"/>
          <w:sz w:val="24"/>
          <w:szCs w:val="24"/>
        </w:rPr>
      </w:pPr>
      <w:r>
        <w:rPr>
          <w:rFonts w:hint="eastAsia"/>
          <w:sz w:val="24"/>
          <w:szCs w:val="24"/>
          <w:lang w:val="en-US" w:eastAsia="zh-CN"/>
        </w:rPr>
        <w:t>（二）编制过程</w:t>
      </w:r>
    </w:p>
    <w:p w14:paraId="0E02A6B7">
      <w:pPr>
        <w:pStyle w:val="4"/>
        <w:numPr>
          <w:ilvl w:val="2"/>
          <w:numId w:val="0"/>
        </w:numPr>
        <w:bidi w:val="0"/>
        <w:ind w:leftChars="0"/>
        <w:rPr>
          <w:rFonts w:hint="eastAsia"/>
          <w:sz w:val="24"/>
          <w:szCs w:val="24"/>
          <w:lang w:val="en-US" w:eastAsia="zh-CN"/>
        </w:rPr>
      </w:pPr>
      <w:r>
        <w:rPr>
          <w:rFonts w:hint="eastAsia"/>
          <w:sz w:val="24"/>
          <w:szCs w:val="24"/>
        </w:rPr>
        <w:t>1．</w:t>
      </w:r>
      <w:r>
        <w:rPr>
          <w:rFonts w:hint="eastAsia"/>
          <w:sz w:val="24"/>
          <w:szCs w:val="24"/>
          <w:lang w:val="en-US" w:eastAsia="zh-CN"/>
        </w:rPr>
        <w:t>成立编制组</w:t>
      </w:r>
    </w:p>
    <w:p w14:paraId="1A76E64E">
      <w:pPr>
        <w:pageBreakBefore w:val="0"/>
        <w:kinsoku/>
        <w:wordWrap/>
        <w:overflowPunct/>
        <w:topLinePunct w:val="0"/>
        <w:bidi w:val="0"/>
        <w:spacing w:line="480" w:lineRule="exact"/>
        <w:textAlignment w:val="auto"/>
        <w:rPr>
          <w:rFonts w:hint="eastAsia" w:ascii="宋体" w:hAnsi="宋体" w:eastAsia="宋体" w:cs="宋体"/>
          <w:sz w:val="24"/>
          <w:szCs w:val="24"/>
        </w:rPr>
      </w:pPr>
      <w:r>
        <w:rPr>
          <w:rFonts w:hint="eastAsia" w:ascii="宋体" w:hAnsi="宋体" w:cs="宋体"/>
          <w:sz w:val="24"/>
          <w:szCs w:val="24"/>
          <w:lang w:val="en-US" w:eastAsia="zh-CN"/>
        </w:rPr>
        <w:t>省市场监管局立项后，总队成立标准编制组。</w:t>
      </w:r>
      <w:r>
        <w:rPr>
          <w:rFonts w:hint="eastAsia" w:ascii="宋体" w:hAnsi="宋体" w:eastAsia="宋体" w:cs="宋体"/>
          <w:sz w:val="24"/>
          <w:szCs w:val="24"/>
        </w:rPr>
        <w:t>组织编</w:t>
      </w:r>
      <w:r>
        <w:rPr>
          <w:rFonts w:hint="eastAsia" w:ascii="宋体" w:hAnsi="宋体" w:cs="宋体"/>
          <w:sz w:val="24"/>
          <w:szCs w:val="24"/>
          <w:lang w:val="en-US" w:eastAsia="zh-CN"/>
        </w:rPr>
        <w:t>制</w:t>
      </w:r>
      <w:r>
        <w:rPr>
          <w:rFonts w:hint="eastAsia" w:ascii="宋体" w:hAnsi="宋体" w:eastAsia="宋体" w:cs="宋体"/>
          <w:sz w:val="24"/>
          <w:szCs w:val="24"/>
        </w:rPr>
        <w:t>组进行国内外相关法规的调研，对比国内在此领域领先的省份、园区的做法以及国外成熟的规范做法，充分考虑海南省建设自贸港的实际状况及《智慧海南总体方案（2020-2025年）》的要求，形成了整体思路。</w:t>
      </w:r>
    </w:p>
    <w:p w14:paraId="3D74BFCE">
      <w:pPr>
        <w:pStyle w:val="4"/>
        <w:numPr>
          <w:ilvl w:val="2"/>
          <w:numId w:val="0"/>
        </w:numPr>
        <w:bidi w:val="0"/>
        <w:ind w:leftChars="0"/>
        <w:rPr>
          <w:rFonts w:hint="eastAsia"/>
          <w:sz w:val="24"/>
          <w:szCs w:val="24"/>
          <w:lang w:val="en-US" w:eastAsia="zh-CN"/>
        </w:rPr>
      </w:pPr>
      <w:r>
        <w:rPr>
          <w:rFonts w:hint="eastAsia"/>
          <w:sz w:val="24"/>
          <w:szCs w:val="24"/>
          <w:lang w:val="en-US" w:eastAsia="zh-CN"/>
        </w:rPr>
        <w:t>2.实地调研</w:t>
      </w:r>
    </w:p>
    <w:p w14:paraId="706E2CED">
      <w:pPr>
        <w:pageBreakBefore w:val="0"/>
        <w:kinsoku/>
        <w:wordWrap/>
        <w:overflowPunct/>
        <w:topLinePunct w:val="0"/>
        <w:bidi w:val="0"/>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组织专家通过对海南省海口、三亚、琼海、儋州、澄迈五个市县进行调研，了解海南省通信与信息化企业及重点单位、园区的消防安全管理现状和问题，为制定本标准做准备，使之更具针对性，为解决现实问题提供新的解决方式。</w:t>
      </w:r>
    </w:p>
    <w:p w14:paraId="4F6B6180">
      <w:pPr>
        <w:pageBreakBefore w:val="0"/>
        <w:kinsoku/>
        <w:wordWrap/>
        <w:overflowPunct/>
        <w:topLinePunct w:val="0"/>
        <w:bidi w:val="0"/>
        <w:spacing w:line="240" w:lineRule="auto"/>
        <w:ind w:left="0" w:leftChars="0" w:firstLine="0" w:firstLineChars="0"/>
        <w:textAlignment w:val="auto"/>
        <w:rPr>
          <w:sz w:val="24"/>
          <w:szCs w:val="24"/>
        </w:rPr>
      </w:pPr>
      <w:r>
        <w:rPr>
          <w:sz w:val="24"/>
          <w:szCs w:val="24"/>
        </w:rPr>
        <w:drawing>
          <wp:inline distT="0" distB="0" distL="114300" distR="114300">
            <wp:extent cx="5755005" cy="3732530"/>
            <wp:effectExtent l="0" t="0" r="7620" b="127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7"/>
                    <a:stretch>
                      <a:fillRect/>
                    </a:stretch>
                  </pic:blipFill>
                  <pic:spPr>
                    <a:xfrm>
                      <a:off x="0" y="0"/>
                      <a:ext cx="5755005" cy="3732530"/>
                    </a:xfrm>
                    <a:prstGeom prst="rect">
                      <a:avLst/>
                    </a:prstGeom>
                    <a:noFill/>
                    <a:ln>
                      <a:noFill/>
                    </a:ln>
                  </pic:spPr>
                </pic:pic>
              </a:graphicData>
            </a:graphic>
          </wp:inline>
        </w:drawing>
      </w:r>
    </w:p>
    <w:p w14:paraId="6A8E262C">
      <w:pPr>
        <w:pStyle w:val="11"/>
        <w:pageBreakBefore w:val="0"/>
        <w:kinsoku/>
        <w:wordWrap/>
        <w:overflowPunct/>
        <w:topLinePunct w:val="0"/>
        <w:bidi w:val="0"/>
        <w:spacing w:line="480" w:lineRule="exact"/>
        <w:ind w:left="0" w:leftChars="0" w:firstLine="0" w:firstLineChars="0"/>
        <w:textAlignment w:val="auto"/>
        <w:rPr>
          <w:rFonts w:hint="eastAsia"/>
          <w:sz w:val="24"/>
          <w:szCs w:val="24"/>
          <w:lang w:eastAsia="zh-CN"/>
        </w:rPr>
      </w:pPr>
      <w:r>
        <w:rPr>
          <w:sz w:val="24"/>
          <w:szCs w:val="24"/>
        </w:rPr>
        <w:t xml:space="preserve">图 </w:t>
      </w:r>
      <w:r>
        <w:rPr>
          <w:sz w:val="24"/>
          <w:szCs w:val="24"/>
        </w:rPr>
        <w:fldChar w:fldCharType="begin"/>
      </w:r>
      <w:r>
        <w:rPr>
          <w:sz w:val="24"/>
          <w:szCs w:val="24"/>
        </w:rPr>
        <w:instrText xml:space="preserve"> SEQ 图 \* ARABIC </w:instrText>
      </w:r>
      <w:r>
        <w:rPr>
          <w:sz w:val="24"/>
          <w:szCs w:val="24"/>
        </w:rPr>
        <w:fldChar w:fldCharType="separate"/>
      </w:r>
      <w:r>
        <w:rPr>
          <w:sz w:val="24"/>
          <w:szCs w:val="24"/>
        </w:rPr>
        <w:t>1</w:t>
      </w:r>
      <w:r>
        <w:rPr>
          <w:sz w:val="24"/>
          <w:szCs w:val="24"/>
        </w:rPr>
        <w:fldChar w:fldCharType="end"/>
      </w:r>
      <w:r>
        <w:rPr>
          <w:rFonts w:hint="eastAsia"/>
          <w:sz w:val="24"/>
          <w:szCs w:val="24"/>
          <w:lang w:eastAsia="zh-CN"/>
        </w:rPr>
        <w:t xml:space="preserve"> 省消防救援总队组织调研</w:t>
      </w:r>
    </w:p>
    <w:p w14:paraId="00803312">
      <w:pPr>
        <w:rPr>
          <w:rFonts w:hint="eastAsia"/>
          <w:sz w:val="24"/>
          <w:szCs w:val="24"/>
          <w:lang w:eastAsia="zh-CN"/>
        </w:rPr>
      </w:pPr>
    </w:p>
    <w:p w14:paraId="0A0BF881">
      <w:pPr>
        <w:pStyle w:val="4"/>
        <w:numPr>
          <w:ilvl w:val="2"/>
          <w:numId w:val="0"/>
        </w:numPr>
        <w:bidi w:val="0"/>
        <w:ind w:leftChars="0"/>
        <w:rPr>
          <w:rFonts w:hint="eastAsia"/>
          <w:sz w:val="24"/>
          <w:szCs w:val="24"/>
          <w:lang w:val="en-US" w:eastAsia="zh-CN"/>
        </w:rPr>
      </w:pPr>
      <w:r>
        <w:rPr>
          <w:rFonts w:hint="eastAsia"/>
          <w:sz w:val="24"/>
          <w:szCs w:val="24"/>
        </w:rPr>
        <w:t>3．</w:t>
      </w:r>
      <w:r>
        <w:rPr>
          <w:rFonts w:hint="eastAsia"/>
          <w:sz w:val="24"/>
          <w:szCs w:val="24"/>
          <w:lang w:val="en-US" w:eastAsia="zh-CN"/>
        </w:rPr>
        <w:t>形成征求意见稿</w:t>
      </w:r>
    </w:p>
    <w:p w14:paraId="7C8E5AB4">
      <w:pPr>
        <w:pageBreakBefore w:val="0"/>
        <w:kinsoku/>
        <w:wordWrap/>
        <w:overflowPunct/>
        <w:topLinePunct w:val="0"/>
        <w:bidi w:val="0"/>
        <w:spacing w:line="480" w:lineRule="exact"/>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编制组结合调研情况，借鉴有关工作经验，根据标准编制要求，认真组织研究起草，经内部多轮修改，形成征求意见稿。</w:t>
      </w:r>
    </w:p>
    <w:p w14:paraId="50BE1716">
      <w:pPr>
        <w:pStyle w:val="4"/>
        <w:numPr>
          <w:ilvl w:val="2"/>
          <w:numId w:val="0"/>
        </w:numPr>
        <w:bidi w:val="0"/>
        <w:ind w:leftChars="0"/>
        <w:rPr>
          <w:rFonts w:hint="default" w:ascii="宋体" w:hAnsi="宋体" w:eastAsia="宋体" w:cs="宋体"/>
          <w:sz w:val="24"/>
          <w:szCs w:val="24"/>
          <w:lang w:val="en-US" w:eastAsia="zh-CN"/>
        </w:rPr>
      </w:pPr>
      <w:r>
        <w:rPr>
          <w:rFonts w:hint="eastAsia" w:ascii="宋体" w:hAnsi="宋体" w:cs="宋体"/>
          <w:sz w:val="24"/>
          <w:szCs w:val="24"/>
          <w:lang w:val="en-US" w:eastAsia="zh-CN"/>
        </w:rPr>
        <w:t>4.征求意见</w:t>
      </w:r>
    </w:p>
    <w:p w14:paraId="3D39A453">
      <w:pPr>
        <w:pageBreakBefore w:val="0"/>
        <w:kinsoku/>
        <w:wordWrap/>
        <w:overflowPunct/>
        <w:topLinePunct w:val="0"/>
        <w:bidi w:val="0"/>
        <w:spacing w:line="480" w:lineRule="exact"/>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2024年7—8月</w:t>
      </w:r>
      <w:r>
        <w:rPr>
          <w:rFonts w:hint="eastAsia" w:ascii="宋体" w:hAnsi="宋体" w:eastAsia="宋体" w:cs="宋体"/>
          <w:sz w:val="24"/>
          <w:szCs w:val="24"/>
        </w:rPr>
        <w:t>，省消防救援总队</w:t>
      </w:r>
      <w:r>
        <w:rPr>
          <w:rFonts w:hint="eastAsia" w:ascii="宋体" w:hAnsi="宋体" w:cs="宋体"/>
          <w:sz w:val="24"/>
          <w:szCs w:val="24"/>
          <w:lang w:eastAsia="zh-CN"/>
        </w:rPr>
        <w:t>征求了省直部门和各市县政府意见。</w:t>
      </w:r>
      <w:r>
        <w:rPr>
          <w:rFonts w:hint="eastAsia" w:ascii="宋体" w:hAnsi="宋体" w:cs="宋体"/>
          <w:sz w:val="24"/>
          <w:szCs w:val="24"/>
          <w:lang w:val="en-US" w:eastAsia="zh-CN"/>
        </w:rPr>
        <w:t>其后，又</w:t>
      </w:r>
      <w:r>
        <w:rPr>
          <w:rFonts w:hint="eastAsia" w:ascii="宋体" w:hAnsi="宋体" w:eastAsia="宋体" w:cs="宋体"/>
          <w:sz w:val="24"/>
          <w:szCs w:val="24"/>
        </w:rPr>
        <w:t>多次</w:t>
      </w:r>
      <w:r>
        <w:rPr>
          <w:rFonts w:hint="eastAsia" w:ascii="宋体" w:hAnsi="宋体" w:cs="宋体"/>
          <w:sz w:val="24"/>
          <w:szCs w:val="24"/>
          <w:lang w:eastAsia="zh-CN"/>
        </w:rPr>
        <w:t>组织使用群体单位（消防技术服务机构和消防安全重点单位）和专家，</w:t>
      </w:r>
      <w:r>
        <w:rPr>
          <w:rFonts w:hint="eastAsia" w:ascii="宋体" w:hAnsi="宋体" w:eastAsia="宋体" w:cs="宋体"/>
          <w:sz w:val="24"/>
          <w:szCs w:val="24"/>
        </w:rPr>
        <w:t>召开</w:t>
      </w:r>
      <w:r>
        <w:rPr>
          <w:rFonts w:hint="eastAsia" w:ascii="宋体" w:hAnsi="宋体" w:cs="宋体"/>
          <w:sz w:val="24"/>
          <w:szCs w:val="24"/>
          <w:lang w:eastAsia="zh-CN"/>
        </w:rPr>
        <w:t>征求意见座谈</w:t>
      </w:r>
      <w:r>
        <w:rPr>
          <w:rFonts w:hint="eastAsia" w:ascii="宋体" w:hAnsi="宋体" w:eastAsia="宋体" w:cs="宋体"/>
          <w:sz w:val="24"/>
          <w:szCs w:val="24"/>
        </w:rPr>
        <w:t>会议进行研讨，反复修改完善，并</w:t>
      </w:r>
      <w:r>
        <w:rPr>
          <w:rFonts w:hint="eastAsia" w:ascii="宋体" w:hAnsi="宋体" w:cs="宋体"/>
          <w:sz w:val="24"/>
          <w:szCs w:val="24"/>
          <w:lang w:val="en-US" w:eastAsia="zh-CN"/>
        </w:rPr>
        <w:t>进一步</w:t>
      </w:r>
      <w:r>
        <w:rPr>
          <w:rFonts w:hint="eastAsia" w:ascii="宋体" w:hAnsi="宋体" w:eastAsia="宋体" w:cs="宋体"/>
          <w:sz w:val="24"/>
          <w:szCs w:val="24"/>
        </w:rPr>
        <w:t>组织开展物联网企业专项调研，验证编制成果。</w:t>
      </w:r>
      <w:r>
        <w:rPr>
          <w:rFonts w:hint="eastAsia" w:ascii="宋体" w:hAnsi="宋体" w:cs="宋体"/>
          <w:sz w:val="24"/>
          <w:szCs w:val="24"/>
          <w:lang w:val="en-US" w:eastAsia="zh-CN"/>
        </w:rPr>
        <w:t>先后征集到修改意见建议77条，编制组逐条进行研究并回应。</w:t>
      </w:r>
    </w:p>
    <w:p w14:paraId="76BB73EB">
      <w:pPr>
        <w:pageBreakBefore w:val="0"/>
        <w:kinsoku/>
        <w:wordWrap/>
        <w:overflowPunct/>
        <w:topLinePunct w:val="0"/>
        <w:bidi w:val="0"/>
        <w:spacing w:line="480" w:lineRule="exact"/>
        <w:textAlignment w:val="auto"/>
        <w:rPr>
          <w:rFonts w:hint="eastAsia" w:ascii="宋体" w:hAnsi="宋体" w:eastAsia="宋体" w:cs="宋体"/>
          <w:sz w:val="24"/>
          <w:szCs w:val="24"/>
        </w:rPr>
      </w:pPr>
    </w:p>
    <w:p w14:paraId="5A4DB341">
      <w:pPr>
        <w:pageBreakBefore w:val="0"/>
        <w:kinsoku/>
        <w:wordWrap/>
        <w:overflowPunct/>
        <w:topLinePunct w:val="0"/>
        <w:bidi w:val="0"/>
        <w:spacing w:line="480" w:lineRule="exact"/>
        <w:textAlignment w:val="auto"/>
        <w:rPr>
          <w:rFonts w:hint="eastAsia" w:ascii="宋体" w:hAnsi="宋体" w:eastAsia="宋体" w:cs="宋体"/>
          <w:sz w:val="24"/>
          <w:szCs w:val="24"/>
        </w:rPr>
      </w:pPr>
      <w:r>
        <w:drawing>
          <wp:anchor distT="0" distB="0" distL="114300" distR="114300" simplePos="0" relativeHeight="251662336" behindDoc="0" locked="0" layoutInCell="1" allowOverlap="1">
            <wp:simplePos x="0" y="0"/>
            <wp:positionH relativeFrom="column">
              <wp:posOffset>3288030</wp:posOffset>
            </wp:positionH>
            <wp:positionV relativeFrom="paragraph">
              <wp:posOffset>287655</wp:posOffset>
            </wp:positionV>
            <wp:extent cx="2691130" cy="1843405"/>
            <wp:effectExtent l="0" t="0" r="4445" b="4445"/>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2691130" cy="1843405"/>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379095</wp:posOffset>
            </wp:positionH>
            <wp:positionV relativeFrom="paragraph">
              <wp:posOffset>234315</wp:posOffset>
            </wp:positionV>
            <wp:extent cx="2828925" cy="1838325"/>
            <wp:effectExtent l="0" t="0" r="0" b="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2828925" cy="1838325"/>
                    </a:xfrm>
                    <a:prstGeom prst="rect">
                      <a:avLst/>
                    </a:prstGeom>
                    <a:noFill/>
                    <a:ln>
                      <a:noFill/>
                    </a:ln>
                  </pic:spPr>
                </pic:pic>
              </a:graphicData>
            </a:graphic>
          </wp:anchor>
        </w:drawing>
      </w:r>
    </w:p>
    <w:p w14:paraId="7A81ABAA">
      <w:pPr>
        <w:pageBreakBefore w:val="0"/>
        <w:kinsoku/>
        <w:wordWrap/>
        <w:overflowPunct/>
        <w:topLinePunct w:val="0"/>
        <w:bidi w:val="0"/>
        <w:spacing w:line="480" w:lineRule="exact"/>
        <w:textAlignment w:val="auto"/>
        <w:rPr>
          <w:rFonts w:hint="eastAsia" w:ascii="宋体" w:hAnsi="宋体" w:eastAsia="宋体" w:cs="宋体"/>
          <w:sz w:val="24"/>
          <w:szCs w:val="24"/>
        </w:rPr>
      </w:pPr>
    </w:p>
    <w:p w14:paraId="4B7F1C5C">
      <w:pPr>
        <w:pageBreakBefore w:val="0"/>
        <w:kinsoku/>
        <w:wordWrap/>
        <w:overflowPunct/>
        <w:topLinePunct w:val="0"/>
        <w:bidi w:val="0"/>
        <w:spacing w:line="480" w:lineRule="exact"/>
        <w:textAlignment w:val="auto"/>
        <w:rPr>
          <w:rFonts w:hint="eastAsia" w:ascii="宋体" w:hAnsi="宋体" w:eastAsia="宋体" w:cs="宋体"/>
          <w:sz w:val="24"/>
          <w:szCs w:val="24"/>
        </w:rPr>
      </w:pPr>
    </w:p>
    <w:p w14:paraId="3633BD24">
      <w:pPr>
        <w:pageBreakBefore w:val="0"/>
        <w:kinsoku/>
        <w:wordWrap/>
        <w:overflowPunct/>
        <w:topLinePunct w:val="0"/>
        <w:bidi w:val="0"/>
        <w:spacing w:line="480" w:lineRule="exact"/>
        <w:textAlignment w:val="auto"/>
        <w:rPr>
          <w:rFonts w:hint="eastAsia" w:ascii="宋体" w:hAnsi="宋体" w:eastAsia="宋体" w:cs="宋体"/>
          <w:sz w:val="24"/>
          <w:szCs w:val="24"/>
        </w:rPr>
      </w:pPr>
    </w:p>
    <w:p w14:paraId="05C52A97">
      <w:pPr>
        <w:pageBreakBefore w:val="0"/>
        <w:kinsoku/>
        <w:wordWrap/>
        <w:overflowPunct/>
        <w:topLinePunct w:val="0"/>
        <w:bidi w:val="0"/>
        <w:spacing w:line="480" w:lineRule="exact"/>
        <w:textAlignment w:val="auto"/>
        <w:rPr>
          <w:rFonts w:hint="eastAsia" w:ascii="宋体" w:hAnsi="宋体" w:eastAsia="宋体" w:cs="宋体"/>
          <w:sz w:val="24"/>
          <w:szCs w:val="24"/>
        </w:rPr>
      </w:pPr>
    </w:p>
    <w:p w14:paraId="431C482F">
      <w:pPr>
        <w:pageBreakBefore w:val="0"/>
        <w:kinsoku/>
        <w:wordWrap/>
        <w:overflowPunct/>
        <w:topLinePunct w:val="0"/>
        <w:bidi w:val="0"/>
        <w:spacing w:line="480" w:lineRule="exact"/>
        <w:textAlignment w:val="auto"/>
        <w:rPr>
          <w:rFonts w:hint="eastAsia" w:ascii="宋体" w:hAnsi="宋体" w:eastAsia="宋体" w:cs="宋体"/>
          <w:sz w:val="24"/>
          <w:szCs w:val="24"/>
        </w:rPr>
      </w:pPr>
    </w:p>
    <w:p w14:paraId="6CE95957">
      <w:pPr>
        <w:pageBreakBefore w:val="0"/>
        <w:kinsoku/>
        <w:wordWrap/>
        <w:overflowPunct/>
        <w:topLinePunct w:val="0"/>
        <w:bidi w:val="0"/>
        <w:spacing w:line="480" w:lineRule="exact"/>
        <w:textAlignment w:val="auto"/>
        <w:rPr>
          <w:rFonts w:hint="eastAsia" w:ascii="宋体" w:hAnsi="宋体" w:eastAsia="宋体" w:cs="宋体"/>
          <w:sz w:val="24"/>
          <w:szCs w:val="24"/>
        </w:rPr>
      </w:pPr>
      <w:r>
        <w:drawing>
          <wp:anchor distT="0" distB="0" distL="114300" distR="114300" simplePos="0" relativeHeight="251661312" behindDoc="0" locked="0" layoutInCell="1" allowOverlap="1">
            <wp:simplePos x="0" y="0"/>
            <wp:positionH relativeFrom="column">
              <wp:posOffset>214630</wp:posOffset>
            </wp:positionH>
            <wp:positionV relativeFrom="paragraph">
              <wp:posOffset>265430</wp:posOffset>
            </wp:positionV>
            <wp:extent cx="2824480" cy="2436495"/>
            <wp:effectExtent l="0" t="0" r="4445" b="1905"/>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2824480" cy="2436495"/>
                    </a:xfrm>
                    <a:prstGeom prst="rect">
                      <a:avLst/>
                    </a:prstGeom>
                    <a:noFill/>
                    <a:ln>
                      <a:noFill/>
                    </a:ln>
                  </pic:spPr>
                </pic:pic>
              </a:graphicData>
            </a:graphic>
          </wp:anchor>
        </w:drawing>
      </w:r>
    </w:p>
    <w:p w14:paraId="21985A30">
      <w:pPr>
        <w:pStyle w:val="11"/>
        <w:pageBreakBefore w:val="0"/>
        <w:kinsoku/>
        <w:wordWrap/>
        <w:overflowPunct/>
        <w:topLinePunct w:val="0"/>
        <w:bidi w:val="0"/>
        <w:spacing w:line="480" w:lineRule="exact"/>
        <w:ind w:left="0" w:leftChars="0" w:firstLine="0" w:firstLineChars="0"/>
        <w:textAlignment w:val="auto"/>
        <w:rPr>
          <w:rFonts w:hint="eastAsia"/>
          <w:sz w:val="24"/>
          <w:szCs w:val="24"/>
          <w:lang w:val="en-US" w:eastAsia="zh-CN"/>
        </w:rPr>
      </w:pPr>
    </w:p>
    <w:p w14:paraId="595A30D0">
      <w:pPr>
        <w:rPr>
          <w:rFonts w:hint="eastAsia"/>
          <w:sz w:val="24"/>
          <w:szCs w:val="24"/>
          <w:lang w:val="en-US" w:eastAsia="zh-CN"/>
        </w:rPr>
      </w:pPr>
      <w:r>
        <w:drawing>
          <wp:anchor distT="0" distB="0" distL="114300" distR="114300" simplePos="0" relativeHeight="251659264" behindDoc="0" locked="0" layoutInCell="1" allowOverlap="1">
            <wp:simplePos x="0" y="0"/>
            <wp:positionH relativeFrom="column">
              <wp:posOffset>3294380</wp:posOffset>
            </wp:positionH>
            <wp:positionV relativeFrom="paragraph">
              <wp:posOffset>105410</wp:posOffset>
            </wp:positionV>
            <wp:extent cx="2680970" cy="1838325"/>
            <wp:effectExtent l="0" t="0" r="508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2680970" cy="1838325"/>
                    </a:xfrm>
                    <a:prstGeom prst="rect">
                      <a:avLst/>
                    </a:prstGeom>
                    <a:noFill/>
                    <a:ln>
                      <a:noFill/>
                    </a:ln>
                  </pic:spPr>
                </pic:pic>
              </a:graphicData>
            </a:graphic>
          </wp:anchor>
        </w:drawing>
      </w:r>
    </w:p>
    <w:p w14:paraId="7B165FBA">
      <w:pPr>
        <w:rPr>
          <w:rFonts w:hint="eastAsia"/>
          <w:sz w:val="24"/>
          <w:szCs w:val="24"/>
          <w:lang w:val="en-US" w:eastAsia="zh-CN"/>
        </w:rPr>
      </w:pPr>
    </w:p>
    <w:p w14:paraId="7CFC4E9D">
      <w:pPr>
        <w:rPr>
          <w:rFonts w:hint="eastAsia"/>
          <w:sz w:val="24"/>
          <w:szCs w:val="24"/>
          <w:lang w:val="en-US" w:eastAsia="zh-CN"/>
        </w:rPr>
      </w:pPr>
    </w:p>
    <w:p w14:paraId="50122B95">
      <w:pPr>
        <w:rPr>
          <w:rFonts w:hint="eastAsia"/>
          <w:sz w:val="24"/>
          <w:szCs w:val="24"/>
          <w:lang w:val="en-US" w:eastAsia="zh-CN"/>
        </w:rPr>
      </w:pPr>
    </w:p>
    <w:p w14:paraId="082EDC63">
      <w:pPr>
        <w:rPr>
          <w:rFonts w:hint="eastAsia"/>
          <w:sz w:val="24"/>
          <w:szCs w:val="24"/>
          <w:lang w:val="en-US" w:eastAsia="zh-CN"/>
        </w:rPr>
      </w:pPr>
    </w:p>
    <w:p w14:paraId="0A286B0F">
      <w:pPr>
        <w:rPr>
          <w:rFonts w:hint="eastAsia"/>
          <w:sz w:val="24"/>
          <w:szCs w:val="24"/>
          <w:lang w:val="en-US" w:eastAsia="zh-CN"/>
        </w:rPr>
      </w:pPr>
    </w:p>
    <w:p w14:paraId="42993278">
      <w:pPr>
        <w:rPr>
          <w:rFonts w:hint="eastAsia"/>
          <w:sz w:val="24"/>
          <w:szCs w:val="24"/>
          <w:lang w:val="en-US" w:eastAsia="zh-CN"/>
        </w:rPr>
      </w:pPr>
      <w:bookmarkStart w:id="0" w:name="_GoBack"/>
      <w:bookmarkEnd w:id="0"/>
    </w:p>
    <w:p w14:paraId="2AF8A49A">
      <w:pPr>
        <w:rPr>
          <w:rFonts w:hint="eastAsia"/>
          <w:sz w:val="24"/>
          <w:szCs w:val="24"/>
          <w:lang w:val="en-US" w:eastAsia="zh-CN"/>
        </w:rPr>
      </w:pPr>
    </w:p>
    <w:p w14:paraId="7C2AB772">
      <w:pPr>
        <w:rPr>
          <w:rFonts w:hint="eastAsia"/>
          <w:sz w:val="24"/>
          <w:szCs w:val="24"/>
          <w:lang w:val="en-US" w:eastAsia="zh-CN"/>
        </w:rPr>
      </w:pPr>
    </w:p>
    <w:p w14:paraId="195485B7">
      <w:pPr>
        <w:pStyle w:val="11"/>
        <w:pageBreakBefore w:val="0"/>
        <w:kinsoku/>
        <w:wordWrap/>
        <w:overflowPunct/>
        <w:topLinePunct w:val="0"/>
        <w:bidi w:val="0"/>
        <w:spacing w:line="480" w:lineRule="exact"/>
        <w:ind w:left="0" w:leftChars="0" w:firstLine="0" w:firstLineChars="0"/>
        <w:textAlignment w:val="auto"/>
        <w:rPr>
          <w:rFonts w:hint="default"/>
          <w:sz w:val="24"/>
          <w:szCs w:val="24"/>
          <w:lang w:val="en-US" w:eastAsia="zh-CN"/>
        </w:rPr>
      </w:pPr>
      <w:r>
        <w:rPr>
          <w:rFonts w:hint="eastAsia"/>
          <w:sz w:val="24"/>
          <w:szCs w:val="24"/>
          <w:lang w:val="en-US" w:eastAsia="zh-CN"/>
        </w:rPr>
        <w:t>图 2 征求意见座谈及意见汇总</w:t>
      </w:r>
    </w:p>
    <w:p w14:paraId="79854F94">
      <w:pPr>
        <w:pageBreakBefore w:val="0"/>
        <w:kinsoku/>
        <w:wordWrap/>
        <w:overflowPunct/>
        <w:topLinePunct w:val="0"/>
        <w:bidi w:val="0"/>
        <w:spacing w:line="480" w:lineRule="exact"/>
        <w:textAlignment w:val="auto"/>
        <w:rPr>
          <w:rFonts w:hint="eastAsia" w:ascii="宋体" w:hAnsi="宋体" w:eastAsia="宋体" w:cs="宋体"/>
          <w:sz w:val="24"/>
          <w:szCs w:val="24"/>
        </w:rPr>
      </w:pPr>
    </w:p>
    <w:p w14:paraId="1DAC70FF">
      <w:pPr>
        <w:pStyle w:val="4"/>
        <w:numPr>
          <w:ilvl w:val="2"/>
          <w:numId w:val="0"/>
        </w:numPr>
        <w:bidi w:val="0"/>
        <w:ind w:leftChars="0"/>
        <w:rPr>
          <w:rFonts w:hint="default" w:ascii="宋体" w:hAnsi="宋体" w:eastAsia="宋体" w:cs="宋体"/>
          <w:sz w:val="24"/>
          <w:szCs w:val="24"/>
          <w:lang w:val="en-US" w:eastAsia="zh-CN"/>
        </w:rPr>
      </w:pPr>
      <w:r>
        <w:rPr>
          <w:rFonts w:hint="eastAsia" w:ascii="宋体" w:hAnsi="宋体" w:cs="宋体"/>
          <w:sz w:val="24"/>
          <w:szCs w:val="24"/>
          <w:lang w:val="en-US" w:eastAsia="zh-CN"/>
        </w:rPr>
        <w:t>5</w:t>
      </w:r>
      <w:r>
        <w:rPr>
          <w:rFonts w:hint="eastAsia" w:ascii="宋体" w:hAnsi="宋体" w:eastAsia="宋体" w:cs="宋体"/>
          <w:sz w:val="24"/>
          <w:szCs w:val="24"/>
        </w:rPr>
        <w:t>．</w:t>
      </w:r>
      <w:r>
        <w:rPr>
          <w:rFonts w:hint="eastAsia" w:ascii="宋体" w:hAnsi="宋体" w:cs="宋体"/>
          <w:sz w:val="24"/>
          <w:szCs w:val="24"/>
          <w:lang w:val="en-US" w:eastAsia="zh-CN"/>
        </w:rPr>
        <w:t>进一步完善</w:t>
      </w:r>
    </w:p>
    <w:p w14:paraId="124F1D09">
      <w:pPr>
        <w:pageBreakBefore w:val="0"/>
        <w:kinsoku/>
        <w:wordWrap/>
        <w:overflowPunct/>
        <w:topLinePunct w:val="0"/>
        <w:bidi w:val="0"/>
        <w:spacing w:line="480" w:lineRule="exact"/>
        <w:textAlignment w:val="auto"/>
        <w:rPr>
          <w:rFonts w:hint="default" w:eastAsia="宋体"/>
          <w:sz w:val="24"/>
          <w:szCs w:val="24"/>
          <w:lang w:val="en-US" w:eastAsia="zh-CN"/>
        </w:rPr>
      </w:pPr>
      <w:r>
        <w:rPr>
          <w:rFonts w:hint="eastAsia" w:ascii="宋体" w:hAnsi="宋体" w:cs="宋体"/>
          <w:sz w:val="24"/>
          <w:szCs w:val="24"/>
          <w:lang w:val="en-US" w:eastAsia="zh-CN"/>
        </w:rPr>
        <w:t>根据座谈研讨情况，</w:t>
      </w:r>
      <w:r>
        <w:rPr>
          <w:rFonts w:hint="eastAsia" w:ascii="宋体" w:hAnsi="宋体" w:eastAsia="宋体" w:cs="宋体"/>
          <w:sz w:val="24"/>
          <w:szCs w:val="24"/>
        </w:rPr>
        <w:t>组织</w:t>
      </w:r>
      <w:r>
        <w:rPr>
          <w:rFonts w:hint="eastAsia" w:ascii="宋体" w:hAnsi="宋体" w:cs="宋体"/>
          <w:sz w:val="24"/>
          <w:szCs w:val="24"/>
          <w:lang w:val="en-US" w:eastAsia="zh-CN"/>
        </w:rPr>
        <w:t>编制组全体人员，并邀请专家给与指导，</w:t>
      </w:r>
      <w:r>
        <w:rPr>
          <w:rFonts w:hint="eastAsia" w:ascii="宋体" w:hAnsi="宋体" w:eastAsia="宋体" w:cs="宋体"/>
          <w:sz w:val="24"/>
          <w:szCs w:val="24"/>
        </w:rPr>
        <w:t>全面审查、精心修改，进一步完善</w:t>
      </w:r>
      <w:r>
        <w:rPr>
          <w:rFonts w:hint="eastAsia" w:ascii="宋体" w:hAnsi="宋体" w:cs="宋体"/>
          <w:sz w:val="24"/>
          <w:szCs w:val="24"/>
          <w:lang w:val="en-US" w:eastAsia="zh-CN"/>
        </w:rPr>
        <w:t>了</w:t>
      </w:r>
      <w:r>
        <w:rPr>
          <w:rFonts w:hint="eastAsia" w:ascii="宋体" w:hAnsi="宋体" w:eastAsia="宋体" w:cs="宋体"/>
          <w:sz w:val="24"/>
          <w:szCs w:val="24"/>
          <w:lang w:eastAsia="zh-CN"/>
        </w:rPr>
        <w:t>征求意见</w:t>
      </w:r>
      <w:r>
        <w:rPr>
          <w:rFonts w:hint="eastAsia" w:ascii="宋体" w:hAnsi="宋体" w:eastAsia="宋体" w:cs="宋体"/>
          <w:sz w:val="24"/>
          <w:szCs w:val="24"/>
        </w:rPr>
        <w:t>稿。</w:t>
      </w:r>
      <w:r>
        <w:rPr>
          <w:rFonts w:hint="eastAsia" w:ascii="宋体" w:hAnsi="宋体" w:cs="宋体"/>
          <w:sz w:val="24"/>
          <w:szCs w:val="24"/>
          <w:lang w:val="en-US" w:eastAsia="zh-CN"/>
        </w:rPr>
        <w:t>根据程序，现提交省市场监管局通过集中向社会征求意见。</w:t>
      </w:r>
    </w:p>
    <w:p w14:paraId="7A7CE63B">
      <w:pPr>
        <w:pStyle w:val="3"/>
        <w:pageBreakBefore w:val="0"/>
        <w:numPr>
          <w:ilvl w:val="1"/>
          <w:numId w:val="0"/>
        </w:numPr>
        <w:kinsoku/>
        <w:wordWrap/>
        <w:overflowPunct/>
        <w:topLinePunct w:val="0"/>
        <w:bidi w:val="0"/>
        <w:spacing w:line="480" w:lineRule="exact"/>
        <w:ind w:leftChars="0"/>
        <w:textAlignment w:val="auto"/>
        <w:rPr>
          <w:rFonts w:hint="eastAsia"/>
          <w:sz w:val="24"/>
          <w:szCs w:val="24"/>
        </w:rPr>
      </w:pPr>
      <w:r>
        <w:rPr>
          <w:rFonts w:hint="eastAsia"/>
          <w:sz w:val="24"/>
          <w:szCs w:val="24"/>
          <w:lang w:val="en-US" w:eastAsia="zh-CN"/>
        </w:rPr>
        <w:t>（三）制定标准的原则和依据，与现行法律法规、标准的关系</w:t>
      </w:r>
    </w:p>
    <w:p w14:paraId="561B29C5">
      <w:pPr>
        <w:pStyle w:val="4"/>
        <w:pageBreakBefore w:val="0"/>
        <w:numPr>
          <w:ilvl w:val="2"/>
          <w:numId w:val="0"/>
        </w:numPr>
        <w:kinsoku/>
        <w:wordWrap/>
        <w:overflowPunct/>
        <w:topLinePunct w:val="0"/>
        <w:bidi w:val="0"/>
        <w:spacing w:line="480" w:lineRule="exact"/>
        <w:ind w:leftChars="0"/>
        <w:textAlignment w:val="auto"/>
        <w:rPr>
          <w:sz w:val="24"/>
          <w:szCs w:val="24"/>
        </w:rPr>
      </w:pPr>
      <w:r>
        <w:rPr>
          <w:rFonts w:hint="eastAsia"/>
          <w:sz w:val="24"/>
          <w:szCs w:val="24"/>
          <w:lang w:val="en-US" w:eastAsia="zh-CN"/>
        </w:rPr>
        <w:t>1. 制定标准的</w:t>
      </w:r>
      <w:r>
        <w:rPr>
          <w:rFonts w:hint="eastAsia"/>
          <w:sz w:val="24"/>
          <w:szCs w:val="24"/>
        </w:rPr>
        <w:t>原则</w:t>
      </w:r>
    </w:p>
    <w:p w14:paraId="072088C1">
      <w:pPr>
        <w:pageBreakBefore w:val="0"/>
        <w:kinsoku/>
        <w:wordWrap/>
        <w:overflowPunct/>
        <w:topLinePunct w:val="0"/>
        <w:bidi w:val="0"/>
        <w:spacing w:line="480" w:lineRule="exact"/>
        <w:textAlignment w:val="auto"/>
        <w:rPr>
          <w:rFonts w:hint="eastAsia" w:ascii="宋体" w:hAnsi="宋体" w:eastAsia="宋体" w:cs="宋体"/>
          <w:sz w:val="24"/>
          <w:szCs w:val="24"/>
        </w:rPr>
      </w:pPr>
      <w:r>
        <w:rPr>
          <w:rFonts w:hint="eastAsia" w:ascii="宋体" w:hAnsi="宋体" w:eastAsia="宋体" w:cs="宋体"/>
          <w:b/>
          <w:bCs/>
          <w:sz w:val="24"/>
          <w:szCs w:val="24"/>
          <w:lang w:val="en-US" w:eastAsia="zh-CN"/>
        </w:rPr>
        <w:t>1.1</w:t>
      </w:r>
      <w:r>
        <w:rPr>
          <w:rFonts w:hint="eastAsia" w:ascii="宋体" w:hAnsi="宋体" w:cs="宋体"/>
          <w:b/>
          <w:bCs/>
          <w:sz w:val="24"/>
          <w:szCs w:val="24"/>
          <w:lang w:val="en-US" w:eastAsia="zh-CN"/>
        </w:rPr>
        <w:t xml:space="preserve"> </w:t>
      </w:r>
      <w:r>
        <w:rPr>
          <w:rFonts w:hint="eastAsia" w:ascii="宋体" w:hAnsi="宋体" w:eastAsia="宋体" w:cs="宋体"/>
          <w:b/>
          <w:bCs/>
          <w:sz w:val="24"/>
          <w:szCs w:val="24"/>
        </w:rPr>
        <w:t>科学性原则。</w:t>
      </w:r>
      <w:r>
        <w:rPr>
          <w:rFonts w:hint="eastAsia" w:ascii="宋体" w:hAnsi="宋体" w:eastAsia="宋体" w:cs="宋体"/>
          <w:sz w:val="24"/>
          <w:szCs w:val="24"/>
        </w:rPr>
        <w:t>标准的编制以标准化理论为指导。海南自由贸易港是中国的重大政策，旨在推动贸易和投资自由化便利化，打造开放层次更高、营商环境更优、辐射作用更强的开放新高地。这一战略的实施，离不开智慧消防平台的建设，编制组通过深入研究国家和地方相关法律法规，以及海南自由贸易港关于智慧消防平台建设的工作做法和制定出台的系列规范性文件，以此作为标准编制的基础和依据。本标准符合国家有关法律法规、政策以及相关技术规范的要求，注重科学性，确保编制标准科学可行，具有较强的执行性。同时，适应当前海南消防信息化管理的系统化、智能化趋势，标准具有一定的先进性和前瞻性。</w:t>
      </w:r>
    </w:p>
    <w:p w14:paraId="7F4FE79A">
      <w:pPr>
        <w:pageBreakBefore w:val="0"/>
        <w:kinsoku/>
        <w:wordWrap/>
        <w:overflowPunct/>
        <w:topLinePunct w:val="0"/>
        <w:bidi w:val="0"/>
        <w:spacing w:line="480" w:lineRule="exact"/>
        <w:textAlignment w:val="auto"/>
        <w:rPr>
          <w:rFonts w:hint="eastAsia" w:ascii="宋体" w:hAnsi="宋体" w:eastAsia="宋体" w:cs="宋体"/>
          <w:sz w:val="24"/>
          <w:szCs w:val="24"/>
        </w:rPr>
      </w:pPr>
      <w:r>
        <w:rPr>
          <w:rFonts w:hint="eastAsia" w:ascii="宋体" w:hAnsi="宋体" w:eastAsia="宋体" w:cs="宋体"/>
          <w:b/>
          <w:bCs/>
          <w:sz w:val="24"/>
          <w:szCs w:val="24"/>
          <w:lang w:val="en-US" w:eastAsia="zh-CN"/>
        </w:rPr>
        <w:t>1.2</w:t>
      </w:r>
      <w:r>
        <w:rPr>
          <w:rFonts w:hint="eastAsia" w:ascii="宋体" w:hAnsi="宋体" w:eastAsia="宋体" w:cs="宋体"/>
          <w:b/>
          <w:bCs/>
          <w:sz w:val="24"/>
          <w:szCs w:val="24"/>
        </w:rPr>
        <w:t>合理性原则。</w:t>
      </w:r>
      <w:r>
        <w:rPr>
          <w:rFonts w:hint="eastAsia" w:ascii="宋体" w:hAnsi="宋体" w:eastAsia="宋体" w:cs="宋体"/>
          <w:sz w:val="24"/>
          <w:szCs w:val="24"/>
        </w:rPr>
        <w:t>标准的制定充分考虑智慧消防建设的特点，立足海南消防管理的现实需求，所制定的标准能够满足日常消防管理的基本需求。充分运用海南自由贸易港制度创新的优势，深刻把握当前海南消防管理的需求，围绕智慧消防平台标准化建设提供制度保障，规范构建感知网络、</w:t>
      </w:r>
      <w:r>
        <w:rPr>
          <w:rFonts w:hint="eastAsia" w:ascii="宋体" w:hAnsi="宋体" w:cs="宋体"/>
          <w:sz w:val="24"/>
          <w:szCs w:val="24"/>
          <w:lang w:eastAsia="zh-CN"/>
        </w:rPr>
        <w:t>通</w:t>
      </w:r>
      <w:r>
        <w:rPr>
          <w:rFonts w:hint="eastAsia" w:ascii="宋体" w:hAnsi="宋体" w:cs="宋体"/>
          <w:sz w:val="24"/>
          <w:szCs w:val="24"/>
          <w:lang w:val="en-US" w:eastAsia="zh-CN"/>
        </w:rPr>
        <w:t>讯</w:t>
      </w:r>
      <w:r>
        <w:rPr>
          <w:rFonts w:hint="eastAsia" w:ascii="宋体" w:hAnsi="宋体" w:cs="宋体"/>
          <w:sz w:val="24"/>
          <w:szCs w:val="24"/>
          <w:lang w:eastAsia="zh-CN"/>
        </w:rPr>
        <w:t>网络</w:t>
      </w:r>
      <w:r>
        <w:rPr>
          <w:rFonts w:hint="eastAsia" w:ascii="宋体" w:hAnsi="宋体" w:eastAsia="宋体" w:cs="宋体"/>
          <w:sz w:val="24"/>
          <w:szCs w:val="24"/>
        </w:rPr>
        <w:t>、大数据支撑体系、业务应用体系、运行保障体系等全方位的标准化智慧消防信息平台设计体系。</w:t>
      </w:r>
    </w:p>
    <w:p w14:paraId="5D403D56">
      <w:pPr>
        <w:pageBreakBefore w:val="0"/>
        <w:kinsoku/>
        <w:wordWrap/>
        <w:overflowPunct/>
        <w:topLinePunct w:val="0"/>
        <w:bidi w:val="0"/>
        <w:spacing w:line="480" w:lineRule="exact"/>
        <w:textAlignment w:val="auto"/>
        <w:rPr>
          <w:rFonts w:hint="eastAsia" w:ascii="宋体" w:hAnsi="宋体" w:eastAsia="宋体" w:cs="宋体"/>
          <w:sz w:val="24"/>
          <w:szCs w:val="24"/>
        </w:rPr>
      </w:pPr>
      <w:r>
        <w:rPr>
          <w:rFonts w:hint="eastAsia" w:ascii="宋体" w:hAnsi="宋体" w:eastAsia="宋体" w:cs="宋体"/>
          <w:b/>
          <w:bCs/>
          <w:sz w:val="24"/>
          <w:szCs w:val="24"/>
          <w:lang w:val="en-US" w:eastAsia="zh-CN"/>
        </w:rPr>
        <w:t>1.3</w:t>
      </w:r>
      <w:r>
        <w:rPr>
          <w:rFonts w:hint="eastAsia" w:ascii="宋体" w:hAnsi="宋体" w:eastAsia="宋体" w:cs="宋体"/>
          <w:b/>
          <w:bCs/>
          <w:sz w:val="24"/>
          <w:szCs w:val="24"/>
        </w:rPr>
        <w:t>可操作性原则。</w:t>
      </w:r>
      <w:r>
        <w:rPr>
          <w:rFonts w:hint="eastAsia" w:ascii="宋体" w:hAnsi="宋体" w:eastAsia="宋体" w:cs="宋体"/>
          <w:sz w:val="24"/>
          <w:szCs w:val="24"/>
        </w:rPr>
        <w:t>标准的编制坚持问题导向和目标导向，在制定过程中充分调研智慧消防信息平台现状和面临的瓶颈难题。在协调兼容国家和行业相关标准的基础上，紧扣当前消防信息平台管理缺乏体系性、统一性和兼容性，数据难以汇聚共享和交换这一问题，从规范化信息平台管理入手，不仅提供信息平台设计方案，还专门设计具有操作性的数据交换内容标准表格，便于数据统一规范，为汇聚共享和交换提供基础。把智能化、信息化赋能消防安全管理全过程，实现智慧消防平台全省数据互通，规范管理。</w:t>
      </w:r>
    </w:p>
    <w:p w14:paraId="3A7A70CF">
      <w:pPr>
        <w:pStyle w:val="4"/>
        <w:pageBreakBefore w:val="0"/>
        <w:numPr>
          <w:ilvl w:val="2"/>
          <w:numId w:val="0"/>
        </w:numPr>
        <w:kinsoku/>
        <w:wordWrap/>
        <w:overflowPunct/>
        <w:topLinePunct w:val="0"/>
        <w:bidi w:val="0"/>
        <w:spacing w:line="480" w:lineRule="exact"/>
        <w:ind w:leftChars="0"/>
        <w:textAlignment w:val="auto"/>
        <w:rPr>
          <w:sz w:val="24"/>
          <w:szCs w:val="24"/>
        </w:rPr>
      </w:pPr>
      <w:r>
        <w:rPr>
          <w:rFonts w:hint="eastAsia"/>
          <w:sz w:val="24"/>
          <w:szCs w:val="24"/>
          <w:lang w:val="en-US" w:eastAsia="zh-CN"/>
        </w:rPr>
        <w:t>2. 制定</w:t>
      </w:r>
      <w:r>
        <w:rPr>
          <w:rFonts w:hint="eastAsia"/>
          <w:sz w:val="24"/>
          <w:szCs w:val="24"/>
        </w:rPr>
        <w:t>依据</w:t>
      </w:r>
    </w:p>
    <w:p w14:paraId="24B36235">
      <w:pPr>
        <w:pageBreakBefore w:val="0"/>
        <w:kinsoku/>
        <w:wordWrap/>
        <w:overflowPunct/>
        <w:topLinePunct w:val="0"/>
        <w:bidi w:val="0"/>
        <w:spacing w:line="48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本标准的主要内容是在广泛查询国内相关标准及文献资料，针对我省消防管理的现状，多次征求专家和企业、园区单位意见，并参考国内外先进经验做法而提出的，其主要内容及其主要依据见表</w:t>
      </w:r>
      <w:r>
        <w:rPr>
          <w:rFonts w:hint="eastAsia" w:ascii="宋体" w:hAnsi="宋体" w:eastAsia="宋体" w:cs="宋体"/>
          <w:sz w:val="24"/>
          <w:szCs w:val="24"/>
          <w:lang w:val="en-US" w:eastAsia="zh-CN"/>
        </w:rPr>
        <w:t>1 所示。</w:t>
      </w:r>
    </w:p>
    <w:p w14:paraId="57FD551A">
      <w:pPr>
        <w:pStyle w:val="11"/>
        <w:pageBreakBefore w:val="0"/>
        <w:kinsoku/>
        <w:wordWrap/>
        <w:overflowPunct/>
        <w:topLinePunct w:val="0"/>
        <w:bidi w:val="0"/>
        <w:spacing w:line="480" w:lineRule="exact"/>
        <w:textAlignment w:val="auto"/>
        <w:rPr>
          <w:rFonts w:hint="eastAsia" w:ascii="黑体" w:hAnsi="黑体" w:eastAsia="黑体" w:cs="黑体"/>
          <w:sz w:val="24"/>
          <w:szCs w:val="24"/>
          <w:lang w:eastAsia="zh-CN"/>
        </w:rPr>
      </w:pPr>
      <w:r>
        <w:rPr>
          <w:rFonts w:hint="eastAsia" w:ascii="黑体" w:hAnsi="黑体" w:eastAsia="黑体" w:cs="黑体"/>
          <w:sz w:val="24"/>
          <w:szCs w:val="24"/>
        </w:rPr>
        <w:t xml:space="preserve">表 </w:t>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SEQ 表 \* ARABIC </w:instrText>
      </w:r>
      <w:r>
        <w:rPr>
          <w:rFonts w:hint="eastAsia" w:ascii="黑体" w:hAnsi="黑体" w:eastAsia="黑体" w:cs="黑体"/>
          <w:sz w:val="24"/>
          <w:szCs w:val="24"/>
        </w:rPr>
        <w:fldChar w:fldCharType="separate"/>
      </w:r>
      <w:r>
        <w:rPr>
          <w:rFonts w:hint="eastAsia" w:ascii="黑体" w:hAnsi="黑体" w:eastAsia="黑体" w:cs="黑体"/>
          <w:sz w:val="24"/>
          <w:szCs w:val="24"/>
        </w:rPr>
        <w:t>1</w:t>
      </w:r>
      <w:r>
        <w:rPr>
          <w:rFonts w:hint="eastAsia" w:ascii="黑体" w:hAnsi="黑体" w:eastAsia="黑体" w:cs="黑体"/>
          <w:sz w:val="24"/>
          <w:szCs w:val="24"/>
        </w:rPr>
        <w:fldChar w:fldCharType="end"/>
      </w:r>
      <w:r>
        <w:rPr>
          <w:rFonts w:hint="eastAsia" w:ascii="黑体" w:hAnsi="黑体" w:eastAsia="黑体" w:cs="黑体"/>
          <w:sz w:val="24"/>
          <w:szCs w:val="24"/>
          <w:lang w:eastAsia="zh-CN"/>
        </w:rPr>
        <w:t xml:space="preserve"> 本标准编写主要内容和编制依据</w:t>
      </w:r>
    </w:p>
    <w:tbl>
      <w:tblPr>
        <w:tblStyle w:val="2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2031"/>
        <w:gridCol w:w="6505"/>
      </w:tblGrid>
      <w:tr w14:paraId="4E7B3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404" w:type="pct"/>
            <w:shd w:val="clear" w:color="auto" w:fill="auto"/>
            <w:vAlign w:val="center"/>
          </w:tcPr>
          <w:p w14:paraId="03D20239">
            <w:pPr>
              <w:pStyle w:val="30"/>
              <w:keepNext w:val="0"/>
              <w:keepLines w:val="0"/>
              <w:pageBreakBefore w:val="0"/>
              <w:tabs>
                <w:tab w:val="center" w:pos="4201"/>
                <w:tab w:val="right" w:leader="dot" w:pos="9298"/>
              </w:tabs>
              <w:kinsoku/>
              <w:wordWrap/>
              <w:overflowPunct/>
              <w:topLinePunct w:val="0"/>
              <w:bidi w:val="0"/>
              <w:spacing w:line="480" w:lineRule="exact"/>
              <w:ind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序号</w:t>
            </w:r>
          </w:p>
        </w:tc>
        <w:tc>
          <w:tcPr>
            <w:tcW w:w="1093" w:type="pct"/>
            <w:shd w:val="clear" w:color="auto" w:fill="auto"/>
            <w:vAlign w:val="center"/>
          </w:tcPr>
          <w:p w14:paraId="7E5486EB">
            <w:pPr>
              <w:pStyle w:val="30"/>
              <w:keepNext w:val="0"/>
              <w:keepLines w:val="0"/>
              <w:pageBreakBefore w:val="0"/>
              <w:tabs>
                <w:tab w:val="center" w:pos="4201"/>
                <w:tab w:val="right" w:leader="dot" w:pos="9298"/>
              </w:tabs>
              <w:kinsoku/>
              <w:wordWrap/>
              <w:overflowPunct/>
              <w:topLinePunct w:val="0"/>
              <w:bidi w:val="0"/>
              <w:spacing w:line="480" w:lineRule="exact"/>
              <w:ind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章编号标题</w:t>
            </w:r>
          </w:p>
        </w:tc>
        <w:tc>
          <w:tcPr>
            <w:tcW w:w="3501" w:type="pct"/>
            <w:shd w:val="clear" w:color="auto" w:fill="auto"/>
            <w:vAlign w:val="center"/>
          </w:tcPr>
          <w:p w14:paraId="38F71C3D">
            <w:pPr>
              <w:pStyle w:val="30"/>
              <w:keepNext w:val="0"/>
              <w:keepLines w:val="0"/>
              <w:pageBreakBefore w:val="0"/>
              <w:tabs>
                <w:tab w:val="center" w:pos="4201"/>
                <w:tab w:val="right" w:leader="dot" w:pos="9298"/>
              </w:tabs>
              <w:kinsoku/>
              <w:wordWrap/>
              <w:overflowPunct/>
              <w:topLinePunct w:val="0"/>
              <w:bidi w:val="0"/>
              <w:spacing w:line="480" w:lineRule="exact"/>
              <w:ind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本标准编写主要编制依据</w:t>
            </w:r>
          </w:p>
        </w:tc>
      </w:tr>
      <w:tr w14:paraId="5D56F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4" w:type="pct"/>
            <w:vAlign w:val="center"/>
          </w:tcPr>
          <w:p w14:paraId="66471507">
            <w:pPr>
              <w:pStyle w:val="30"/>
              <w:keepNext w:val="0"/>
              <w:keepLines w:val="0"/>
              <w:pageBreakBefore w:val="0"/>
              <w:kinsoku/>
              <w:wordWrap/>
              <w:overflowPunct/>
              <w:topLinePunct w:val="0"/>
              <w:bidi w:val="0"/>
              <w:adjustRightInd w:val="0"/>
              <w:snapToGrid w:val="0"/>
              <w:spacing w:line="48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1093" w:type="pct"/>
            <w:vAlign w:val="center"/>
          </w:tcPr>
          <w:p w14:paraId="3699A769">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封面、目次、前言</w:t>
            </w:r>
          </w:p>
          <w:p w14:paraId="5EB2775C">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1  范围</w:t>
            </w:r>
          </w:p>
        </w:tc>
        <w:tc>
          <w:tcPr>
            <w:tcW w:w="3501" w:type="pct"/>
            <w:vAlign w:val="center"/>
          </w:tcPr>
          <w:p w14:paraId="6FE1B535">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《标准化工作导则  第1部分：标准化文件的结构和起草规则》（GB/T 1.1-2020）</w:t>
            </w:r>
          </w:p>
          <w:p w14:paraId="505B6ABC">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《标准编写规则  第5部分：规范标准》（GB/T 20001.5-2017）</w:t>
            </w:r>
          </w:p>
        </w:tc>
      </w:tr>
      <w:tr w14:paraId="75FF1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4" w:type="pct"/>
            <w:vAlign w:val="center"/>
          </w:tcPr>
          <w:p w14:paraId="74647631">
            <w:pPr>
              <w:pStyle w:val="30"/>
              <w:keepNext w:val="0"/>
              <w:keepLines w:val="0"/>
              <w:pageBreakBefore w:val="0"/>
              <w:kinsoku/>
              <w:wordWrap/>
              <w:overflowPunct/>
              <w:topLinePunct w:val="0"/>
              <w:bidi w:val="0"/>
              <w:adjustRightInd w:val="0"/>
              <w:snapToGrid w:val="0"/>
              <w:spacing w:line="48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2</w:t>
            </w:r>
          </w:p>
        </w:tc>
        <w:tc>
          <w:tcPr>
            <w:tcW w:w="1093" w:type="pct"/>
            <w:vAlign w:val="center"/>
          </w:tcPr>
          <w:p w14:paraId="6549EAA9">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2  规范性引用文件</w:t>
            </w:r>
          </w:p>
        </w:tc>
        <w:tc>
          <w:tcPr>
            <w:tcW w:w="3501" w:type="pct"/>
            <w:vAlign w:val="center"/>
          </w:tcPr>
          <w:p w14:paraId="21E0296B">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《标准化工作导则  第1部分：标准化文件的结构和起草规则》（GB/T 1.1-2020）</w:t>
            </w:r>
          </w:p>
          <w:p w14:paraId="53B198B6">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《标准编写规则  第5部分：规范标准》（GB/T 20001.5-2017）</w:t>
            </w:r>
          </w:p>
        </w:tc>
      </w:tr>
      <w:tr w14:paraId="58520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4" w:type="pct"/>
            <w:vAlign w:val="center"/>
          </w:tcPr>
          <w:p w14:paraId="0D8C9BAD">
            <w:pPr>
              <w:pStyle w:val="30"/>
              <w:keepNext w:val="0"/>
              <w:keepLines w:val="0"/>
              <w:pageBreakBefore w:val="0"/>
              <w:kinsoku/>
              <w:wordWrap/>
              <w:overflowPunct/>
              <w:topLinePunct w:val="0"/>
              <w:bidi w:val="0"/>
              <w:adjustRightInd w:val="0"/>
              <w:snapToGrid w:val="0"/>
              <w:spacing w:line="48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3</w:t>
            </w:r>
          </w:p>
        </w:tc>
        <w:tc>
          <w:tcPr>
            <w:tcW w:w="1093" w:type="pct"/>
            <w:vAlign w:val="center"/>
          </w:tcPr>
          <w:p w14:paraId="41ED47E8">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3 术语和定义</w:t>
            </w:r>
          </w:p>
        </w:tc>
        <w:tc>
          <w:tcPr>
            <w:tcW w:w="3501" w:type="pct"/>
            <w:vAlign w:val="center"/>
          </w:tcPr>
          <w:p w14:paraId="3B98FF7A">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《信息技术词汇  第1部分：基本术语》（GB/T 5271.1-2000）</w:t>
            </w:r>
          </w:p>
          <w:p w14:paraId="233C75CA">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 xml:space="preserve">《消防词汇》  GB/T 5907（所有部分）  </w:t>
            </w:r>
          </w:p>
          <w:p w14:paraId="1A012813">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《信息技术软件工程术语》（GB/T 11457-2006）</w:t>
            </w:r>
          </w:p>
          <w:p w14:paraId="7F4AD7DB">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《物联网术语》（GB/T 33745-2017）</w:t>
            </w:r>
          </w:p>
          <w:p w14:paraId="4CCC48DE">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《标准化工作导则  第1部分：标准化文件的结构和起草规则》（GB/T 1.1-2020）</w:t>
            </w:r>
          </w:p>
        </w:tc>
      </w:tr>
      <w:tr w14:paraId="7390B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4" w:type="pct"/>
            <w:vAlign w:val="center"/>
          </w:tcPr>
          <w:p w14:paraId="3EDF9A5C">
            <w:pPr>
              <w:pStyle w:val="30"/>
              <w:keepNext w:val="0"/>
              <w:keepLines w:val="0"/>
              <w:pageBreakBefore w:val="0"/>
              <w:kinsoku/>
              <w:wordWrap/>
              <w:overflowPunct/>
              <w:topLinePunct w:val="0"/>
              <w:bidi w:val="0"/>
              <w:adjustRightInd w:val="0"/>
              <w:snapToGrid w:val="0"/>
              <w:spacing w:line="48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4</w:t>
            </w:r>
          </w:p>
        </w:tc>
        <w:tc>
          <w:tcPr>
            <w:tcW w:w="1093" w:type="pct"/>
            <w:vAlign w:val="center"/>
          </w:tcPr>
          <w:p w14:paraId="45F6C04F">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4  总则</w:t>
            </w:r>
          </w:p>
        </w:tc>
        <w:tc>
          <w:tcPr>
            <w:tcW w:w="3501" w:type="pct"/>
            <w:vAlign w:val="center"/>
          </w:tcPr>
          <w:p w14:paraId="29086638">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《信息安全技术 信息系统灾难恢复规范》（GB/T 20988-2013）</w:t>
            </w:r>
          </w:p>
          <w:p w14:paraId="1286C566">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《信息安全技术 云技术服务安全能力要求》（GB/T 31168-2014）</w:t>
            </w:r>
          </w:p>
          <w:p w14:paraId="3C24BBB3">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《信息安全技术 大数据服务安全能力要求》（GB/T 35274-2017）</w:t>
            </w:r>
          </w:p>
          <w:p w14:paraId="246ED43C">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《数据中心设计规范》（GB 50174-2017）</w:t>
            </w:r>
          </w:p>
          <w:p w14:paraId="3B408539">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《建筑设计防火规范》（GB 50016-2014）</w:t>
            </w:r>
          </w:p>
          <w:p w14:paraId="3BE84292">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《云计算基础设施</w:t>
            </w:r>
            <w:r>
              <w:rPr>
                <w:rFonts w:hint="eastAsia" w:cs="宋体"/>
                <w:sz w:val="24"/>
                <w:szCs w:val="24"/>
                <w:lang w:eastAsia="zh-CN"/>
              </w:rPr>
              <w:t>及</w:t>
            </w:r>
            <w:r>
              <w:rPr>
                <w:rFonts w:hint="eastAsia" w:ascii="宋体" w:hAnsi="宋体" w:eastAsia="宋体" w:cs="宋体"/>
                <w:sz w:val="24"/>
                <w:szCs w:val="24"/>
              </w:rPr>
              <w:t>服务</w:t>
            </w:r>
            <w:r>
              <w:rPr>
                <w:rFonts w:hint="eastAsia" w:cs="宋体"/>
                <w:sz w:val="24"/>
                <w:szCs w:val="24"/>
                <w:lang w:eastAsia="zh-CN"/>
              </w:rPr>
              <w:t>（</w:t>
            </w:r>
            <w:r>
              <w:rPr>
                <w:rFonts w:hint="eastAsia" w:ascii="宋体" w:hAnsi="宋体" w:eastAsia="宋体" w:cs="宋体"/>
                <w:sz w:val="24"/>
                <w:szCs w:val="24"/>
              </w:rPr>
              <w:t>IaaS</w:t>
            </w:r>
            <w:r>
              <w:rPr>
                <w:rFonts w:hint="eastAsia" w:cs="宋体"/>
                <w:sz w:val="24"/>
                <w:szCs w:val="24"/>
                <w:lang w:eastAsia="zh-CN"/>
              </w:rPr>
              <w:t>）</w:t>
            </w:r>
            <w:r>
              <w:rPr>
                <w:rFonts w:hint="eastAsia" w:ascii="宋体" w:hAnsi="宋体" w:eastAsia="宋体" w:cs="宋体"/>
                <w:sz w:val="24"/>
                <w:szCs w:val="24"/>
              </w:rPr>
              <w:t>功能要求与架构》（YD/T 2806-2015）</w:t>
            </w:r>
          </w:p>
          <w:p w14:paraId="0DAEC336">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《IP网络技术要求 网络性能参数与指标》（YD/T 1171-2015）</w:t>
            </w:r>
          </w:p>
          <w:p w14:paraId="789E1C4D">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《社会消防技术服务机构质量管理》（20204650-T-450）</w:t>
            </w:r>
          </w:p>
          <w:p w14:paraId="72434B61">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《智慧城市 感知终端应用指南》（GB/T 42760-2023）</w:t>
            </w:r>
          </w:p>
          <w:p w14:paraId="4C2F796E">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《新型智慧城市评价指标》（GB/T 33356-2022）</w:t>
            </w:r>
          </w:p>
          <w:p w14:paraId="4A2711AD">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福建省地方标准《智慧消防 信息平台通用技术要求》（DB35/T 2054-2022）</w:t>
            </w:r>
          </w:p>
        </w:tc>
      </w:tr>
      <w:tr w14:paraId="48287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4" w:type="pct"/>
            <w:vAlign w:val="center"/>
          </w:tcPr>
          <w:p w14:paraId="59668FE2">
            <w:pPr>
              <w:pStyle w:val="30"/>
              <w:keepNext w:val="0"/>
              <w:keepLines w:val="0"/>
              <w:pageBreakBefore w:val="0"/>
              <w:tabs>
                <w:tab w:val="center" w:pos="4201"/>
                <w:tab w:val="right" w:leader="dot" w:pos="9298"/>
              </w:tabs>
              <w:kinsoku/>
              <w:wordWrap/>
              <w:overflowPunct/>
              <w:topLinePunct w:val="0"/>
              <w:bidi w:val="0"/>
              <w:spacing w:line="48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5</w:t>
            </w:r>
          </w:p>
        </w:tc>
        <w:tc>
          <w:tcPr>
            <w:tcW w:w="1093" w:type="pct"/>
            <w:vAlign w:val="center"/>
          </w:tcPr>
          <w:p w14:paraId="28B094EA">
            <w:pPr>
              <w:keepNext w:val="0"/>
              <w:keepLines w:val="0"/>
              <w:pageBreakBefore w:val="0"/>
              <w:kinsoku/>
              <w:wordWrap/>
              <w:overflowPunct/>
              <w:topLinePunct w:val="0"/>
              <w:bidi w:val="0"/>
              <w:spacing w:before="312" w:beforeLines="100" w:after="312" w:afterLines="100" w:line="480" w:lineRule="exact"/>
              <w:ind w:firstLine="0" w:firstLineChars="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5  感知网络</w:t>
            </w:r>
          </w:p>
        </w:tc>
        <w:tc>
          <w:tcPr>
            <w:tcW w:w="3501" w:type="pct"/>
            <w:vAlign w:val="center"/>
          </w:tcPr>
          <w:p w14:paraId="46FEB162">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《智慧城市 感知终端应用指南》（GB/T 42760-2023）</w:t>
            </w:r>
          </w:p>
          <w:p w14:paraId="49F914A7">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《智慧城市 数据融合 第1部分：概念模型》（GB/T 36625.1-2018）</w:t>
            </w:r>
          </w:p>
          <w:p w14:paraId="49D504EA">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《智慧城市 数据融合 第2部分：数据编码规范》（GB/T 36625.2-2018）</w:t>
            </w:r>
          </w:p>
          <w:p w14:paraId="7D5772B8">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《智慧城市 数据融合 第4部分：数据采集规范》（GB/T 36625.3-2021）</w:t>
            </w:r>
          </w:p>
          <w:p w14:paraId="035CC1EE">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《智慧城市 数据融合 第4部分：开放共享要求》（GB/T 36625.4-2021）</w:t>
            </w:r>
          </w:p>
          <w:p w14:paraId="6FC6BD14">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《智慧城市 数据融合 第5部分：市政基础设施数据元素》（GB/T 36625.5-2019）</w:t>
            </w:r>
          </w:p>
          <w:p w14:paraId="599CC6D7">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《消防业务信息数据项第1部分：灭火救援指挥基本信息》（XF/T3017.1—2022）</w:t>
            </w:r>
          </w:p>
          <w:p w14:paraId="032CB250">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《消防业务信息数据项第2部分：消防产品质量监督管理基本信息》（XF/T3017.2—2022）</w:t>
            </w:r>
          </w:p>
          <w:p w14:paraId="078A55E1">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《消防业务信息数据项第3部分：消防装备基本信息》（XF/T3017.3—2022）</w:t>
            </w:r>
          </w:p>
          <w:p w14:paraId="6D6DE8E1">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《消防业务信息数据项第4部分：消防信息通信管理基本信息》（XF/T3017.4—2022）</w:t>
            </w:r>
          </w:p>
          <w:p w14:paraId="1342FC91">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《消防业务信息数据项第5部分：消防安全重点单位与建筑物基本信息》（XF/T3017.5—2022）</w:t>
            </w:r>
          </w:p>
          <w:p w14:paraId="7B5944B4">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rPr>
              <w:t>福建省地方标准《智慧消防 信息平台通用技术要求》（DB35/T 2054-2022）</w:t>
            </w:r>
          </w:p>
        </w:tc>
      </w:tr>
      <w:tr w14:paraId="1F712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4" w:type="pct"/>
            <w:vAlign w:val="center"/>
          </w:tcPr>
          <w:p w14:paraId="5D3A5C66">
            <w:pPr>
              <w:pStyle w:val="30"/>
              <w:keepNext w:val="0"/>
              <w:keepLines w:val="0"/>
              <w:pageBreakBefore w:val="0"/>
              <w:tabs>
                <w:tab w:val="center" w:pos="4201"/>
                <w:tab w:val="right" w:leader="dot" w:pos="9298"/>
              </w:tabs>
              <w:kinsoku/>
              <w:wordWrap/>
              <w:overflowPunct/>
              <w:topLinePunct w:val="0"/>
              <w:bidi w:val="0"/>
              <w:spacing w:line="48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6</w:t>
            </w:r>
          </w:p>
        </w:tc>
        <w:tc>
          <w:tcPr>
            <w:tcW w:w="1093" w:type="pct"/>
            <w:vAlign w:val="center"/>
          </w:tcPr>
          <w:p w14:paraId="209FD9F9">
            <w:pPr>
              <w:keepNext w:val="0"/>
              <w:keepLines w:val="0"/>
              <w:pageBreakBefore w:val="0"/>
              <w:kinsoku/>
              <w:wordWrap/>
              <w:overflowPunct/>
              <w:topLinePunct w:val="0"/>
              <w:bidi w:val="0"/>
              <w:spacing w:before="312" w:beforeLines="100" w:after="312" w:afterLines="100" w:line="480" w:lineRule="exact"/>
              <w:ind w:firstLine="0" w:firstLineChars="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6  通讯网络</w:t>
            </w:r>
          </w:p>
        </w:tc>
        <w:tc>
          <w:tcPr>
            <w:tcW w:w="3501" w:type="pct"/>
            <w:vAlign w:val="center"/>
          </w:tcPr>
          <w:p w14:paraId="3C6F27E0">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《信息安全技术 网络安全等级保护基本要求》（GB/T 22239-2019）</w:t>
            </w:r>
          </w:p>
          <w:p w14:paraId="1D3EF5A6">
            <w:pPr>
              <w:pStyle w:val="13"/>
              <w:keepNext w:val="0"/>
              <w:keepLines w:val="0"/>
              <w:pageBreakBefore w:val="0"/>
              <w:kinsoku/>
              <w:wordWrap/>
              <w:overflowPunct/>
              <w:topLinePunct w:val="0"/>
              <w:bidi w:val="0"/>
              <w:adjustRightInd w:val="0"/>
              <w:snapToGrid w:val="0"/>
              <w:spacing w:line="480" w:lineRule="exact"/>
              <w:ind w:left="0" w:firstLine="0"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《IP网络技术要求 网络性能参数与指标》（YD/T 1171-2015）</w:t>
            </w:r>
          </w:p>
          <w:p w14:paraId="6D63EECF">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rPr>
              <w:t>《消防业务信息数据项第4部分：消防信息通信管理基本信息》（XF/T3017.4—2022）</w:t>
            </w:r>
          </w:p>
        </w:tc>
      </w:tr>
      <w:tr w14:paraId="34CBB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4" w:type="pct"/>
            <w:vAlign w:val="center"/>
          </w:tcPr>
          <w:p w14:paraId="15CE54C6">
            <w:pPr>
              <w:pStyle w:val="30"/>
              <w:keepNext w:val="0"/>
              <w:keepLines w:val="0"/>
              <w:pageBreakBefore w:val="0"/>
              <w:tabs>
                <w:tab w:val="center" w:pos="4201"/>
                <w:tab w:val="right" w:leader="dot" w:pos="9298"/>
              </w:tabs>
              <w:kinsoku/>
              <w:wordWrap/>
              <w:overflowPunct/>
              <w:topLinePunct w:val="0"/>
              <w:bidi w:val="0"/>
              <w:spacing w:line="48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7</w:t>
            </w:r>
          </w:p>
        </w:tc>
        <w:tc>
          <w:tcPr>
            <w:tcW w:w="1093" w:type="pct"/>
            <w:vAlign w:val="center"/>
          </w:tcPr>
          <w:p w14:paraId="5676BA92">
            <w:pPr>
              <w:keepNext w:val="0"/>
              <w:keepLines w:val="0"/>
              <w:pageBreakBefore w:val="0"/>
              <w:kinsoku/>
              <w:wordWrap/>
              <w:overflowPunct/>
              <w:topLinePunct w:val="0"/>
              <w:bidi w:val="0"/>
              <w:spacing w:before="312" w:beforeLines="100" w:after="312" w:afterLines="100" w:line="480" w:lineRule="exact"/>
              <w:ind w:firstLine="0" w:firstLineChars="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7  大数据支撑体系</w:t>
            </w:r>
          </w:p>
        </w:tc>
        <w:tc>
          <w:tcPr>
            <w:tcW w:w="3501" w:type="pct"/>
            <w:vAlign w:val="center"/>
          </w:tcPr>
          <w:p w14:paraId="462498B0">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《信息安全技术 信息系统灾难恢复规范》（GB/T 20988-2013）</w:t>
            </w:r>
          </w:p>
          <w:p w14:paraId="0BFD400F">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《信息安全技术 网络安全等级保护基本要求》（GB/T 22239-2019）</w:t>
            </w:r>
          </w:p>
          <w:p w14:paraId="6D7DBC13">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《信息安全技术 云技术服务安全能力要求》（GB/T 31168-2014）</w:t>
            </w:r>
          </w:p>
          <w:p w14:paraId="2B980409">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《信息安全技术 大数据服务安全能力要求》（GB/T 35274-2017）</w:t>
            </w:r>
          </w:p>
          <w:p w14:paraId="0F974717">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《数据中心设计规范》（GB 50174-2017）</w:t>
            </w:r>
          </w:p>
          <w:p w14:paraId="3343EC2D">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《云计算基础设施</w:t>
            </w:r>
            <w:r>
              <w:rPr>
                <w:rFonts w:hint="eastAsia" w:cs="宋体"/>
                <w:sz w:val="24"/>
                <w:szCs w:val="24"/>
                <w:lang w:eastAsia="zh-CN"/>
              </w:rPr>
              <w:t>及</w:t>
            </w:r>
            <w:r>
              <w:rPr>
                <w:rFonts w:hint="eastAsia" w:ascii="宋体" w:hAnsi="宋体" w:eastAsia="宋体" w:cs="宋体"/>
                <w:sz w:val="24"/>
                <w:szCs w:val="24"/>
              </w:rPr>
              <w:t>服务</w:t>
            </w:r>
            <w:r>
              <w:rPr>
                <w:rFonts w:hint="eastAsia" w:cs="宋体"/>
                <w:sz w:val="24"/>
                <w:szCs w:val="24"/>
                <w:lang w:eastAsia="zh-CN"/>
              </w:rPr>
              <w:t>（</w:t>
            </w:r>
            <w:r>
              <w:rPr>
                <w:rFonts w:hint="eastAsia" w:ascii="宋体" w:hAnsi="宋体" w:eastAsia="宋体" w:cs="宋体"/>
                <w:sz w:val="24"/>
                <w:szCs w:val="24"/>
              </w:rPr>
              <w:t>IaaS</w:t>
            </w:r>
            <w:r>
              <w:rPr>
                <w:rFonts w:hint="eastAsia" w:cs="宋体"/>
                <w:sz w:val="24"/>
                <w:szCs w:val="24"/>
                <w:lang w:eastAsia="zh-CN"/>
              </w:rPr>
              <w:t>）</w:t>
            </w:r>
            <w:r>
              <w:rPr>
                <w:rFonts w:hint="eastAsia" w:ascii="宋体" w:hAnsi="宋体" w:eastAsia="宋体" w:cs="宋体"/>
                <w:sz w:val="24"/>
                <w:szCs w:val="24"/>
              </w:rPr>
              <w:t>功能要求与架构》（YD/T 2806-2015）</w:t>
            </w:r>
          </w:p>
        </w:tc>
      </w:tr>
      <w:tr w14:paraId="689D2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4" w:type="pct"/>
            <w:vAlign w:val="center"/>
          </w:tcPr>
          <w:p w14:paraId="52754731">
            <w:pPr>
              <w:pStyle w:val="30"/>
              <w:keepNext w:val="0"/>
              <w:keepLines w:val="0"/>
              <w:pageBreakBefore w:val="0"/>
              <w:tabs>
                <w:tab w:val="center" w:pos="4201"/>
                <w:tab w:val="right" w:leader="dot" w:pos="9298"/>
              </w:tabs>
              <w:kinsoku/>
              <w:wordWrap/>
              <w:overflowPunct/>
              <w:topLinePunct w:val="0"/>
              <w:bidi w:val="0"/>
              <w:spacing w:line="48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8</w:t>
            </w:r>
          </w:p>
        </w:tc>
        <w:tc>
          <w:tcPr>
            <w:tcW w:w="1093" w:type="pct"/>
            <w:vAlign w:val="center"/>
          </w:tcPr>
          <w:p w14:paraId="6FB2C8CC">
            <w:pPr>
              <w:keepNext w:val="0"/>
              <w:keepLines w:val="0"/>
              <w:pageBreakBefore w:val="0"/>
              <w:kinsoku/>
              <w:wordWrap/>
              <w:overflowPunct/>
              <w:topLinePunct w:val="0"/>
              <w:bidi w:val="0"/>
              <w:spacing w:before="312" w:beforeLines="100" w:after="312" w:afterLines="100" w:line="480" w:lineRule="exact"/>
              <w:ind w:firstLine="0" w:firstLineChars="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8  业务应用体系</w:t>
            </w:r>
          </w:p>
        </w:tc>
        <w:tc>
          <w:tcPr>
            <w:tcW w:w="3501" w:type="pct"/>
            <w:vAlign w:val="center"/>
          </w:tcPr>
          <w:p w14:paraId="646F0D8A">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《信息安全技术 网络安全等级保护基本要求》（GB/T 22239-2019）</w:t>
            </w:r>
          </w:p>
          <w:p w14:paraId="08B753C6">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《信息安全技术 云技术服务安全能力要求》（GB/T 31168-2014）</w:t>
            </w:r>
          </w:p>
          <w:p w14:paraId="106DB7B5">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《信息安全技术 大数据服务安全能力要求》（GB/T 35274-2017）</w:t>
            </w:r>
          </w:p>
          <w:p w14:paraId="315B86C4">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《数据中心设计规范》（GB 50174-2017）</w:t>
            </w:r>
          </w:p>
          <w:p w14:paraId="06A84493">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《建筑设计防火规范》（GB 50016-2014）</w:t>
            </w:r>
          </w:p>
          <w:p w14:paraId="71579D64">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《云计算基础设施</w:t>
            </w:r>
            <w:r>
              <w:rPr>
                <w:rFonts w:hint="eastAsia" w:cs="宋体"/>
                <w:sz w:val="24"/>
                <w:szCs w:val="24"/>
                <w:lang w:eastAsia="zh-CN"/>
              </w:rPr>
              <w:t>及</w:t>
            </w:r>
            <w:r>
              <w:rPr>
                <w:rFonts w:hint="eastAsia" w:ascii="宋体" w:hAnsi="宋体" w:eastAsia="宋体" w:cs="宋体"/>
                <w:sz w:val="24"/>
                <w:szCs w:val="24"/>
              </w:rPr>
              <w:t>服务</w:t>
            </w:r>
            <w:r>
              <w:rPr>
                <w:rFonts w:hint="eastAsia" w:cs="宋体"/>
                <w:sz w:val="24"/>
                <w:szCs w:val="24"/>
                <w:lang w:eastAsia="zh-CN"/>
              </w:rPr>
              <w:t>（</w:t>
            </w:r>
            <w:r>
              <w:rPr>
                <w:rFonts w:hint="eastAsia" w:ascii="宋体" w:hAnsi="宋体" w:eastAsia="宋体" w:cs="宋体"/>
                <w:sz w:val="24"/>
                <w:szCs w:val="24"/>
              </w:rPr>
              <w:t>IaaS</w:t>
            </w:r>
            <w:r>
              <w:rPr>
                <w:rFonts w:hint="eastAsia" w:cs="宋体"/>
                <w:sz w:val="24"/>
                <w:szCs w:val="24"/>
                <w:lang w:eastAsia="zh-CN"/>
              </w:rPr>
              <w:t>）</w:t>
            </w:r>
            <w:r>
              <w:rPr>
                <w:rFonts w:hint="eastAsia" w:ascii="宋体" w:hAnsi="宋体" w:eastAsia="宋体" w:cs="宋体"/>
                <w:sz w:val="24"/>
                <w:szCs w:val="24"/>
              </w:rPr>
              <w:t>功能要求与架构》（YD/T 2806-2015）</w:t>
            </w:r>
          </w:p>
          <w:p w14:paraId="52F2D56A">
            <w:pPr>
              <w:pStyle w:val="13"/>
              <w:keepNext w:val="0"/>
              <w:keepLines w:val="0"/>
              <w:pageBreakBefore w:val="0"/>
              <w:kinsoku/>
              <w:wordWrap/>
              <w:overflowPunct/>
              <w:topLinePunct w:val="0"/>
              <w:bidi w:val="0"/>
              <w:adjustRightInd w:val="0"/>
              <w:snapToGrid w:val="0"/>
              <w:spacing w:line="480" w:lineRule="exact"/>
              <w:ind w:left="0" w:firstLine="0"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《IP网络技术要求 网络性能参数与指标》（YD/T 1171-2015）</w:t>
            </w:r>
          </w:p>
          <w:p w14:paraId="729FE01C">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《社会消防技术服务机构质量管理》（20204650-T-450）</w:t>
            </w:r>
          </w:p>
          <w:p w14:paraId="2CE759C7">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《智慧城市 感知终端应用指南》（GB/T 42760-2023）</w:t>
            </w:r>
          </w:p>
          <w:p w14:paraId="2C618343">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《新型智慧城市评价指标》（GB/T 33356-2022）</w:t>
            </w:r>
          </w:p>
          <w:p w14:paraId="0FCEDED9">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《智慧城市 数据融合 第1部分：概念模型》（GB/T 36625.1-2018）</w:t>
            </w:r>
          </w:p>
          <w:p w14:paraId="1CDF0F92">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《智慧城市 数据融合 第2部分：数据编码规范》（GB/T 36625.2-2018）</w:t>
            </w:r>
          </w:p>
          <w:p w14:paraId="16485402">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《智慧城市 数据融合 第4部分：数据采集规范》（GB/T 36625.3-2021）</w:t>
            </w:r>
          </w:p>
          <w:p w14:paraId="7C03B210">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《智慧城市 数据融合 第4部分：开放共享要求》（GB/T 36625.4-2021）</w:t>
            </w:r>
          </w:p>
          <w:p w14:paraId="5E12E59A">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《智慧城市 数据融合 第5部分：市政基础设施数据元素》（GB/T 36625.5-2019）</w:t>
            </w:r>
          </w:p>
          <w:p w14:paraId="602F8DF7">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《消防数据元第1部分：基础业务信息》（XF/T3014.1—2022）</w:t>
            </w:r>
          </w:p>
          <w:p w14:paraId="6C807AAD">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《消防数据元限定词第1部分：基础业务信息》（XF/T3015.1—2022）</w:t>
            </w:r>
          </w:p>
          <w:p w14:paraId="38793C12">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《消防信息代码第1部分：基础业务信息》（XF/T3016.1—2022）</w:t>
            </w:r>
          </w:p>
          <w:p w14:paraId="3930FA75">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《消防业务信息数据项第1部分：灭火救援指挥基本信息》（XF/T3017.1—2022）</w:t>
            </w:r>
          </w:p>
          <w:p w14:paraId="6DF346AD">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《消防业务信息数据项第2部分：消防产品质量监督管理基本信息》（XF/T3017.2—2022）</w:t>
            </w:r>
          </w:p>
          <w:p w14:paraId="30A8CE11">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《消防业务信息数据项第3部分：消防装备基本信息》（XF/T3017.3—2022）</w:t>
            </w:r>
          </w:p>
          <w:p w14:paraId="49F31FB8">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《消防业务信息数据项第4部分：消防信息通信管理基本信息》（XF/T3017.4—2022）</w:t>
            </w:r>
          </w:p>
          <w:p w14:paraId="1CCA76D6">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《消防业务信息数据项第5部分：消防安全重点单位与建筑物基本信息》（XF/T3017.5—2022）</w:t>
            </w:r>
          </w:p>
          <w:p w14:paraId="3AD6B218">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《消防业务信息系统运行维护规范》（XF/T3018—2022）</w:t>
            </w:r>
          </w:p>
          <w:p w14:paraId="176FAE8B">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福建省地方标准《智慧消防 信息平台通用技术要求》（DB35/T 2054-2022）</w:t>
            </w:r>
          </w:p>
          <w:p w14:paraId="5407972B">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《海南省应急管理安全生产数据规范 第1部分：信息资源目录》（DB46/T 592.1-2023）</w:t>
            </w:r>
          </w:p>
          <w:p w14:paraId="1746483B">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《海南省应急管理安全生产数据规范 第2部分：数据元》（DB46/T 592.2-2023）</w:t>
            </w:r>
          </w:p>
          <w:p w14:paraId="0B7181F5">
            <w:pPr>
              <w:pStyle w:val="13"/>
              <w:keepNext w:val="0"/>
              <w:keepLines w:val="0"/>
              <w:pageBreakBefore w:val="0"/>
              <w:kinsoku/>
              <w:wordWrap/>
              <w:overflowPunct/>
              <w:topLinePunct w:val="0"/>
              <w:bidi w:val="0"/>
              <w:adjustRightInd w:val="0"/>
              <w:snapToGrid w:val="0"/>
              <w:spacing w:line="480" w:lineRule="exact"/>
              <w:ind w:left="0" w:firstLine="0"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《海南省应急管理安全生产数据规范 第3部分：代码集》（DB46/T 592.3-2023）</w:t>
            </w:r>
          </w:p>
        </w:tc>
      </w:tr>
      <w:tr w14:paraId="601F5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4" w:type="pct"/>
            <w:vAlign w:val="center"/>
          </w:tcPr>
          <w:p w14:paraId="07CB0D69">
            <w:pPr>
              <w:pStyle w:val="30"/>
              <w:keepNext w:val="0"/>
              <w:keepLines w:val="0"/>
              <w:pageBreakBefore w:val="0"/>
              <w:tabs>
                <w:tab w:val="center" w:pos="4201"/>
                <w:tab w:val="right" w:leader="dot" w:pos="9298"/>
              </w:tabs>
              <w:kinsoku/>
              <w:wordWrap/>
              <w:overflowPunct/>
              <w:topLinePunct w:val="0"/>
              <w:bidi w:val="0"/>
              <w:spacing w:line="48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9</w:t>
            </w:r>
          </w:p>
        </w:tc>
        <w:tc>
          <w:tcPr>
            <w:tcW w:w="1093" w:type="pct"/>
            <w:vAlign w:val="center"/>
          </w:tcPr>
          <w:p w14:paraId="5F30AE20">
            <w:pPr>
              <w:pStyle w:val="13"/>
              <w:keepNext w:val="0"/>
              <w:keepLines w:val="0"/>
              <w:pageBreakBefore w:val="0"/>
              <w:kinsoku/>
              <w:wordWrap/>
              <w:overflowPunct/>
              <w:topLinePunct w:val="0"/>
              <w:bidi w:val="0"/>
              <w:adjustRightInd w:val="0"/>
              <w:snapToGrid w:val="0"/>
              <w:spacing w:line="480" w:lineRule="exact"/>
              <w:ind w:left="0" w:firstLine="0"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9  运行保障体系</w:t>
            </w:r>
          </w:p>
        </w:tc>
        <w:tc>
          <w:tcPr>
            <w:tcW w:w="3501" w:type="pct"/>
            <w:vAlign w:val="center"/>
          </w:tcPr>
          <w:p w14:paraId="6F70C9F3">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《信息安全技术 信息系统灾难恢复规范》（GB/T 20988-2013）</w:t>
            </w:r>
          </w:p>
          <w:p w14:paraId="642173D6">
            <w:pPr>
              <w:pStyle w:val="30"/>
              <w:keepNext w:val="0"/>
              <w:keepLines w:val="0"/>
              <w:pageBreakBefore w:val="0"/>
              <w:kinsoku/>
              <w:wordWrap/>
              <w:overflowPunct/>
              <w:topLinePunct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《消防业务信息系统运行维护规范》（XF/T3018—2022）</w:t>
            </w:r>
          </w:p>
        </w:tc>
      </w:tr>
    </w:tbl>
    <w:p w14:paraId="0669186D">
      <w:pPr>
        <w:bidi w:val="0"/>
        <w:rPr>
          <w:rFonts w:hint="eastAsia"/>
        </w:rPr>
      </w:pPr>
    </w:p>
    <w:p w14:paraId="1B3AD074">
      <w:pPr>
        <w:pStyle w:val="4"/>
        <w:pageBreakBefore w:val="0"/>
        <w:numPr>
          <w:ilvl w:val="0"/>
          <w:numId w:val="5"/>
        </w:numPr>
        <w:kinsoku/>
        <w:wordWrap/>
        <w:overflowPunct/>
        <w:topLinePunct w:val="0"/>
        <w:bidi w:val="0"/>
        <w:spacing w:line="480" w:lineRule="exact"/>
        <w:ind w:left="0" w:leftChars="0" w:firstLine="0" w:firstLineChars="0"/>
        <w:textAlignment w:val="auto"/>
        <w:rPr>
          <w:sz w:val="24"/>
          <w:szCs w:val="24"/>
        </w:rPr>
      </w:pPr>
      <w:r>
        <w:rPr>
          <w:rFonts w:hint="eastAsia"/>
          <w:sz w:val="24"/>
          <w:szCs w:val="24"/>
        </w:rPr>
        <w:t>本标准与有关的现行法律法规、标准的关系</w:t>
      </w:r>
    </w:p>
    <w:p w14:paraId="63334F66">
      <w:pPr>
        <w:pageBreakBefore w:val="0"/>
        <w:kinsoku/>
        <w:wordWrap/>
        <w:overflowPunct/>
        <w:topLinePunct w:val="0"/>
        <w:bidi w:val="0"/>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“智慧消防”信息平台设计规范与有关的现行法律、法规和国家标准的关系如下：</w:t>
      </w:r>
    </w:p>
    <w:p w14:paraId="428F5A45">
      <w:pPr>
        <w:pageBreakBefore w:val="0"/>
        <w:kinsoku/>
        <w:wordWrap/>
        <w:overflowPunct/>
        <w:topLinePunct w:val="0"/>
        <w:bidi w:val="0"/>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国家标准：目前国际消防标准主要集中建筑消防规范，针对智慧消防平台，尚无相关标准规范，美国、欧洲等主要通过政府顶层规划形式、社会组织共同参与形式开展智慧消防平台建设。</w:t>
      </w:r>
    </w:p>
    <w:p w14:paraId="00552F77">
      <w:pPr>
        <w:pageBreakBefore w:val="0"/>
        <w:kinsoku/>
        <w:wordWrap/>
        <w:overflowPunct/>
        <w:topLinePunct w:val="0"/>
        <w:bidi w:val="0"/>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国内标准：智慧消防是智慧城市建</w:t>
      </w:r>
      <w:r>
        <w:rPr>
          <w:rFonts w:hint="eastAsia" w:ascii="宋体" w:hAnsi="宋体" w:cs="宋体"/>
          <w:sz w:val="24"/>
          <w:szCs w:val="24"/>
          <w:lang w:eastAsia="zh-CN"/>
        </w:rPr>
        <w:t>设的</w:t>
      </w:r>
      <w:r>
        <w:rPr>
          <w:rFonts w:hint="eastAsia" w:ascii="宋体" w:hAnsi="宋体" w:eastAsia="宋体" w:cs="宋体"/>
          <w:sz w:val="24"/>
          <w:szCs w:val="24"/>
        </w:rPr>
        <w:t>组成部分，目前，全国城市可持续发展标准化技术委员会发布了物联网、基础设施、网络安全、公共服务等多项智慧城市国家标准。全国消防标准化技术委员会发布了消防数据元、消防业务信息数据等多项消防国家标准。此外，福建省发布了DB35/T 2054-2022《智慧消防 信息平台通用技术要求》。</w:t>
      </w:r>
    </w:p>
    <w:p w14:paraId="596258F9">
      <w:pPr>
        <w:pageBreakBefore w:val="0"/>
        <w:kinsoku/>
        <w:wordWrap/>
        <w:overflowPunct/>
        <w:topLinePunct w:val="0"/>
        <w:bidi w:val="0"/>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省内标准：目前，我省已发布三项应急管理地方标准： DB46/T 592.1-2023《海南省应急管理安全生产数据规范 第1部分：信息资源目录》、DB46/T 592.2-2023《海南省应急管理安全生产数据规范 第2部分：数据元》、DB46/T 592.3-2023《海南省应急管理安全生产数据规范 第3部分：代码集》，但尚无智慧消防相关标准。</w:t>
      </w:r>
    </w:p>
    <w:p w14:paraId="42301E49">
      <w:pPr>
        <w:pageBreakBefore w:val="0"/>
        <w:kinsoku/>
        <w:wordWrap/>
        <w:overflowPunct/>
        <w:topLinePunct w:val="0"/>
        <w:bidi w:val="0"/>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总的来说，本标准与现行法律、法规、标准协调一致，按照国家消防救援等相关部门的规范要求进行编制，无冲突。“智慧消防”信息平台设计规范是根据现行法律、法规和国家标准制定的，是这些法律、法规和国家标准的具体实施细则。我省智慧消防平台建设必须按照“智慧消防”信息平台设计规范的要求进行建设，以确保全省智慧消防平台数据实现数据交互与共享。</w:t>
      </w:r>
    </w:p>
    <w:p w14:paraId="1E2A5750">
      <w:pPr>
        <w:pStyle w:val="3"/>
        <w:pageBreakBefore w:val="0"/>
        <w:numPr>
          <w:ilvl w:val="1"/>
          <w:numId w:val="0"/>
        </w:numPr>
        <w:tabs>
          <w:tab w:val="left" w:pos="840"/>
          <w:tab w:val="clear" w:pos="0"/>
        </w:tabs>
        <w:kinsoku/>
        <w:wordWrap/>
        <w:overflowPunct/>
        <w:topLinePunct w:val="0"/>
        <w:bidi w:val="0"/>
        <w:spacing w:line="480" w:lineRule="exact"/>
        <w:ind w:leftChars="0"/>
        <w:textAlignment w:val="auto"/>
        <w:rPr>
          <w:rFonts w:hint="eastAsia"/>
          <w:sz w:val="24"/>
          <w:szCs w:val="24"/>
        </w:rPr>
      </w:pPr>
      <w:r>
        <w:rPr>
          <w:rFonts w:hint="eastAsia"/>
          <w:sz w:val="24"/>
          <w:szCs w:val="24"/>
          <w:lang w:eastAsia="zh-CN"/>
        </w:rPr>
        <w:t>（</w:t>
      </w:r>
      <w:r>
        <w:rPr>
          <w:rFonts w:hint="eastAsia"/>
          <w:sz w:val="24"/>
          <w:szCs w:val="24"/>
          <w:lang w:val="en-US" w:eastAsia="zh-CN"/>
        </w:rPr>
        <w:t>四</w:t>
      </w:r>
      <w:r>
        <w:rPr>
          <w:rFonts w:hint="eastAsia"/>
          <w:sz w:val="24"/>
          <w:szCs w:val="24"/>
          <w:lang w:eastAsia="zh-CN"/>
        </w:rPr>
        <w:t>）</w:t>
      </w:r>
      <w:r>
        <w:rPr>
          <w:rFonts w:hint="eastAsia"/>
          <w:sz w:val="24"/>
          <w:szCs w:val="24"/>
        </w:rPr>
        <w:t>主要条款的说明，主要技术指标、参数、</w:t>
      </w:r>
      <w:r>
        <w:rPr>
          <w:rFonts w:hint="eastAsia"/>
          <w:sz w:val="24"/>
          <w:szCs w:val="24"/>
          <w:lang w:val="en-US" w:eastAsia="zh-CN"/>
        </w:rPr>
        <w:t>试验</w:t>
      </w:r>
      <w:r>
        <w:rPr>
          <w:rFonts w:hint="eastAsia"/>
          <w:sz w:val="24"/>
          <w:szCs w:val="24"/>
        </w:rPr>
        <w:t>验证的论述</w:t>
      </w:r>
    </w:p>
    <w:p w14:paraId="7B93D7A6">
      <w:pPr>
        <w:pStyle w:val="4"/>
        <w:pageBreakBefore w:val="0"/>
        <w:numPr>
          <w:ilvl w:val="2"/>
          <w:numId w:val="0"/>
        </w:numPr>
        <w:kinsoku/>
        <w:wordWrap/>
        <w:overflowPunct/>
        <w:topLinePunct w:val="0"/>
        <w:bidi w:val="0"/>
        <w:spacing w:line="480" w:lineRule="exact"/>
        <w:ind w:leftChars="0"/>
        <w:textAlignment w:val="auto"/>
        <w:rPr>
          <w:sz w:val="24"/>
          <w:szCs w:val="24"/>
        </w:rPr>
      </w:pPr>
      <w:r>
        <w:rPr>
          <w:rFonts w:hint="eastAsia"/>
          <w:sz w:val="24"/>
          <w:szCs w:val="24"/>
          <w:lang w:val="en-US" w:eastAsia="zh-CN"/>
        </w:rPr>
        <w:t xml:space="preserve">1. </w:t>
      </w:r>
      <w:r>
        <w:rPr>
          <w:rFonts w:hint="eastAsia"/>
          <w:sz w:val="24"/>
          <w:szCs w:val="24"/>
        </w:rPr>
        <w:t>主要条款</w:t>
      </w:r>
    </w:p>
    <w:p w14:paraId="7659F5ED">
      <w:pPr>
        <w:pageBreakBefore w:val="0"/>
        <w:kinsoku/>
        <w:wordWrap/>
        <w:overflowPunct/>
        <w:topLinePunct w:val="0"/>
        <w:bidi w:val="0"/>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本文件的章节由范围、规范性引用文件、术语和定义、总则、感知网络、通讯网络、大数据支撑体系、业务应用体系、运行保障体系和附录组成。其中“感知网络</w:t>
      </w:r>
      <w:r>
        <w:rPr>
          <w:rFonts w:hint="eastAsia" w:ascii="宋体" w:hAnsi="宋体" w:cs="宋体"/>
          <w:sz w:val="24"/>
          <w:szCs w:val="24"/>
          <w:lang w:eastAsia="zh-CN"/>
        </w:rPr>
        <w:t>”“</w:t>
      </w:r>
      <w:r>
        <w:rPr>
          <w:rFonts w:hint="eastAsia" w:ascii="宋体" w:hAnsi="宋体" w:eastAsia="宋体" w:cs="宋体"/>
          <w:sz w:val="24"/>
          <w:szCs w:val="24"/>
        </w:rPr>
        <w:t>通讯网络”“大数据支撑体系”和“业务应用体系”是本文件的主要技术内容。</w:t>
      </w:r>
    </w:p>
    <w:p w14:paraId="00EA9216">
      <w:pPr>
        <w:pageBreakBefore w:val="0"/>
        <w:kinsoku/>
        <w:wordWrap/>
        <w:overflowPunct/>
        <w:topLinePunct w:val="0"/>
        <w:bidi w:val="0"/>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本文件规定了主要条款如下：</w:t>
      </w:r>
    </w:p>
    <w:p w14:paraId="79C727A3">
      <w:pPr>
        <w:pageBreakBefore w:val="0"/>
        <w:kinsoku/>
        <w:wordWrap/>
        <w:overflowPunct/>
        <w:topLinePunct w:val="0"/>
        <w:bidi w:val="0"/>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第一章 范围。本章规定了本文件适用于海南省行政区域范围内智慧消防平台设计工作以及智慧消防平台的总体设计要求。</w:t>
      </w:r>
    </w:p>
    <w:p w14:paraId="48D7989D">
      <w:pPr>
        <w:pageBreakBefore w:val="0"/>
        <w:kinsoku/>
        <w:wordWrap/>
        <w:overflowPunct/>
        <w:topLinePunct w:val="0"/>
        <w:bidi w:val="0"/>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第二章 规范性引用文件。本章规定了规范性引用文件。</w:t>
      </w:r>
    </w:p>
    <w:p w14:paraId="0B592CBA">
      <w:pPr>
        <w:pageBreakBefore w:val="0"/>
        <w:kinsoku/>
        <w:wordWrap/>
        <w:overflowPunct/>
        <w:topLinePunct w:val="0"/>
        <w:bidi w:val="0"/>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第三章 术语和定义。本章规定了“智慧消防”信息平台、感知网络、通</w:t>
      </w:r>
      <w:r>
        <w:rPr>
          <w:rFonts w:hint="eastAsia" w:ascii="宋体" w:hAnsi="宋体" w:cs="宋体"/>
          <w:sz w:val="24"/>
          <w:szCs w:val="24"/>
          <w:lang w:val="en-US" w:eastAsia="zh-CN"/>
        </w:rPr>
        <w:t>讯</w:t>
      </w:r>
      <w:r>
        <w:rPr>
          <w:rFonts w:hint="eastAsia" w:ascii="宋体" w:hAnsi="宋体" w:eastAsia="宋体" w:cs="宋体"/>
          <w:sz w:val="24"/>
          <w:szCs w:val="24"/>
        </w:rPr>
        <w:t>网络、大数据支撑体系、业务应用体系和运行保障体</w:t>
      </w:r>
      <w:r>
        <w:rPr>
          <w:rFonts w:hint="eastAsia" w:ascii="宋体" w:hAnsi="宋体" w:cs="宋体"/>
          <w:sz w:val="24"/>
          <w:szCs w:val="24"/>
          <w:lang w:eastAsia="zh-CN"/>
        </w:rPr>
        <w:t>系等</w:t>
      </w:r>
      <w:r>
        <w:rPr>
          <w:rFonts w:hint="eastAsia" w:ascii="宋体" w:hAnsi="宋体" w:eastAsia="宋体" w:cs="宋体"/>
          <w:sz w:val="24"/>
          <w:szCs w:val="24"/>
        </w:rPr>
        <w:t>术语定义。</w:t>
      </w:r>
    </w:p>
    <w:p w14:paraId="61A66C68">
      <w:pPr>
        <w:pageBreakBefore w:val="0"/>
        <w:kinsoku/>
        <w:wordWrap/>
        <w:overflowPunct/>
        <w:topLinePunct w:val="0"/>
        <w:bidi w:val="0"/>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第四章 缩略语。本章规定了本文件适用的符号、代号和缩略语。</w:t>
      </w:r>
    </w:p>
    <w:p w14:paraId="21C45B75">
      <w:pPr>
        <w:pageBreakBefore w:val="0"/>
        <w:kinsoku/>
        <w:wordWrap/>
        <w:overflowPunct/>
        <w:topLinePunct w:val="0"/>
        <w:bidi w:val="0"/>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第五章 系统架构。本章规定了“智慧消防”信息平台设计的需要遵循的系统框架。</w:t>
      </w:r>
    </w:p>
    <w:p w14:paraId="38E99495">
      <w:pPr>
        <w:pageBreakBefore w:val="0"/>
        <w:kinsoku/>
        <w:wordWrap/>
        <w:overflowPunct/>
        <w:topLinePunct w:val="0"/>
        <w:bidi w:val="0"/>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第六章 数据层。本章规定了“智慧消防”信息平台设计的数据层应包含的数据种类及数据说明。</w:t>
      </w:r>
    </w:p>
    <w:p w14:paraId="78728623">
      <w:pPr>
        <w:pageBreakBefore w:val="0"/>
        <w:kinsoku/>
        <w:wordWrap/>
        <w:overflowPunct/>
        <w:topLinePunct w:val="0"/>
        <w:bidi w:val="0"/>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第七章 感知层。本章规定了感知网络基础技术，包含了物联感知、卫星感知、航空感知、视频感知、全民感知和其他感知技术等，规定了感知对象有：消防设施感知、电气火灾感知、可燃气体感知、消防水源感知、管理行为感知、视频信号感知和其他对象感知。</w:t>
      </w:r>
    </w:p>
    <w:p w14:paraId="33AE1DA7">
      <w:pPr>
        <w:pageBreakBefore w:val="0"/>
        <w:kinsoku/>
        <w:wordWrap/>
        <w:overflowPunct/>
        <w:topLinePunct w:val="0"/>
        <w:bidi w:val="0"/>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第八章 传输层。本章规定了“智慧消防”信息平台需要遵循的网络环境要求。</w:t>
      </w:r>
    </w:p>
    <w:p w14:paraId="75FB2E1D">
      <w:pPr>
        <w:pageBreakBefore w:val="0"/>
        <w:kinsoku/>
        <w:wordWrap/>
        <w:overflowPunct/>
        <w:topLinePunct w:val="0"/>
        <w:bidi w:val="0"/>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第九章 支撑层。本章规定了“智慧消防”信息平台支撑保障应满足的要求。</w:t>
      </w:r>
    </w:p>
    <w:p w14:paraId="75656E09">
      <w:pPr>
        <w:pageBreakBefore w:val="0"/>
        <w:kinsoku/>
        <w:wordWrap/>
        <w:overflowPunct/>
        <w:topLinePunct w:val="0"/>
        <w:bidi w:val="0"/>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第十章 应用层。本章规定了“智慧消防”信息平台在省级层面和市、县（区）级层面在此工作中需要承担的业务以及业务应用体系设计要求，其中业务应用系统规定了火灾防控应用、灭火救援应用、公共服务应用和其他业务应用的设计要求，规定了统一门户的设计要求。</w:t>
      </w:r>
    </w:p>
    <w:p w14:paraId="4733D71A">
      <w:pPr>
        <w:pageBreakBefore w:val="0"/>
        <w:kinsoku/>
        <w:wordWrap/>
        <w:overflowPunct/>
        <w:topLinePunct w:val="0"/>
        <w:bidi w:val="0"/>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第十一章 运行保障体系。本章规定了运行保障体系的安全防护和运维管理的设计要求。</w:t>
      </w:r>
    </w:p>
    <w:p w14:paraId="6D297BB6">
      <w:pPr>
        <w:pStyle w:val="4"/>
        <w:pageBreakBefore w:val="0"/>
        <w:numPr>
          <w:ilvl w:val="2"/>
          <w:numId w:val="0"/>
        </w:numPr>
        <w:kinsoku/>
        <w:wordWrap/>
        <w:overflowPunct/>
        <w:topLinePunct w:val="0"/>
        <w:bidi w:val="0"/>
        <w:spacing w:line="480" w:lineRule="exact"/>
        <w:ind w:leftChars="0"/>
        <w:textAlignment w:val="auto"/>
        <w:rPr>
          <w:sz w:val="24"/>
          <w:szCs w:val="24"/>
        </w:rPr>
      </w:pPr>
      <w:r>
        <w:rPr>
          <w:rFonts w:hint="eastAsia"/>
          <w:sz w:val="24"/>
          <w:szCs w:val="24"/>
          <w:lang w:val="en-US" w:eastAsia="zh-CN"/>
        </w:rPr>
        <w:t xml:space="preserve">2. </w:t>
      </w:r>
      <w:r>
        <w:rPr>
          <w:rFonts w:hint="eastAsia"/>
          <w:sz w:val="24"/>
          <w:szCs w:val="24"/>
        </w:rPr>
        <w:t>主要技术指标、参数</w:t>
      </w:r>
    </w:p>
    <w:p w14:paraId="07F3D69F">
      <w:pPr>
        <w:pageBreakBefore w:val="0"/>
        <w:kinsoku/>
        <w:wordWrap/>
        <w:overflowPunct/>
        <w:topLinePunct w:val="0"/>
        <w:bidi w:val="0"/>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数据中心应具备接入国家电子政务外网和互联网等网络的能力，出口链路带宽应满足业务应用联动和数据汇聚需要，具体性能指标满足《IP网络技术要求 网络性能参数与指标》（YD/T 1171-2015）要求。</w:t>
      </w:r>
    </w:p>
    <w:p w14:paraId="617EB4B0">
      <w:pPr>
        <w:pageBreakBefore w:val="0"/>
        <w:kinsoku/>
        <w:wordWrap/>
        <w:overflowPunct/>
        <w:topLinePunct w:val="0"/>
        <w:bidi w:val="0"/>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云平台应满足《信息安全技术 网络安全等级保护基本要求》（GB/T 22239-2019）中第三级关于安全通用要求、云计算扩展要求等相关内容的规定。</w:t>
      </w:r>
    </w:p>
    <w:p w14:paraId="588A911E">
      <w:pPr>
        <w:pageBreakBefore w:val="0"/>
        <w:kinsoku/>
        <w:wordWrap/>
        <w:overflowPunct/>
        <w:topLinePunct w:val="0"/>
        <w:bidi w:val="0"/>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云平台应满足《信息安全技术 云技术服务安全能力要求》（GB/T 31168-2014）中关于系统开发、系统通信、访问控制等相关规定的要求。</w:t>
      </w:r>
    </w:p>
    <w:p w14:paraId="2D2826F7">
      <w:pPr>
        <w:pageBreakBefore w:val="0"/>
        <w:kinsoku/>
        <w:wordWrap/>
        <w:overflowPunct/>
        <w:topLinePunct w:val="0"/>
        <w:bidi w:val="0"/>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云平台应满足《信息安全技术 大数据服务安全能力要求》（GB/T 35274-2017）中关于数据传输、数据存储、数据交换等规定的要求。</w:t>
      </w:r>
    </w:p>
    <w:p w14:paraId="1C34ADA1">
      <w:pPr>
        <w:pageBreakBefore w:val="0"/>
        <w:kinsoku/>
        <w:wordWrap/>
        <w:overflowPunct/>
        <w:topLinePunct w:val="0"/>
        <w:bidi w:val="0"/>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数据治理应能针对消防业务数据的数据接入采集、数据标准化处理、数据组织、数据服务、数据管控等全生命周期数据整合处理过程提供支撑。</w:t>
      </w:r>
    </w:p>
    <w:p w14:paraId="69286905">
      <w:pPr>
        <w:pageBreakBefore w:val="0"/>
        <w:kinsoku/>
        <w:wordWrap/>
        <w:overflowPunct/>
        <w:topLinePunct w:val="0"/>
        <w:bidi w:val="0"/>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平台涉及的主要数据交换内容，其格式应符合附表要求。</w:t>
      </w:r>
    </w:p>
    <w:p w14:paraId="5997C721">
      <w:pPr>
        <w:pageBreakBefore w:val="0"/>
        <w:kinsoku/>
        <w:wordWrap/>
        <w:overflowPunct/>
        <w:topLinePunct w:val="0"/>
        <w:bidi w:val="0"/>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数据挖掘通过构建开放、共享、可扩展、可重构的数据深度分析工具，基于基础数据资源形成主题数据库、专题数据库等，为各类业务应用提供支撑。</w:t>
      </w:r>
    </w:p>
    <w:p w14:paraId="21E1FFBF">
      <w:pPr>
        <w:pageBreakBefore w:val="0"/>
        <w:kinsoku/>
        <w:wordWrap/>
        <w:overflowPunct/>
        <w:topLinePunct w:val="0"/>
        <w:bidi w:val="0"/>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业务应用系统宜参考业</w:t>
      </w:r>
      <w:r>
        <w:rPr>
          <w:rFonts w:hint="eastAsia" w:ascii="宋体" w:hAnsi="宋体" w:cs="宋体"/>
          <w:sz w:val="24"/>
          <w:szCs w:val="24"/>
          <w:lang w:eastAsia="zh-CN"/>
        </w:rPr>
        <w:t>务领</w:t>
      </w:r>
      <w:r>
        <w:rPr>
          <w:rFonts w:hint="eastAsia" w:ascii="宋体" w:hAnsi="宋体" w:eastAsia="宋体" w:cs="宋体"/>
          <w:sz w:val="24"/>
          <w:szCs w:val="24"/>
        </w:rPr>
        <w:t>域开展设计，并应具备拓展能力和演进能力，能够根据业务需求变化和技术发展情况进行迭代升级。</w:t>
      </w:r>
    </w:p>
    <w:p w14:paraId="5CAD5921">
      <w:pPr>
        <w:pStyle w:val="4"/>
        <w:pageBreakBefore w:val="0"/>
        <w:numPr>
          <w:ilvl w:val="2"/>
          <w:numId w:val="0"/>
        </w:numPr>
        <w:kinsoku/>
        <w:wordWrap/>
        <w:overflowPunct/>
        <w:topLinePunct w:val="0"/>
        <w:bidi w:val="0"/>
        <w:spacing w:line="480" w:lineRule="exact"/>
        <w:ind w:leftChars="0"/>
        <w:textAlignment w:val="auto"/>
        <w:rPr>
          <w:rFonts w:hint="eastAsia"/>
          <w:sz w:val="24"/>
          <w:szCs w:val="24"/>
        </w:rPr>
      </w:pPr>
      <w:r>
        <w:rPr>
          <w:rFonts w:hint="eastAsia"/>
          <w:sz w:val="24"/>
          <w:szCs w:val="24"/>
          <w:lang w:val="en-US" w:eastAsia="zh-CN"/>
        </w:rPr>
        <w:t>3. 试验</w:t>
      </w:r>
      <w:r>
        <w:rPr>
          <w:rFonts w:hint="eastAsia"/>
          <w:sz w:val="24"/>
          <w:szCs w:val="24"/>
        </w:rPr>
        <w:t>验证</w:t>
      </w:r>
    </w:p>
    <w:p w14:paraId="12498343">
      <w:pPr>
        <w:pageBreakBefore w:val="0"/>
        <w:kinsoku/>
        <w:wordWrap/>
        <w:overflowPunct/>
        <w:topLinePunct w:val="0"/>
        <w:bidi w:val="0"/>
        <w:spacing w:line="480" w:lineRule="exact"/>
        <w:textAlignment w:val="auto"/>
        <w:rPr>
          <w:rFonts w:hint="eastAsia"/>
          <w:sz w:val="24"/>
          <w:szCs w:val="24"/>
        </w:rPr>
      </w:pPr>
      <w:r>
        <w:rPr>
          <w:rFonts w:hint="eastAsia"/>
          <w:sz w:val="24"/>
          <w:szCs w:val="24"/>
        </w:rPr>
        <w:t>本标准不涉及试验（或验证）。</w:t>
      </w:r>
    </w:p>
    <w:p w14:paraId="4CFB1027">
      <w:pPr>
        <w:pStyle w:val="3"/>
        <w:pageBreakBefore w:val="0"/>
        <w:numPr>
          <w:ilvl w:val="1"/>
          <w:numId w:val="0"/>
        </w:numPr>
        <w:kinsoku/>
        <w:wordWrap/>
        <w:overflowPunct/>
        <w:topLinePunct w:val="0"/>
        <w:bidi w:val="0"/>
        <w:spacing w:line="480" w:lineRule="exact"/>
        <w:ind w:leftChars="0"/>
        <w:textAlignment w:val="auto"/>
        <w:rPr>
          <w:rFonts w:hint="eastAsia"/>
          <w:sz w:val="24"/>
          <w:szCs w:val="24"/>
        </w:rPr>
      </w:pPr>
      <w:r>
        <w:rPr>
          <w:rFonts w:hint="eastAsia"/>
          <w:sz w:val="24"/>
          <w:szCs w:val="24"/>
          <w:lang w:val="en-US" w:eastAsia="zh-CN"/>
        </w:rPr>
        <w:t>（五）标准中如果涉及专利，应有明确的</w:t>
      </w:r>
      <w:r>
        <w:rPr>
          <w:rFonts w:hint="eastAsia"/>
          <w:sz w:val="24"/>
          <w:szCs w:val="24"/>
        </w:rPr>
        <w:t>知识产权说明</w:t>
      </w:r>
    </w:p>
    <w:p w14:paraId="5A803513">
      <w:pPr>
        <w:pageBreakBefore w:val="0"/>
        <w:kinsoku/>
        <w:wordWrap/>
        <w:overflowPunct/>
        <w:topLinePunct w:val="0"/>
        <w:bidi w:val="0"/>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本标准为技术类标准，未涉及专利等知识产权内容。</w:t>
      </w:r>
    </w:p>
    <w:p w14:paraId="2B39929A">
      <w:pPr>
        <w:pStyle w:val="3"/>
        <w:pageBreakBefore w:val="0"/>
        <w:numPr>
          <w:ilvl w:val="1"/>
          <w:numId w:val="0"/>
        </w:numPr>
        <w:kinsoku/>
        <w:wordWrap/>
        <w:overflowPunct/>
        <w:topLinePunct w:val="0"/>
        <w:bidi w:val="0"/>
        <w:spacing w:line="480" w:lineRule="exact"/>
        <w:ind w:leftChars="0"/>
        <w:textAlignment w:val="auto"/>
        <w:rPr>
          <w:rFonts w:hint="eastAsia"/>
          <w:sz w:val="24"/>
          <w:szCs w:val="24"/>
        </w:rPr>
      </w:pPr>
      <w:r>
        <w:rPr>
          <w:rFonts w:hint="eastAsia"/>
          <w:sz w:val="24"/>
          <w:szCs w:val="24"/>
          <w:lang w:eastAsia="zh-CN"/>
        </w:rPr>
        <w:t>（</w:t>
      </w:r>
      <w:r>
        <w:rPr>
          <w:rFonts w:hint="eastAsia"/>
          <w:sz w:val="24"/>
          <w:szCs w:val="24"/>
          <w:lang w:val="en-US" w:eastAsia="zh-CN"/>
        </w:rPr>
        <w:t>六</w:t>
      </w:r>
      <w:r>
        <w:rPr>
          <w:rFonts w:hint="eastAsia"/>
          <w:sz w:val="24"/>
          <w:szCs w:val="24"/>
          <w:lang w:eastAsia="zh-CN"/>
        </w:rPr>
        <w:t>）</w:t>
      </w:r>
      <w:r>
        <w:rPr>
          <w:rFonts w:hint="eastAsia"/>
          <w:sz w:val="24"/>
          <w:szCs w:val="24"/>
        </w:rPr>
        <w:t>采用国际标准和国外先进标准的</w:t>
      </w:r>
      <w:r>
        <w:rPr>
          <w:rFonts w:hint="eastAsia"/>
          <w:sz w:val="24"/>
          <w:szCs w:val="24"/>
          <w:lang w:eastAsia="zh-CN"/>
        </w:rPr>
        <w:t>，</w:t>
      </w:r>
      <w:r>
        <w:rPr>
          <w:rFonts w:hint="eastAsia"/>
          <w:sz w:val="24"/>
          <w:szCs w:val="24"/>
          <w:lang w:val="en-US" w:eastAsia="zh-CN"/>
        </w:rPr>
        <w:t>说明采标程度，以及国内外同类标准水平的对比情况</w:t>
      </w:r>
    </w:p>
    <w:p w14:paraId="7F96809C">
      <w:pPr>
        <w:pageBreakBefore w:val="0"/>
        <w:kinsoku/>
        <w:wordWrap/>
        <w:overflowPunct/>
        <w:topLinePunct w:val="0"/>
        <w:bidi w:val="0"/>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本标准尽可能地做到兼容、一致和可比较。</w:t>
      </w:r>
    </w:p>
    <w:p w14:paraId="6B3A3FD0">
      <w:pPr>
        <w:pageBreakBefore w:val="0"/>
        <w:kinsoku/>
        <w:wordWrap/>
        <w:overflowPunct/>
        <w:topLinePunct w:val="0"/>
        <w:bidi w:val="0"/>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与国内同类标准水平的对比情况如下：</w:t>
      </w:r>
    </w:p>
    <w:p w14:paraId="79577086">
      <w:pPr>
        <w:pageBreakBefore w:val="0"/>
        <w:kinsoku/>
        <w:wordWrap/>
        <w:overflowPunct/>
        <w:topLinePunct w:val="0"/>
        <w:bidi w:val="0"/>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法律法规：我省的《海南自由贸易港消防条例》对建设“智慧消防”信息平台提出了明确的要求，这些法规是我省“智慧消防”信息平台设计的基础。</w:t>
      </w:r>
    </w:p>
    <w:p w14:paraId="12F13C93">
      <w:pPr>
        <w:pageBreakBefore w:val="0"/>
        <w:kinsoku/>
        <w:wordWrap/>
        <w:overflowPunct/>
        <w:topLinePunct w:val="0"/>
        <w:bidi w:val="0"/>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国内标准：该部“智慧消防”信息平台设计规范与国内标准相比，更加具有可操作性和针对性。国内标准通常是指对行业中某一方面的规定，而该部“智慧消防”信息平台设计规范则是对我省“智慧消防”信息平台设计进行规范，更具针对性。</w:t>
      </w:r>
    </w:p>
    <w:p w14:paraId="0294E88A">
      <w:pPr>
        <w:pageBreakBefore w:val="0"/>
        <w:kinsoku/>
        <w:wordWrap/>
        <w:overflowPunct/>
        <w:topLinePunct w:val="0"/>
        <w:bidi w:val="0"/>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省内标准：目前省内尚未出台智慧消防相关的标准规范，因此该部“智慧消防”信息平台设计规范将弥补省内智慧消防标准的不足，为消防安全提供更加完善的技术支持和指导。</w:t>
      </w:r>
    </w:p>
    <w:p w14:paraId="5B8A31BB">
      <w:pPr>
        <w:pageBreakBefore w:val="0"/>
        <w:kinsoku/>
        <w:wordWrap/>
        <w:overflowPunct/>
        <w:topLinePunct w:val="0"/>
        <w:bidi w:val="0"/>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总的来说，该部“智慧消防”信息平台设计规范与国内同类标准水平相比，更加全面、系统、科学、规范。</w:t>
      </w:r>
    </w:p>
    <w:p w14:paraId="03ABA358">
      <w:pPr>
        <w:pStyle w:val="3"/>
        <w:pageBreakBefore w:val="0"/>
        <w:numPr>
          <w:ilvl w:val="1"/>
          <w:numId w:val="0"/>
        </w:numPr>
        <w:kinsoku/>
        <w:wordWrap/>
        <w:overflowPunct/>
        <w:topLinePunct w:val="0"/>
        <w:bidi w:val="0"/>
        <w:spacing w:line="480" w:lineRule="exact"/>
        <w:ind w:leftChars="0"/>
        <w:textAlignment w:val="auto"/>
        <w:rPr>
          <w:rFonts w:hint="eastAsia"/>
          <w:sz w:val="24"/>
          <w:szCs w:val="24"/>
        </w:rPr>
      </w:pPr>
      <w:r>
        <w:rPr>
          <w:rFonts w:hint="eastAsia"/>
          <w:sz w:val="24"/>
          <w:szCs w:val="24"/>
          <w:lang w:eastAsia="zh-CN"/>
        </w:rPr>
        <w:t>（</w:t>
      </w:r>
      <w:r>
        <w:rPr>
          <w:rFonts w:hint="eastAsia"/>
          <w:sz w:val="24"/>
          <w:szCs w:val="24"/>
          <w:lang w:val="en-US" w:eastAsia="zh-CN"/>
        </w:rPr>
        <w:t>七</w:t>
      </w:r>
      <w:r>
        <w:rPr>
          <w:rFonts w:hint="eastAsia"/>
          <w:sz w:val="24"/>
          <w:szCs w:val="24"/>
          <w:lang w:eastAsia="zh-CN"/>
        </w:rPr>
        <w:t>）</w:t>
      </w:r>
      <w:r>
        <w:rPr>
          <w:rFonts w:hint="eastAsia"/>
          <w:sz w:val="24"/>
          <w:szCs w:val="24"/>
        </w:rPr>
        <w:t>重大分歧意见的处理依据和结果</w:t>
      </w:r>
    </w:p>
    <w:p w14:paraId="24178D04">
      <w:pPr>
        <w:pageBreakBefore w:val="0"/>
        <w:kinsoku/>
        <w:wordWrap/>
        <w:overflowPunct/>
        <w:topLinePunct w:val="0"/>
        <w:bidi w:val="0"/>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本标准编制过程中未出现重大分歧。</w:t>
      </w:r>
    </w:p>
    <w:p w14:paraId="337CF182">
      <w:pPr>
        <w:pStyle w:val="3"/>
        <w:pageBreakBefore w:val="0"/>
        <w:numPr>
          <w:ilvl w:val="1"/>
          <w:numId w:val="0"/>
        </w:numPr>
        <w:kinsoku/>
        <w:wordWrap/>
        <w:overflowPunct/>
        <w:topLinePunct w:val="0"/>
        <w:bidi w:val="0"/>
        <w:spacing w:line="480" w:lineRule="exact"/>
        <w:ind w:leftChars="0"/>
        <w:textAlignment w:val="auto"/>
        <w:rPr>
          <w:rFonts w:hint="eastAsia"/>
          <w:sz w:val="24"/>
          <w:szCs w:val="24"/>
        </w:rPr>
      </w:pPr>
      <w:r>
        <w:rPr>
          <w:rFonts w:hint="eastAsia"/>
          <w:sz w:val="24"/>
          <w:szCs w:val="24"/>
          <w:lang w:eastAsia="zh-CN"/>
        </w:rPr>
        <w:t>（</w:t>
      </w:r>
      <w:r>
        <w:rPr>
          <w:rFonts w:hint="eastAsia"/>
          <w:sz w:val="24"/>
          <w:szCs w:val="24"/>
          <w:lang w:val="en-US" w:eastAsia="zh-CN"/>
        </w:rPr>
        <w:t>八</w:t>
      </w:r>
      <w:r>
        <w:rPr>
          <w:rFonts w:hint="eastAsia"/>
          <w:sz w:val="24"/>
          <w:szCs w:val="24"/>
          <w:lang w:eastAsia="zh-CN"/>
        </w:rPr>
        <w:t>）</w:t>
      </w:r>
      <w:r>
        <w:rPr>
          <w:rFonts w:hint="eastAsia"/>
          <w:sz w:val="24"/>
          <w:szCs w:val="24"/>
        </w:rPr>
        <w:t>贯彻标准的要求和措施建议</w:t>
      </w:r>
    </w:p>
    <w:p w14:paraId="7C19D58D">
      <w:pPr>
        <w:pageBreakBefore w:val="0"/>
        <w:kinsoku/>
        <w:wordWrap/>
        <w:overflowPunct/>
        <w:topLinePunct w:val="0"/>
        <w:bidi w:val="0"/>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建议将本标准作为省颁推荐性标准发布实施。本标准发布后，配套编制解读稿，在全省范围内开展宣传、培训、标准及解读稿发放等工作，使其能真正得到实际应用，以便更好地发挥社会效益和经济效益。另外，将对该标准执行情况进行跟踪调查，及时发现和收集标准执行中发现的问题，不断修改完善，提升标准技术水平，进一步提高该标准的科学性和适用性。</w:t>
      </w:r>
    </w:p>
    <w:p w14:paraId="663F9E73">
      <w:pPr>
        <w:pStyle w:val="3"/>
        <w:pageBreakBefore w:val="0"/>
        <w:numPr>
          <w:ilvl w:val="1"/>
          <w:numId w:val="0"/>
        </w:numPr>
        <w:kinsoku/>
        <w:wordWrap/>
        <w:overflowPunct/>
        <w:topLinePunct w:val="0"/>
        <w:bidi w:val="0"/>
        <w:spacing w:line="480" w:lineRule="exact"/>
        <w:ind w:leftChars="0"/>
        <w:textAlignment w:val="auto"/>
        <w:rPr>
          <w:rFonts w:hint="eastAsia"/>
          <w:sz w:val="24"/>
          <w:szCs w:val="24"/>
        </w:rPr>
      </w:pPr>
      <w:r>
        <w:rPr>
          <w:rFonts w:hint="eastAsia"/>
          <w:sz w:val="24"/>
          <w:szCs w:val="24"/>
          <w:lang w:eastAsia="zh-CN"/>
        </w:rPr>
        <w:t>（</w:t>
      </w:r>
      <w:r>
        <w:rPr>
          <w:rFonts w:hint="eastAsia"/>
          <w:sz w:val="24"/>
          <w:szCs w:val="24"/>
          <w:lang w:val="en-US" w:eastAsia="zh-CN"/>
        </w:rPr>
        <w:t>九</w:t>
      </w:r>
      <w:r>
        <w:rPr>
          <w:rFonts w:hint="eastAsia"/>
          <w:sz w:val="24"/>
          <w:szCs w:val="24"/>
          <w:lang w:eastAsia="zh-CN"/>
        </w:rPr>
        <w:t>）</w:t>
      </w:r>
      <w:r>
        <w:rPr>
          <w:rFonts w:hint="eastAsia"/>
          <w:sz w:val="24"/>
          <w:szCs w:val="24"/>
        </w:rPr>
        <w:t>预期效果</w:t>
      </w:r>
    </w:p>
    <w:p w14:paraId="77EC69D8">
      <w:pPr>
        <w:pageBreakBefore w:val="0"/>
        <w:kinsoku/>
        <w:wordWrap/>
        <w:overflowPunct/>
        <w:topLinePunct w:val="0"/>
        <w:bidi w:val="0"/>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经济效益：可以推进海南省消防救援信息化、智能化的普及和应用，有利于推动海南省消防信息资源共享，保障人民群众生命安全和财产安全，提升业务工作开展、业务管理决策的效率和准确性，促进消防救援实战指挥能力快速提升，客观上也将在相关平台人员的工作强度、工作时间，以及消耗成本方面产生综合经济效益。</w:t>
      </w:r>
    </w:p>
    <w:p w14:paraId="06A1FDE5">
      <w:pPr>
        <w:pageBreakBefore w:val="0"/>
        <w:kinsoku/>
        <w:wordWrap/>
        <w:overflowPunct/>
        <w:topLinePunct w:val="0"/>
        <w:bidi w:val="0"/>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社会效益：助推创新消防管理模式，实现消防业务重构，通过把科技应用能力作为核心战斗力来抓，不断创新消防内部管理和外部监督方式方法，提升消防火灾防控和实战指挥能力，有助于提高海南消防救援队伍日常防火监督和应对突发事件的能力，降低和化解突发事件带来的危害和影响，创造良好消防公共服务和公共安全环境，为维护我省的安全稳定和良好秩序</w:t>
      </w:r>
      <w:r>
        <w:rPr>
          <w:rFonts w:hint="eastAsia" w:ascii="宋体" w:hAnsi="宋体" w:cs="宋体"/>
          <w:sz w:val="24"/>
          <w:szCs w:val="24"/>
          <w:lang w:eastAsia="zh-CN"/>
        </w:rPr>
        <w:t>，为</w:t>
      </w:r>
      <w:r>
        <w:rPr>
          <w:rFonts w:hint="eastAsia" w:ascii="宋体" w:hAnsi="宋体" w:eastAsia="宋体" w:cs="宋体"/>
          <w:sz w:val="24"/>
          <w:szCs w:val="24"/>
        </w:rPr>
        <w:t>构建社会主义和谐社会创造良好的公共安全环境</w:t>
      </w:r>
      <w:r>
        <w:rPr>
          <w:rFonts w:hint="eastAsia" w:ascii="宋体" w:hAnsi="宋体" w:cs="宋体"/>
          <w:sz w:val="24"/>
          <w:szCs w:val="24"/>
          <w:lang w:eastAsia="zh-CN"/>
        </w:rPr>
        <w:t>作出</w:t>
      </w:r>
      <w:r>
        <w:rPr>
          <w:rFonts w:hint="eastAsia" w:ascii="宋体" w:hAnsi="宋体" w:eastAsia="宋体" w:cs="宋体"/>
          <w:sz w:val="24"/>
          <w:szCs w:val="24"/>
        </w:rPr>
        <w:t>贡献。</w:t>
      </w:r>
    </w:p>
    <w:p w14:paraId="04B8570A">
      <w:pPr>
        <w:pageBreakBefore w:val="0"/>
        <w:kinsoku/>
        <w:wordWrap/>
        <w:overflowPunct/>
        <w:topLinePunct w:val="0"/>
        <w:bidi w:val="0"/>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生态效益：标准实施能够提升消防安全防控和救援能力，从而减少火灾发生，降低因火灾引起的生态环境污染。</w:t>
      </w:r>
    </w:p>
    <w:p w14:paraId="78794616">
      <w:pPr>
        <w:pageBreakBefore w:val="0"/>
        <w:kinsoku/>
        <w:wordWrap/>
        <w:overflowPunct/>
        <w:topLinePunct w:val="0"/>
        <w:bidi w:val="0"/>
        <w:spacing w:line="480" w:lineRule="exact"/>
        <w:textAlignment w:val="auto"/>
        <w:rPr>
          <w:rFonts w:hint="eastAsia" w:ascii="宋体" w:hAnsi="宋体" w:eastAsia="宋体" w:cs="宋体"/>
          <w:sz w:val="24"/>
          <w:szCs w:val="24"/>
        </w:rPr>
      </w:pPr>
      <w:r>
        <w:rPr>
          <w:rFonts w:hint="eastAsia" w:ascii="宋体" w:hAnsi="宋体" w:cs="宋体"/>
          <w:sz w:val="24"/>
          <w:szCs w:val="24"/>
          <w:lang w:eastAsia="zh-CN"/>
        </w:rPr>
        <w:t>其他</w:t>
      </w:r>
      <w:r>
        <w:rPr>
          <w:rFonts w:hint="eastAsia" w:ascii="宋体" w:hAnsi="宋体" w:eastAsia="宋体" w:cs="宋体"/>
          <w:sz w:val="24"/>
          <w:szCs w:val="24"/>
        </w:rPr>
        <w:t>效益：促进5G、物联网、大数据等新兴技术与消防行业的深度融合，推动智慧消防产品应用场景拓展。</w:t>
      </w:r>
    </w:p>
    <w:p w14:paraId="58F3CF7E">
      <w:pPr>
        <w:pStyle w:val="3"/>
        <w:pageBreakBefore w:val="0"/>
        <w:numPr>
          <w:ilvl w:val="1"/>
          <w:numId w:val="0"/>
        </w:numPr>
        <w:kinsoku/>
        <w:wordWrap/>
        <w:overflowPunct/>
        <w:topLinePunct w:val="0"/>
        <w:bidi w:val="0"/>
        <w:spacing w:line="480" w:lineRule="exact"/>
        <w:ind w:leftChars="0"/>
        <w:textAlignment w:val="auto"/>
        <w:rPr>
          <w:rFonts w:hint="eastAsia"/>
          <w:sz w:val="24"/>
          <w:szCs w:val="24"/>
        </w:rPr>
      </w:pPr>
      <w:r>
        <w:rPr>
          <w:rFonts w:hint="eastAsia"/>
          <w:sz w:val="24"/>
          <w:szCs w:val="24"/>
          <w:lang w:eastAsia="zh-CN"/>
        </w:rPr>
        <w:t>（</w:t>
      </w:r>
      <w:r>
        <w:rPr>
          <w:rFonts w:hint="eastAsia"/>
          <w:sz w:val="24"/>
          <w:szCs w:val="24"/>
          <w:lang w:val="en-US" w:eastAsia="zh-CN"/>
        </w:rPr>
        <w:t>十</w:t>
      </w:r>
      <w:r>
        <w:rPr>
          <w:rFonts w:hint="eastAsia"/>
          <w:sz w:val="24"/>
          <w:szCs w:val="24"/>
          <w:lang w:eastAsia="zh-CN"/>
        </w:rPr>
        <w:t>）</w:t>
      </w:r>
      <w:r>
        <w:rPr>
          <w:rFonts w:hint="eastAsia"/>
          <w:sz w:val="24"/>
          <w:szCs w:val="24"/>
        </w:rPr>
        <w:t>其他应予说明的事项</w:t>
      </w:r>
    </w:p>
    <w:p w14:paraId="3AD5A9C2">
      <w:pPr>
        <w:pageBreakBefore w:val="0"/>
        <w:kinsoku/>
        <w:wordWrap/>
        <w:overflowPunct/>
        <w:topLinePunct w:val="0"/>
        <w:bidi w:val="0"/>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本标准暂无其他说明事项。</w:t>
      </w:r>
    </w:p>
    <w:sectPr>
      <w:footerReference r:id="rId5" w:type="default"/>
      <w:pgSz w:w="11906" w:h="16838"/>
      <w:pgMar w:top="1417" w:right="1417" w:bottom="1417" w:left="1417" w:header="851" w:footer="992" w:gutter="0"/>
      <w:pgNumType w:fmt="decimal" w:start="1"/>
      <w:cols w:space="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SimSun-ExtB">
    <w:panose1 w:val="02010609060101010101"/>
    <w:charset w:val="86"/>
    <w:family w:val="modern"/>
    <w:pitch w:val="default"/>
    <w:sig w:usb0="00000001" w:usb1="02000000" w:usb2="00000000"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6FCED">
    <w:pPr>
      <w:pStyle w:val="15"/>
      <w:jc w:val="center"/>
    </w:pPr>
    <w:r>
      <w:rPr>
        <w:sz w:val="18"/>
      </w:rPr>
      <mc:AlternateContent>
        <mc:Choice Requires="wps">
          <w:drawing>
            <wp:anchor distT="0" distB="0" distL="114300" distR="114300" simplePos="0" relativeHeight="251660288" behindDoc="0" locked="0" layoutInCell="1" allowOverlap="1">
              <wp:simplePos x="0" y="0"/>
              <wp:positionH relativeFrom="margin">
                <wp:posOffset>2705100</wp:posOffset>
              </wp:positionH>
              <wp:positionV relativeFrom="paragraph">
                <wp:posOffset>0</wp:posOffset>
              </wp:positionV>
              <wp:extent cx="817245" cy="211455"/>
              <wp:effectExtent l="0" t="0" r="0" b="0"/>
              <wp:wrapNone/>
              <wp:docPr id="2" name="文本框 2"/>
              <wp:cNvGraphicFramePr/>
              <a:graphic xmlns:a="http://schemas.openxmlformats.org/drawingml/2006/main">
                <a:graphicData uri="http://schemas.microsoft.com/office/word/2010/wordprocessingShape">
                  <wps:wsp>
                    <wps:cNvSpPr txBox="1"/>
                    <wps:spPr>
                      <a:xfrm>
                        <a:off x="0" y="0"/>
                        <a:ext cx="817245" cy="2114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7A8F85">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13pt;margin-top:0pt;height:16.65pt;width:64.35pt;mso-position-horizontal-relative:margin;z-index:251660288;mso-width-relative:page;mso-height-relative:page;" filled="f" stroked="f" coordsize="21600,21600" o:gfxdata="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NkRqPXAAAABwEAAA8AAAAAAAAAAQAgAAAAIgAAAGRycy9kb3du&#10;cmV2LnhtbFBLAQIUABQAAAAIAIdO4kCAkF7POQIAAGEEAAAOAAAAAAAAAAEAIAAAACYBAABkcnMv&#10;ZTJvRG9jLnhtbFBLBQYAAAAABgAGAFkBAADRBQAAAAA=&#10;">
              <v:fill on="f" focussize="0,0"/>
              <v:stroke on="f" weight="0.5pt"/>
              <v:imagedata o:title=""/>
              <o:lock v:ext="edit" aspectratio="f"/>
              <v:textbox inset="0mm,0mm,0mm,0mm">
                <w:txbxContent>
                  <w:p w14:paraId="0E7A8F85">
                    <w:pPr>
                      <w:pStyle w:val="15"/>
                    </w:pPr>
                    <w:r>
                      <w:fldChar w:fldCharType="begin"/>
                    </w:r>
                    <w:r>
                      <w:instrText xml:space="preserve"> PAGE  \* MERGEFORMAT </w:instrText>
                    </w:r>
                    <w:r>
                      <w:fldChar w:fldCharType="separate"/>
                    </w:r>
                    <w:r>
                      <w:t>1</w:t>
                    </w:r>
                    <w:r>
                      <w:fldChar w:fldCharType="end"/>
                    </w:r>
                  </w:p>
                </w:txbxContent>
              </v:textbox>
            </v:shape>
          </w:pict>
        </mc:Fallback>
      </mc:AlternateContent>
    </w:r>
  </w:p>
  <w:p w14:paraId="4DAC6FAC">
    <w:pPr>
      <w:pStyle w:val="1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05" w:lineRule="auto"/>
        <w:ind w:firstLine="480"/>
      </w:pPr>
      <w:r>
        <w:separator/>
      </w:r>
    </w:p>
  </w:footnote>
  <w:footnote w:type="continuationSeparator" w:id="1">
    <w:p>
      <w:pPr>
        <w:spacing w:line="305"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196DE2"/>
    <w:multiLevelType w:val="multilevel"/>
    <w:tmpl w:val="B8196DE2"/>
    <w:lvl w:ilvl="0" w:tentative="0">
      <w:start w:val="1"/>
      <w:numFmt w:val="chineseCounting"/>
      <w:pStyle w:val="2"/>
      <w:suff w:val="nothing"/>
      <w:lvlText w:val="%1、"/>
      <w:lvlJc w:val="left"/>
      <w:pPr>
        <w:tabs>
          <w:tab w:val="left" w:pos="420"/>
        </w:tabs>
        <w:ind w:left="425" w:hanging="425"/>
      </w:pPr>
      <w:rPr>
        <w:rFonts w:hint="eastAsia" w:eastAsia="黑体"/>
        <w:b w:val="0"/>
        <w:sz w:val="32"/>
      </w:rPr>
    </w:lvl>
    <w:lvl w:ilvl="1" w:tentative="0">
      <w:start w:val="1"/>
      <w:numFmt w:val="chineseCounting"/>
      <w:pStyle w:val="3"/>
      <w:suff w:val="nothing"/>
      <w:lvlText w:val="（%2）"/>
      <w:lvlJc w:val="left"/>
      <w:pPr>
        <w:tabs>
          <w:tab w:val="left" w:pos="0"/>
        </w:tabs>
        <w:ind w:left="0" w:leftChars="0" w:firstLine="0" w:firstLineChars="0"/>
      </w:pPr>
      <w:rPr>
        <w:rFonts w:hint="eastAsia" w:ascii="楷体" w:hAnsi="楷体" w:eastAsia="黑体"/>
        <w:b/>
        <w:sz w:val="30"/>
        <w:szCs w:val="28"/>
      </w:rPr>
    </w:lvl>
    <w:lvl w:ilvl="2" w:tentative="0">
      <w:start w:val="1"/>
      <w:numFmt w:val="decimal"/>
      <w:pStyle w:val="4"/>
      <w:isLgl/>
      <w:suff w:val="nothing"/>
      <w:lvlText w:val="%3."/>
      <w:lvlJc w:val="left"/>
      <w:pPr>
        <w:tabs>
          <w:tab w:val="left" w:pos="420"/>
        </w:tabs>
        <w:ind w:left="1418" w:hanging="567"/>
      </w:pPr>
      <w:rPr>
        <w:rFonts w:hint="eastAsia" w:eastAsia="仿宋"/>
        <w:b/>
        <w:sz w:val="32"/>
      </w:rPr>
    </w:lvl>
    <w:lvl w:ilvl="3" w:tentative="0">
      <w:start w:val="1"/>
      <w:numFmt w:val="decimal"/>
      <w:pStyle w:val="5"/>
      <w:isLgl/>
      <w:lvlText w:val="%2.%3.%4"/>
      <w:lvlJc w:val="left"/>
      <w:pPr>
        <w:tabs>
          <w:tab w:val="left" w:pos="420"/>
        </w:tabs>
        <w:ind w:left="1984" w:hanging="708"/>
      </w:pPr>
      <w:rPr>
        <w:rFonts w:hint="eastAsia" w:eastAsia="仿宋"/>
        <w:b/>
        <w:sz w:val="32"/>
      </w:rPr>
    </w:lvl>
    <w:lvl w:ilvl="4" w:tentative="0">
      <w:start w:val="1"/>
      <w:numFmt w:val="decimal"/>
      <w:pStyle w:val="6"/>
      <w:isLgl/>
      <w:lvlText w:val="%2.%3.%4.%5"/>
      <w:lvlJc w:val="left"/>
      <w:pPr>
        <w:ind w:left="2551" w:hanging="850"/>
      </w:pPr>
      <w:rPr>
        <w:rFonts w:hint="eastAsia" w:eastAsia="仿宋"/>
        <w:b/>
        <w:sz w:val="32"/>
      </w:rPr>
    </w:lvl>
    <w:lvl w:ilvl="5" w:tentative="0">
      <w:start w:val="1"/>
      <w:numFmt w:val="decimal"/>
      <w:pStyle w:val="7"/>
      <w:isLgl/>
      <w:lvlText w:val="%2.%3.%4.%5.%6"/>
      <w:lvlJc w:val="left"/>
      <w:pPr>
        <w:ind w:left="3260" w:hanging="1134"/>
      </w:pPr>
      <w:rPr>
        <w:rFonts w:hint="eastAsia" w:eastAsia="仿宋"/>
        <w:b/>
        <w:sz w:val="32"/>
      </w:rPr>
    </w:lvl>
    <w:lvl w:ilvl="6" w:tentative="0">
      <w:start w:val="1"/>
      <w:numFmt w:val="decimal"/>
      <w:pStyle w:val="8"/>
      <w:isLgl/>
      <w:lvlText w:val="%2.%3.%4.%5.%6.%7"/>
      <w:lvlJc w:val="left"/>
      <w:pPr>
        <w:ind w:left="3827" w:hanging="1276"/>
      </w:pPr>
      <w:rPr>
        <w:rFonts w:hint="eastAsia" w:eastAsia="仿宋"/>
        <w:b/>
        <w:sz w:val="32"/>
      </w:rPr>
    </w:lvl>
    <w:lvl w:ilvl="7" w:tentative="0">
      <w:start w:val="1"/>
      <w:numFmt w:val="decimal"/>
      <w:pStyle w:val="9"/>
      <w:isLgl/>
      <w:lvlText w:val="%2.%3.%4.%5.%6.%7.%8"/>
      <w:lvlJc w:val="left"/>
      <w:pPr>
        <w:ind w:left="4394" w:hanging="1418"/>
      </w:pPr>
      <w:rPr>
        <w:rFonts w:hint="eastAsia" w:eastAsia="仿宋"/>
        <w:b/>
        <w:sz w:val="32"/>
      </w:rPr>
    </w:lvl>
    <w:lvl w:ilvl="8" w:tentative="0">
      <w:start w:val="1"/>
      <w:numFmt w:val="decimal"/>
      <w:pStyle w:val="10"/>
      <w:isLgl/>
      <w:lvlText w:val="%2.%3.%4.%5.%6.%7.%8.%9"/>
      <w:lvlJc w:val="left"/>
      <w:pPr>
        <w:ind w:left="5102" w:hanging="1700"/>
      </w:pPr>
      <w:rPr>
        <w:rFonts w:hint="eastAsia" w:eastAsia="仿宋"/>
        <w:b/>
        <w:sz w:val="32"/>
      </w:rPr>
    </w:lvl>
  </w:abstractNum>
  <w:abstractNum w:abstractNumId="1">
    <w:nsid w:val="0000000B"/>
    <w:multiLevelType w:val="multilevel"/>
    <w:tmpl w:val="0000000B"/>
    <w:lvl w:ilvl="0" w:tentative="0">
      <w:start w:val="1"/>
      <w:numFmt w:val="decimal"/>
      <w:lvlText w:val="%1、"/>
      <w:lvlJc w:val="left"/>
      <w:pPr>
        <w:tabs>
          <w:tab w:val="left" w:pos="432"/>
        </w:tabs>
        <w:ind w:left="432" w:hanging="432"/>
      </w:pPr>
      <w:rPr>
        <w:rFonts w:ascii="Times New Roman" w:hAnsi="Times New Roman" w:eastAsia="Times New Roman" w:cs="Times New Roman"/>
      </w:rPr>
    </w:lvl>
    <w:lvl w:ilvl="1" w:tentative="0">
      <w:start w:val="1"/>
      <w:numFmt w:val="decimal"/>
      <w:lvlText w:val="%1.%2 "/>
      <w:lvlJc w:val="left"/>
      <w:pPr>
        <w:tabs>
          <w:tab w:val="left" w:pos="397"/>
        </w:tabs>
        <w:ind w:left="0" w:firstLine="0"/>
      </w:pPr>
      <w:rPr>
        <w:rFonts w:hint="eastAsia"/>
      </w:rPr>
    </w:lvl>
    <w:lvl w:ilvl="2" w:tentative="0">
      <w:start w:val="1"/>
      <w:numFmt w:val="decimal"/>
      <w:lvlText w:val="%1.%2.%3 "/>
      <w:lvlJc w:val="left"/>
      <w:pPr>
        <w:tabs>
          <w:tab w:val="left" w:pos="720"/>
        </w:tabs>
        <w:ind w:left="720" w:hanging="720"/>
      </w:pPr>
      <w:rPr>
        <w:rFonts w:hint="eastAsia"/>
      </w:rPr>
    </w:lvl>
    <w:lvl w:ilvl="3" w:tentative="0">
      <w:start w:val="1"/>
      <w:numFmt w:val="decimal"/>
      <w:pStyle w:val="34"/>
      <w:lvlText w:val="%1.%2.%3.%4 "/>
      <w:lvlJc w:val="left"/>
      <w:pPr>
        <w:tabs>
          <w:tab w:val="left" w:pos="1854"/>
        </w:tabs>
        <w:ind w:left="1854" w:hanging="864"/>
      </w:pPr>
      <w:rPr>
        <w:rFonts w:hint="eastAsia" w:ascii="仿宋_GB2312" w:eastAsia="仿宋_GB2312"/>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657D3FBC"/>
    <w:multiLevelType w:val="multilevel"/>
    <w:tmpl w:val="657D3FBC"/>
    <w:lvl w:ilvl="0" w:tentative="0">
      <w:start w:val="1"/>
      <w:numFmt w:val="upperLetter"/>
      <w:pStyle w:val="41"/>
      <w:suff w:val="nothing"/>
      <w:lvlText w:val="附　录　%1"/>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
    <w:nsid w:val="6CEA2025"/>
    <w:multiLevelType w:val="multilevel"/>
    <w:tmpl w:val="6CEA2025"/>
    <w:lvl w:ilvl="0" w:tentative="0">
      <w:start w:val="1"/>
      <w:numFmt w:val="none"/>
      <w:pStyle w:val="42"/>
      <w:suff w:val="nothing"/>
      <w:lvlText w:val="%1"/>
      <w:lvlJc w:val="left"/>
      <w:pPr>
        <w:ind w:left="0" w:firstLine="0"/>
      </w:pPr>
      <w:rPr>
        <w:rFonts w:hint="default" w:ascii="Times New Roman" w:hAnsi="Times New Roman"/>
        <w:b/>
        <w:i w:val="0"/>
        <w:sz w:val="21"/>
      </w:rPr>
    </w:lvl>
    <w:lvl w:ilvl="1" w:tentative="0">
      <w:start w:val="1"/>
      <w:numFmt w:val="decimal"/>
      <w:pStyle w:val="38"/>
      <w:suff w:val="nothing"/>
      <w:lvlText w:val="%1%2　"/>
      <w:lvlJc w:val="left"/>
      <w:pPr>
        <w:ind w:left="0" w:firstLine="0"/>
      </w:pPr>
      <w:rPr>
        <w:rFonts w:hint="eastAsia" w:ascii="黑体" w:hAnsi="Times New Roman" w:eastAsia="黑体"/>
        <w:b w:val="0"/>
        <w:i w:val="0"/>
        <w:sz w:val="21"/>
      </w:rPr>
    </w:lvl>
    <w:lvl w:ilvl="2" w:tentative="0">
      <w:start w:val="1"/>
      <w:numFmt w:val="decimal"/>
      <w:pStyle w:val="37"/>
      <w:suff w:val="nothing"/>
      <w:lvlText w:val="%1%2.%3　"/>
      <w:lvlJc w:val="left"/>
      <w:pPr>
        <w:ind w:left="0" w:firstLine="0"/>
      </w:pPr>
      <w:rPr>
        <w:rFonts w:hint="eastAsia" w:ascii="黑体" w:hAnsi="Times New Roman" w:eastAsia="黑体"/>
        <w:b w:val="0"/>
        <w:i w:val="0"/>
        <w:sz w:val="21"/>
      </w:rPr>
    </w:lvl>
    <w:lvl w:ilvl="3" w:tentative="0">
      <w:start w:val="1"/>
      <w:numFmt w:val="decimal"/>
      <w:pStyle w:val="36"/>
      <w:suff w:val="nothing"/>
      <w:lvlText w:val="%1%2.%3.%4　"/>
      <w:lvlJc w:val="left"/>
      <w:pPr>
        <w:ind w:left="0" w:firstLine="0"/>
      </w:pPr>
      <w:rPr>
        <w:rFonts w:hint="eastAsia" w:ascii="黑体" w:hAnsi="Times New Roman" w:eastAsia="黑体"/>
        <w:b w:val="0"/>
        <w:i w:val="0"/>
        <w:sz w:val="21"/>
      </w:rPr>
    </w:lvl>
    <w:lvl w:ilvl="4" w:tentative="0">
      <w:start w:val="1"/>
      <w:numFmt w:val="decimal"/>
      <w:pStyle w:val="39"/>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4">
    <w:nsid w:val="7A72B168"/>
    <w:multiLevelType w:val="singleLevel"/>
    <w:tmpl w:val="7A72B168"/>
    <w:lvl w:ilvl="0" w:tentative="0">
      <w:start w:val="2"/>
      <w:numFmt w:val="decimal"/>
      <w:suff w:val="space"/>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A5MGE5OGZhOGYwOTJjMDJhODc0NjA5ZTU0NmVmMWEifQ=="/>
  </w:docVars>
  <w:rsids>
    <w:rsidRoot w:val="00172A27"/>
    <w:rsid w:val="00042D8D"/>
    <w:rsid w:val="00051556"/>
    <w:rsid w:val="00080106"/>
    <w:rsid w:val="00086A17"/>
    <w:rsid w:val="000938C5"/>
    <w:rsid w:val="000A3310"/>
    <w:rsid w:val="000B124E"/>
    <w:rsid w:val="000D4DCD"/>
    <w:rsid w:val="000E2010"/>
    <w:rsid w:val="000E2503"/>
    <w:rsid w:val="00112CE2"/>
    <w:rsid w:val="00113171"/>
    <w:rsid w:val="00125420"/>
    <w:rsid w:val="00172552"/>
    <w:rsid w:val="00172A27"/>
    <w:rsid w:val="001A5890"/>
    <w:rsid w:val="001A5C54"/>
    <w:rsid w:val="001E4BD0"/>
    <w:rsid w:val="00223C55"/>
    <w:rsid w:val="00240126"/>
    <w:rsid w:val="00253F5A"/>
    <w:rsid w:val="0027369A"/>
    <w:rsid w:val="00292D4D"/>
    <w:rsid w:val="002D5945"/>
    <w:rsid w:val="002F2DAF"/>
    <w:rsid w:val="00317CB8"/>
    <w:rsid w:val="003351E7"/>
    <w:rsid w:val="0034306D"/>
    <w:rsid w:val="00351BBB"/>
    <w:rsid w:val="00361675"/>
    <w:rsid w:val="003651F3"/>
    <w:rsid w:val="00365C9A"/>
    <w:rsid w:val="003678DE"/>
    <w:rsid w:val="003739EF"/>
    <w:rsid w:val="003819AF"/>
    <w:rsid w:val="00391BB7"/>
    <w:rsid w:val="00392D9F"/>
    <w:rsid w:val="003C0602"/>
    <w:rsid w:val="003C4704"/>
    <w:rsid w:val="003E48C2"/>
    <w:rsid w:val="003E4D86"/>
    <w:rsid w:val="003E7B32"/>
    <w:rsid w:val="003F2383"/>
    <w:rsid w:val="00404715"/>
    <w:rsid w:val="00411C9C"/>
    <w:rsid w:val="00422D3B"/>
    <w:rsid w:val="00432C28"/>
    <w:rsid w:val="00443B60"/>
    <w:rsid w:val="00473E22"/>
    <w:rsid w:val="004874D5"/>
    <w:rsid w:val="004E720E"/>
    <w:rsid w:val="005212BA"/>
    <w:rsid w:val="00527188"/>
    <w:rsid w:val="0054027C"/>
    <w:rsid w:val="005524BC"/>
    <w:rsid w:val="0055487B"/>
    <w:rsid w:val="00586670"/>
    <w:rsid w:val="005A271D"/>
    <w:rsid w:val="00651A2C"/>
    <w:rsid w:val="00653BDD"/>
    <w:rsid w:val="00674011"/>
    <w:rsid w:val="00674CF6"/>
    <w:rsid w:val="006C6E85"/>
    <w:rsid w:val="006D1A15"/>
    <w:rsid w:val="006D2AF2"/>
    <w:rsid w:val="006D3B49"/>
    <w:rsid w:val="006D597B"/>
    <w:rsid w:val="00706619"/>
    <w:rsid w:val="00713086"/>
    <w:rsid w:val="0071437B"/>
    <w:rsid w:val="007178B1"/>
    <w:rsid w:val="00743B7E"/>
    <w:rsid w:val="007463FF"/>
    <w:rsid w:val="00796940"/>
    <w:rsid w:val="007C481E"/>
    <w:rsid w:val="007E5FD6"/>
    <w:rsid w:val="007F778A"/>
    <w:rsid w:val="008166E0"/>
    <w:rsid w:val="00816FAE"/>
    <w:rsid w:val="0085702F"/>
    <w:rsid w:val="0086273F"/>
    <w:rsid w:val="00865786"/>
    <w:rsid w:val="00871BB0"/>
    <w:rsid w:val="00872E23"/>
    <w:rsid w:val="0087670F"/>
    <w:rsid w:val="008829C6"/>
    <w:rsid w:val="00886C17"/>
    <w:rsid w:val="008C0834"/>
    <w:rsid w:val="008E6057"/>
    <w:rsid w:val="008F01F1"/>
    <w:rsid w:val="00904495"/>
    <w:rsid w:val="0090728F"/>
    <w:rsid w:val="00934AA9"/>
    <w:rsid w:val="00962843"/>
    <w:rsid w:val="00994D95"/>
    <w:rsid w:val="009B3A08"/>
    <w:rsid w:val="009C67E9"/>
    <w:rsid w:val="009D16CE"/>
    <w:rsid w:val="009D3228"/>
    <w:rsid w:val="00A1294E"/>
    <w:rsid w:val="00A16AEC"/>
    <w:rsid w:val="00A24264"/>
    <w:rsid w:val="00A32C36"/>
    <w:rsid w:val="00A35899"/>
    <w:rsid w:val="00A80D76"/>
    <w:rsid w:val="00A85252"/>
    <w:rsid w:val="00A8730E"/>
    <w:rsid w:val="00AA6DDD"/>
    <w:rsid w:val="00AB25B2"/>
    <w:rsid w:val="00AC3282"/>
    <w:rsid w:val="00B22F76"/>
    <w:rsid w:val="00B31EAB"/>
    <w:rsid w:val="00B40FA5"/>
    <w:rsid w:val="00B54A32"/>
    <w:rsid w:val="00BA1A02"/>
    <w:rsid w:val="00BA2651"/>
    <w:rsid w:val="00BC6927"/>
    <w:rsid w:val="00BF2F2B"/>
    <w:rsid w:val="00C024F8"/>
    <w:rsid w:val="00C369AA"/>
    <w:rsid w:val="00C4057A"/>
    <w:rsid w:val="00C41572"/>
    <w:rsid w:val="00C63E1B"/>
    <w:rsid w:val="00CA11A9"/>
    <w:rsid w:val="00CA2392"/>
    <w:rsid w:val="00CA751E"/>
    <w:rsid w:val="00CB360C"/>
    <w:rsid w:val="00CE025A"/>
    <w:rsid w:val="00CF3558"/>
    <w:rsid w:val="00D11074"/>
    <w:rsid w:val="00D44444"/>
    <w:rsid w:val="00D505EF"/>
    <w:rsid w:val="00D54520"/>
    <w:rsid w:val="00D64E9C"/>
    <w:rsid w:val="00DA43ED"/>
    <w:rsid w:val="00DA64ED"/>
    <w:rsid w:val="00DA667C"/>
    <w:rsid w:val="00DC5074"/>
    <w:rsid w:val="00DD37F6"/>
    <w:rsid w:val="00DD53D0"/>
    <w:rsid w:val="00E12974"/>
    <w:rsid w:val="00E2158C"/>
    <w:rsid w:val="00E541F0"/>
    <w:rsid w:val="00E56FE4"/>
    <w:rsid w:val="00E65645"/>
    <w:rsid w:val="00E66ED6"/>
    <w:rsid w:val="00E77CDC"/>
    <w:rsid w:val="00E87077"/>
    <w:rsid w:val="00E93C80"/>
    <w:rsid w:val="00EA4816"/>
    <w:rsid w:val="00EC5255"/>
    <w:rsid w:val="00ED02FA"/>
    <w:rsid w:val="00EE6C34"/>
    <w:rsid w:val="00F24937"/>
    <w:rsid w:val="00F451BE"/>
    <w:rsid w:val="00F62BE2"/>
    <w:rsid w:val="00F8533A"/>
    <w:rsid w:val="00FA6523"/>
    <w:rsid w:val="00FB0FD9"/>
    <w:rsid w:val="00FB263B"/>
    <w:rsid w:val="0179556C"/>
    <w:rsid w:val="020874E3"/>
    <w:rsid w:val="02135FD3"/>
    <w:rsid w:val="022C33BC"/>
    <w:rsid w:val="0238328E"/>
    <w:rsid w:val="03084CFA"/>
    <w:rsid w:val="04221DEB"/>
    <w:rsid w:val="045C354F"/>
    <w:rsid w:val="06564996"/>
    <w:rsid w:val="06CC6BD2"/>
    <w:rsid w:val="06F77693"/>
    <w:rsid w:val="07132099"/>
    <w:rsid w:val="08236132"/>
    <w:rsid w:val="08627DB2"/>
    <w:rsid w:val="09DB3294"/>
    <w:rsid w:val="09F2400E"/>
    <w:rsid w:val="0A7C4F06"/>
    <w:rsid w:val="0AB319EF"/>
    <w:rsid w:val="0C22060C"/>
    <w:rsid w:val="0C635C82"/>
    <w:rsid w:val="0C6D3E1F"/>
    <w:rsid w:val="0DF76096"/>
    <w:rsid w:val="0F4B669A"/>
    <w:rsid w:val="0F9D7FA6"/>
    <w:rsid w:val="0F9E470A"/>
    <w:rsid w:val="11C555F4"/>
    <w:rsid w:val="12136167"/>
    <w:rsid w:val="128E5CA6"/>
    <w:rsid w:val="12E5788F"/>
    <w:rsid w:val="131C4CCA"/>
    <w:rsid w:val="13CF3B07"/>
    <w:rsid w:val="14F459E4"/>
    <w:rsid w:val="154B4432"/>
    <w:rsid w:val="162C24E0"/>
    <w:rsid w:val="16977679"/>
    <w:rsid w:val="16B74615"/>
    <w:rsid w:val="17F35ECE"/>
    <w:rsid w:val="18420856"/>
    <w:rsid w:val="18892EDF"/>
    <w:rsid w:val="199F432C"/>
    <w:rsid w:val="19DB051D"/>
    <w:rsid w:val="1A7A3605"/>
    <w:rsid w:val="1CA07FF1"/>
    <w:rsid w:val="1CC30840"/>
    <w:rsid w:val="1DD5675A"/>
    <w:rsid w:val="1DD957B9"/>
    <w:rsid w:val="1F0012FB"/>
    <w:rsid w:val="2096589C"/>
    <w:rsid w:val="210950DE"/>
    <w:rsid w:val="21230C7D"/>
    <w:rsid w:val="2128270A"/>
    <w:rsid w:val="22846ECF"/>
    <w:rsid w:val="232511AD"/>
    <w:rsid w:val="23622A2C"/>
    <w:rsid w:val="23752E4B"/>
    <w:rsid w:val="23982EC7"/>
    <w:rsid w:val="23B720F8"/>
    <w:rsid w:val="2534545C"/>
    <w:rsid w:val="255B55BC"/>
    <w:rsid w:val="257376C0"/>
    <w:rsid w:val="25BB1054"/>
    <w:rsid w:val="25D845A8"/>
    <w:rsid w:val="26EC5351"/>
    <w:rsid w:val="281765A6"/>
    <w:rsid w:val="284A5F74"/>
    <w:rsid w:val="2984318F"/>
    <w:rsid w:val="2A1A7084"/>
    <w:rsid w:val="2A5C2E14"/>
    <w:rsid w:val="2A723F7F"/>
    <w:rsid w:val="2C1B0D4A"/>
    <w:rsid w:val="2CD93F82"/>
    <w:rsid w:val="2CE51A84"/>
    <w:rsid w:val="2D2D5593"/>
    <w:rsid w:val="2D9767D9"/>
    <w:rsid w:val="2E7E4EF0"/>
    <w:rsid w:val="31436CD1"/>
    <w:rsid w:val="31764356"/>
    <w:rsid w:val="32272728"/>
    <w:rsid w:val="33103914"/>
    <w:rsid w:val="331D07D1"/>
    <w:rsid w:val="34B02776"/>
    <w:rsid w:val="35487757"/>
    <w:rsid w:val="35B90DD2"/>
    <w:rsid w:val="36DD37CC"/>
    <w:rsid w:val="37377380"/>
    <w:rsid w:val="379D6972"/>
    <w:rsid w:val="380D6EF4"/>
    <w:rsid w:val="38746B20"/>
    <w:rsid w:val="390A7CFF"/>
    <w:rsid w:val="39BA1BA2"/>
    <w:rsid w:val="3A442B93"/>
    <w:rsid w:val="3AA0523C"/>
    <w:rsid w:val="3B637117"/>
    <w:rsid w:val="3C0A5F7D"/>
    <w:rsid w:val="3C41032F"/>
    <w:rsid w:val="3C5A4264"/>
    <w:rsid w:val="3CB31F78"/>
    <w:rsid w:val="3D1268F0"/>
    <w:rsid w:val="3D5B737C"/>
    <w:rsid w:val="3E556F89"/>
    <w:rsid w:val="3F1461F9"/>
    <w:rsid w:val="425A0117"/>
    <w:rsid w:val="429D18BF"/>
    <w:rsid w:val="440C3942"/>
    <w:rsid w:val="44354C47"/>
    <w:rsid w:val="447B3295"/>
    <w:rsid w:val="45B206E7"/>
    <w:rsid w:val="46202F89"/>
    <w:rsid w:val="463B050F"/>
    <w:rsid w:val="46D149CF"/>
    <w:rsid w:val="47FA38C7"/>
    <w:rsid w:val="4820176A"/>
    <w:rsid w:val="4876708F"/>
    <w:rsid w:val="488937B4"/>
    <w:rsid w:val="49034157"/>
    <w:rsid w:val="491F1A22"/>
    <w:rsid w:val="495C2C76"/>
    <w:rsid w:val="498413E9"/>
    <w:rsid w:val="4B920D53"/>
    <w:rsid w:val="4CB3128D"/>
    <w:rsid w:val="4CC4300C"/>
    <w:rsid w:val="4F7B4BEF"/>
    <w:rsid w:val="51436207"/>
    <w:rsid w:val="51A27387"/>
    <w:rsid w:val="51E11F6A"/>
    <w:rsid w:val="52276852"/>
    <w:rsid w:val="522E1B11"/>
    <w:rsid w:val="5362532D"/>
    <w:rsid w:val="53652582"/>
    <w:rsid w:val="540F5132"/>
    <w:rsid w:val="56240A22"/>
    <w:rsid w:val="579932E7"/>
    <w:rsid w:val="58490869"/>
    <w:rsid w:val="5951593C"/>
    <w:rsid w:val="5A67627B"/>
    <w:rsid w:val="5A76065D"/>
    <w:rsid w:val="5AA6042C"/>
    <w:rsid w:val="5AC733C4"/>
    <w:rsid w:val="5B050EB5"/>
    <w:rsid w:val="5B57C300"/>
    <w:rsid w:val="5C283EC5"/>
    <w:rsid w:val="5DCE4968"/>
    <w:rsid w:val="5EB73853"/>
    <w:rsid w:val="5EE65777"/>
    <w:rsid w:val="5F4D6E91"/>
    <w:rsid w:val="5F5400BC"/>
    <w:rsid w:val="5FA82319"/>
    <w:rsid w:val="6200468F"/>
    <w:rsid w:val="6201343F"/>
    <w:rsid w:val="629B6FF0"/>
    <w:rsid w:val="63C14F9E"/>
    <w:rsid w:val="63EB4DBA"/>
    <w:rsid w:val="64EF383B"/>
    <w:rsid w:val="65632CFF"/>
    <w:rsid w:val="65A63B99"/>
    <w:rsid w:val="65AE59D0"/>
    <w:rsid w:val="65F745B2"/>
    <w:rsid w:val="669B46E7"/>
    <w:rsid w:val="67606102"/>
    <w:rsid w:val="67D82FCC"/>
    <w:rsid w:val="687F3F95"/>
    <w:rsid w:val="699E5335"/>
    <w:rsid w:val="6A3457CB"/>
    <w:rsid w:val="6B9D0C82"/>
    <w:rsid w:val="6BC71370"/>
    <w:rsid w:val="6BE272A9"/>
    <w:rsid w:val="6C276CBC"/>
    <w:rsid w:val="6C6E6699"/>
    <w:rsid w:val="70386031"/>
    <w:rsid w:val="70437ECD"/>
    <w:rsid w:val="709F099D"/>
    <w:rsid w:val="71C034F3"/>
    <w:rsid w:val="71CC00E9"/>
    <w:rsid w:val="71E4604A"/>
    <w:rsid w:val="733972BD"/>
    <w:rsid w:val="75307056"/>
    <w:rsid w:val="754A592D"/>
    <w:rsid w:val="75E969DD"/>
    <w:rsid w:val="77521091"/>
    <w:rsid w:val="77ED3F06"/>
    <w:rsid w:val="79803F00"/>
    <w:rsid w:val="7B115A05"/>
    <w:rsid w:val="7B252358"/>
    <w:rsid w:val="7BC23C5D"/>
    <w:rsid w:val="7BFF0E61"/>
    <w:rsid w:val="7C036440"/>
    <w:rsid w:val="7C140161"/>
    <w:rsid w:val="7C2348FF"/>
    <w:rsid w:val="7DA737B9"/>
    <w:rsid w:val="7DB0A0DA"/>
    <w:rsid w:val="7F251D3F"/>
    <w:rsid w:val="7F901A63"/>
    <w:rsid w:val="7FDD21EA"/>
    <w:rsid w:val="7FF59C0F"/>
    <w:rsid w:val="96B690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05" w:lineRule="auto"/>
      <w:ind w:firstLine="678" w:firstLineChars="200"/>
      <w:jc w:val="both"/>
    </w:pPr>
    <w:rPr>
      <w:rFonts w:eastAsia="宋体" w:asciiTheme="minorAscii" w:hAnsiTheme="minorAscii" w:cstheme="minorBidi"/>
      <w:kern w:val="2"/>
      <w:sz w:val="24"/>
      <w:szCs w:val="22"/>
      <w:lang w:val="en-US" w:eastAsia="zh-CN" w:bidi="ar-SA"/>
    </w:rPr>
  </w:style>
  <w:style w:type="paragraph" w:styleId="2">
    <w:name w:val="heading 1"/>
    <w:next w:val="1"/>
    <w:qFormat/>
    <w:uiPriority w:val="9"/>
    <w:pPr>
      <w:keepNext/>
      <w:keepLines/>
      <w:numPr>
        <w:ilvl w:val="0"/>
        <w:numId w:val="1"/>
      </w:numPr>
      <w:tabs>
        <w:tab w:val="left" w:pos="0"/>
        <w:tab w:val="clear" w:pos="420"/>
      </w:tabs>
      <w:spacing w:before="100" w:beforeLines="100" w:line="360" w:lineRule="auto"/>
      <w:outlineLvl w:val="0"/>
    </w:pPr>
    <w:rPr>
      <w:rFonts w:ascii="宋体" w:hAnsi="宋体" w:eastAsia="黑体" w:cs="SimSun-ExtB"/>
      <w:b/>
      <w:bCs/>
      <w:kern w:val="44"/>
      <w:sz w:val="32"/>
      <w:szCs w:val="44"/>
      <w:lang w:val="en-US" w:eastAsia="zh-CN" w:bidi="ar-SA"/>
    </w:rPr>
  </w:style>
  <w:style w:type="paragraph" w:styleId="3">
    <w:name w:val="heading 2"/>
    <w:next w:val="1"/>
    <w:unhideWhenUsed/>
    <w:qFormat/>
    <w:uiPriority w:val="9"/>
    <w:pPr>
      <w:keepNext/>
      <w:keepLines/>
      <w:numPr>
        <w:ilvl w:val="1"/>
        <w:numId w:val="1"/>
      </w:numPr>
      <w:spacing w:line="360" w:lineRule="auto"/>
      <w:ind w:left="851" w:hanging="567"/>
      <w:outlineLvl w:val="1"/>
    </w:pPr>
    <w:rPr>
      <w:rFonts w:ascii="宋体" w:hAnsi="宋体" w:eastAsia="黑体" w:cs="SimSun-ExtB"/>
      <w:b/>
      <w:bCs/>
      <w:kern w:val="2"/>
      <w:sz w:val="30"/>
      <w:szCs w:val="32"/>
      <w:lang w:val="en-US" w:eastAsia="zh-CN" w:bidi="ar-SA"/>
    </w:rPr>
  </w:style>
  <w:style w:type="paragraph" w:styleId="4">
    <w:name w:val="heading 3"/>
    <w:next w:val="1"/>
    <w:unhideWhenUsed/>
    <w:qFormat/>
    <w:uiPriority w:val="9"/>
    <w:pPr>
      <w:keepNext/>
      <w:keepLines/>
      <w:numPr>
        <w:ilvl w:val="2"/>
        <w:numId w:val="1"/>
      </w:numPr>
      <w:spacing w:line="360" w:lineRule="auto"/>
      <w:ind w:left="0" w:firstLine="0"/>
      <w:outlineLvl w:val="2"/>
    </w:pPr>
    <w:rPr>
      <w:rFonts w:ascii="宋体" w:hAnsi="宋体" w:eastAsia="黑体" w:cs="SimSun-ExtB"/>
      <w:b/>
      <w:bCs/>
      <w:kern w:val="2"/>
      <w:sz w:val="28"/>
      <w:szCs w:val="32"/>
      <w:lang w:val="en-US" w:eastAsia="zh-CN" w:bidi="ar-SA"/>
    </w:rPr>
  </w:style>
  <w:style w:type="paragraph" w:styleId="5">
    <w:name w:val="heading 4"/>
    <w:next w:val="1"/>
    <w:unhideWhenUsed/>
    <w:qFormat/>
    <w:uiPriority w:val="9"/>
    <w:pPr>
      <w:keepNext/>
      <w:keepLines/>
      <w:numPr>
        <w:ilvl w:val="3"/>
        <w:numId w:val="1"/>
      </w:numPr>
      <w:spacing w:line="360" w:lineRule="auto"/>
      <w:ind w:left="1984" w:hanging="708"/>
      <w:outlineLvl w:val="3"/>
    </w:pPr>
    <w:rPr>
      <w:rFonts w:ascii="宋体" w:hAnsi="宋体" w:eastAsia="黑体" w:cs="SimSun-ExtB"/>
      <w:bCs/>
      <w:kern w:val="2"/>
      <w:sz w:val="28"/>
      <w:szCs w:val="28"/>
      <w:lang w:val="en-US" w:eastAsia="zh-CN" w:bidi="ar-SA"/>
    </w:rPr>
  </w:style>
  <w:style w:type="paragraph" w:styleId="6">
    <w:name w:val="heading 5"/>
    <w:basedOn w:val="1"/>
    <w:next w:val="1"/>
    <w:semiHidden/>
    <w:unhideWhenUsed/>
    <w:qFormat/>
    <w:uiPriority w:val="9"/>
    <w:pPr>
      <w:keepNext/>
      <w:keepLines/>
      <w:numPr>
        <w:ilvl w:val="4"/>
        <w:numId w:val="1"/>
      </w:numPr>
      <w:spacing w:before="280" w:beforeLines="0" w:beforeAutospacing="0" w:after="290" w:afterLines="0" w:afterAutospacing="0" w:line="372" w:lineRule="auto"/>
      <w:ind w:left="2551" w:hanging="850" w:firstLineChars="0"/>
      <w:outlineLvl w:val="4"/>
    </w:pPr>
    <w:rPr>
      <w:b/>
      <w:sz w:val="28"/>
    </w:rPr>
  </w:style>
  <w:style w:type="paragraph" w:styleId="7">
    <w:name w:val="heading 6"/>
    <w:basedOn w:val="1"/>
    <w:next w:val="1"/>
    <w:semiHidden/>
    <w:unhideWhenUsed/>
    <w:qFormat/>
    <w:uiPriority w:val="9"/>
    <w:pPr>
      <w:keepNext/>
      <w:keepLines/>
      <w:numPr>
        <w:ilvl w:val="5"/>
        <w:numId w:val="1"/>
      </w:numPr>
      <w:spacing w:before="240" w:beforeLines="0" w:beforeAutospacing="0" w:after="64" w:afterLines="0" w:afterAutospacing="0" w:line="317" w:lineRule="auto"/>
      <w:ind w:left="3260" w:hanging="1134" w:firstLineChars="0"/>
      <w:outlineLvl w:val="5"/>
    </w:pPr>
    <w:rPr>
      <w:rFonts w:ascii="Arial" w:hAnsi="Arial" w:eastAsia="黑体"/>
      <w:b/>
      <w:sz w:val="24"/>
    </w:rPr>
  </w:style>
  <w:style w:type="paragraph" w:styleId="8">
    <w:name w:val="heading 7"/>
    <w:basedOn w:val="1"/>
    <w:next w:val="1"/>
    <w:semiHidden/>
    <w:unhideWhenUsed/>
    <w:qFormat/>
    <w:uiPriority w:val="9"/>
    <w:pPr>
      <w:keepNext/>
      <w:keepLines/>
      <w:numPr>
        <w:ilvl w:val="6"/>
        <w:numId w:val="1"/>
      </w:numPr>
      <w:spacing w:before="240" w:beforeLines="0" w:beforeAutospacing="0" w:after="64" w:afterLines="0" w:afterAutospacing="0" w:line="317" w:lineRule="auto"/>
      <w:ind w:left="3827" w:hanging="1276" w:firstLineChars="0"/>
      <w:outlineLvl w:val="6"/>
    </w:pPr>
    <w:rPr>
      <w:b/>
      <w:sz w:val="24"/>
    </w:rPr>
  </w:style>
  <w:style w:type="paragraph" w:styleId="9">
    <w:name w:val="heading 8"/>
    <w:basedOn w:val="1"/>
    <w:next w:val="1"/>
    <w:semiHidden/>
    <w:unhideWhenUsed/>
    <w:qFormat/>
    <w:uiPriority w:val="9"/>
    <w:pPr>
      <w:keepNext/>
      <w:keepLines/>
      <w:numPr>
        <w:ilvl w:val="7"/>
        <w:numId w:val="1"/>
      </w:numPr>
      <w:spacing w:before="240" w:beforeLines="0" w:beforeAutospacing="0" w:after="64" w:afterLines="0" w:afterAutospacing="0" w:line="317" w:lineRule="auto"/>
      <w:ind w:left="4394" w:hanging="1418" w:firstLineChars="0"/>
      <w:outlineLvl w:val="7"/>
    </w:pPr>
    <w:rPr>
      <w:rFonts w:ascii="Arial" w:hAnsi="Arial" w:eastAsia="黑体"/>
      <w:sz w:val="24"/>
    </w:rPr>
  </w:style>
  <w:style w:type="paragraph" w:styleId="10">
    <w:name w:val="heading 9"/>
    <w:basedOn w:val="1"/>
    <w:next w:val="1"/>
    <w:semiHidden/>
    <w:unhideWhenUsed/>
    <w:qFormat/>
    <w:uiPriority w:val="9"/>
    <w:pPr>
      <w:keepNext/>
      <w:keepLines/>
      <w:numPr>
        <w:ilvl w:val="8"/>
        <w:numId w:val="1"/>
      </w:numPr>
      <w:spacing w:before="240" w:beforeLines="0" w:beforeAutospacing="0" w:after="64" w:afterLines="0" w:afterAutospacing="0" w:line="317" w:lineRule="auto"/>
      <w:ind w:left="5102" w:hanging="1700" w:firstLineChars="0"/>
      <w:outlineLvl w:val="8"/>
    </w:pPr>
    <w:rPr>
      <w:rFonts w:ascii="Arial" w:hAnsi="Arial" w:eastAsia="黑体"/>
      <w:sz w:val="21"/>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unhideWhenUsed/>
    <w:qFormat/>
    <w:uiPriority w:val="35"/>
    <w:pPr>
      <w:ind w:firstLine="0" w:firstLineChars="0"/>
      <w:jc w:val="center"/>
    </w:pPr>
    <w:rPr>
      <w:rFonts w:ascii="Arial" w:hAnsi="Arial" w:eastAsia="黑体"/>
      <w:sz w:val="24"/>
    </w:rPr>
  </w:style>
  <w:style w:type="paragraph" w:styleId="12">
    <w:name w:val="annotation text"/>
    <w:basedOn w:val="1"/>
    <w:semiHidden/>
    <w:unhideWhenUsed/>
    <w:qFormat/>
    <w:uiPriority w:val="99"/>
    <w:pPr>
      <w:jc w:val="left"/>
    </w:pPr>
  </w:style>
  <w:style w:type="paragraph" w:styleId="13">
    <w:name w:val="Body Text"/>
    <w:basedOn w:val="1"/>
    <w:qFormat/>
    <w:uiPriority w:val="1"/>
    <w:pPr>
      <w:ind w:left="120"/>
      <w:jc w:val="left"/>
    </w:pPr>
    <w:rPr>
      <w:rFonts w:ascii="宋体" w:hAnsi="宋体"/>
      <w:kern w:val="0"/>
      <w:sz w:val="18"/>
      <w:szCs w:val="18"/>
      <w:lang w:eastAsia="en-US"/>
    </w:rPr>
  </w:style>
  <w:style w:type="paragraph" w:styleId="14">
    <w:name w:val="Balloon Text"/>
    <w:basedOn w:val="1"/>
    <w:link w:val="29"/>
    <w:unhideWhenUsed/>
    <w:qFormat/>
    <w:uiPriority w:val="99"/>
    <w:rPr>
      <w:sz w:val="18"/>
      <w:szCs w:val="18"/>
    </w:rPr>
  </w:style>
  <w:style w:type="paragraph" w:styleId="15">
    <w:name w:val="footer"/>
    <w:basedOn w:val="1"/>
    <w:link w:val="28"/>
    <w:unhideWhenUsed/>
    <w:qFormat/>
    <w:uiPriority w:val="99"/>
    <w:pPr>
      <w:tabs>
        <w:tab w:val="center" w:pos="4153"/>
        <w:tab w:val="right" w:pos="8306"/>
      </w:tabs>
      <w:snapToGrid w:val="0"/>
      <w:jc w:val="left"/>
    </w:pPr>
    <w:rPr>
      <w:sz w:val="18"/>
      <w:szCs w:val="18"/>
    </w:rPr>
  </w:style>
  <w:style w:type="paragraph" w:styleId="16">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next w:val="1"/>
    <w:semiHidden/>
    <w:qFormat/>
    <w:uiPriority w:val="0"/>
    <w:pPr>
      <w:jc w:val="both"/>
    </w:pPr>
    <w:rPr>
      <w:rFonts w:ascii="宋体" w:hAnsi="Times New Roman" w:eastAsia="宋体" w:cs="Times New Roman"/>
      <w:sz w:val="21"/>
      <w:lang w:val="en-US" w:eastAsia="zh-CN" w:bidi="ar-SA"/>
    </w:rPr>
  </w:style>
  <w:style w:type="paragraph" w:styleId="18">
    <w:name w:val="toc 2"/>
    <w:basedOn w:val="1"/>
    <w:next w:val="1"/>
    <w:semiHidden/>
    <w:unhideWhenUsed/>
    <w:qFormat/>
    <w:uiPriority w:val="39"/>
    <w:pPr>
      <w:ind w:left="420" w:leftChars="200"/>
    </w:pPr>
  </w:style>
  <w:style w:type="paragraph" w:styleId="19">
    <w:name w:val="Normal (Web)"/>
    <w:basedOn w:val="1"/>
    <w:unhideWhenUsed/>
    <w:qFormat/>
    <w:uiPriority w:val="99"/>
    <w:pPr>
      <w:spacing w:beforeAutospacing="1" w:afterAutospacing="1"/>
      <w:jc w:val="left"/>
    </w:pPr>
    <w:rPr>
      <w:rFonts w:cs="Times New Roman"/>
      <w:kern w:val="0"/>
      <w:sz w:val="24"/>
    </w:rPr>
  </w:style>
  <w:style w:type="paragraph" w:styleId="20">
    <w:name w:val="Body Text First Indent"/>
    <w:basedOn w:val="1"/>
    <w:next w:val="1"/>
    <w:qFormat/>
    <w:uiPriority w:val="0"/>
    <w:pPr>
      <w:ind w:firstLine="420" w:firstLineChars="100"/>
    </w:pPr>
  </w:style>
  <w:style w:type="table" w:styleId="22">
    <w:name w:val="Table Grid"/>
    <w:basedOn w:val="2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semiHidden/>
    <w:qFormat/>
    <w:uiPriority w:val="0"/>
    <w:rPr>
      <w:rFonts w:ascii="Times New Roman" w:hAnsi="Times New Roman" w:eastAsia="宋体"/>
      <w:sz w:val="18"/>
    </w:rPr>
  </w:style>
  <w:style w:type="character" w:styleId="25">
    <w:name w:val="Hyperlink"/>
    <w:semiHidden/>
    <w:qFormat/>
    <w:uiPriority w:val="0"/>
    <w:rPr>
      <w:rFonts w:ascii="Times New Roman" w:hAnsi="Times New Roman" w:eastAsia="宋体"/>
      <w:color w:val="auto"/>
      <w:spacing w:val="0"/>
      <w:w w:val="100"/>
      <w:position w:val="0"/>
      <w:sz w:val="21"/>
      <w:u w:val="none"/>
      <w:vertAlign w:val="baseline"/>
    </w:rPr>
  </w:style>
  <w:style w:type="character" w:styleId="26">
    <w:name w:val="annotation reference"/>
    <w:basedOn w:val="23"/>
    <w:semiHidden/>
    <w:unhideWhenUsed/>
    <w:qFormat/>
    <w:uiPriority w:val="99"/>
    <w:rPr>
      <w:sz w:val="21"/>
      <w:szCs w:val="21"/>
    </w:rPr>
  </w:style>
  <w:style w:type="character" w:customStyle="1" w:styleId="27">
    <w:name w:val="页眉 字符"/>
    <w:basedOn w:val="23"/>
    <w:link w:val="16"/>
    <w:qFormat/>
    <w:uiPriority w:val="99"/>
    <w:rPr>
      <w:sz w:val="18"/>
      <w:szCs w:val="18"/>
    </w:rPr>
  </w:style>
  <w:style w:type="character" w:customStyle="1" w:styleId="28">
    <w:name w:val="页脚 字符"/>
    <w:basedOn w:val="23"/>
    <w:link w:val="15"/>
    <w:qFormat/>
    <w:uiPriority w:val="99"/>
    <w:rPr>
      <w:sz w:val="18"/>
      <w:szCs w:val="18"/>
    </w:rPr>
  </w:style>
  <w:style w:type="character" w:customStyle="1" w:styleId="29">
    <w:name w:val="批注框文本 字符"/>
    <w:basedOn w:val="23"/>
    <w:link w:val="14"/>
    <w:semiHidden/>
    <w:qFormat/>
    <w:uiPriority w:val="99"/>
    <w:rPr>
      <w:sz w:val="18"/>
      <w:szCs w:val="18"/>
    </w:rPr>
  </w:style>
  <w:style w:type="paragraph" w:customStyle="1" w:styleId="30">
    <w:name w:val="段"/>
    <w:qFormat/>
    <w:uiPriority w:val="0"/>
    <w:pPr>
      <w:autoSpaceDE w:val="0"/>
      <w:autoSpaceDN w:val="0"/>
      <w:jc w:val="both"/>
    </w:pPr>
    <w:rPr>
      <w:rFonts w:ascii="宋体" w:hAnsi="宋体" w:eastAsia="宋体" w:cs="Times New Roman"/>
      <w:sz w:val="21"/>
      <w:lang w:val="en-US" w:eastAsia="zh-CN" w:bidi="ar-SA"/>
    </w:rPr>
  </w:style>
  <w:style w:type="paragraph" w:customStyle="1" w:styleId="31">
    <w:name w:val="标准文件_一级条标题"/>
    <w:basedOn w:val="32"/>
    <w:next w:val="1"/>
    <w:qFormat/>
    <w:uiPriority w:val="0"/>
    <w:pPr>
      <w:spacing w:beforeLines="50" w:afterLines="50"/>
      <w:outlineLvl w:val="1"/>
    </w:pPr>
  </w:style>
  <w:style w:type="paragraph" w:customStyle="1" w:styleId="32">
    <w:name w:val="标准文件_章标题"/>
    <w:next w:val="1"/>
    <w:qFormat/>
    <w:uiPriority w:val="0"/>
    <w:pPr>
      <w:spacing w:beforeLines="100" w:afterLines="100"/>
      <w:jc w:val="both"/>
      <w:outlineLvl w:val="0"/>
    </w:pPr>
    <w:rPr>
      <w:rFonts w:ascii="黑体" w:hAnsi="Times New Roman" w:eastAsia="黑体" w:cs="Times New Roman"/>
      <w:sz w:val="21"/>
      <w:lang w:val="en-US" w:eastAsia="zh-CN" w:bidi="ar-SA"/>
    </w:rPr>
  </w:style>
  <w:style w:type="paragraph" w:customStyle="1" w:styleId="33">
    <w:name w:val="标准文件_段"/>
    <w:qFormat/>
    <w:uiPriority w:val="0"/>
    <w:pPr>
      <w:autoSpaceDE w:val="0"/>
      <w:autoSpaceDN w:val="0"/>
      <w:ind w:firstLine="200" w:firstLineChars="200"/>
      <w:jc w:val="both"/>
    </w:pPr>
    <w:rPr>
      <w:rFonts w:ascii="宋体" w:hAnsi="Times New Roman" w:eastAsia="宋体" w:cs="Times New Roman"/>
      <w:kern w:val="2"/>
      <w:sz w:val="21"/>
      <w:szCs w:val="22"/>
      <w:lang w:val="en-US" w:eastAsia="zh-CN" w:bidi="ar-SA"/>
    </w:rPr>
  </w:style>
  <w:style w:type="paragraph" w:customStyle="1" w:styleId="34">
    <w:name w:val="标准文件_二级无标题"/>
    <w:basedOn w:val="35"/>
    <w:qFormat/>
    <w:uiPriority w:val="0"/>
    <w:pPr>
      <w:numPr>
        <w:ilvl w:val="3"/>
        <w:numId w:val="2"/>
      </w:numPr>
      <w:spacing w:beforeLines="0" w:afterLines="0"/>
      <w:ind w:left="0"/>
      <w:outlineLvl w:val="9"/>
    </w:pPr>
    <w:rPr>
      <w:rFonts w:ascii="宋体" w:eastAsia="宋体"/>
    </w:rPr>
  </w:style>
  <w:style w:type="paragraph" w:customStyle="1" w:styleId="35">
    <w:name w:val="标准文件_二级条标题"/>
    <w:next w:val="1"/>
    <w:qFormat/>
    <w:uiPriority w:val="0"/>
    <w:pPr>
      <w:widowControl w:val="0"/>
      <w:spacing w:beforeLines="50" w:afterLines="50"/>
      <w:ind w:left="852"/>
      <w:jc w:val="both"/>
      <w:outlineLvl w:val="2"/>
    </w:pPr>
    <w:rPr>
      <w:rFonts w:ascii="黑体" w:hAnsi="Times New Roman" w:eastAsia="黑体" w:cs="Times New Roman"/>
      <w:sz w:val="21"/>
      <w:lang w:val="en-US" w:eastAsia="zh-CN" w:bidi="ar-SA"/>
    </w:rPr>
  </w:style>
  <w:style w:type="paragraph" w:customStyle="1" w:styleId="36">
    <w:name w:val="二级条标题"/>
    <w:basedOn w:val="37"/>
    <w:next w:val="30"/>
    <w:qFormat/>
    <w:uiPriority w:val="0"/>
    <w:pPr>
      <w:numPr>
        <w:ilvl w:val="3"/>
      </w:numPr>
      <w:outlineLvl w:val="3"/>
    </w:pPr>
  </w:style>
  <w:style w:type="paragraph" w:customStyle="1" w:styleId="37">
    <w:name w:val="一级条标题"/>
    <w:basedOn w:val="38"/>
    <w:next w:val="30"/>
    <w:qFormat/>
    <w:uiPriority w:val="0"/>
    <w:pPr>
      <w:numPr>
        <w:ilvl w:val="2"/>
      </w:numPr>
      <w:spacing w:before="0" w:beforeLines="0" w:after="0" w:afterLines="0"/>
      <w:outlineLvl w:val="2"/>
    </w:pPr>
  </w:style>
  <w:style w:type="paragraph" w:customStyle="1" w:styleId="38">
    <w:name w:val="章标题"/>
    <w:next w:val="30"/>
    <w:qFormat/>
    <w:uiPriority w:val="0"/>
    <w:pPr>
      <w:numPr>
        <w:ilvl w:val="1"/>
        <w:numId w:val="3"/>
      </w:numPr>
      <w:spacing w:before="50" w:beforeLines="50" w:after="50" w:afterLines="50"/>
      <w:jc w:val="both"/>
      <w:outlineLvl w:val="1"/>
    </w:pPr>
    <w:rPr>
      <w:rFonts w:ascii="黑体" w:hAnsi="Times New Roman" w:eastAsia="黑体" w:cs="Times New Roman"/>
      <w:sz w:val="21"/>
      <w:lang w:val="en-US" w:eastAsia="zh-CN" w:bidi="ar-SA"/>
    </w:rPr>
  </w:style>
  <w:style w:type="paragraph" w:customStyle="1" w:styleId="39">
    <w:name w:val="三级条标题"/>
    <w:basedOn w:val="36"/>
    <w:next w:val="30"/>
    <w:qFormat/>
    <w:uiPriority w:val="0"/>
    <w:pPr>
      <w:numPr>
        <w:ilvl w:val="4"/>
      </w:numPr>
      <w:outlineLvl w:val="4"/>
    </w:pPr>
  </w:style>
  <w:style w:type="paragraph" w:customStyle="1" w:styleId="40">
    <w:name w:val="标准文件_术语条一"/>
    <w:basedOn w:val="1"/>
    <w:next w:val="1"/>
    <w:qFormat/>
    <w:uiPriority w:val="0"/>
    <w:pPr>
      <w:widowControl/>
      <w:tabs>
        <w:tab w:val="left" w:pos="360"/>
      </w:tabs>
    </w:pPr>
    <w:rPr>
      <w:rFonts w:ascii="宋体" w:hAnsi="Times New Roman" w:eastAsia="宋体" w:cs="Times New Roman"/>
      <w:kern w:val="0"/>
      <w:szCs w:val="20"/>
    </w:rPr>
  </w:style>
  <w:style w:type="paragraph" w:customStyle="1" w:styleId="41">
    <w:name w:val="附录标识"/>
    <w:basedOn w:val="42"/>
    <w:qFormat/>
    <w:uiPriority w:val="0"/>
    <w:pPr>
      <w:numPr>
        <w:ilvl w:val="0"/>
        <w:numId w:val="4"/>
      </w:numPr>
      <w:tabs>
        <w:tab w:val="left" w:pos="6405"/>
      </w:tabs>
      <w:spacing w:after="200"/>
    </w:pPr>
    <w:rPr>
      <w:sz w:val="21"/>
    </w:rPr>
  </w:style>
  <w:style w:type="paragraph" w:customStyle="1" w:styleId="42">
    <w:name w:val="前言、引言标题"/>
    <w:next w:val="1"/>
    <w:qFormat/>
    <w:uiPriority w:val="0"/>
    <w:pPr>
      <w:numPr>
        <w:ilvl w:val="0"/>
        <w:numId w:val="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43">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44">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45">
    <w:name w:val="Table Paragraph"/>
    <w:basedOn w:val="1"/>
    <w:qFormat/>
    <w:uiPriority w:val="1"/>
    <w:pPr>
      <w:ind w:left="106"/>
    </w:pPr>
    <w:rPr>
      <w:rFonts w:ascii="宋体" w:hAnsi="宋体" w:eastAsia="宋体" w:cs="宋体"/>
      <w:lang w:val="zh-CN" w:bidi="zh-CN"/>
    </w:rPr>
  </w:style>
  <w:style w:type="paragraph" w:customStyle="1" w:styleId="46">
    <w:name w:val="WPSOffice手动目录 1"/>
    <w:qFormat/>
    <w:uiPriority w:val="0"/>
    <w:pPr>
      <w:ind w:leftChars="0"/>
    </w:pPr>
    <w:rPr>
      <w:rFonts w:ascii="Times New Roman" w:hAnsi="Times New Roman" w:eastAsia="宋体" w:cs="Times New Roman"/>
      <w:sz w:val="20"/>
      <w:szCs w:val="20"/>
    </w:rPr>
  </w:style>
  <w:style w:type="paragraph" w:customStyle="1" w:styleId="47">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DoubleOX</Company>
  <Pages>15</Pages>
  <Words>7664</Words>
  <Characters>8692</Characters>
  <Lines>58</Lines>
  <Paragraphs>16</Paragraphs>
  <TotalTime>32</TotalTime>
  <ScaleCrop>false</ScaleCrop>
  <LinksUpToDate>false</LinksUpToDate>
  <CharactersWithSpaces>8864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2023-11-02T06:52:00Z</dcterms:created>
  <dc:creator>王星朗</dc:creator>
  <cp:lastModifiedBy>孙鹏</cp:lastModifiedBy>
  <cp:lastPrinted>2022-04-08T09:01:00Z</cp:lastPrinted>
  <dcterms:modified xsi:type="dcterms:W3CDTF">2025-04-01T13:18:50Z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D34C5D7954234C72970917D248F49E3B_13</vt:lpwstr>
  </property>
  <property fmtid="{D5CDD505-2E9C-101B-9397-08002B2CF9AE}" pid="4" name="KSOTemplateDocerSaveRecord">
    <vt:lpwstr>eyJoZGlkIjoiMWJiZTZlODY3NWYyYjliZTI3YTFhYmE0ZmI2NzE1NGUiLCJ1c2VySWQiOiIzNDEwMzg3MTYifQ==</vt:lpwstr>
  </property>
</Properties>
</file>