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40B409">
      <w:pPr>
        <w:pStyle w:val="8"/>
        <w:kinsoku w:val="0"/>
        <w:overflowPunct w:val="0"/>
        <w:spacing w:before="600" w:after="200"/>
        <w:jc w:val="center"/>
        <w:rPr>
          <w:rFonts w:ascii="仿宋" w:hAnsi="仿宋" w:eastAsia="仿宋"/>
          <w:color w:val="000000"/>
          <w:w w:val="79"/>
          <w:sz w:val="43"/>
          <w:szCs w:val="43"/>
        </w:rPr>
      </w:pPr>
    </w:p>
    <w:p w14:paraId="7CFBD2B8">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center"/>
        <w:textAlignment w:val="auto"/>
        <w:rPr>
          <w:rFonts w:hint="eastAsia" w:ascii="黑体" w:hAnsi="黑体" w:eastAsia="黑体" w:cs="黑体"/>
          <w:b/>
          <w:bCs/>
          <w:sz w:val="48"/>
          <w:szCs w:val="48"/>
          <w:lang w:val="en-US" w:eastAsia="zh-CN"/>
        </w:rPr>
      </w:pPr>
      <w:r>
        <w:rPr>
          <w:rFonts w:hint="eastAsia" w:ascii="黑体" w:hAnsi="黑体" w:eastAsia="黑体" w:cs="黑体"/>
          <w:b/>
          <w:bCs/>
          <w:sz w:val="48"/>
          <w:szCs w:val="48"/>
        </w:rPr>
        <w:t>海南省</w:t>
      </w:r>
      <w:r>
        <w:rPr>
          <w:rFonts w:hint="eastAsia" w:ascii="黑体" w:hAnsi="黑体" w:eastAsia="黑体" w:cs="黑体"/>
          <w:b/>
          <w:bCs/>
          <w:sz w:val="48"/>
          <w:szCs w:val="48"/>
          <w:lang w:val="en-US" w:eastAsia="zh-CN"/>
        </w:rPr>
        <w:t>地方标准</w:t>
      </w:r>
    </w:p>
    <w:p w14:paraId="1620B3F6">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center"/>
        <w:textAlignment w:val="auto"/>
        <w:rPr>
          <w:rFonts w:hint="default" w:ascii="黑体" w:hAnsi="黑体" w:eastAsia="黑体" w:cs="黑体"/>
          <w:sz w:val="60"/>
          <w:szCs w:val="60"/>
          <w:lang w:val="en-US" w:eastAsia="zh-CN"/>
        </w:rPr>
      </w:pPr>
      <w:r>
        <w:rPr>
          <w:rFonts w:hint="eastAsia" w:ascii="黑体" w:hAnsi="黑体" w:eastAsia="黑体" w:cs="黑体"/>
          <w:b/>
          <w:bCs/>
          <w:sz w:val="60"/>
          <w:szCs w:val="60"/>
        </w:rPr>
        <w:t>《城市消防物联设备联网接入标准》</w:t>
      </w:r>
      <w:r>
        <w:rPr>
          <w:rFonts w:hint="eastAsia" w:ascii="黑体" w:hAnsi="黑体" w:eastAsia="黑体" w:cs="黑体"/>
          <w:b/>
          <w:bCs/>
          <w:sz w:val="60"/>
          <w:szCs w:val="60"/>
          <w:lang w:val="en-US" w:eastAsia="zh-CN"/>
        </w:rPr>
        <w:t>编制说明</w:t>
      </w:r>
    </w:p>
    <w:p w14:paraId="1982EA01">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center"/>
        <w:textAlignment w:val="auto"/>
        <w:rPr>
          <w:rFonts w:hint="eastAsia" w:ascii="黑体" w:hAnsi="黑体" w:eastAsia="黑体" w:cs="黑体"/>
          <w:b w:val="0"/>
          <w:bCs w:val="0"/>
          <w:sz w:val="48"/>
          <w:szCs w:val="48"/>
          <w:lang w:eastAsia="zh-CN"/>
        </w:rPr>
      </w:pPr>
      <w:r>
        <w:rPr>
          <w:rFonts w:hint="eastAsia" w:ascii="黑体" w:hAnsi="黑体" w:eastAsia="黑体" w:cs="黑体"/>
          <w:b w:val="0"/>
          <w:bCs w:val="0"/>
          <w:sz w:val="48"/>
          <w:szCs w:val="48"/>
          <w:lang w:eastAsia="zh-CN"/>
        </w:rPr>
        <w:t>（</w:t>
      </w:r>
      <w:r>
        <w:rPr>
          <w:rFonts w:hint="eastAsia" w:ascii="黑体" w:hAnsi="黑体" w:eastAsia="黑体" w:cs="黑体"/>
          <w:b w:val="0"/>
          <w:bCs w:val="0"/>
          <w:sz w:val="48"/>
          <w:szCs w:val="48"/>
          <w:lang w:val="en-US" w:eastAsia="zh-CN"/>
        </w:rPr>
        <w:t>征求意见稿</w:t>
      </w:r>
      <w:r>
        <w:rPr>
          <w:rFonts w:hint="eastAsia" w:ascii="黑体" w:hAnsi="黑体" w:eastAsia="黑体" w:cs="黑体"/>
          <w:b w:val="0"/>
          <w:bCs w:val="0"/>
          <w:sz w:val="48"/>
          <w:szCs w:val="48"/>
          <w:lang w:eastAsia="zh-CN"/>
        </w:rPr>
        <w:t>）</w:t>
      </w:r>
    </w:p>
    <w:p w14:paraId="61934D4B">
      <w:pPr>
        <w:pStyle w:val="8"/>
        <w:kinsoku w:val="0"/>
        <w:overflowPunct w:val="0"/>
        <w:spacing w:before="600" w:after="200" w:line="360" w:lineRule="auto"/>
        <w:jc w:val="center"/>
        <w:rPr>
          <w:rFonts w:hint="eastAsia" w:ascii="黑体" w:hAnsi="黑体" w:eastAsia="黑体"/>
          <w:color w:val="000000"/>
          <w:w w:val="50"/>
          <w:sz w:val="43"/>
          <w:szCs w:val="43"/>
        </w:rPr>
      </w:pPr>
    </w:p>
    <w:p w14:paraId="4A4CCBFB">
      <w:pPr>
        <w:pStyle w:val="8"/>
        <w:kinsoku w:val="0"/>
        <w:overflowPunct w:val="0"/>
        <w:spacing w:before="600" w:after="200" w:line="360" w:lineRule="auto"/>
        <w:jc w:val="center"/>
        <w:rPr>
          <w:rFonts w:hint="eastAsia" w:ascii="黑体" w:hAnsi="黑体" w:eastAsia="黑体"/>
          <w:color w:val="000000"/>
          <w:w w:val="50"/>
          <w:sz w:val="43"/>
          <w:szCs w:val="43"/>
        </w:rPr>
      </w:pPr>
    </w:p>
    <w:p w14:paraId="768083C9">
      <w:pPr>
        <w:pStyle w:val="8"/>
        <w:kinsoku w:val="0"/>
        <w:overflowPunct w:val="0"/>
        <w:spacing w:before="600" w:after="200" w:line="360" w:lineRule="auto"/>
        <w:jc w:val="center"/>
        <w:rPr>
          <w:rFonts w:hint="eastAsia" w:ascii="黑体" w:hAnsi="黑体" w:eastAsia="黑体"/>
          <w:color w:val="000000"/>
          <w:w w:val="50"/>
          <w:sz w:val="43"/>
          <w:szCs w:val="43"/>
        </w:rPr>
      </w:pPr>
    </w:p>
    <w:p w14:paraId="01BCE421">
      <w:pPr>
        <w:pStyle w:val="8"/>
        <w:kinsoku w:val="0"/>
        <w:overflowPunct w:val="0"/>
        <w:spacing w:before="600" w:after="200" w:line="360" w:lineRule="auto"/>
        <w:jc w:val="center"/>
        <w:rPr>
          <w:rFonts w:hint="eastAsia" w:ascii="黑体" w:hAnsi="黑体" w:eastAsia="黑体"/>
          <w:color w:val="000000"/>
          <w:w w:val="50"/>
          <w:sz w:val="43"/>
          <w:szCs w:val="43"/>
        </w:rPr>
      </w:pPr>
    </w:p>
    <w:p w14:paraId="735A6126">
      <w:pPr>
        <w:pStyle w:val="8"/>
        <w:kinsoku w:val="0"/>
        <w:overflowPunct w:val="0"/>
        <w:spacing w:before="6"/>
        <w:ind w:right="240"/>
        <w:rPr>
          <w:rFonts w:ascii="仿宋" w:hAnsi="仿宋" w:eastAsia="仿宋"/>
          <w:color w:val="000000"/>
          <w:sz w:val="32"/>
          <w:szCs w:val="32"/>
          <w:highlight w:val="yellow"/>
        </w:rPr>
      </w:pPr>
    </w:p>
    <w:p w14:paraId="7571B004">
      <w:pPr>
        <w:pStyle w:val="8"/>
        <w:kinsoku w:val="0"/>
        <w:overflowPunct w:val="0"/>
        <w:spacing w:before="6"/>
        <w:ind w:right="240"/>
        <w:rPr>
          <w:rFonts w:hint="eastAsia" w:ascii="仿宋" w:hAnsi="仿宋" w:eastAsia="仿宋"/>
          <w:color w:val="000000"/>
          <w:sz w:val="32"/>
          <w:szCs w:val="32"/>
          <w:highlight w:val="yellow"/>
        </w:rPr>
      </w:pPr>
    </w:p>
    <w:p w14:paraId="67359A1E">
      <w:pPr>
        <w:pStyle w:val="8"/>
        <w:kinsoku w:val="0"/>
        <w:overflowPunct w:val="0"/>
        <w:ind w:right="240"/>
        <w:jc w:val="center"/>
        <w:rPr>
          <w:rFonts w:hint="eastAsia" w:ascii="仿宋" w:hAnsi="仿宋" w:eastAsia="仿宋"/>
          <w:color w:val="000000"/>
          <w:w w:val="95"/>
          <w:sz w:val="32"/>
          <w:szCs w:val="32"/>
        </w:rPr>
      </w:pPr>
    </w:p>
    <w:p w14:paraId="679B9EA4">
      <w:pPr>
        <w:pStyle w:val="8"/>
        <w:kinsoku w:val="0"/>
        <w:overflowPunct w:val="0"/>
        <w:ind w:left="0" w:leftChars="0" w:right="240" w:firstLine="0" w:firstLineChars="0"/>
        <w:jc w:val="center"/>
        <w:rPr>
          <w:rFonts w:hint="eastAsia" w:ascii="宋体" w:hAnsi="宋体" w:eastAsia="宋体" w:cs="宋体"/>
          <w:color w:val="000000"/>
          <w:w w:val="95"/>
          <w:sz w:val="32"/>
          <w:szCs w:val="32"/>
          <w:lang w:val="en-US" w:eastAsia="zh-CN"/>
        </w:rPr>
      </w:pPr>
      <w:r>
        <w:rPr>
          <w:rFonts w:hint="eastAsia" w:ascii="宋体" w:hAnsi="宋体" w:eastAsia="宋体" w:cs="宋体"/>
          <w:color w:val="000000"/>
          <w:w w:val="95"/>
          <w:sz w:val="32"/>
          <w:szCs w:val="32"/>
          <w:lang w:val="en-US" w:eastAsia="zh-CN"/>
        </w:rPr>
        <w:t>海南省地方标准《城市消防物联设备联网接入标准》起草工作组</w:t>
      </w:r>
    </w:p>
    <w:p w14:paraId="1E6952E8">
      <w:pPr>
        <w:pStyle w:val="8"/>
        <w:kinsoku w:val="0"/>
        <w:overflowPunct w:val="0"/>
        <w:ind w:left="0" w:leftChars="0" w:right="240" w:firstLine="0" w:firstLineChars="0"/>
        <w:jc w:val="center"/>
        <w:rPr>
          <w:rFonts w:hint="eastAsia" w:ascii="宋体" w:hAnsi="宋体" w:eastAsia="宋体" w:cs="宋体"/>
          <w:color w:val="000000"/>
          <w:w w:val="110"/>
          <w:sz w:val="32"/>
          <w:szCs w:val="32"/>
        </w:rPr>
      </w:pPr>
      <w:r>
        <w:rPr>
          <w:rFonts w:hint="eastAsia" w:ascii="宋体" w:hAnsi="宋体" w:eastAsia="宋体" w:cs="宋体"/>
          <w:color w:val="000000"/>
          <w:w w:val="110"/>
          <w:sz w:val="32"/>
          <w:szCs w:val="32"/>
        </w:rPr>
        <w:t>二〇二</w:t>
      </w:r>
      <w:r>
        <w:rPr>
          <w:rFonts w:hint="eastAsia" w:ascii="宋体" w:hAnsi="宋体" w:eastAsia="宋体" w:cs="宋体"/>
          <w:color w:val="000000"/>
          <w:w w:val="110"/>
          <w:sz w:val="32"/>
          <w:szCs w:val="32"/>
          <w:lang w:val="en-US" w:eastAsia="zh-CN"/>
        </w:rPr>
        <w:t>五</w:t>
      </w:r>
      <w:r>
        <w:rPr>
          <w:rFonts w:hint="eastAsia" w:ascii="宋体" w:hAnsi="宋体" w:eastAsia="宋体" w:cs="宋体"/>
          <w:color w:val="000000"/>
          <w:w w:val="110"/>
          <w:sz w:val="32"/>
          <w:szCs w:val="32"/>
        </w:rPr>
        <w:t>年</w:t>
      </w:r>
      <w:r>
        <w:rPr>
          <w:rFonts w:hint="eastAsia" w:eastAsia="宋体" w:cs="宋体"/>
          <w:color w:val="000000"/>
          <w:w w:val="110"/>
          <w:sz w:val="32"/>
          <w:szCs w:val="32"/>
          <w:lang w:val="en-US" w:eastAsia="zh-CN"/>
        </w:rPr>
        <w:t>三</w:t>
      </w:r>
      <w:r>
        <w:rPr>
          <w:rFonts w:hint="eastAsia" w:ascii="宋体" w:hAnsi="宋体" w:eastAsia="宋体" w:cs="宋体"/>
          <w:color w:val="000000"/>
          <w:w w:val="110"/>
          <w:sz w:val="32"/>
          <w:szCs w:val="32"/>
        </w:rPr>
        <w:t>月</w:t>
      </w:r>
    </w:p>
    <w:p w14:paraId="45E8021B">
      <w:pPr>
        <w:pStyle w:val="8"/>
        <w:kinsoku w:val="0"/>
        <w:overflowPunct w:val="0"/>
        <w:ind w:right="240"/>
        <w:jc w:val="center"/>
        <w:rPr>
          <w:rFonts w:hint="eastAsia" w:ascii="仿宋" w:hAnsi="仿宋" w:eastAsia="仿宋"/>
          <w:color w:val="000000"/>
          <w:w w:val="110"/>
          <w:sz w:val="32"/>
          <w:szCs w:val="32"/>
        </w:rPr>
      </w:pPr>
    </w:p>
    <w:p w14:paraId="0008ABC6">
      <w:pPr>
        <w:spacing w:line="600" w:lineRule="exact"/>
        <w:jc w:val="center"/>
        <w:rPr>
          <w:rFonts w:ascii="Times New Roman" w:hAnsi="Times New Roman" w:eastAsia="方正小标宋简体" w:cs="Times New Roman"/>
          <w:sz w:val="44"/>
          <w:szCs w:val="44"/>
        </w:rPr>
        <w:sectPr>
          <w:footerReference r:id="rId5" w:type="default"/>
          <w:pgSz w:w="11906" w:h="16838"/>
          <w:pgMar w:top="1417" w:right="1417" w:bottom="1417" w:left="1417" w:header="851" w:footer="992" w:gutter="0"/>
          <w:pgNumType w:fmt="decimal"/>
          <w:cols w:space="0" w:num="1"/>
          <w:docGrid w:type="lines" w:linePitch="312" w:charSpace="0"/>
        </w:sectPr>
      </w:pPr>
    </w:p>
    <w:p w14:paraId="6905A6A7">
      <w:pPr>
        <w:spacing w:line="600" w:lineRule="exact"/>
        <w:jc w:val="center"/>
        <w:rPr>
          <w:rFonts w:hint="eastAsia" w:ascii="宋体" w:hAnsi="宋体" w:eastAsia="宋体" w:cs="宋体"/>
          <w:b/>
          <w:bCs/>
          <w:sz w:val="32"/>
          <w:szCs w:val="32"/>
        </w:rPr>
      </w:pPr>
      <w:r>
        <w:rPr>
          <w:rFonts w:hint="eastAsia" w:ascii="宋体" w:hAnsi="宋体" w:eastAsia="宋体" w:cs="宋体"/>
          <w:b/>
          <w:bCs/>
          <w:sz w:val="32"/>
          <w:szCs w:val="32"/>
        </w:rPr>
        <w:t>海南省地方标准</w:t>
      </w:r>
    </w:p>
    <w:p w14:paraId="6E3AFCF9">
      <w:pPr>
        <w:spacing w:line="600" w:lineRule="exact"/>
        <w:jc w:val="center"/>
        <w:rPr>
          <w:rFonts w:hint="eastAsia" w:ascii="宋体" w:hAnsi="宋体" w:eastAsia="宋体" w:cs="宋体"/>
          <w:b/>
          <w:bCs/>
          <w:sz w:val="32"/>
          <w:szCs w:val="32"/>
        </w:rPr>
      </w:pPr>
      <w:r>
        <w:rPr>
          <w:rFonts w:hint="eastAsia" w:ascii="宋体" w:hAnsi="宋体" w:eastAsia="宋体" w:cs="宋体"/>
          <w:b/>
          <w:bCs/>
          <w:sz w:val="32"/>
          <w:szCs w:val="32"/>
        </w:rPr>
        <w:t>《城市消防物联设备联网接入标准》</w:t>
      </w:r>
    </w:p>
    <w:p w14:paraId="3329261B">
      <w:pPr>
        <w:spacing w:line="600" w:lineRule="exact"/>
        <w:jc w:val="center"/>
        <w:rPr>
          <w:rFonts w:hint="eastAsia" w:ascii="宋体" w:hAnsi="宋体" w:eastAsia="宋体" w:cs="宋体"/>
          <w:b/>
          <w:bCs/>
          <w:sz w:val="32"/>
          <w:szCs w:val="32"/>
        </w:rPr>
      </w:pPr>
      <w:r>
        <w:rPr>
          <w:rFonts w:hint="eastAsia" w:ascii="宋体" w:hAnsi="宋体" w:eastAsia="宋体" w:cs="宋体"/>
          <w:b/>
          <w:bCs/>
          <w:sz w:val="32"/>
          <w:szCs w:val="32"/>
          <w:lang w:val="en-US" w:eastAsia="zh-CN"/>
        </w:rPr>
        <w:t>征求意见稿</w:t>
      </w:r>
      <w:r>
        <w:rPr>
          <w:rFonts w:hint="eastAsia" w:ascii="宋体" w:hAnsi="宋体" w:eastAsia="宋体" w:cs="宋体"/>
          <w:b/>
          <w:bCs/>
          <w:sz w:val="32"/>
          <w:szCs w:val="32"/>
        </w:rPr>
        <w:t>编制说明</w:t>
      </w:r>
    </w:p>
    <w:p w14:paraId="4A8C7DE9">
      <w:pPr>
        <w:spacing w:line="600" w:lineRule="exact"/>
        <w:jc w:val="center"/>
        <w:rPr>
          <w:rFonts w:hint="eastAsia" w:ascii="宋体" w:hAnsi="宋体" w:eastAsia="宋体" w:cs="宋体"/>
          <w:b/>
          <w:bCs/>
          <w:sz w:val="32"/>
          <w:szCs w:val="32"/>
        </w:rPr>
      </w:pPr>
    </w:p>
    <w:p w14:paraId="40D5D0CB">
      <w:pPr>
        <w:pStyle w:val="2"/>
        <w:pageBreakBefore w:val="0"/>
        <w:numPr>
          <w:ilvl w:val="0"/>
          <w:numId w:val="0"/>
        </w:numPr>
        <w:kinsoku/>
        <w:wordWrap/>
        <w:overflowPunct/>
        <w:topLinePunct w:val="0"/>
        <w:autoSpaceDE/>
        <w:autoSpaceDN/>
        <w:bidi w:val="0"/>
        <w:adjustRightInd/>
        <w:snapToGrid/>
        <w:spacing w:line="600" w:lineRule="auto"/>
        <w:ind w:leftChars="0"/>
        <w:textAlignment w:val="auto"/>
        <w:rPr>
          <w:sz w:val="28"/>
          <w:szCs w:val="28"/>
        </w:rPr>
      </w:pPr>
      <w:bookmarkStart w:id="0" w:name="_Toc24683"/>
      <w:r>
        <w:rPr>
          <w:rFonts w:hint="eastAsia"/>
          <w:sz w:val="28"/>
          <w:szCs w:val="28"/>
          <w:lang w:val="en-US" w:eastAsia="zh-CN"/>
        </w:rPr>
        <w:t>一、</w:t>
      </w:r>
      <w:r>
        <w:rPr>
          <w:rFonts w:hint="eastAsia"/>
          <w:sz w:val="28"/>
          <w:szCs w:val="28"/>
        </w:rPr>
        <w:t>项目简况</w:t>
      </w:r>
      <w:bookmarkEnd w:id="0"/>
    </w:p>
    <w:p w14:paraId="7F0E34F3">
      <w:pPr>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宋体" w:hAnsi="宋体" w:eastAsia="宋体" w:cs="宋体"/>
          <w:sz w:val="24"/>
          <w:szCs w:val="24"/>
        </w:rPr>
      </w:pPr>
      <w:r>
        <w:rPr>
          <w:rFonts w:hint="eastAsia" w:ascii="黑体" w:hAnsi="黑体" w:eastAsia="黑体" w:cs="黑体"/>
          <w:b w:val="0"/>
          <w:bCs w:val="0"/>
          <w:sz w:val="24"/>
          <w:szCs w:val="24"/>
        </w:rPr>
        <w:t>（一）标准名称：</w:t>
      </w:r>
      <w:r>
        <w:rPr>
          <w:rFonts w:hint="eastAsia" w:ascii="宋体" w:hAnsi="宋体" w:eastAsia="宋体" w:cs="宋体"/>
          <w:sz w:val="24"/>
          <w:szCs w:val="24"/>
        </w:rPr>
        <w:t>《海南省城市消防物联设备联网接入标准》</w:t>
      </w:r>
    </w:p>
    <w:p w14:paraId="672D6E55">
      <w:pPr>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ascii="宋体" w:hAnsi="宋体" w:eastAsia="宋体" w:cs="宋体"/>
          <w:sz w:val="24"/>
          <w:szCs w:val="24"/>
        </w:rPr>
      </w:pPr>
      <w:r>
        <w:rPr>
          <w:rFonts w:hint="eastAsia" w:ascii="黑体" w:hAnsi="黑体" w:eastAsia="黑体" w:cs="黑体"/>
          <w:sz w:val="24"/>
          <w:szCs w:val="24"/>
        </w:rPr>
        <w:t>（二）任务来源（项目计划号）：</w:t>
      </w:r>
      <w:r>
        <w:rPr>
          <w:rFonts w:hint="eastAsia" w:ascii="宋体" w:hAnsi="宋体" w:eastAsia="宋体" w:cs="宋体"/>
          <w:sz w:val="24"/>
          <w:szCs w:val="24"/>
        </w:rPr>
        <w:t>2023-Z044</w:t>
      </w:r>
    </w:p>
    <w:p w14:paraId="3DD7D7C1">
      <w:pPr>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sz w:val="24"/>
          <w:szCs w:val="24"/>
        </w:rPr>
      </w:pPr>
      <w:r>
        <w:rPr>
          <w:rFonts w:hint="eastAsia" w:ascii="黑体" w:hAnsi="黑体" w:eastAsia="黑体" w:cs="黑体"/>
          <w:sz w:val="24"/>
          <w:szCs w:val="24"/>
        </w:rPr>
        <w:t>（三）起草单位：</w:t>
      </w:r>
      <w:r>
        <w:rPr>
          <w:rFonts w:hint="eastAsia" w:ascii="宋体" w:hAnsi="宋体" w:eastAsia="宋体" w:cs="宋体"/>
          <w:sz w:val="24"/>
          <w:szCs w:val="24"/>
        </w:rPr>
        <w:t>海南省消防救援总队</w:t>
      </w:r>
    </w:p>
    <w:p w14:paraId="502562BF">
      <w:pPr>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sz w:val="24"/>
          <w:szCs w:val="24"/>
        </w:rPr>
      </w:pPr>
      <w:r>
        <w:rPr>
          <w:rFonts w:hint="eastAsia" w:ascii="黑体" w:hAnsi="黑体" w:eastAsia="黑体" w:cs="黑体"/>
          <w:sz w:val="24"/>
          <w:szCs w:val="24"/>
        </w:rPr>
        <w:t>（四）单位地址：</w:t>
      </w:r>
      <w:r>
        <w:rPr>
          <w:rFonts w:hint="eastAsia" w:ascii="宋体" w:hAnsi="宋体" w:eastAsia="宋体" w:cs="宋体"/>
          <w:sz w:val="24"/>
          <w:szCs w:val="24"/>
        </w:rPr>
        <w:t>海南省海口市龙华区龙昆南路170号</w:t>
      </w:r>
    </w:p>
    <w:p w14:paraId="5A4FCD97">
      <w:pPr>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sz w:val="24"/>
          <w:szCs w:val="24"/>
        </w:rPr>
      </w:pPr>
      <w:r>
        <w:rPr>
          <w:rFonts w:hint="eastAsia" w:ascii="黑体" w:hAnsi="黑体" w:eastAsia="黑体" w:cs="黑体"/>
          <w:sz w:val="24"/>
          <w:szCs w:val="24"/>
        </w:rPr>
        <w:t>（五）参与起草单位：</w:t>
      </w:r>
      <w:r>
        <w:rPr>
          <w:rFonts w:hint="eastAsia" w:ascii="宋体" w:hAnsi="宋体" w:eastAsia="宋体" w:cs="宋体"/>
          <w:sz w:val="24"/>
          <w:szCs w:val="24"/>
        </w:rPr>
        <w:t>清华大学合肥公共安全研究院、中电科国海信通科技（海南）有限公司、杭州海康消防科技有限公司、海南省信息化专家协会等</w:t>
      </w:r>
    </w:p>
    <w:p w14:paraId="5F32895F">
      <w:pPr>
        <w:pageBreakBefore w:val="0"/>
        <w:kinsoku/>
        <w:wordWrap/>
        <w:overflowPunct/>
        <w:topLinePunct w:val="0"/>
        <w:autoSpaceDE/>
        <w:autoSpaceDN/>
        <w:bidi w:val="0"/>
        <w:adjustRightInd/>
        <w:snapToGrid/>
        <w:spacing w:line="480" w:lineRule="exact"/>
        <w:ind w:left="0" w:leftChars="0" w:firstLine="0" w:firstLineChars="0"/>
        <w:textAlignment w:val="auto"/>
        <w:rPr>
          <w:rFonts w:hint="eastAsia" w:eastAsia="宋体"/>
          <w:sz w:val="24"/>
          <w:szCs w:val="24"/>
          <w:lang w:eastAsia="zh-CN"/>
        </w:rPr>
      </w:pPr>
      <w:r>
        <w:rPr>
          <w:rFonts w:hint="eastAsia" w:ascii="黑体" w:hAnsi="黑体" w:eastAsia="黑体" w:cs="黑体"/>
          <w:sz w:val="24"/>
          <w:szCs w:val="24"/>
        </w:rPr>
        <w:t>（六）标准起草人：</w:t>
      </w:r>
      <w:r>
        <w:rPr>
          <w:rFonts w:hint="eastAsia" w:ascii="宋体" w:hAnsi="宋体" w:eastAsia="宋体" w:cs="宋体"/>
          <w:sz w:val="24"/>
          <w:szCs w:val="24"/>
        </w:rPr>
        <w:t>周永鑫、田泽冠、乔旭东、符之远、张刚、王麒雄、侯少汝、宣丰、赵先林、王坚平、姚弋、王静舞、陈其丰、成志明</w:t>
      </w:r>
      <w:r>
        <w:rPr>
          <w:rFonts w:hint="eastAsia" w:ascii="宋体" w:hAnsi="宋体" w:eastAsia="宋体" w:cs="宋体"/>
          <w:sz w:val="24"/>
          <w:szCs w:val="24"/>
          <w:lang w:eastAsia="zh-CN"/>
        </w:rPr>
        <w:t>。</w:t>
      </w:r>
    </w:p>
    <w:p w14:paraId="54C8A24C">
      <w:pPr>
        <w:pStyle w:val="2"/>
        <w:pageBreakBefore w:val="0"/>
        <w:numPr>
          <w:ilvl w:val="0"/>
          <w:numId w:val="0"/>
        </w:numPr>
        <w:kinsoku/>
        <w:wordWrap/>
        <w:overflowPunct/>
        <w:topLinePunct w:val="0"/>
        <w:autoSpaceDE/>
        <w:autoSpaceDN/>
        <w:bidi w:val="0"/>
        <w:adjustRightInd/>
        <w:snapToGrid/>
        <w:spacing w:line="600" w:lineRule="auto"/>
        <w:ind w:leftChars="0"/>
        <w:textAlignment w:val="auto"/>
        <w:rPr>
          <w:rFonts w:hint="eastAsia"/>
          <w:sz w:val="28"/>
          <w:szCs w:val="28"/>
          <w:lang w:val="en-US" w:eastAsia="zh-CN"/>
        </w:rPr>
      </w:pPr>
      <w:bookmarkStart w:id="1" w:name="_Toc27966"/>
      <w:r>
        <w:rPr>
          <w:rFonts w:hint="eastAsia"/>
          <w:sz w:val="28"/>
          <w:szCs w:val="28"/>
          <w:lang w:val="en-US" w:eastAsia="zh-CN"/>
        </w:rPr>
        <w:t>二、编制情况</w:t>
      </w:r>
    </w:p>
    <w:p w14:paraId="30B30427">
      <w:pPr>
        <w:pStyle w:val="2"/>
        <w:pageBreakBefore w:val="0"/>
        <w:numPr>
          <w:ilvl w:val="0"/>
          <w:numId w:val="0"/>
        </w:numPr>
        <w:kinsoku/>
        <w:wordWrap/>
        <w:overflowPunct/>
        <w:topLinePunct w:val="0"/>
        <w:autoSpaceDE/>
        <w:autoSpaceDN/>
        <w:bidi w:val="0"/>
        <w:adjustRightInd/>
        <w:snapToGrid/>
        <w:spacing w:line="480" w:lineRule="exact"/>
        <w:ind w:leftChars="0"/>
        <w:textAlignment w:val="auto"/>
        <w:rPr>
          <w:rFonts w:hint="default"/>
          <w:b/>
          <w:bCs/>
          <w:sz w:val="24"/>
          <w:szCs w:val="24"/>
          <w:lang w:val="en-US"/>
        </w:rPr>
      </w:pPr>
      <w:r>
        <w:rPr>
          <w:rFonts w:hint="eastAsia"/>
          <w:b/>
          <w:bCs/>
          <w:sz w:val="24"/>
          <w:szCs w:val="24"/>
          <w:lang w:val="en-US" w:eastAsia="zh-CN"/>
        </w:rPr>
        <w:t>（一）编制标准的必要性</w:t>
      </w:r>
      <w:bookmarkEnd w:id="1"/>
      <w:r>
        <w:rPr>
          <w:rFonts w:hint="eastAsia"/>
          <w:b/>
          <w:bCs/>
          <w:sz w:val="24"/>
          <w:szCs w:val="24"/>
          <w:lang w:val="en-US" w:eastAsia="zh-CN"/>
        </w:rPr>
        <w:t>及政策依据</w:t>
      </w:r>
    </w:p>
    <w:p w14:paraId="1937297F">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一是随着海南自由贸易港建设，港内企业单位数量的快速增长，对企业单位消防安全和火灾防控能力提出了更高的要求。利用物联网感知技术推动港区消防安全设施设备信息联网是建立对港区企业单位火灾风险感知和火灾预警防控的基础环节，也是保障自贸港安全建设和营商环境的重要手段。</w:t>
      </w:r>
    </w:p>
    <w:p w14:paraId="186BF0D0">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针对企业单位消防设施设备种类多、国标与非标产品型号复杂、设备通信协议不规范等现状，制定统一的消防物联网设备联网接入标准，适应自贸港各类企业单位场所消防设施设备物联网感知信息的接入成为消防感知信息接入的重点和难点。</w:t>
      </w:r>
    </w:p>
    <w:p w14:paraId="4CD20B78">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二是《中华人民共和国消防法》鼓励和支持消防科学研究技术，并确定消防的相关标准规范。《公安部消防局2020年工作要点》明确指出要着力提高消防工作科技化、信息化水平，为直辖市、省会市、计划单列市和有条件的城市运用物联网技术建设城市物联网消防远程监控系统“升级版”提供指导与支持，推进城市智慧消防建设。</w:t>
      </w:r>
    </w:p>
    <w:p w14:paraId="0C139B69">
      <w:pPr>
        <w:pageBreakBefore w:val="0"/>
        <w:kinsoku/>
        <w:wordWrap/>
        <w:overflowPunct/>
        <w:topLinePunct w:val="0"/>
        <w:autoSpaceDE/>
        <w:autoSpaceDN/>
        <w:bidi w:val="0"/>
        <w:adjustRightInd/>
        <w:snapToGrid/>
        <w:spacing w:line="480" w:lineRule="exact"/>
        <w:textAlignment w:val="auto"/>
        <w:rPr>
          <w:rFonts w:hint="eastAsia"/>
          <w:sz w:val="24"/>
          <w:szCs w:val="24"/>
        </w:rPr>
      </w:pPr>
      <w:r>
        <w:rPr>
          <w:rFonts w:hint="eastAsia" w:ascii="宋体" w:hAnsi="宋体" w:eastAsia="宋体" w:cs="宋体"/>
          <w:sz w:val="24"/>
          <w:szCs w:val="24"/>
        </w:rPr>
        <w:t>海南省正在推进智慧海南建设，其中包括搭建物联网平台，面向全省提供物联网设备管理、数据汇聚、应用开发和业务分析服务，形成海南省物联网设备集中管理入口和数据汇集枢纽。海南省的目标是到2025年底，基本建成以“智慧赋能自由港”“数字孪生第一省”为标志的智慧海南，其中数字孪生是指利用新一代信息技术，将真实世界的各种要素在虚拟空间中进行复制、模拟和优化。海南省也在参与国家层面的数字孪生城市标准化工作，如城市物联网接入层、感知层、传输层等细分标准的制定和推广。</w:t>
      </w:r>
    </w:p>
    <w:p w14:paraId="76B13912">
      <w:pPr>
        <w:pStyle w:val="2"/>
        <w:pageBreakBefore w:val="0"/>
        <w:numPr>
          <w:ilvl w:val="0"/>
          <w:numId w:val="0"/>
        </w:numPr>
        <w:kinsoku/>
        <w:wordWrap/>
        <w:overflowPunct/>
        <w:topLinePunct w:val="0"/>
        <w:autoSpaceDE/>
        <w:autoSpaceDN/>
        <w:bidi w:val="0"/>
        <w:adjustRightInd/>
        <w:snapToGrid/>
        <w:spacing w:line="480" w:lineRule="exact"/>
        <w:ind w:leftChars="0"/>
        <w:textAlignment w:val="auto"/>
        <w:rPr>
          <w:sz w:val="24"/>
          <w:szCs w:val="24"/>
        </w:rPr>
      </w:pPr>
      <w:bookmarkStart w:id="2" w:name="_Toc27824"/>
      <w:r>
        <w:rPr>
          <w:rFonts w:hint="eastAsia"/>
          <w:sz w:val="24"/>
          <w:szCs w:val="24"/>
          <w:lang w:val="en-US" w:eastAsia="zh-CN"/>
        </w:rPr>
        <w:t>（二）编制过程</w:t>
      </w:r>
      <w:bookmarkEnd w:id="2"/>
    </w:p>
    <w:p w14:paraId="0E02A6B7">
      <w:pPr>
        <w:pStyle w:val="4"/>
        <w:numPr>
          <w:ilvl w:val="2"/>
          <w:numId w:val="0"/>
        </w:numPr>
        <w:bidi w:val="0"/>
        <w:ind w:leftChars="0"/>
        <w:rPr>
          <w:rFonts w:hint="eastAsia"/>
          <w:sz w:val="24"/>
          <w:szCs w:val="24"/>
          <w:lang w:val="en-US" w:eastAsia="zh-CN"/>
        </w:rPr>
      </w:pPr>
      <w:r>
        <w:rPr>
          <w:rFonts w:hint="eastAsia"/>
          <w:sz w:val="24"/>
          <w:szCs w:val="24"/>
        </w:rPr>
        <w:t>1．</w:t>
      </w:r>
      <w:r>
        <w:rPr>
          <w:rFonts w:hint="eastAsia"/>
          <w:sz w:val="24"/>
          <w:szCs w:val="24"/>
          <w:lang w:val="en-US" w:eastAsia="zh-CN"/>
        </w:rPr>
        <w:t>成立编制组</w:t>
      </w:r>
    </w:p>
    <w:p w14:paraId="6C7AE440">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省市场监管局立项后，总队成立标准编制组。</w:t>
      </w:r>
      <w:r>
        <w:rPr>
          <w:rFonts w:hint="eastAsia" w:ascii="宋体" w:hAnsi="宋体" w:eastAsia="宋体" w:cs="宋体"/>
          <w:sz w:val="24"/>
          <w:szCs w:val="24"/>
        </w:rPr>
        <w:t>进行国内外相关法规的调研，对比国内在此领域领先的省的做法以及国外成熟的规范做法，充分考虑海南省建设自贸港的实际状况及《智慧海南总体方案（2020—2025年）》的要求，形成了整体思路。</w:t>
      </w:r>
    </w:p>
    <w:p w14:paraId="3D74BFCE">
      <w:pPr>
        <w:pStyle w:val="4"/>
        <w:numPr>
          <w:ilvl w:val="2"/>
          <w:numId w:val="0"/>
        </w:numPr>
        <w:bidi w:val="0"/>
        <w:ind w:leftChars="0"/>
        <w:rPr>
          <w:rFonts w:hint="eastAsia"/>
          <w:sz w:val="24"/>
          <w:szCs w:val="24"/>
          <w:lang w:val="en-US" w:eastAsia="zh-CN"/>
        </w:rPr>
      </w:pPr>
      <w:r>
        <w:rPr>
          <w:rFonts w:hint="eastAsia"/>
          <w:sz w:val="24"/>
          <w:szCs w:val="24"/>
          <w:lang w:val="en-US" w:eastAsia="zh-CN"/>
        </w:rPr>
        <w:t>2.实地调研</w:t>
      </w:r>
    </w:p>
    <w:p w14:paraId="451CE1F5">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组织专家通过对海南省海口、三亚、琼海、儋州、澄迈五个市县进行调研，了解企业单位消防安全物联网设备现状和问题，为制定本标准做准备，使之更具针对性，为解决现实问题提供新的解决方式。</w:t>
      </w:r>
    </w:p>
    <w:p w14:paraId="2F51F4CA">
      <w:pPr>
        <w:bidi w:val="0"/>
        <w:ind w:left="0" w:leftChars="0" w:firstLine="0" w:firstLineChars="0"/>
        <w:jc w:val="center"/>
      </w:pPr>
      <w:r>
        <w:drawing>
          <wp:inline distT="0" distB="0" distL="114300" distR="114300">
            <wp:extent cx="5760720" cy="8236585"/>
            <wp:effectExtent l="0" t="0" r="1905"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5760720" cy="8236585"/>
                    </a:xfrm>
                    <a:prstGeom prst="rect">
                      <a:avLst/>
                    </a:prstGeom>
                    <a:noFill/>
                    <a:ln>
                      <a:noFill/>
                    </a:ln>
                  </pic:spPr>
                </pic:pic>
              </a:graphicData>
            </a:graphic>
          </wp:inline>
        </w:drawing>
      </w:r>
    </w:p>
    <w:p w14:paraId="29E4EF1B">
      <w:pPr>
        <w:pStyle w:val="6"/>
        <w:bidi w:val="0"/>
        <w:ind w:left="0" w:leftChars="0" w:firstLine="0" w:firstLineChars="0"/>
        <w:rPr>
          <w:rFonts w:hint="eastAsia"/>
          <w:lang w:eastAsia="zh-CN"/>
        </w:rPr>
      </w:pPr>
      <w:r>
        <w:t xml:space="preserve">图 </w:t>
      </w:r>
      <w:r>
        <w:fldChar w:fldCharType="begin"/>
      </w:r>
      <w:r>
        <w:instrText xml:space="preserve"> SEQ 图 \* ARABIC </w:instrText>
      </w:r>
      <w:r>
        <w:fldChar w:fldCharType="separate"/>
      </w:r>
      <w:r>
        <w:t>1</w:t>
      </w:r>
      <w:r>
        <w:fldChar w:fldCharType="end"/>
      </w:r>
      <w:r>
        <w:rPr>
          <w:rFonts w:hint="eastAsia"/>
          <w:lang w:eastAsia="zh-CN"/>
        </w:rPr>
        <w:t xml:space="preserve"> 省消防救援总队组织调研</w:t>
      </w:r>
    </w:p>
    <w:p w14:paraId="3A1428CD">
      <w:pPr>
        <w:rPr>
          <w:rFonts w:hint="eastAsia"/>
          <w:lang w:eastAsia="zh-CN"/>
        </w:rPr>
      </w:pPr>
    </w:p>
    <w:p w14:paraId="0A0BF881">
      <w:pPr>
        <w:pStyle w:val="4"/>
        <w:numPr>
          <w:ilvl w:val="2"/>
          <w:numId w:val="0"/>
        </w:numPr>
        <w:bidi w:val="0"/>
        <w:ind w:leftChars="0"/>
        <w:rPr>
          <w:rFonts w:hint="eastAsia"/>
          <w:sz w:val="24"/>
          <w:szCs w:val="24"/>
          <w:lang w:val="en-US" w:eastAsia="zh-CN"/>
        </w:rPr>
      </w:pPr>
      <w:r>
        <w:rPr>
          <w:rFonts w:hint="eastAsia"/>
          <w:sz w:val="24"/>
          <w:szCs w:val="24"/>
        </w:rPr>
        <w:t>3．</w:t>
      </w:r>
      <w:r>
        <w:rPr>
          <w:rFonts w:hint="eastAsia"/>
          <w:sz w:val="24"/>
          <w:szCs w:val="24"/>
          <w:lang w:val="en-US" w:eastAsia="zh-CN"/>
        </w:rPr>
        <w:t>形成征求意见稿</w:t>
      </w:r>
    </w:p>
    <w:p w14:paraId="7C8E5AB4">
      <w:pPr>
        <w:pageBreakBefore w:val="0"/>
        <w:kinsoku/>
        <w:wordWrap/>
        <w:overflowPunct/>
        <w:topLinePunct w:val="0"/>
        <w:autoSpaceDE/>
        <w:autoSpaceDN/>
        <w:bidi w:val="0"/>
        <w:adjustRightInd/>
        <w:snapToGrid/>
        <w:spacing w:line="480" w:lineRule="exac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编制组结合调研情况，借鉴有关工作经验，根据标准编制要求，认真组织研究起草，经内部多轮修改，形成征求意见稿。</w:t>
      </w:r>
    </w:p>
    <w:p w14:paraId="50BE1716">
      <w:pPr>
        <w:pStyle w:val="4"/>
        <w:numPr>
          <w:ilvl w:val="2"/>
          <w:numId w:val="0"/>
        </w:numPr>
        <w:bidi w:val="0"/>
        <w:ind w:leftChars="0"/>
        <w:rPr>
          <w:rFonts w:hint="default" w:ascii="宋体" w:hAnsi="宋体" w:eastAsia="宋体" w:cs="宋体"/>
          <w:sz w:val="24"/>
          <w:szCs w:val="24"/>
          <w:lang w:val="en-US" w:eastAsia="zh-CN"/>
        </w:rPr>
      </w:pPr>
      <w:r>
        <w:rPr>
          <w:rFonts w:hint="eastAsia" w:ascii="宋体" w:hAnsi="宋体" w:cs="宋体"/>
          <w:sz w:val="24"/>
          <w:szCs w:val="24"/>
          <w:lang w:val="en-US" w:eastAsia="zh-CN"/>
        </w:rPr>
        <w:t>4.征求意见</w:t>
      </w:r>
    </w:p>
    <w:p w14:paraId="3D39A453">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2024年7—8月，省消防救援总队征求了省直部门和各市县政府意见。其后，又多次组织使用群体单位（消防技术服务机构和消防安全重点单位）和专家，召开征求意见座谈会议进行研讨，反复修改完善，并进一步组织开展物联网企业专项调研，验证编制成果。先后征集到修改意见建议8条，编制组逐条进行研究并回应。</w:t>
      </w:r>
    </w:p>
    <w:p w14:paraId="026192E3">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lang w:val="en-US" w:eastAsia="zh-CN"/>
        </w:rPr>
      </w:pPr>
      <w:r>
        <w:drawing>
          <wp:anchor distT="0" distB="0" distL="114300" distR="114300" simplePos="0" relativeHeight="251661312" behindDoc="0" locked="0" layoutInCell="1" allowOverlap="1">
            <wp:simplePos x="0" y="0"/>
            <wp:positionH relativeFrom="column">
              <wp:posOffset>167640</wp:posOffset>
            </wp:positionH>
            <wp:positionV relativeFrom="paragraph">
              <wp:posOffset>274320</wp:posOffset>
            </wp:positionV>
            <wp:extent cx="2828925" cy="1838325"/>
            <wp:effectExtent l="0" t="0" r="0" b="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2828925" cy="1838325"/>
                    </a:xfrm>
                    <a:prstGeom prst="rect">
                      <a:avLst/>
                    </a:prstGeom>
                    <a:noFill/>
                    <a:ln>
                      <a:noFill/>
                    </a:ln>
                  </pic:spPr>
                </pic:pic>
              </a:graphicData>
            </a:graphic>
          </wp:anchor>
        </w:drawing>
      </w:r>
    </w:p>
    <w:p w14:paraId="3C843A0B">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lang w:val="en-US" w:eastAsia="zh-CN"/>
        </w:rPr>
      </w:pPr>
      <w:r>
        <w:drawing>
          <wp:anchor distT="0" distB="0" distL="114300" distR="114300" simplePos="0" relativeHeight="251663360" behindDoc="0" locked="0" layoutInCell="1" allowOverlap="1">
            <wp:simplePos x="0" y="0"/>
            <wp:positionH relativeFrom="column">
              <wp:posOffset>3210560</wp:posOffset>
            </wp:positionH>
            <wp:positionV relativeFrom="paragraph">
              <wp:posOffset>12065</wp:posOffset>
            </wp:positionV>
            <wp:extent cx="2691130" cy="1843405"/>
            <wp:effectExtent l="0" t="0" r="4445" b="4445"/>
            <wp:wrapNone/>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0"/>
                    <a:stretch>
                      <a:fillRect/>
                    </a:stretch>
                  </pic:blipFill>
                  <pic:spPr>
                    <a:xfrm>
                      <a:off x="0" y="0"/>
                      <a:ext cx="2691130" cy="1843405"/>
                    </a:xfrm>
                    <a:prstGeom prst="rect">
                      <a:avLst/>
                    </a:prstGeom>
                    <a:noFill/>
                    <a:ln>
                      <a:noFill/>
                    </a:ln>
                  </pic:spPr>
                </pic:pic>
              </a:graphicData>
            </a:graphic>
          </wp:anchor>
        </w:drawing>
      </w:r>
    </w:p>
    <w:p w14:paraId="40201664">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lang w:val="en-US" w:eastAsia="zh-CN"/>
        </w:rPr>
      </w:pPr>
    </w:p>
    <w:p w14:paraId="303A7AC6">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lang w:val="en-US" w:eastAsia="zh-CN"/>
        </w:rPr>
      </w:pPr>
    </w:p>
    <w:p w14:paraId="35E443DB">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lang w:val="en-US" w:eastAsia="zh-CN"/>
        </w:rPr>
      </w:pPr>
    </w:p>
    <w:p w14:paraId="159C1DC9">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lang w:val="en-US" w:eastAsia="zh-CN"/>
        </w:rPr>
      </w:pPr>
    </w:p>
    <w:p w14:paraId="41CB3CA0">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lang w:val="en-US" w:eastAsia="zh-CN"/>
        </w:rPr>
      </w:pPr>
    </w:p>
    <w:p w14:paraId="74059F08">
      <w:pPr>
        <w:pageBreakBefore w:val="0"/>
        <w:kinsoku/>
        <w:wordWrap/>
        <w:overflowPunct/>
        <w:topLinePunct w:val="0"/>
        <w:autoSpaceDE/>
        <w:autoSpaceDN/>
        <w:bidi w:val="0"/>
        <w:adjustRightInd/>
        <w:snapToGrid/>
        <w:spacing w:line="480" w:lineRule="exact"/>
        <w:textAlignment w:val="auto"/>
        <w:rPr>
          <w:rFonts w:hint="default" w:ascii="宋体" w:hAnsi="宋体" w:eastAsia="宋体" w:cs="宋体"/>
          <w:sz w:val="24"/>
          <w:szCs w:val="24"/>
          <w:lang w:val="en-US" w:eastAsia="zh-CN"/>
        </w:rPr>
      </w:pPr>
      <w:r>
        <w:drawing>
          <wp:anchor distT="0" distB="0" distL="114300" distR="114300" simplePos="0" relativeHeight="251662336" behindDoc="0" locked="0" layoutInCell="1" allowOverlap="1">
            <wp:simplePos x="0" y="0"/>
            <wp:positionH relativeFrom="column">
              <wp:posOffset>153035</wp:posOffset>
            </wp:positionH>
            <wp:positionV relativeFrom="paragraph">
              <wp:posOffset>218440</wp:posOffset>
            </wp:positionV>
            <wp:extent cx="2771775" cy="2186305"/>
            <wp:effectExtent l="0" t="0" r="0" b="4445"/>
            <wp:wrapNone/>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1"/>
                    <a:stretch>
                      <a:fillRect/>
                    </a:stretch>
                  </pic:blipFill>
                  <pic:spPr>
                    <a:xfrm>
                      <a:off x="0" y="0"/>
                      <a:ext cx="2771775" cy="2186305"/>
                    </a:xfrm>
                    <a:prstGeom prst="rect">
                      <a:avLst/>
                    </a:prstGeom>
                    <a:noFill/>
                    <a:ln>
                      <a:noFill/>
                    </a:ln>
                  </pic:spPr>
                </pic:pic>
              </a:graphicData>
            </a:graphic>
          </wp:anchor>
        </w:drawing>
      </w:r>
    </w:p>
    <w:p w14:paraId="298CD0D5">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r>
        <w:drawing>
          <wp:anchor distT="0" distB="0" distL="114300" distR="114300" simplePos="0" relativeHeight="251659264" behindDoc="0" locked="0" layoutInCell="1" allowOverlap="1">
            <wp:simplePos x="0" y="0"/>
            <wp:positionH relativeFrom="column">
              <wp:posOffset>3128010</wp:posOffset>
            </wp:positionH>
            <wp:positionV relativeFrom="paragraph">
              <wp:posOffset>222885</wp:posOffset>
            </wp:positionV>
            <wp:extent cx="2841625" cy="1793875"/>
            <wp:effectExtent l="0" t="0" r="6350" b="635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rcRect t="5954"/>
                    <a:stretch>
                      <a:fillRect/>
                    </a:stretch>
                  </pic:blipFill>
                  <pic:spPr>
                    <a:xfrm>
                      <a:off x="0" y="0"/>
                      <a:ext cx="2841625" cy="1793875"/>
                    </a:xfrm>
                    <a:prstGeom prst="rect">
                      <a:avLst/>
                    </a:prstGeom>
                    <a:noFill/>
                    <a:ln>
                      <a:noFill/>
                    </a:ln>
                  </pic:spPr>
                </pic:pic>
              </a:graphicData>
            </a:graphic>
          </wp:anchor>
        </w:drawing>
      </w:r>
    </w:p>
    <w:p w14:paraId="1D521381">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p>
    <w:p w14:paraId="4AFC42B5">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r>
        <w:drawing>
          <wp:inline distT="0" distB="0" distL="114300" distR="114300">
            <wp:extent cx="5419725" cy="5048250"/>
            <wp:effectExtent l="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3"/>
                    <a:stretch>
                      <a:fillRect/>
                    </a:stretch>
                  </pic:blipFill>
                  <pic:spPr>
                    <a:xfrm>
                      <a:off x="0" y="0"/>
                      <a:ext cx="5419725" cy="5048250"/>
                    </a:xfrm>
                    <a:prstGeom prst="rect">
                      <a:avLst/>
                    </a:prstGeom>
                    <a:noFill/>
                    <a:ln>
                      <a:noFill/>
                    </a:ln>
                  </pic:spPr>
                </pic:pic>
              </a:graphicData>
            </a:graphic>
          </wp:inline>
        </w:drawing>
      </w:r>
    </w:p>
    <w:p w14:paraId="2FF8E0A0">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r>
        <w:drawing>
          <wp:inline distT="0" distB="0" distL="114300" distR="114300">
            <wp:extent cx="5248275" cy="495300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248275" cy="4953000"/>
                    </a:xfrm>
                    <a:prstGeom prst="rect">
                      <a:avLst/>
                    </a:prstGeom>
                    <a:noFill/>
                    <a:ln>
                      <a:noFill/>
                    </a:ln>
                  </pic:spPr>
                </pic:pic>
              </a:graphicData>
            </a:graphic>
          </wp:inline>
        </w:drawing>
      </w:r>
    </w:p>
    <w:p w14:paraId="2A5E12F2">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p>
    <w:p w14:paraId="0BE7AD80">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p>
    <w:p w14:paraId="757E6079">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p>
    <w:p w14:paraId="19A97782">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bookmarkStart w:id="14" w:name="_GoBack"/>
      <w:bookmarkEnd w:id="14"/>
    </w:p>
    <w:p w14:paraId="1DAC70FF">
      <w:pPr>
        <w:pStyle w:val="4"/>
        <w:numPr>
          <w:ilvl w:val="2"/>
          <w:numId w:val="0"/>
        </w:numPr>
        <w:bidi w:val="0"/>
        <w:ind w:leftChars="0"/>
        <w:rPr>
          <w:rFonts w:hint="default" w:ascii="宋体" w:hAnsi="宋体" w:eastAsia="宋体" w:cs="宋体"/>
          <w:sz w:val="24"/>
          <w:szCs w:val="24"/>
          <w:lang w:val="en-US" w:eastAsia="zh-CN"/>
        </w:rPr>
      </w:pPr>
      <w:r>
        <w:rPr>
          <w:rFonts w:hint="eastAsia" w:eastAsia="宋体" w:cs="宋体"/>
          <w:sz w:val="24"/>
          <w:szCs w:val="24"/>
          <w:lang w:val="en-US" w:eastAsia="zh-CN"/>
        </w:rPr>
        <w:t>5</w:t>
      </w:r>
      <w:r>
        <w:rPr>
          <w:rFonts w:hint="eastAsia" w:ascii="宋体" w:hAnsi="宋体" w:eastAsia="宋体" w:cs="宋体"/>
          <w:sz w:val="24"/>
          <w:szCs w:val="24"/>
        </w:rPr>
        <w:t>．</w:t>
      </w:r>
      <w:r>
        <w:rPr>
          <w:rFonts w:hint="eastAsia" w:ascii="宋体" w:hAnsi="宋体" w:cs="宋体"/>
          <w:sz w:val="24"/>
          <w:szCs w:val="24"/>
          <w:lang w:val="en-US" w:eastAsia="zh-CN"/>
        </w:rPr>
        <w:t>进一步完善</w:t>
      </w:r>
    </w:p>
    <w:p w14:paraId="5C3DA589">
      <w:pPr>
        <w:pageBreakBefore w:val="0"/>
        <w:kinsoku/>
        <w:wordWrap/>
        <w:overflowPunct/>
        <w:topLinePunct w:val="0"/>
        <w:autoSpaceDE/>
        <w:autoSpaceDN/>
        <w:bidi w:val="0"/>
        <w:adjustRightInd/>
        <w:snapToGrid/>
        <w:spacing w:line="480" w:lineRule="exact"/>
        <w:textAlignment w:val="auto"/>
        <w:rPr>
          <w:rFonts w:hint="eastAsia"/>
          <w:lang w:eastAsia="zh-CN"/>
        </w:rPr>
      </w:pPr>
      <w:r>
        <w:rPr>
          <w:rFonts w:hint="eastAsia" w:ascii="宋体" w:hAnsi="宋体" w:eastAsia="宋体" w:cs="宋体"/>
          <w:sz w:val="24"/>
          <w:szCs w:val="24"/>
          <w:lang w:val="en-US" w:eastAsia="zh-CN"/>
        </w:rPr>
        <w:t>根据座谈研讨情况，组织编制组全体人员，并邀请专家给与指导，全面审查、精心修改，进一步完善了征求意见稿。根据程序，现提交省市场监管局通过集中向社会征求意见。</w:t>
      </w:r>
    </w:p>
    <w:p w14:paraId="1AB7B396">
      <w:pPr>
        <w:pStyle w:val="2"/>
        <w:numPr>
          <w:ilvl w:val="0"/>
          <w:numId w:val="0"/>
        </w:numPr>
        <w:ind w:leftChars="0"/>
        <w:rPr>
          <w:sz w:val="24"/>
          <w:szCs w:val="36"/>
        </w:rPr>
      </w:pPr>
      <w:bookmarkStart w:id="3" w:name="_Toc25421"/>
      <w:r>
        <w:rPr>
          <w:rFonts w:hint="eastAsia"/>
          <w:sz w:val="24"/>
          <w:szCs w:val="36"/>
          <w:lang w:val="en-US" w:eastAsia="zh-CN"/>
        </w:rPr>
        <w:t>（三）编制标准的原则和依据，与现行法律法规、标准的关系</w:t>
      </w:r>
      <w:bookmarkEnd w:id="3"/>
    </w:p>
    <w:p w14:paraId="64F7EE62">
      <w:pPr>
        <w:pStyle w:val="3"/>
        <w:pageBreakBefore w:val="0"/>
        <w:numPr>
          <w:ilvl w:val="1"/>
          <w:numId w:val="0"/>
        </w:numPr>
        <w:kinsoku/>
        <w:wordWrap/>
        <w:overflowPunct/>
        <w:topLinePunct w:val="0"/>
        <w:autoSpaceDE/>
        <w:autoSpaceDN/>
        <w:bidi w:val="0"/>
        <w:adjustRightInd/>
        <w:snapToGrid/>
        <w:spacing w:line="480" w:lineRule="exact"/>
        <w:ind w:leftChars="0"/>
        <w:textAlignment w:val="auto"/>
        <w:rPr>
          <w:sz w:val="24"/>
          <w:szCs w:val="24"/>
        </w:rPr>
      </w:pPr>
      <w:bookmarkStart w:id="4" w:name="_Toc11407"/>
      <w:r>
        <w:rPr>
          <w:rFonts w:hint="eastAsia"/>
          <w:sz w:val="24"/>
          <w:szCs w:val="24"/>
          <w:lang w:val="en-US" w:eastAsia="zh-CN"/>
        </w:rPr>
        <w:t>1. 制定标准的</w:t>
      </w:r>
      <w:r>
        <w:rPr>
          <w:rFonts w:hint="eastAsia"/>
          <w:sz w:val="24"/>
          <w:szCs w:val="24"/>
        </w:rPr>
        <w:t>原则</w:t>
      </w:r>
      <w:bookmarkEnd w:id="4"/>
    </w:p>
    <w:p w14:paraId="7486EE44">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1）科学性原则。标准的编制以标准化理论为指导。编制组通过深入研究国家和地方相关法律法规，相关标准编制领先省份=的系列规范性文件，以此作为标准编制的基础和依据。本标准符合国家有关法律法规、政策以及相关技术规范的要求，注重科学性，确保编制标准科学可行，具有较强的执行性。同时，适应当前消防系统物联网技术的系统化、智能化趋势，标准具有一定的先进性和前瞻性。</w:t>
      </w:r>
    </w:p>
    <w:p w14:paraId="4F18E952">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（2）合理性原则。标准的制定充分考虑消防系统联网接入和独立式消防感知设备联网接入的实际需求，所制定的标准能够覆盖自贸港内单位企业和各类场所</w:t>
      </w:r>
      <w:r>
        <w:rPr>
          <w:rFonts w:hint="eastAsia" w:ascii="宋体" w:hAnsi="宋体" w:eastAsia="宋体" w:cs="宋体"/>
          <w:sz w:val="24"/>
          <w:szCs w:val="24"/>
          <w:lang w:eastAsia="zh-CN"/>
        </w:rPr>
        <w:t>涉及的</w:t>
      </w:r>
      <w:r>
        <w:rPr>
          <w:rFonts w:hint="eastAsia" w:ascii="宋体" w:hAnsi="宋体" w:eastAsia="宋体" w:cs="宋体"/>
          <w:sz w:val="24"/>
          <w:szCs w:val="24"/>
        </w:rPr>
        <w:t>消防设施设备物联网接入基本需求。充分运用海南自由贸易港制度创新的优势，围绕消防物联网设备接入，规范构建标准化接入体系。</w:t>
      </w:r>
    </w:p>
    <w:p w14:paraId="27702C0F">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3）可操作性原则。标准的编制坚持问题导向和目标导向，在协调兼容国家和行业相关标准的基础上，紧扣当前消防物联网设备接入非标和不统一等问题，建设形成海南省自贸港统一和规范的接入标准规范，助力自贸港安全营商环境消防安全建设。</w:t>
      </w:r>
    </w:p>
    <w:p w14:paraId="242CCD55">
      <w:pPr>
        <w:pStyle w:val="3"/>
        <w:pageBreakBefore w:val="0"/>
        <w:numPr>
          <w:ilvl w:val="1"/>
          <w:numId w:val="0"/>
        </w:numPr>
        <w:kinsoku/>
        <w:wordWrap/>
        <w:overflowPunct/>
        <w:topLinePunct w:val="0"/>
        <w:autoSpaceDE/>
        <w:autoSpaceDN/>
        <w:bidi w:val="0"/>
        <w:adjustRightInd/>
        <w:snapToGrid/>
        <w:spacing w:line="480" w:lineRule="exact"/>
        <w:ind w:leftChars="0"/>
        <w:textAlignment w:val="auto"/>
        <w:rPr>
          <w:sz w:val="24"/>
          <w:szCs w:val="24"/>
        </w:rPr>
      </w:pPr>
      <w:bookmarkStart w:id="5" w:name="_Toc26028"/>
      <w:r>
        <w:rPr>
          <w:rFonts w:hint="eastAsia"/>
          <w:sz w:val="24"/>
          <w:szCs w:val="24"/>
          <w:lang w:val="en-US" w:eastAsia="zh-CN"/>
        </w:rPr>
        <w:t>2. 制定</w:t>
      </w:r>
      <w:r>
        <w:rPr>
          <w:rFonts w:hint="eastAsia"/>
          <w:sz w:val="24"/>
          <w:szCs w:val="24"/>
        </w:rPr>
        <w:t>依据</w:t>
      </w:r>
      <w:bookmarkEnd w:id="5"/>
    </w:p>
    <w:p w14:paraId="4998DF1F">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lang w:val="en-US" w:eastAsia="zh-CN"/>
        </w:rPr>
      </w:pPr>
      <w:r>
        <w:rPr>
          <w:rFonts w:hint="eastAsia" w:ascii="宋体" w:hAnsi="宋体" w:eastAsia="宋体" w:cs="宋体"/>
          <w:sz w:val="24"/>
          <w:szCs w:val="24"/>
        </w:rPr>
        <w:t>本标准的主要内容是在广泛查询国内相关标准及文献资料，针对我省消防管理的现状，征求专家和企业单位意见，并参考国内外先进经验做法而提出的，其主要依据见表</w:t>
      </w:r>
      <w:r>
        <w:rPr>
          <w:rFonts w:hint="eastAsia" w:ascii="宋体" w:hAnsi="宋体" w:eastAsia="宋体" w:cs="宋体"/>
          <w:sz w:val="24"/>
          <w:szCs w:val="24"/>
          <w:lang w:val="en-US" w:eastAsia="zh-CN"/>
        </w:rPr>
        <w:t>1 所示。</w:t>
      </w:r>
    </w:p>
    <w:p w14:paraId="6A2F3FCF">
      <w:pPr>
        <w:pStyle w:val="6"/>
        <w:bidi w:val="0"/>
        <w:rPr>
          <w:rFonts w:hint="eastAsia" w:ascii="黑体" w:hAnsi="黑体" w:eastAsia="黑体" w:cs="黑体"/>
          <w:lang w:eastAsia="zh-CN"/>
        </w:rPr>
      </w:pPr>
      <w:r>
        <w:rPr>
          <w:rFonts w:hint="eastAsia" w:ascii="黑体" w:hAnsi="黑体" w:eastAsia="黑体" w:cs="黑体"/>
        </w:rPr>
        <w:t xml:space="preserve">表 </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1</w:t>
      </w:r>
      <w:r>
        <w:rPr>
          <w:rFonts w:hint="eastAsia" w:ascii="黑体" w:hAnsi="黑体" w:eastAsia="黑体" w:cs="黑体"/>
        </w:rPr>
        <w:fldChar w:fldCharType="end"/>
      </w:r>
      <w:r>
        <w:rPr>
          <w:rFonts w:hint="eastAsia" w:ascii="黑体" w:hAnsi="黑体" w:eastAsia="黑体" w:cs="黑体"/>
          <w:lang w:eastAsia="zh-CN"/>
        </w:rPr>
        <w:t xml:space="preserve"> 本标准编写主要内容和编制依据</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2021"/>
        <w:gridCol w:w="6513"/>
      </w:tblGrid>
      <w:tr w14:paraId="1260D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754" w:type="dxa"/>
            <w:vAlign w:val="center"/>
          </w:tcPr>
          <w:p w14:paraId="302E03EE">
            <w:pPr>
              <w:pStyle w:val="25"/>
              <w:keepNext w:val="0"/>
              <w:keepLines w:val="0"/>
              <w:pageBreakBefore w:val="0"/>
              <w:widowControl/>
              <w:tabs>
                <w:tab w:val="center" w:pos="4201"/>
                <w:tab w:val="right" w:leader="dot" w:pos="9298"/>
              </w:tabs>
              <w:kinsoku/>
              <w:wordWrap/>
              <w:overflowPunct/>
              <w:topLinePunct w:val="0"/>
              <w:autoSpaceDE w:val="0"/>
              <w:autoSpaceDN w:val="0"/>
              <w:bidi w:val="0"/>
              <w:spacing w:line="480" w:lineRule="exact"/>
              <w:ind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b/>
                <w:bCs/>
                <w:sz w:val="24"/>
                <w:szCs w:val="24"/>
              </w:rPr>
              <w:t>序号</w:t>
            </w:r>
          </w:p>
        </w:tc>
        <w:tc>
          <w:tcPr>
            <w:tcW w:w="2021" w:type="dxa"/>
            <w:vAlign w:val="center"/>
          </w:tcPr>
          <w:p w14:paraId="25E98863">
            <w:pPr>
              <w:pStyle w:val="25"/>
              <w:keepNext w:val="0"/>
              <w:keepLines w:val="0"/>
              <w:pageBreakBefore w:val="0"/>
              <w:widowControl/>
              <w:tabs>
                <w:tab w:val="center" w:pos="4201"/>
                <w:tab w:val="right" w:leader="dot" w:pos="9298"/>
              </w:tabs>
              <w:kinsoku/>
              <w:wordWrap/>
              <w:overflowPunct/>
              <w:topLinePunct w:val="0"/>
              <w:autoSpaceDE w:val="0"/>
              <w:autoSpaceDN w:val="0"/>
              <w:bidi w:val="0"/>
              <w:spacing w:line="480" w:lineRule="exact"/>
              <w:ind w:firstLine="0" w:firstLineChars="0"/>
              <w:jc w:val="center"/>
              <w:textAlignment w:val="auto"/>
              <w:rPr>
                <w:rFonts w:hint="eastAsia" w:ascii="宋体" w:hAnsi="宋体" w:eastAsia="宋体" w:cs="宋体"/>
                <w:sz w:val="24"/>
                <w:szCs w:val="24"/>
                <w:vertAlign w:val="baseline"/>
                <w:lang w:eastAsia="zh-CN"/>
              </w:rPr>
            </w:pPr>
            <w:r>
              <w:rPr>
                <w:rFonts w:hint="eastAsia" w:ascii="宋体" w:hAnsi="宋体" w:eastAsia="宋体" w:cs="宋体"/>
                <w:b/>
                <w:bCs/>
                <w:sz w:val="24"/>
                <w:szCs w:val="24"/>
              </w:rPr>
              <w:t>章编号标题</w:t>
            </w:r>
          </w:p>
        </w:tc>
        <w:tc>
          <w:tcPr>
            <w:tcW w:w="6513" w:type="dxa"/>
            <w:vAlign w:val="center"/>
          </w:tcPr>
          <w:p w14:paraId="6754DADA">
            <w:pPr>
              <w:pStyle w:val="25"/>
              <w:keepNext w:val="0"/>
              <w:keepLines w:val="0"/>
              <w:pageBreakBefore w:val="0"/>
              <w:widowControl/>
              <w:tabs>
                <w:tab w:val="center" w:pos="4201"/>
                <w:tab w:val="right" w:leader="dot" w:pos="9298"/>
              </w:tabs>
              <w:kinsoku/>
              <w:wordWrap/>
              <w:overflowPunct/>
              <w:topLinePunct w:val="0"/>
              <w:autoSpaceDE w:val="0"/>
              <w:autoSpaceDN w:val="0"/>
              <w:bidi w:val="0"/>
              <w:spacing w:line="480" w:lineRule="exact"/>
              <w:ind w:firstLine="0" w:firstLineChars="0"/>
              <w:jc w:val="center"/>
              <w:textAlignment w:val="auto"/>
              <w:rPr>
                <w:rFonts w:hint="eastAsia" w:ascii="宋体" w:hAnsi="宋体" w:eastAsia="宋体" w:cs="宋体"/>
                <w:sz w:val="24"/>
                <w:szCs w:val="24"/>
                <w:vertAlign w:val="baseline"/>
                <w:lang w:eastAsia="zh-CN"/>
              </w:rPr>
            </w:pPr>
            <w:r>
              <w:rPr>
                <w:rFonts w:hint="eastAsia" w:ascii="宋体" w:hAnsi="宋体" w:eastAsia="宋体" w:cs="宋体"/>
                <w:b/>
                <w:bCs/>
                <w:sz w:val="24"/>
                <w:szCs w:val="24"/>
              </w:rPr>
              <w:t>本标准编写主要编制依据</w:t>
            </w:r>
          </w:p>
        </w:tc>
      </w:tr>
      <w:tr w14:paraId="164A4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54AAA493">
            <w:pPr>
              <w:keepNext w:val="0"/>
              <w:keepLines w:val="0"/>
              <w:pageBreakBefore w:val="0"/>
              <w:kinsoku/>
              <w:wordWrap/>
              <w:overflowPunct/>
              <w:topLinePunct w:val="0"/>
              <w:bidi w:val="0"/>
              <w:spacing w:line="480" w:lineRule="exact"/>
              <w:ind w:left="0" w:leftChars="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2021" w:type="dxa"/>
            <w:shd w:val="clear" w:color="auto" w:fill="auto"/>
            <w:vAlign w:val="center"/>
          </w:tcPr>
          <w:p w14:paraId="4FA8B3CE">
            <w:pPr>
              <w:keepNext w:val="0"/>
              <w:keepLines w:val="0"/>
              <w:pageBreakBefore w:val="0"/>
              <w:kinsoku/>
              <w:wordWrap/>
              <w:overflowPunct/>
              <w:topLinePunct w:val="0"/>
              <w:bidi w:val="0"/>
              <w:spacing w:line="480" w:lineRule="exact"/>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封面、目次、前言</w:t>
            </w:r>
          </w:p>
          <w:p w14:paraId="3760F2B0">
            <w:pPr>
              <w:keepNext w:val="0"/>
              <w:keepLines w:val="0"/>
              <w:pageBreakBefore w:val="0"/>
              <w:kinsoku/>
              <w:wordWrap/>
              <w:overflowPunct/>
              <w:topLinePunct w:val="0"/>
              <w:bidi w:val="0"/>
              <w:spacing w:line="480" w:lineRule="exact"/>
              <w:ind w:left="0" w:leftChars="0" w:firstLine="0" w:firstLineChars="0"/>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rPr>
              <w:t>1  范围</w:t>
            </w:r>
          </w:p>
        </w:tc>
        <w:tc>
          <w:tcPr>
            <w:tcW w:w="6513" w:type="dxa"/>
            <w:shd w:val="clear" w:color="auto" w:fill="auto"/>
            <w:vAlign w:val="center"/>
          </w:tcPr>
          <w:p w14:paraId="176572C6">
            <w:pPr>
              <w:pStyle w:val="25"/>
              <w:keepNext w:val="0"/>
              <w:keepLines w:val="0"/>
              <w:pageBreakBefore w:val="0"/>
              <w:widowControl/>
              <w:kinsoku/>
              <w:wordWrap/>
              <w:overflowPunct/>
              <w:topLinePunct w:val="0"/>
              <w:autoSpaceDE w:val="0"/>
              <w:autoSpaceDN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《标准化工作导则  第1部分：标准化文件的结构和起草规则》（GB/T 1.1-2020）</w:t>
            </w:r>
          </w:p>
          <w:p w14:paraId="758E68BE">
            <w:pPr>
              <w:pStyle w:val="25"/>
              <w:keepNext w:val="0"/>
              <w:keepLines w:val="0"/>
              <w:pageBreakBefore w:val="0"/>
              <w:widowControl/>
              <w:kinsoku/>
              <w:wordWrap/>
              <w:overflowPunct/>
              <w:topLinePunct w:val="0"/>
              <w:autoSpaceDE w:val="0"/>
              <w:autoSpaceDN w:val="0"/>
              <w:bidi w:val="0"/>
              <w:adjustRightInd w:val="0"/>
              <w:snapToGrid w:val="0"/>
              <w:spacing w:line="480" w:lineRule="exact"/>
              <w:ind w:firstLine="0" w:firstLineChars="0"/>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rPr>
              <w:t>《标准编写规则  第5部分：规范标准》（GB/T 20001.5-2017）</w:t>
            </w:r>
          </w:p>
        </w:tc>
      </w:tr>
      <w:tr w14:paraId="5E802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775FBEC6">
            <w:pPr>
              <w:keepNext w:val="0"/>
              <w:keepLines w:val="0"/>
              <w:pageBreakBefore w:val="0"/>
              <w:kinsoku/>
              <w:wordWrap/>
              <w:overflowPunct/>
              <w:topLinePunct w:val="0"/>
              <w:bidi w:val="0"/>
              <w:spacing w:line="480" w:lineRule="exact"/>
              <w:ind w:left="0" w:leftChars="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w:t>
            </w:r>
          </w:p>
        </w:tc>
        <w:tc>
          <w:tcPr>
            <w:tcW w:w="2021" w:type="dxa"/>
            <w:shd w:val="clear" w:color="auto" w:fill="auto"/>
            <w:vAlign w:val="center"/>
          </w:tcPr>
          <w:p w14:paraId="4B3C0DC7">
            <w:pPr>
              <w:keepNext w:val="0"/>
              <w:keepLines w:val="0"/>
              <w:pageBreakBefore w:val="0"/>
              <w:kinsoku/>
              <w:wordWrap/>
              <w:overflowPunct/>
              <w:topLinePunct w:val="0"/>
              <w:bidi w:val="0"/>
              <w:spacing w:line="480" w:lineRule="exact"/>
              <w:ind w:left="0" w:leftChars="0" w:firstLine="0" w:firstLineChars="0"/>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rPr>
              <w:t>2  规范性引用文件</w:t>
            </w:r>
          </w:p>
        </w:tc>
        <w:tc>
          <w:tcPr>
            <w:tcW w:w="6513" w:type="dxa"/>
            <w:shd w:val="clear" w:color="auto" w:fill="auto"/>
            <w:vAlign w:val="center"/>
          </w:tcPr>
          <w:p w14:paraId="62469D78">
            <w:pPr>
              <w:pStyle w:val="25"/>
              <w:keepNext w:val="0"/>
              <w:keepLines w:val="0"/>
              <w:pageBreakBefore w:val="0"/>
              <w:widowControl/>
              <w:kinsoku/>
              <w:wordWrap/>
              <w:overflowPunct/>
              <w:topLinePunct w:val="0"/>
              <w:autoSpaceDE w:val="0"/>
              <w:autoSpaceDN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《标准化工作导则  第1部分：标准化文件的结构和起草规则》（GB/T 1.1-2020）</w:t>
            </w:r>
          </w:p>
          <w:p w14:paraId="2D665EB1">
            <w:pPr>
              <w:pStyle w:val="25"/>
              <w:keepNext w:val="0"/>
              <w:keepLines w:val="0"/>
              <w:pageBreakBefore w:val="0"/>
              <w:widowControl/>
              <w:kinsoku/>
              <w:wordWrap/>
              <w:overflowPunct/>
              <w:topLinePunct w:val="0"/>
              <w:autoSpaceDE w:val="0"/>
              <w:autoSpaceDN w:val="0"/>
              <w:bidi w:val="0"/>
              <w:adjustRightInd w:val="0"/>
              <w:snapToGrid w:val="0"/>
              <w:spacing w:line="480" w:lineRule="exact"/>
              <w:ind w:firstLine="0" w:firstLineChars="0"/>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rPr>
              <w:t>《标准编写规则  第5部分：规范标准》（GB/T 20001.5-2017）</w:t>
            </w:r>
          </w:p>
        </w:tc>
      </w:tr>
      <w:tr w14:paraId="44374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5DB27818">
            <w:pPr>
              <w:keepNext w:val="0"/>
              <w:keepLines w:val="0"/>
              <w:pageBreakBefore w:val="0"/>
              <w:kinsoku/>
              <w:wordWrap/>
              <w:overflowPunct/>
              <w:topLinePunct w:val="0"/>
              <w:bidi w:val="0"/>
              <w:spacing w:line="480" w:lineRule="exact"/>
              <w:ind w:left="0" w:leftChars="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w:t>
            </w:r>
          </w:p>
        </w:tc>
        <w:tc>
          <w:tcPr>
            <w:tcW w:w="2021" w:type="dxa"/>
            <w:shd w:val="clear" w:color="auto" w:fill="auto"/>
            <w:vAlign w:val="center"/>
          </w:tcPr>
          <w:p w14:paraId="7B1A28B2">
            <w:pPr>
              <w:keepNext w:val="0"/>
              <w:keepLines w:val="0"/>
              <w:pageBreakBefore w:val="0"/>
              <w:kinsoku/>
              <w:wordWrap/>
              <w:overflowPunct/>
              <w:topLinePunct w:val="0"/>
              <w:bidi w:val="0"/>
              <w:spacing w:line="480" w:lineRule="exact"/>
              <w:ind w:left="0" w:leftChars="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3  术语和定义</w:t>
            </w:r>
          </w:p>
        </w:tc>
        <w:tc>
          <w:tcPr>
            <w:tcW w:w="6513" w:type="dxa"/>
            <w:shd w:val="clear" w:color="auto" w:fill="auto"/>
            <w:vAlign w:val="center"/>
          </w:tcPr>
          <w:p w14:paraId="2596197A">
            <w:pPr>
              <w:pStyle w:val="25"/>
              <w:keepNext w:val="0"/>
              <w:keepLines w:val="0"/>
              <w:pageBreakBefore w:val="0"/>
              <w:widowControl/>
              <w:kinsoku/>
              <w:wordWrap/>
              <w:overflowPunct/>
              <w:topLinePunct w:val="0"/>
              <w:autoSpaceDE w:val="0"/>
              <w:autoSpaceDN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 xml:space="preserve">《消防词汇》  GB/T 5907（所有部分）  </w:t>
            </w:r>
          </w:p>
          <w:p w14:paraId="21948A94">
            <w:pPr>
              <w:pStyle w:val="25"/>
              <w:keepNext w:val="0"/>
              <w:keepLines w:val="0"/>
              <w:pageBreakBefore w:val="0"/>
              <w:widowControl/>
              <w:kinsoku/>
              <w:wordWrap/>
              <w:overflowPunct/>
              <w:topLinePunct w:val="0"/>
              <w:autoSpaceDE w:val="0"/>
              <w:autoSpaceDN w:val="0"/>
              <w:bidi w:val="0"/>
              <w:adjustRightInd w:val="0"/>
              <w:snapToGrid w:val="0"/>
              <w:spacing w:line="480" w:lineRule="exact"/>
              <w:ind w:firstLine="0" w:firstLineChars="0"/>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rPr>
              <w:t>《标准化工作导则  第1部分：标准化文件的结构和起草规则》（GB/T 1.1-2020）</w:t>
            </w:r>
          </w:p>
        </w:tc>
      </w:tr>
      <w:tr w14:paraId="6641F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4191FEB6">
            <w:pPr>
              <w:keepNext w:val="0"/>
              <w:keepLines w:val="0"/>
              <w:pageBreakBefore w:val="0"/>
              <w:kinsoku/>
              <w:wordWrap/>
              <w:overflowPunct/>
              <w:topLinePunct w:val="0"/>
              <w:bidi w:val="0"/>
              <w:spacing w:line="480" w:lineRule="exact"/>
              <w:ind w:left="0" w:leftChars="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w:t>
            </w:r>
          </w:p>
        </w:tc>
        <w:tc>
          <w:tcPr>
            <w:tcW w:w="2021" w:type="dxa"/>
            <w:shd w:val="clear" w:color="auto" w:fill="auto"/>
            <w:vAlign w:val="center"/>
          </w:tcPr>
          <w:p w14:paraId="2177A47E">
            <w:pPr>
              <w:pStyle w:val="25"/>
              <w:keepNext w:val="0"/>
              <w:keepLines w:val="0"/>
              <w:pageBreakBefore w:val="0"/>
              <w:widowControl/>
              <w:kinsoku/>
              <w:wordWrap/>
              <w:overflowPunct/>
              <w:topLinePunct w:val="0"/>
              <w:autoSpaceDE w:val="0"/>
              <w:autoSpaceDN w:val="0"/>
              <w:bidi w:val="0"/>
              <w:adjustRightInd w:val="0"/>
              <w:snapToGrid w:val="0"/>
              <w:spacing w:line="480" w:lineRule="exact"/>
              <w:ind w:firstLine="0" w:firstLineChars="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rPr>
              <w:t>4  符号和缩略语</w:t>
            </w:r>
          </w:p>
        </w:tc>
        <w:tc>
          <w:tcPr>
            <w:tcW w:w="6513" w:type="dxa"/>
            <w:shd w:val="clear" w:color="auto" w:fill="auto"/>
            <w:vAlign w:val="center"/>
          </w:tcPr>
          <w:p w14:paraId="7BA9ACEE">
            <w:pPr>
              <w:pStyle w:val="25"/>
              <w:keepNext w:val="0"/>
              <w:keepLines w:val="0"/>
              <w:pageBreakBefore w:val="0"/>
              <w:widowControl/>
              <w:kinsoku/>
              <w:wordWrap/>
              <w:overflowPunct/>
              <w:topLinePunct w:val="0"/>
              <w:autoSpaceDE w:val="0"/>
              <w:autoSpaceDN w:val="0"/>
              <w:bidi w:val="0"/>
              <w:adjustRightInd w:val="0"/>
              <w:snapToGrid w:val="0"/>
              <w:spacing w:line="480" w:lineRule="exact"/>
              <w:ind w:firstLine="0" w:firstLineChars="0"/>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rPr>
              <w:t xml:space="preserve">《消防词汇》  GB/T 5907（所有部分）  </w:t>
            </w:r>
          </w:p>
        </w:tc>
      </w:tr>
      <w:tr w14:paraId="794DE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72ABA3B2">
            <w:pPr>
              <w:keepNext w:val="0"/>
              <w:keepLines w:val="0"/>
              <w:pageBreakBefore w:val="0"/>
              <w:kinsoku/>
              <w:wordWrap/>
              <w:overflowPunct/>
              <w:topLinePunct w:val="0"/>
              <w:bidi w:val="0"/>
              <w:spacing w:line="480" w:lineRule="exact"/>
              <w:ind w:left="0" w:leftChars="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w:t>
            </w:r>
          </w:p>
        </w:tc>
        <w:tc>
          <w:tcPr>
            <w:tcW w:w="2021" w:type="dxa"/>
            <w:shd w:val="clear" w:color="auto" w:fill="auto"/>
            <w:vAlign w:val="center"/>
          </w:tcPr>
          <w:p w14:paraId="2C49802C">
            <w:pPr>
              <w:pStyle w:val="25"/>
              <w:keepNext w:val="0"/>
              <w:keepLines w:val="0"/>
              <w:pageBreakBefore w:val="0"/>
              <w:widowControl/>
              <w:kinsoku/>
              <w:wordWrap/>
              <w:overflowPunct/>
              <w:topLinePunct w:val="0"/>
              <w:autoSpaceDE w:val="0"/>
              <w:autoSpaceDN w:val="0"/>
              <w:bidi w:val="0"/>
              <w:adjustRightInd w:val="0"/>
              <w:snapToGrid w:val="0"/>
              <w:spacing w:line="480" w:lineRule="exact"/>
              <w:ind w:firstLine="0" w:firstLineChars="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rPr>
              <w:t>5  基本要求</w:t>
            </w:r>
          </w:p>
        </w:tc>
        <w:tc>
          <w:tcPr>
            <w:tcW w:w="6513" w:type="dxa"/>
            <w:shd w:val="clear" w:color="auto" w:fill="auto"/>
            <w:vAlign w:val="center"/>
          </w:tcPr>
          <w:p w14:paraId="14008C82">
            <w:pPr>
              <w:pStyle w:val="25"/>
              <w:keepNext w:val="0"/>
              <w:keepLines w:val="0"/>
              <w:pageBreakBefore w:val="0"/>
              <w:widowControl/>
              <w:kinsoku/>
              <w:wordWrap/>
              <w:overflowPunct/>
              <w:topLinePunct w:val="0"/>
              <w:autoSpaceDE w:val="0"/>
              <w:autoSpaceDN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《中华人民共和国消防法》</w:t>
            </w:r>
          </w:p>
          <w:p w14:paraId="1A62B458">
            <w:pPr>
              <w:pStyle w:val="25"/>
              <w:keepNext w:val="0"/>
              <w:keepLines w:val="0"/>
              <w:pageBreakBefore w:val="0"/>
              <w:widowControl/>
              <w:kinsoku/>
              <w:wordWrap/>
              <w:overflowPunct/>
              <w:topLinePunct w:val="0"/>
              <w:autoSpaceDE w:val="0"/>
              <w:autoSpaceDN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《关于推动新时代消防救援工作高质量发展的意见》</w:t>
            </w:r>
          </w:p>
          <w:p w14:paraId="0C5EC7F5">
            <w:pPr>
              <w:pStyle w:val="25"/>
              <w:keepNext w:val="0"/>
              <w:keepLines w:val="0"/>
              <w:pageBreakBefore w:val="0"/>
              <w:widowControl/>
              <w:kinsoku/>
              <w:wordWrap/>
              <w:overflowPunct/>
              <w:topLinePunct w:val="0"/>
              <w:autoSpaceDE w:val="0"/>
              <w:autoSpaceDN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《“十四五”国家消防工作规划》</w:t>
            </w:r>
          </w:p>
          <w:p w14:paraId="6B33B149">
            <w:pPr>
              <w:pStyle w:val="25"/>
              <w:keepNext w:val="0"/>
              <w:keepLines w:val="0"/>
              <w:pageBreakBefore w:val="0"/>
              <w:widowControl/>
              <w:kinsoku/>
              <w:wordWrap/>
              <w:overflowPunct/>
              <w:topLinePunct w:val="0"/>
              <w:autoSpaceDE w:val="0"/>
              <w:autoSpaceDN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《物联网基础安全标准体系建设指南 2021 版）》</w:t>
            </w:r>
          </w:p>
          <w:p w14:paraId="7417EC14">
            <w:pPr>
              <w:pStyle w:val="25"/>
              <w:keepNext w:val="0"/>
              <w:keepLines w:val="0"/>
              <w:pageBreakBefore w:val="0"/>
              <w:widowControl/>
              <w:kinsoku/>
              <w:wordWrap/>
              <w:overflowPunct/>
              <w:topLinePunct w:val="0"/>
              <w:autoSpaceDE w:val="0"/>
              <w:autoSpaceDN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《海南自由贸易港消防条例》</w:t>
            </w:r>
          </w:p>
          <w:p w14:paraId="4BAE0AE0">
            <w:pPr>
              <w:pStyle w:val="25"/>
              <w:keepNext w:val="0"/>
              <w:keepLines w:val="0"/>
              <w:pageBreakBefore w:val="0"/>
              <w:widowControl/>
              <w:kinsoku/>
              <w:wordWrap/>
              <w:overflowPunct/>
              <w:topLinePunct w:val="0"/>
              <w:autoSpaceDE w:val="0"/>
              <w:autoSpaceDN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《海南省“十四五”科技创新规划》</w:t>
            </w:r>
          </w:p>
          <w:p w14:paraId="7AD14341">
            <w:pPr>
              <w:pStyle w:val="25"/>
              <w:keepNext w:val="0"/>
              <w:keepLines w:val="0"/>
              <w:pageBreakBefore w:val="0"/>
              <w:widowControl/>
              <w:kinsoku/>
              <w:wordWrap/>
              <w:overflowPunct/>
              <w:topLinePunct w:val="0"/>
              <w:autoSpaceDE w:val="0"/>
              <w:autoSpaceDN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《消防设施通用规范》（GB 55036）</w:t>
            </w:r>
          </w:p>
          <w:p w14:paraId="4037A72F">
            <w:pPr>
              <w:pStyle w:val="25"/>
              <w:keepNext w:val="0"/>
              <w:keepLines w:val="0"/>
              <w:pageBreakBefore w:val="0"/>
              <w:widowControl/>
              <w:kinsoku/>
              <w:wordWrap/>
              <w:overflowPunct/>
              <w:topLinePunct w:val="0"/>
              <w:autoSpaceDE w:val="0"/>
              <w:autoSpaceDN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《建筑防火通用规范》（GB 55037）</w:t>
            </w:r>
          </w:p>
          <w:p w14:paraId="2CE3C746">
            <w:pPr>
              <w:pStyle w:val="25"/>
              <w:keepNext w:val="0"/>
              <w:keepLines w:val="0"/>
              <w:pageBreakBefore w:val="0"/>
              <w:widowControl/>
              <w:kinsoku/>
              <w:wordWrap/>
              <w:overflowPunct/>
              <w:topLinePunct w:val="0"/>
              <w:autoSpaceDE w:val="0"/>
              <w:autoSpaceDN w:val="0"/>
              <w:bidi w:val="0"/>
              <w:adjustRightInd w:val="0"/>
              <w:snapToGrid w:val="0"/>
              <w:spacing w:line="480" w:lineRule="exact"/>
              <w:ind w:firstLine="0" w:firstLineChars="0"/>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rPr>
              <w:t>《消防业务信息系统运行维护规范》(XF/T3018—2022)</w:t>
            </w:r>
          </w:p>
        </w:tc>
      </w:tr>
      <w:tr w14:paraId="6FA32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1E4029D6">
            <w:pPr>
              <w:keepNext w:val="0"/>
              <w:keepLines w:val="0"/>
              <w:pageBreakBefore w:val="0"/>
              <w:kinsoku/>
              <w:wordWrap/>
              <w:overflowPunct/>
              <w:topLinePunct w:val="0"/>
              <w:bidi w:val="0"/>
              <w:spacing w:line="480" w:lineRule="exact"/>
              <w:ind w:left="0" w:leftChars="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6</w:t>
            </w:r>
          </w:p>
        </w:tc>
        <w:tc>
          <w:tcPr>
            <w:tcW w:w="2021" w:type="dxa"/>
            <w:shd w:val="clear" w:color="auto" w:fill="auto"/>
            <w:vAlign w:val="center"/>
          </w:tcPr>
          <w:p w14:paraId="5A1F4A34">
            <w:pPr>
              <w:pStyle w:val="25"/>
              <w:keepNext w:val="0"/>
              <w:keepLines w:val="0"/>
              <w:pageBreakBefore w:val="0"/>
              <w:widowControl/>
              <w:kinsoku/>
              <w:wordWrap/>
              <w:overflowPunct/>
              <w:topLinePunct w:val="0"/>
              <w:autoSpaceDE w:val="0"/>
              <w:autoSpaceDN w:val="0"/>
              <w:bidi w:val="0"/>
              <w:adjustRightInd w:val="0"/>
              <w:snapToGrid w:val="0"/>
              <w:spacing w:line="480" w:lineRule="exact"/>
              <w:ind w:firstLine="0" w:firstLineChars="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rPr>
              <w:t>6  接口通用要求与说明</w:t>
            </w:r>
          </w:p>
        </w:tc>
        <w:tc>
          <w:tcPr>
            <w:tcW w:w="6513" w:type="dxa"/>
            <w:shd w:val="clear" w:color="auto" w:fill="auto"/>
            <w:vAlign w:val="center"/>
          </w:tcPr>
          <w:p w14:paraId="4A511AA9">
            <w:pPr>
              <w:pStyle w:val="25"/>
              <w:keepNext w:val="0"/>
              <w:keepLines w:val="0"/>
              <w:pageBreakBefore w:val="0"/>
              <w:widowControl/>
              <w:kinsoku/>
              <w:wordWrap/>
              <w:overflowPunct/>
              <w:topLinePunct w:val="0"/>
              <w:autoSpaceDE w:val="0"/>
              <w:autoSpaceDN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《城市消防远程监控系统技术标准》(GB/T 50440-202X)</w:t>
            </w:r>
          </w:p>
          <w:p w14:paraId="0D297AF5">
            <w:pPr>
              <w:pStyle w:val="25"/>
              <w:keepNext w:val="0"/>
              <w:keepLines w:val="0"/>
              <w:pageBreakBefore w:val="0"/>
              <w:widowControl/>
              <w:kinsoku/>
              <w:wordWrap/>
              <w:overflowPunct/>
              <w:topLinePunct w:val="0"/>
              <w:autoSpaceDE w:val="0"/>
              <w:autoSpaceDN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《独立式火灾探测报警器联网系统技术规程》(T/CFPA)</w:t>
            </w:r>
          </w:p>
          <w:p w14:paraId="018E2046">
            <w:pPr>
              <w:pStyle w:val="25"/>
              <w:keepNext w:val="0"/>
              <w:keepLines w:val="0"/>
              <w:pageBreakBefore w:val="0"/>
              <w:widowControl/>
              <w:kinsoku/>
              <w:wordWrap/>
              <w:overflowPunct/>
              <w:topLinePunct w:val="0"/>
              <w:autoSpaceDE w:val="0"/>
              <w:autoSpaceDN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浙江省地方标准《消防物联网系统对接技术规范》(DB33/T 2477-2022)</w:t>
            </w:r>
          </w:p>
          <w:p w14:paraId="45C901B9">
            <w:pPr>
              <w:pStyle w:val="25"/>
              <w:keepNext w:val="0"/>
              <w:keepLines w:val="0"/>
              <w:pageBreakBefore w:val="0"/>
              <w:widowControl/>
              <w:kinsoku/>
              <w:wordWrap/>
              <w:overflowPunct/>
              <w:topLinePunct w:val="0"/>
              <w:autoSpaceDE w:val="0"/>
              <w:autoSpaceDN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深圳市地方标准《消防设施物联网系统技术要求》(DB4403/T264-2022)</w:t>
            </w:r>
          </w:p>
          <w:p w14:paraId="23166ABD">
            <w:pPr>
              <w:pStyle w:val="25"/>
              <w:keepNext w:val="0"/>
              <w:keepLines w:val="0"/>
              <w:pageBreakBefore w:val="0"/>
              <w:widowControl/>
              <w:kinsoku/>
              <w:wordWrap/>
              <w:overflowPunct/>
              <w:topLinePunct w:val="0"/>
              <w:autoSpaceDE w:val="0"/>
              <w:autoSpaceDN w:val="0"/>
              <w:bidi w:val="0"/>
              <w:adjustRightInd w:val="0"/>
              <w:snapToGrid w:val="0"/>
              <w:spacing w:line="480" w:lineRule="exact"/>
              <w:ind w:firstLine="0" w:firstLineChars="0"/>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rPr>
              <w:t>《消防业务信息系统运行维护规范》(XF/T3018—2022)</w:t>
            </w:r>
          </w:p>
        </w:tc>
      </w:tr>
      <w:tr w14:paraId="44F48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6BCEBAA8">
            <w:pPr>
              <w:keepNext w:val="0"/>
              <w:keepLines w:val="0"/>
              <w:pageBreakBefore w:val="0"/>
              <w:kinsoku/>
              <w:wordWrap/>
              <w:overflowPunct/>
              <w:topLinePunct w:val="0"/>
              <w:bidi w:val="0"/>
              <w:spacing w:line="480" w:lineRule="exact"/>
              <w:ind w:left="0" w:leftChars="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7</w:t>
            </w:r>
          </w:p>
        </w:tc>
        <w:tc>
          <w:tcPr>
            <w:tcW w:w="2021" w:type="dxa"/>
            <w:shd w:val="clear" w:color="auto" w:fill="auto"/>
            <w:vAlign w:val="center"/>
          </w:tcPr>
          <w:p w14:paraId="27A273C7">
            <w:pPr>
              <w:pStyle w:val="25"/>
              <w:keepNext w:val="0"/>
              <w:keepLines w:val="0"/>
              <w:pageBreakBefore w:val="0"/>
              <w:widowControl/>
              <w:kinsoku/>
              <w:wordWrap/>
              <w:overflowPunct/>
              <w:topLinePunct w:val="0"/>
              <w:autoSpaceDE w:val="0"/>
              <w:autoSpaceDN w:val="0"/>
              <w:bidi w:val="0"/>
              <w:adjustRightInd w:val="0"/>
              <w:snapToGrid w:val="0"/>
              <w:spacing w:line="480" w:lineRule="exact"/>
              <w:ind w:firstLine="0" w:firstLineChars="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rPr>
              <w:t>7  接口说明</w:t>
            </w:r>
          </w:p>
        </w:tc>
        <w:tc>
          <w:tcPr>
            <w:tcW w:w="6513" w:type="dxa"/>
            <w:shd w:val="clear" w:color="auto" w:fill="auto"/>
            <w:vAlign w:val="center"/>
          </w:tcPr>
          <w:p w14:paraId="17ECC7B2">
            <w:pPr>
              <w:pStyle w:val="25"/>
              <w:keepNext w:val="0"/>
              <w:keepLines w:val="0"/>
              <w:pageBreakBefore w:val="0"/>
              <w:widowControl/>
              <w:kinsoku/>
              <w:wordWrap/>
              <w:overflowPunct/>
              <w:topLinePunct w:val="0"/>
              <w:autoSpaceDE w:val="0"/>
              <w:autoSpaceDN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《消防数据元第1部分：基础业务信息》(XF/T3014.1—2022)</w:t>
            </w:r>
          </w:p>
          <w:p w14:paraId="601DE619">
            <w:pPr>
              <w:pStyle w:val="25"/>
              <w:keepNext w:val="0"/>
              <w:keepLines w:val="0"/>
              <w:pageBreakBefore w:val="0"/>
              <w:widowControl/>
              <w:kinsoku/>
              <w:wordWrap/>
              <w:overflowPunct/>
              <w:topLinePunct w:val="0"/>
              <w:autoSpaceDE w:val="0"/>
              <w:autoSpaceDN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《消防数据元限定词第1部分：基础业务信息》(XF/T3015.1—2022)</w:t>
            </w:r>
          </w:p>
          <w:p w14:paraId="2981449A">
            <w:pPr>
              <w:pStyle w:val="25"/>
              <w:keepNext w:val="0"/>
              <w:keepLines w:val="0"/>
              <w:pageBreakBefore w:val="0"/>
              <w:widowControl/>
              <w:kinsoku/>
              <w:wordWrap/>
              <w:overflowPunct/>
              <w:topLinePunct w:val="0"/>
              <w:autoSpaceDE w:val="0"/>
              <w:autoSpaceDN w:val="0"/>
              <w:bidi w:val="0"/>
              <w:adjustRightInd w:val="0"/>
              <w:snapToGrid w:val="0"/>
              <w:spacing w:line="480" w:lineRule="exact"/>
              <w:ind w:firstLine="0" w:firstLineChars="0"/>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rPr>
              <w:t>《消防信息代码第1部分：基础业务信息》(XF/T3016.1—2022)</w:t>
            </w:r>
          </w:p>
        </w:tc>
      </w:tr>
      <w:tr w14:paraId="25016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vAlign w:val="center"/>
          </w:tcPr>
          <w:p w14:paraId="02C15B5A">
            <w:pPr>
              <w:keepNext w:val="0"/>
              <w:keepLines w:val="0"/>
              <w:pageBreakBefore w:val="0"/>
              <w:kinsoku/>
              <w:wordWrap/>
              <w:overflowPunct/>
              <w:topLinePunct w:val="0"/>
              <w:bidi w:val="0"/>
              <w:spacing w:line="480" w:lineRule="exact"/>
              <w:ind w:left="0" w:leftChars="0" w:firstLine="0" w:firstLineChars="0"/>
              <w:jc w:val="center"/>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8</w:t>
            </w:r>
          </w:p>
        </w:tc>
        <w:tc>
          <w:tcPr>
            <w:tcW w:w="2021" w:type="dxa"/>
            <w:shd w:val="clear" w:color="auto" w:fill="auto"/>
            <w:vAlign w:val="center"/>
          </w:tcPr>
          <w:p w14:paraId="4980AE1D">
            <w:pPr>
              <w:pStyle w:val="25"/>
              <w:keepNext w:val="0"/>
              <w:keepLines w:val="0"/>
              <w:pageBreakBefore w:val="0"/>
              <w:widowControl/>
              <w:kinsoku/>
              <w:wordWrap/>
              <w:overflowPunct/>
              <w:topLinePunct w:val="0"/>
              <w:autoSpaceDE w:val="0"/>
              <w:autoSpaceDN w:val="0"/>
              <w:bidi w:val="0"/>
              <w:adjustRightInd w:val="0"/>
              <w:snapToGrid w:val="0"/>
              <w:spacing w:line="480" w:lineRule="exact"/>
              <w:ind w:firstLine="0" w:firstLineChars="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rPr>
              <w:t>8  业务数据接口</w:t>
            </w:r>
          </w:p>
        </w:tc>
        <w:tc>
          <w:tcPr>
            <w:tcW w:w="6513" w:type="dxa"/>
            <w:shd w:val="clear" w:color="auto" w:fill="auto"/>
            <w:vAlign w:val="center"/>
          </w:tcPr>
          <w:p w14:paraId="080CF239">
            <w:pPr>
              <w:pStyle w:val="25"/>
              <w:keepNext w:val="0"/>
              <w:keepLines w:val="0"/>
              <w:pageBreakBefore w:val="0"/>
              <w:widowControl/>
              <w:kinsoku/>
              <w:wordWrap/>
              <w:overflowPunct/>
              <w:topLinePunct w:val="0"/>
              <w:autoSpaceDE w:val="0"/>
              <w:autoSpaceDN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《消防业务信息数据项第1部分：灭火救援指挥基本信息》(XF/T3017.1—2022)</w:t>
            </w:r>
          </w:p>
          <w:p w14:paraId="7AB92E4C">
            <w:pPr>
              <w:pStyle w:val="25"/>
              <w:keepNext w:val="0"/>
              <w:keepLines w:val="0"/>
              <w:pageBreakBefore w:val="0"/>
              <w:widowControl/>
              <w:kinsoku/>
              <w:wordWrap/>
              <w:overflowPunct/>
              <w:topLinePunct w:val="0"/>
              <w:autoSpaceDE w:val="0"/>
              <w:autoSpaceDN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《消防业务信息数据项第2部分：消防产品质量监督管理基本信息》(XF/T3017.2—2022)</w:t>
            </w:r>
          </w:p>
          <w:p w14:paraId="5A05DD40">
            <w:pPr>
              <w:pStyle w:val="25"/>
              <w:keepNext w:val="0"/>
              <w:keepLines w:val="0"/>
              <w:pageBreakBefore w:val="0"/>
              <w:widowControl/>
              <w:kinsoku/>
              <w:wordWrap/>
              <w:overflowPunct/>
              <w:topLinePunct w:val="0"/>
              <w:autoSpaceDE w:val="0"/>
              <w:autoSpaceDN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《消防业务信息数据项第3部分：消防装备基本信息》(XF/T3017.3—2022)</w:t>
            </w:r>
          </w:p>
          <w:p w14:paraId="6F3185F5">
            <w:pPr>
              <w:pStyle w:val="25"/>
              <w:keepNext w:val="0"/>
              <w:keepLines w:val="0"/>
              <w:pageBreakBefore w:val="0"/>
              <w:widowControl/>
              <w:kinsoku/>
              <w:wordWrap/>
              <w:overflowPunct/>
              <w:topLinePunct w:val="0"/>
              <w:autoSpaceDE w:val="0"/>
              <w:autoSpaceDN w:val="0"/>
              <w:bidi w:val="0"/>
              <w:adjustRightInd w:val="0"/>
              <w:snapToGrid w:val="0"/>
              <w:spacing w:line="480" w:lineRule="exac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《消防业务信息数据项第4部分：消防信息通信管理基本信息》(XF/T3017.4—2022)</w:t>
            </w:r>
          </w:p>
          <w:p w14:paraId="603BD4C2">
            <w:pPr>
              <w:pStyle w:val="25"/>
              <w:keepNext w:val="0"/>
              <w:keepLines w:val="0"/>
              <w:pageBreakBefore w:val="0"/>
              <w:widowControl/>
              <w:kinsoku/>
              <w:wordWrap/>
              <w:overflowPunct/>
              <w:topLinePunct w:val="0"/>
              <w:autoSpaceDE w:val="0"/>
              <w:autoSpaceDN w:val="0"/>
              <w:bidi w:val="0"/>
              <w:adjustRightInd w:val="0"/>
              <w:snapToGrid w:val="0"/>
              <w:spacing w:line="480" w:lineRule="exact"/>
              <w:ind w:firstLine="0" w:firstLineChars="0"/>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rPr>
              <w:t>《消防业务信息数据项第5部分：消防安全重点单位与建筑物基本信息》(XF/T3017.5—2022)</w:t>
            </w:r>
          </w:p>
        </w:tc>
      </w:tr>
    </w:tbl>
    <w:p w14:paraId="2B7ADB0B">
      <w:pPr>
        <w:ind w:left="0" w:leftChars="0" w:firstLine="0" w:firstLineChars="0"/>
        <w:rPr>
          <w:rFonts w:hint="eastAsia"/>
          <w:lang w:eastAsia="zh-CN"/>
        </w:rPr>
      </w:pPr>
    </w:p>
    <w:p w14:paraId="11A6BBFB">
      <w:pPr>
        <w:pStyle w:val="3"/>
        <w:pageBreakBefore w:val="0"/>
        <w:numPr>
          <w:ilvl w:val="1"/>
          <w:numId w:val="0"/>
        </w:numPr>
        <w:kinsoku/>
        <w:wordWrap/>
        <w:overflowPunct/>
        <w:topLinePunct w:val="0"/>
        <w:autoSpaceDE/>
        <w:autoSpaceDN/>
        <w:bidi w:val="0"/>
        <w:adjustRightInd/>
        <w:snapToGrid/>
        <w:spacing w:line="480" w:lineRule="exact"/>
        <w:ind w:leftChars="0"/>
        <w:textAlignment w:val="auto"/>
        <w:rPr>
          <w:sz w:val="24"/>
          <w:szCs w:val="24"/>
        </w:rPr>
      </w:pPr>
      <w:bookmarkStart w:id="6" w:name="_Toc26392"/>
      <w:r>
        <w:rPr>
          <w:rFonts w:hint="eastAsia"/>
          <w:sz w:val="24"/>
          <w:szCs w:val="24"/>
          <w:lang w:val="en-US" w:eastAsia="zh-CN"/>
        </w:rPr>
        <w:t xml:space="preserve">3. </w:t>
      </w:r>
      <w:r>
        <w:rPr>
          <w:rFonts w:hint="eastAsia"/>
          <w:sz w:val="24"/>
          <w:szCs w:val="24"/>
        </w:rPr>
        <w:t>本标准与有关的现行法律法规、标准的关系</w:t>
      </w:r>
      <w:bookmarkEnd w:id="6"/>
    </w:p>
    <w:p w14:paraId="6F1BC03A">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海南省城市消防物联设备联网接入标准规范与有关的现行法律法规和国家标准的关系如下：</w:t>
      </w:r>
    </w:p>
    <w:p w14:paraId="4D74DD50">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中共中央关于制定国民经济和社会发展第十四个五年规划和二〇三五年远景目标的建议》：首次明确强调要“坚持总体国家安全观，实施国家安全战略，维护和塑造国家安全，统筹传统安全和非传统安全，把安全发展贯穿国家发展各领域和全过程，防范和化解影响我国现代化进程的各种风险，筑牢国家安全屏障”。</w:t>
      </w:r>
    </w:p>
    <w:p w14:paraId="4AE9719D">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《关于推动新时代消防救援工作高质量发展的意见》第十三条：规定了加快推进智慧消防建设的要求和措施，包括完善智慧消防平台建设，实现对重点单位和区域的实时监测、预警分析、快速处置等功能。</w:t>
      </w:r>
    </w:p>
    <w:p w14:paraId="60E70795">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十四五”国家消防工作规划》：是我国关于今后五年消防工作的总体部署和重点任务，提出了建设智慧消防系统、推进新型监管机制等目标和措施。提到积极融入“智慧城市”“智慧应急”，深化“智慧消防”建设，补齐基础设施、网络、数据、安全、标准等短板，加快消防信息化向数字化智能化方向融合发展。</w:t>
      </w:r>
    </w:p>
    <w:p w14:paraId="142AEA36">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《物联网基础安全标准体系建设指南 2021 版）》：规范了物联网平台以及基于物联网平台开发的行业业务系统和对外应用组件的安全防护要求，包括平台业务基础安全、平台安全防护要求等。</w:t>
      </w:r>
    </w:p>
    <w:p w14:paraId="5B42B3D9">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海南省“十四五”科技创新规划》第三章第二节：规定了加强应急管理和公共安全领域科技创新的要求和措施，包括构建应急管理和公共安全科技体系，加强灾害监测预警、风险评估、救援处置等方面的科技支撑；推动智慧消防、智慧救援等信息化建设，提升消防救援队伍综合能力。</w:t>
      </w:r>
    </w:p>
    <w:p w14:paraId="4A9FA185">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《海南自由贸易港消防条例》第十八条：规定了建设智慧消防系统的要求和措施，包括利用互联网、物联网、大数据、人工智能等技术手段，实现对重点单位和区域的实时监测、预警分析、快速处置等功能。</w:t>
      </w:r>
    </w:p>
    <w:p w14:paraId="161B68B9">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总的来说，本标准与现行法律法规、标准协调一致，按照国家消防救援等相关部门的规范要求进行编制，无冲突。海南省城市消防物联设备联网接入标准规范是根据现行法律法规和国家标准制定的，是这些法律法规和国家标准的具体实施细则。</w:t>
      </w:r>
    </w:p>
    <w:p w14:paraId="0323DCD4">
      <w:pPr>
        <w:pStyle w:val="2"/>
        <w:pageBreakBefore w:val="0"/>
        <w:numPr>
          <w:ilvl w:val="0"/>
          <w:numId w:val="0"/>
        </w:numPr>
        <w:kinsoku/>
        <w:wordWrap/>
        <w:overflowPunct/>
        <w:topLinePunct w:val="0"/>
        <w:autoSpaceDE/>
        <w:autoSpaceDN/>
        <w:bidi w:val="0"/>
        <w:adjustRightInd/>
        <w:snapToGrid/>
        <w:spacing w:line="480" w:lineRule="exact"/>
        <w:ind w:leftChars="0"/>
        <w:textAlignment w:val="auto"/>
        <w:rPr>
          <w:sz w:val="24"/>
          <w:szCs w:val="24"/>
        </w:rPr>
      </w:pPr>
      <w:bookmarkStart w:id="7" w:name="_Toc23097"/>
      <w:r>
        <w:rPr>
          <w:rFonts w:hint="eastAsia"/>
          <w:sz w:val="24"/>
          <w:szCs w:val="24"/>
          <w:lang w:eastAsia="zh-CN"/>
        </w:rPr>
        <w:t>（</w:t>
      </w:r>
      <w:r>
        <w:rPr>
          <w:rFonts w:hint="eastAsia"/>
          <w:sz w:val="24"/>
          <w:szCs w:val="24"/>
          <w:lang w:val="en-US" w:eastAsia="zh-CN"/>
        </w:rPr>
        <w:t>四</w:t>
      </w:r>
      <w:r>
        <w:rPr>
          <w:rFonts w:hint="eastAsia"/>
          <w:sz w:val="24"/>
          <w:szCs w:val="24"/>
          <w:lang w:eastAsia="zh-CN"/>
        </w:rPr>
        <w:t>）</w:t>
      </w:r>
      <w:r>
        <w:rPr>
          <w:rFonts w:hint="eastAsia"/>
          <w:sz w:val="24"/>
          <w:szCs w:val="24"/>
        </w:rPr>
        <w:t>主要条款的说明，主要技术指标、参数、实验验证的论述</w:t>
      </w:r>
      <w:bookmarkEnd w:id="7"/>
    </w:p>
    <w:p w14:paraId="1F78651B">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本文件的章节由范围、规范性引用文件、术语和定义、消防安全基本要求、消防组织和智慧消防、消防安全职责、消防安全制度、生产作业现场、消防设施器材设置、应急预案、证实方法和附件等组成。其中，消防组织和智慧消防、消防安全职责、消防安全制度、生产作业现场、消防设施器材设置、应急预案是本标准的主要技术内容。</w:t>
      </w:r>
    </w:p>
    <w:p w14:paraId="4576A63C">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本文件规定了主要条款如下：</w:t>
      </w:r>
    </w:p>
    <w:p w14:paraId="22B2731F">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第一章 范围。本章规定海南省城市消防物联设备联网接入的通用要求和接口说明。</w:t>
      </w:r>
    </w:p>
    <w:p w14:paraId="635E052A">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第二章 规范性引用文件。本章规定了规范性引用文件。</w:t>
      </w:r>
    </w:p>
    <w:p w14:paraId="68F6502F">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第三章 术语和定义。本章规定了术语定义。</w:t>
      </w:r>
    </w:p>
    <w:p w14:paraId="22A9D2EF">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第四章 符号和缩略语。本章规定了本文件适用的符号、代号和缩略语。</w:t>
      </w:r>
    </w:p>
    <w:p w14:paraId="741A4BBA">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第五章 基本要求。本章规定了海南省城市消防物联设备联网接入的基本规则，如接入框架、接入关系等。</w:t>
      </w:r>
    </w:p>
    <w:p w14:paraId="66F6F70E">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第六章 接口通用要求与说明。本章规定了接口基本要求、接口格式要求和接口使用流程等内容。</w:t>
      </w:r>
    </w:p>
    <w:p w14:paraId="2BFB3E38">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第七章 接口说明。本章规定了安全认证等相关接口规范。</w:t>
      </w:r>
    </w:p>
    <w:p w14:paraId="23899CA3">
      <w:pPr>
        <w:pageBreakBefore w:val="0"/>
        <w:kinsoku/>
        <w:wordWrap/>
        <w:overflowPunct/>
        <w:topLinePunct w:val="0"/>
        <w:autoSpaceDE/>
        <w:autoSpaceDN/>
        <w:bidi w:val="0"/>
        <w:adjustRightInd/>
        <w:snapToGrid/>
        <w:spacing w:line="480" w:lineRule="exact"/>
        <w:textAlignment w:val="auto"/>
        <w:rPr>
          <w:sz w:val="24"/>
          <w:szCs w:val="24"/>
        </w:rPr>
      </w:pPr>
      <w:r>
        <w:rPr>
          <w:rFonts w:hint="eastAsia" w:ascii="宋体" w:hAnsi="宋体" w:eastAsia="宋体" w:cs="宋体"/>
          <w:sz w:val="24"/>
          <w:szCs w:val="24"/>
        </w:rPr>
        <w:t>第八章 业务数据接口。本章规定了物联网设备信息接口相关参数说明。</w:t>
      </w:r>
    </w:p>
    <w:p w14:paraId="42ED62EA">
      <w:pPr>
        <w:pStyle w:val="2"/>
        <w:pageBreakBefore w:val="0"/>
        <w:numPr>
          <w:ilvl w:val="0"/>
          <w:numId w:val="0"/>
        </w:numPr>
        <w:kinsoku/>
        <w:wordWrap/>
        <w:overflowPunct/>
        <w:topLinePunct w:val="0"/>
        <w:autoSpaceDE/>
        <w:autoSpaceDN/>
        <w:bidi w:val="0"/>
        <w:adjustRightInd/>
        <w:snapToGrid/>
        <w:spacing w:line="480" w:lineRule="exact"/>
        <w:ind w:leftChars="0"/>
        <w:textAlignment w:val="auto"/>
        <w:rPr>
          <w:sz w:val="24"/>
          <w:szCs w:val="24"/>
        </w:rPr>
      </w:pPr>
      <w:bookmarkStart w:id="8" w:name="_Toc22415"/>
      <w:r>
        <w:rPr>
          <w:rFonts w:hint="eastAsia"/>
          <w:sz w:val="24"/>
          <w:szCs w:val="24"/>
          <w:lang w:eastAsia="zh-CN"/>
        </w:rPr>
        <w:t>（</w:t>
      </w:r>
      <w:r>
        <w:rPr>
          <w:rFonts w:hint="eastAsia"/>
          <w:sz w:val="24"/>
          <w:szCs w:val="24"/>
          <w:lang w:val="en-US" w:eastAsia="zh-CN"/>
        </w:rPr>
        <w:t>五</w:t>
      </w:r>
      <w:r>
        <w:rPr>
          <w:rFonts w:hint="eastAsia"/>
          <w:sz w:val="24"/>
          <w:szCs w:val="24"/>
          <w:lang w:eastAsia="zh-CN"/>
        </w:rPr>
        <w:t>）</w:t>
      </w:r>
      <w:r>
        <w:rPr>
          <w:rFonts w:hint="eastAsia"/>
          <w:sz w:val="24"/>
          <w:szCs w:val="24"/>
        </w:rPr>
        <w:t>知识产权说明</w:t>
      </w:r>
      <w:bookmarkEnd w:id="8"/>
    </w:p>
    <w:p w14:paraId="65742DBC">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本标准为管理类标准，未涉及专利等知识产权内容。</w:t>
      </w:r>
    </w:p>
    <w:p w14:paraId="343423AE">
      <w:pPr>
        <w:pStyle w:val="2"/>
        <w:pageBreakBefore w:val="0"/>
        <w:numPr>
          <w:ilvl w:val="0"/>
          <w:numId w:val="0"/>
        </w:numPr>
        <w:kinsoku/>
        <w:wordWrap/>
        <w:overflowPunct/>
        <w:topLinePunct w:val="0"/>
        <w:autoSpaceDE/>
        <w:autoSpaceDN/>
        <w:bidi w:val="0"/>
        <w:adjustRightInd/>
        <w:snapToGrid/>
        <w:spacing w:line="480" w:lineRule="exact"/>
        <w:ind w:leftChars="0"/>
        <w:textAlignment w:val="auto"/>
        <w:rPr>
          <w:sz w:val="24"/>
          <w:szCs w:val="24"/>
        </w:rPr>
      </w:pPr>
      <w:bookmarkStart w:id="9" w:name="_Toc5301"/>
      <w:r>
        <w:rPr>
          <w:rFonts w:hint="eastAsia"/>
          <w:sz w:val="24"/>
          <w:szCs w:val="24"/>
          <w:lang w:eastAsia="zh-CN"/>
        </w:rPr>
        <w:t>（</w:t>
      </w:r>
      <w:r>
        <w:rPr>
          <w:rFonts w:hint="eastAsia"/>
          <w:sz w:val="24"/>
          <w:szCs w:val="24"/>
          <w:lang w:val="en-US" w:eastAsia="zh-CN"/>
        </w:rPr>
        <w:t>六</w:t>
      </w:r>
      <w:r>
        <w:rPr>
          <w:rFonts w:hint="eastAsia"/>
          <w:sz w:val="24"/>
          <w:szCs w:val="24"/>
          <w:lang w:eastAsia="zh-CN"/>
        </w:rPr>
        <w:t>）</w:t>
      </w:r>
      <w:r>
        <w:rPr>
          <w:rFonts w:hint="eastAsia"/>
          <w:sz w:val="24"/>
          <w:szCs w:val="24"/>
        </w:rPr>
        <w:t>采用国际标准和国外先进标准的程度或与国内同类标准水平的对比情况</w:t>
      </w:r>
      <w:bookmarkEnd w:id="9"/>
    </w:p>
    <w:p w14:paraId="7130192B">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本标准尽可能地做到兼容、一致和可比较。</w:t>
      </w:r>
    </w:p>
    <w:p w14:paraId="48CE7380">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采用国际标准和国外先进标准的程度对比情况如下：</w:t>
      </w:r>
    </w:p>
    <w:p w14:paraId="5EDBCE12">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国际标准：美国国家标准与技术研究院（NIST）正在开展智慧消防项目，旨在为智能建筑和机器人传感器技术、智能消防战斗机设备和机器人绘图技术以及智能消防部门设备和设备等领域制定工具和标准。国外已经有很多企业组建了物联网标准化联盟，致力于各个领域的标准化工作。其中比较重要的联盟包括开放移动联盟（OMA）、IPSO联盟、开放互联基金会（OCF）、All Seen技术联盟、Thread联盟、工业互联网联盟（IIC™）、oneM2M联盟以及最近成立的Project Connected Home over IP等。</w:t>
      </w:r>
    </w:p>
    <w:p w14:paraId="6DF73003">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与国内同类标准水平的对比情况如下：</w:t>
      </w:r>
    </w:p>
    <w:p w14:paraId="673F2649">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我国工业和信息化部办公厅于2021年9月23日印发了《物联网基础安全标准体系建设指南（2021版）》，该指南提出了物联网基础安全标准体系的总体框架，包括物理层、数据链路层、网络层、传输层、会话层、表示层和应用层等七个层次，以及跨层次的安全管理和服务等两个方面。华为云提供了设备接入服务（IoT Device Access），是一款物联网平台，支持多种物联网主流的接入协议及私有协议，提供开源的IoT Device SDK，简化设备接入难度，并提供设备管理、消息通信、OTA升级等能力。我国已经制定了一些物联网相关的国家标准，例如《生态环境监测物联网系统架构》《智能交通系统物联网技术规范》《智慧城市 物联网技术规范》等。</w:t>
      </w:r>
    </w:p>
    <w:p w14:paraId="284FE423">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总的来说，该部海南省城市消防物联设备联网接入标准规范与国内同类标准水平相比，更加全面、系统、科学、规范。</w:t>
      </w:r>
    </w:p>
    <w:p w14:paraId="7482CCE9">
      <w:pPr>
        <w:pStyle w:val="2"/>
        <w:pageBreakBefore w:val="0"/>
        <w:numPr>
          <w:ilvl w:val="0"/>
          <w:numId w:val="0"/>
        </w:numPr>
        <w:kinsoku/>
        <w:wordWrap/>
        <w:overflowPunct/>
        <w:topLinePunct w:val="0"/>
        <w:autoSpaceDE/>
        <w:autoSpaceDN/>
        <w:bidi w:val="0"/>
        <w:adjustRightInd/>
        <w:snapToGrid/>
        <w:spacing w:line="480" w:lineRule="exact"/>
        <w:ind w:leftChars="0"/>
        <w:textAlignment w:val="auto"/>
        <w:rPr>
          <w:sz w:val="24"/>
          <w:szCs w:val="24"/>
        </w:rPr>
      </w:pPr>
      <w:bookmarkStart w:id="10" w:name="_Toc6387"/>
      <w:r>
        <w:rPr>
          <w:rFonts w:hint="eastAsia"/>
          <w:sz w:val="24"/>
          <w:szCs w:val="24"/>
          <w:lang w:eastAsia="zh-CN"/>
        </w:rPr>
        <w:t>（</w:t>
      </w:r>
      <w:r>
        <w:rPr>
          <w:rFonts w:hint="eastAsia"/>
          <w:sz w:val="24"/>
          <w:szCs w:val="24"/>
          <w:lang w:val="en-US" w:eastAsia="zh-CN"/>
        </w:rPr>
        <w:t>七</w:t>
      </w:r>
      <w:r>
        <w:rPr>
          <w:rFonts w:hint="eastAsia"/>
          <w:sz w:val="24"/>
          <w:szCs w:val="24"/>
          <w:lang w:eastAsia="zh-CN"/>
        </w:rPr>
        <w:t>）</w:t>
      </w:r>
      <w:r>
        <w:rPr>
          <w:rFonts w:hint="eastAsia"/>
          <w:sz w:val="24"/>
          <w:szCs w:val="24"/>
        </w:rPr>
        <w:t>重大分歧意见的处理依据和结果</w:t>
      </w:r>
      <w:bookmarkEnd w:id="10"/>
    </w:p>
    <w:p w14:paraId="7748D756">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本标准编制过程中未出现重大分歧。</w:t>
      </w:r>
    </w:p>
    <w:p w14:paraId="35E771BB">
      <w:pPr>
        <w:pStyle w:val="2"/>
        <w:pageBreakBefore w:val="0"/>
        <w:numPr>
          <w:ilvl w:val="0"/>
          <w:numId w:val="0"/>
        </w:numPr>
        <w:kinsoku/>
        <w:wordWrap/>
        <w:overflowPunct/>
        <w:topLinePunct w:val="0"/>
        <w:autoSpaceDE/>
        <w:autoSpaceDN/>
        <w:bidi w:val="0"/>
        <w:adjustRightInd/>
        <w:snapToGrid/>
        <w:spacing w:line="480" w:lineRule="exact"/>
        <w:ind w:leftChars="0"/>
        <w:textAlignment w:val="auto"/>
        <w:rPr>
          <w:sz w:val="24"/>
          <w:szCs w:val="24"/>
        </w:rPr>
      </w:pPr>
      <w:bookmarkStart w:id="11" w:name="_Toc23189"/>
      <w:r>
        <w:rPr>
          <w:rFonts w:hint="eastAsia"/>
          <w:sz w:val="24"/>
          <w:szCs w:val="24"/>
          <w:lang w:eastAsia="zh-CN"/>
        </w:rPr>
        <w:t>（</w:t>
      </w:r>
      <w:r>
        <w:rPr>
          <w:rFonts w:hint="eastAsia"/>
          <w:sz w:val="24"/>
          <w:szCs w:val="24"/>
          <w:lang w:val="en-US" w:eastAsia="zh-CN"/>
        </w:rPr>
        <w:t>八</w:t>
      </w:r>
      <w:r>
        <w:rPr>
          <w:rFonts w:hint="eastAsia"/>
          <w:sz w:val="24"/>
          <w:szCs w:val="24"/>
          <w:lang w:eastAsia="zh-CN"/>
        </w:rPr>
        <w:t>）</w:t>
      </w:r>
      <w:r>
        <w:rPr>
          <w:rFonts w:hint="eastAsia"/>
          <w:sz w:val="24"/>
          <w:szCs w:val="24"/>
        </w:rPr>
        <w:t>贯彻地方标准的要求和措施建议</w:t>
      </w:r>
      <w:bookmarkEnd w:id="11"/>
    </w:p>
    <w:p w14:paraId="3E83793D">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建议将本标准作为省颁推荐性标准发布实施。本标准发布后，配套编制解读稿，在全省范围内开展宣传、培训、标准及解读稿发放等工作，使其能真正得到实际应用，以便更好地发挥社会效益和经济效益。另外，将对该标准执行情况进行跟踪调查，及时发现和收集标准执行中发现的问题，不断修改完善，提升标准技术水平，进一步提高该标准的科学性和适用性。</w:t>
      </w:r>
    </w:p>
    <w:p w14:paraId="52B1B280">
      <w:pPr>
        <w:pStyle w:val="2"/>
        <w:pageBreakBefore w:val="0"/>
        <w:numPr>
          <w:ilvl w:val="0"/>
          <w:numId w:val="0"/>
        </w:numPr>
        <w:kinsoku/>
        <w:wordWrap/>
        <w:overflowPunct/>
        <w:topLinePunct w:val="0"/>
        <w:autoSpaceDE/>
        <w:autoSpaceDN/>
        <w:bidi w:val="0"/>
        <w:adjustRightInd/>
        <w:snapToGrid/>
        <w:spacing w:line="480" w:lineRule="exact"/>
        <w:ind w:leftChars="0"/>
        <w:textAlignment w:val="auto"/>
        <w:rPr>
          <w:sz w:val="24"/>
          <w:szCs w:val="24"/>
        </w:rPr>
      </w:pPr>
      <w:bookmarkStart w:id="12" w:name="_Toc26189"/>
      <w:r>
        <w:rPr>
          <w:rFonts w:hint="eastAsia"/>
          <w:sz w:val="24"/>
          <w:szCs w:val="24"/>
          <w:lang w:eastAsia="zh-CN"/>
        </w:rPr>
        <w:t>（</w:t>
      </w:r>
      <w:r>
        <w:rPr>
          <w:rFonts w:hint="eastAsia"/>
          <w:sz w:val="24"/>
          <w:szCs w:val="24"/>
          <w:lang w:val="en-US" w:eastAsia="zh-CN"/>
        </w:rPr>
        <w:t>九</w:t>
      </w:r>
      <w:r>
        <w:rPr>
          <w:rFonts w:hint="eastAsia"/>
          <w:sz w:val="24"/>
          <w:szCs w:val="24"/>
          <w:lang w:eastAsia="zh-CN"/>
        </w:rPr>
        <w:t>）</w:t>
      </w:r>
      <w:r>
        <w:rPr>
          <w:rFonts w:hint="eastAsia"/>
          <w:sz w:val="24"/>
          <w:szCs w:val="24"/>
        </w:rPr>
        <w:t>预期效果</w:t>
      </w:r>
      <w:bookmarkEnd w:id="12"/>
    </w:p>
    <w:p w14:paraId="527EE558">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本标准从消防安全管理的角度，可以考察消防物联网平台对于提高消防巡检和隐患排查的效率和质量，降低人力成本和管理成本，提升消防安全水平和社会信任度等方面的贡献。从消防应急救援的角度，可以考察消防物联网平台对于提高火灾报警和处置的时效性和准确性，缩短火灾扑救时间和损失范围，增强火灾现场指挥和协调能力等方面的贡献。</w:t>
      </w:r>
    </w:p>
    <w:p w14:paraId="14474064">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从消防安全文化的角度，可以考察消防物联网平台对于提升社会公众的消防安全意识和素养，增强社会公众的消防安全责任和参与感，形成共建共治共享的消防安全格局等方面的贡献。从消防服务创新的角度，可以考察消防物联网平台对于推动消防服务模式和内容的多元化和个性化，满足社会公众的多层次和多样化的消防服务需求，提高社会公众对消防服务的满意度和信赖度等方面的贡献。从消防技术发展的角度，可以考察消防物联网平台对于促进物联网、云计算、大数据等新兴技术与消防行业的深度融合，激发消防技术创新和应用场景拓展，提高消防技术水平和竞争力等方面的贡献。</w:t>
      </w:r>
    </w:p>
    <w:p w14:paraId="7CDDEBDD">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从消防资源节约的角度，可以考察消防物联网平台对于降低消防设施的维护成本，提高消防设施的使用效率，减少消防设施的浪费和损耗等方面的贡献。从消防环境保护的角度，可以考察消防物联网平台对于减少火灾发生和扩散的可能性，降低火灾对环境和生态造成的污染和破坏，恢复和改善火灾后的环境和生态等方面的贡献。</w:t>
      </w:r>
    </w:p>
    <w:p w14:paraId="3004BF1C">
      <w:pPr>
        <w:pageBreakBefore w:val="0"/>
        <w:kinsoku/>
        <w:wordWrap/>
        <w:overflowPunct/>
        <w:topLinePunct w:val="0"/>
        <w:autoSpaceDE/>
        <w:autoSpaceDN/>
        <w:bidi w:val="0"/>
        <w:adjustRightInd/>
        <w:snapToGrid/>
        <w:spacing w:line="480" w:lineRule="exact"/>
        <w:textAlignment w:val="auto"/>
        <w:rPr>
          <w:sz w:val="24"/>
          <w:szCs w:val="24"/>
        </w:rPr>
      </w:pPr>
      <w:r>
        <w:rPr>
          <w:rFonts w:hint="eastAsia" w:ascii="宋体" w:hAnsi="宋体" w:eastAsia="宋体" w:cs="宋体"/>
          <w:sz w:val="24"/>
          <w:szCs w:val="24"/>
        </w:rPr>
        <w:t>从消防技术升级的角度，可以考察消防物联网平台对于促进5G、物联传感、大数据等新兴技术与消防行业的深度融合，推动智慧消防产品应用场景拓展，提高智慧消防产品性能和品质等方面的贡献。</w:t>
      </w:r>
    </w:p>
    <w:p w14:paraId="1ACC8C5D">
      <w:pPr>
        <w:pStyle w:val="2"/>
        <w:pageBreakBefore w:val="0"/>
        <w:numPr>
          <w:ilvl w:val="0"/>
          <w:numId w:val="0"/>
        </w:numPr>
        <w:kinsoku/>
        <w:wordWrap/>
        <w:overflowPunct/>
        <w:topLinePunct w:val="0"/>
        <w:autoSpaceDE/>
        <w:autoSpaceDN/>
        <w:bidi w:val="0"/>
        <w:adjustRightInd/>
        <w:snapToGrid/>
        <w:spacing w:line="480" w:lineRule="exact"/>
        <w:ind w:leftChars="0"/>
        <w:textAlignment w:val="auto"/>
        <w:rPr>
          <w:sz w:val="24"/>
          <w:szCs w:val="24"/>
        </w:rPr>
      </w:pPr>
      <w:bookmarkStart w:id="13" w:name="_Toc24122"/>
      <w:r>
        <w:rPr>
          <w:rFonts w:hint="eastAsia"/>
          <w:sz w:val="24"/>
          <w:szCs w:val="24"/>
          <w:lang w:eastAsia="zh-CN"/>
        </w:rPr>
        <w:t>（</w:t>
      </w:r>
      <w:r>
        <w:rPr>
          <w:rFonts w:hint="eastAsia"/>
          <w:sz w:val="24"/>
          <w:szCs w:val="24"/>
          <w:lang w:val="en-US" w:eastAsia="zh-CN"/>
        </w:rPr>
        <w:t>十</w:t>
      </w:r>
      <w:r>
        <w:rPr>
          <w:rFonts w:hint="eastAsia"/>
          <w:sz w:val="24"/>
          <w:szCs w:val="24"/>
          <w:lang w:eastAsia="zh-CN"/>
        </w:rPr>
        <w:t>）</w:t>
      </w:r>
      <w:r>
        <w:rPr>
          <w:rFonts w:hint="eastAsia"/>
          <w:sz w:val="24"/>
          <w:szCs w:val="24"/>
        </w:rPr>
        <w:t>其他应予说明的事项</w:t>
      </w:r>
      <w:bookmarkEnd w:id="13"/>
    </w:p>
    <w:p w14:paraId="4AA9ADEF">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本标准暂无其他说明事项。</w:t>
      </w:r>
    </w:p>
    <w:p w14:paraId="049C3340">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p>
    <w:p w14:paraId="26783C64">
      <w:pPr>
        <w:pageBreakBefore w:val="0"/>
        <w:kinsoku/>
        <w:wordWrap/>
        <w:overflowPunct/>
        <w:topLinePunct w:val="0"/>
        <w:autoSpaceDE/>
        <w:autoSpaceDN/>
        <w:bidi w:val="0"/>
        <w:adjustRightInd/>
        <w:snapToGrid/>
        <w:spacing w:line="480" w:lineRule="exact"/>
        <w:textAlignment w:val="auto"/>
        <w:rPr>
          <w:rFonts w:hint="eastAsia" w:ascii="宋体" w:hAnsi="宋体" w:eastAsia="宋体" w:cs="宋体"/>
          <w:sz w:val="24"/>
          <w:szCs w:val="24"/>
        </w:rPr>
      </w:pPr>
    </w:p>
    <w:sectPr>
      <w:footerReference r:id="rId6" w:type="default"/>
      <w:pgSz w:w="11906" w:h="16838"/>
      <w:pgMar w:top="1417" w:right="1417" w:bottom="1417" w:left="1417" w:header="851" w:footer="992" w:gutter="0"/>
      <w:pgNumType w:fmt="decimal"/>
      <w:cols w:space="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SimSun-ExtB">
    <w:panose1 w:val="02010609060101010101"/>
    <w:charset w:val="86"/>
    <w:family w:val="modern"/>
    <w:pitch w:val="default"/>
    <w:sig w:usb0="00000001" w:usb1="02000000" w:usb2="00000000"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2BD67">
    <w:pPr>
      <w:pStyle w:val="1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A2B38E">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EA2B38E">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C44F7">
    <w:pPr>
      <w:pStyle w:val="1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0419"/>
                          </w:sdtPr>
                          <w:sdtContent>
                            <w:p w14:paraId="4559072F">
                              <w:pPr>
                                <w:pStyle w:val="10"/>
                                <w:jc w:val="center"/>
                              </w:pPr>
                              <w:r>
                                <w:fldChar w:fldCharType="begin"/>
                              </w:r>
                              <w:r>
                                <w:instrText xml:space="preserve">PAGE   \* MERGEFORMAT</w:instrText>
                              </w:r>
                              <w:r>
                                <w:fldChar w:fldCharType="separate"/>
                              </w:r>
                              <w:r>
                                <w:rPr>
                                  <w:lang w:val="zh-CN"/>
                                </w:rPr>
                                <w:t>9</w:t>
                              </w:r>
                              <w:r>
                                <w:fldChar w:fldCharType="end"/>
                              </w:r>
                            </w:p>
                          </w:sdtContent>
                        </w:sdt>
                        <w:p w14:paraId="612FB5BD"/>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sdt>
                    <w:sdtPr>
                      <w:id w:val="147470419"/>
                    </w:sdtPr>
                    <w:sdtContent>
                      <w:p w14:paraId="4559072F">
                        <w:pPr>
                          <w:pStyle w:val="10"/>
                          <w:jc w:val="center"/>
                        </w:pPr>
                        <w:r>
                          <w:fldChar w:fldCharType="begin"/>
                        </w:r>
                        <w:r>
                          <w:instrText xml:space="preserve">PAGE   \* MERGEFORMAT</w:instrText>
                        </w:r>
                        <w:r>
                          <w:fldChar w:fldCharType="separate"/>
                        </w:r>
                        <w:r>
                          <w:rPr>
                            <w:lang w:val="zh-CN"/>
                          </w:rPr>
                          <w:t>9</w:t>
                        </w:r>
                        <w:r>
                          <w:fldChar w:fldCharType="end"/>
                        </w:r>
                      </w:p>
                    </w:sdtContent>
                  </w:sdt>
                  <w:p w14:paraId="612FB5BD"/>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05" w:lineRule="auto"/>
        <w:ind w:firstLine="560"/>
      </w:pPr>
      <w:r>
        <w:separator/>
      </w:r>
    </w:p>
  </w:footnote>
  <w:footnote w:type="continuationSeparator" w:id="1">
    <w:p>
      <w:pPr>
        <w:spacing w:line="305" w:lineRule="auto"/>
        <w:ind w:firstLine="56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1F2359"/>
    <w:multiLevelType w:val="multilevel"/>
    <w:tmpl w:val="E41F2359"/>
    <w:lvl w:ilvl="0" w:tentative="0">
      <w:start w:val="1"/>
      <w:numFmt w:val="decimal"/>
      <w:pStyle w:val="2"/>
      <w:suff w:val="nothing"/>
      <w:lvlText w:val="%1 "/>
      <w:lvlJc w:val="left"/>
      <w:pPr>
        <w:tabs>
          <w:tab w:val="left" w:pos="0"/>
        </w:tabs>
        <w:ind w:left="0" w:firstLine="0"/>
      </w:pPr>
      <w:rPr>
        <w:rFonts w:hint="default"/>
      </w:rPr>
    </w:lvl>
    <w:lvl w:ilvl="1" w:tentative="0">
      <w:start w:val="1"/>
      <w:numFmt w:val="decimal"/>
      <w:pStyle w:val="3"/>
      <w:suff w:val="space"/>
      <w:lvlText w:val="%1.%2"/>
      <w:lvlJc w:val="left"/>
      <w:pPr>
        <w:ind w:left="0" w:firstLine="0"/>
      </w:pPr>
      <w:rPr>
        <w:rFonts w:hint="eastAsia"/>
      </w:rPr>
    </w:lvl>
    <w:lvl w:ilvl="2" w:tentative="0">
      <w:start w:val="1"/>
      <w:numFmt w:val="decimal"/>
      <w:pStyle w:val="4"/>
      <w:suff w:val="space"/>
      <w:lvlText w:val="%1.%2.%3"/>
      <w:lvlJc w:val="left"/>
      <w:pPr>
        <w:ind w:left="0" w:firstLine="0"/>
      </w:pPr>
      <w:rPr>
        <w:rFonts w:hint="eastAsia"/>
      </w:rPr>
    </w:lvl>
    <w:lvl w:ilvl="3" w:tentative="0">
      <w:start w:val="1"/>
      <w:numFmt w:val="decimal"/>
      <w:pStyle w:val="5"/>
      <w:suff w:val="space"/>
      <w:lvlText w:val="%1.%2.%3.%4"/>
      <w:lvlJc w:val="left"/>
      <w:pPr>
        <w:ind w:left="0" w:firstLine="0"/>
      </w:pPr>
      <w:rPr>
        <w:rFonts w:hint="eastAsia"/>
      </w:rPr>
    </w:lvl>
    <w:lvl w:ilvl="4" w:tentative="0">
      <w:start w:val="1"/>
      <w:numFmt w:val="decimal"/>
      <w:suff w:val="space"/>
      <w:lvlText w:val="%1.%2.%3.%4.%5"/>
      <w:lvlJc w:val="left"/>
      <w:pPr>
        <w:ind w:left="0" w:firstLine="0"/>
      </w:pPr>
      <w:rPr>
        <w:rFonts w:hint="eastAsia"/>
      </w:rPr>
    </w:lvl>
    <w:lvl w:ilvl="5" w:tentative="0">
      <w:start w:val="1"/>
      <w:numFmt w:val="decimal"/>
      <w:suff w:val="space"/>
      <w:lvlText w:val="%1.%2.%3.%4.%5.%6"/>
      <w:lvlJc w:val="left"/>
      <w:pPr>
        <w:ind w:left="0" w:firstLine="0"/>
      </w:pPr>
      <w:rPr>
        <w:rFonts w:hint="eastAsia"/>
      </w:rPr>
    </w:lvl>
    <w:lvl w:ilvl="6" w:tentative="0">
      <w:start w:val="1"/>
      <w:numFmt w:val="decimal"/>
      <w:suff w:val="space"/>
      <w:lvlText w:val="%1.%2.%3.%4.%5.%6.%7"/>
      <w:lvlJc w:val="left"/>
      <w:pPr>
        <w:ind w:left="0" w:firstLine="0"/>
      </w:pPr>
      <w:rPr>
        <w:rFonts w:hint="eastAsia"/>
      </w:rPr>
    </w:lvl>
    <w:lvl w:ilvl="7" w:tentative="0">
      <w:start w:val="1"/>
      <w:numFmt w:val="decimal"/>
      <w:suff w:val="space"/>
      <w:lvlText w:val="%1.%2.%3.%4.%5.%6.%7.%8"/>
      <w:lvlJc w:val="left"/>
      <w:pPr>
        <w:ind w:left="0" w:firstLine="0"/>
      </w:pPr>
      <w:rPr>
        <w:rFonts w:hint="eastAsia"/>
      </w:rPr>
    </w:lvl>
    <w:lvl w:ilvl="8" w:tentative="0">
      <w:start w:val="1"/>
      <w:numFmt w:val="decimal"/>
      <w:suff w:val="space"/>
      <w:lvlText w:val="%1.%2.%3.%4.%5.%6.%7.%8.%9"/>
      <w:lvlJc w:val="left"/>
      <w:pPr>
        <w:ind w:left="0" w:firstLine="0"/>
      </w:pPr>
      <w:rPr>
        <w:rFonts w:hint="eastAsia"/>
      </w:rPr>
    </w:lvl>
  </w:abstractNum>
  <w:abstractNum w:abstractNumId="1">
    <w:nsid w:val="0000000B"/>
    <w:multiLevelType w:val="multilevel"/>
    <w:tmpl w:val="0000000B"/>
    <w:lvl w:ilvl="0" w:tentative="0">
      <w:start w:val="1"/>
      <w:numFmt w:val="decimal"/>
      <w:lvlText w:val="%1、"/>
      <w:lvlJc w:val="left"/>
      <w:pPr>
        <w:tabs>
          <w:tab w:val="left" w:pos="432"/>
        </w:tabs>
        <w:ind w:left="432" w:hanging="432"/>
      </w:pPr>
      <w:rPr>
        <w:rFonts w:ascii="Times New Roman" w:hAnsi="Times New Roman" w:eastAsia="Times New Roman" w:cs="Times New Roman"/>
      </w:rPr>
    </w:lvl>
    <w:lvl w:ilvl="1" w:tentative="0">
      <w:start w:val="1"/>
      <w:numFmt w:val="decimal"/>
      <w:lvlText w:val="%1.%2 "/>
      <w:lvlJc w:val="left"/>
      <w:pPr>
        <w:tabs>
          <w:tab w:val="left" w:pos="397"/>
        </w:tabs>
        <w:ind w:left="0" w:firstLine="0"/>
      </w:pPr>
      <w:rPr>
        <w:rFonts w:hint="eastAsia"/>
      </w:rPr>
    </w:lvl>
    <w:lvl w:ilvl="2" w:tentative="0">
      <w:start w:val="1"/>
      <w:numFmt w:val="decimal"/>
      <w:lvlText w:val="%1.%2.%3 "/>
      <w:lvlJc w:val="left"/>
      <w:pPr>
        <w:tabs>
          <w:tab w:val="left" w:pos="720"/>
        </w:tabs>
        <w:ind w:left="720" w:hanging="720"/>
      </w:pPr>
      <w:rPr>
        <w:rFonts w:hint="eastAsia"/>
      </w:rPr>
    </w:lvl>
    <w:lvl w:ilvl="3" w:tentative="0">
      <w:start w:val="1"/>
      <w:numFmt w:val="decimal"/>
      <w:pStyle w:val="29"/>
      <w:lvlText w:val="%1.%2.%3.%4 "/>
      <w:lvlJc w:val="left"/>
      <w:pPr>
        <w:tabs>
          <w:tab w:val="left" w:pos="1854"/>
        </w:tabs>
        <w:ind w:left="1854" w:hanging="864"/>
      </w:pPr>
      <w:rPr>
        <w:rFonts w:hint="eastAsia" w:ascii="仿宋_GB2312" w:eastAsia="仿宋_GB2312"/>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657D3FBC"/>
    <w:multiLevelType w:val="multilevel"/>
    <w:tmpl w:val="657D3FBC"/>
    <w:lvl w:ilvl="0" w:tentative="0">
      <w:start w:val="1"/>
      <w:numFmt w:val="upperLetter"/>
      <w:pStyle w:val="36"/>
      <w:suff w:val="nothing"/>
      <w:lvlText w:val="附　录　%1"/>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
    <w:nsid w:val="6CEA2025"/>
    <w:multiLevelType w:val="multilevel"/>
    <w:tmpl w:val="6CEA2025"/>
    <w:lvl w:ilvl="0" w:tentative="0">
      <w:start w:val="1"/>
      <w:numFmt w:val="none"/>
      <w:pStyle w:val="37"/>
      <w:suff w:val="nothing"/>
      <w:lvlText w:val="%1"/>
      <w:lvlJc w:val="left"/>
      <w:pPr>
        <w:ind w:left="0" w:firstLine="0"/>
      </w:pPr>
      <w:rPr>
        <w:rFonts w:hint="default" w:ascii="Times New Roman" w:hAnsi="Times New Roman"/>
        <w:b/>
        <w:i w:val="0"/>
        <w:sz w:val="21"/>
      </w:rPr>
    </w:lvl>
    <w:lvl w:ilvl="1" w:tentative="0">
      <w:start w:val="1"/>
      <w:numFmt w:val="decimal"/>
      <w:pStyle w:val="33"/>
      <w:suff w:val="nothing"/>
      <w:lvlText w:val="%1%2　"/>
      <w:lvlJc w:val="left"/>
      <w:pPr>
        <w:ind w:left="0" w:firstLine="0"/>
      </w:pPr>
      <w:rPr>
        <w:rFonts w:hint="eastAsia" w:ascii="黑体" w:hAnsi="Times New Roman" w:eastAsia="黑体"/>
        <w:b w:val="0"/>
        <w:i w:val="0"/>
        <w:sz w:val="21"/>
      </w:rPr>
    </w:lvl>
    <w:lvl w:ilvl="2" w:tentative="0">
      <w:start w:val="1"/>
      <w:numFmt w:val="decimal"/>
      <w:pStyle w:val="32"/>
      <w:suff w:val="nothing"/>
      <w:lvlText w:val="%1%2.%3　"/>
      <w:lvlJc w:val="left"/>
      <w:pPr>
        <w:ind w:left="0" w:firstLine="0"/>
      </w:pPr>
      <w:rPr>
        <w:rFonts w:hint="eastAsia" w:ascii="黑体" w:hAnsi="Times New Roman" w:eastAsia="黑体"/>
        <w:b w:val="0"/>
        <w:i w:val="0"/>
        <w:sz w:val="21"/>
      </w:rPr>
    </w:lvl>
    <w:lvl w:ilvl="3" w:tentative="0">
      <w:start w:val="1"/>
      <w:numFmt w:val="decimal"/>
      <w:pStyle w:val="31"/>
      <w:suff w:val="nothing"/>
      <w:lvlText w:val="%1%2.%3.%4　"/>
      <w:lvlJc w:val="left"/>
      <w:pPr>
        <w:ind w:left="0" w:firstLine="0"/>
      </w:pPr>
      <w:rPr>
        <w:rFonts w:hint="eastAsia" w:ascii="黑体" w:hAnsi="Times New Roman" w:eastAsia="黑体"/>
        <w:b w:val="0"/>
        <w:i w:val="0"/>
        <w:sz w:val="21"/>
      </w:rPr>
    </w:lvl>
    <w:lvl w:ilvl="4" w:tentative="0">
      <w:start w:val="1"/>
      <w:numFmt w:val="decimal"/>
      <w:pStyle w:val="34"/>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A5MGE5OGZhOGYwOTJjMDJhODc0NjA5ZTU0NmVmMWEifQ=="/>
  </w:docVars>
  <w:rsids>
    <w:rsidRoot w:val="00172A27"/>
    <w:rsid w:val="00042D8D"/>
    <w:rsid w:val="00051556"/>
    <w:rsid w:val="00080106"/>
    <w:rsid w:val="00086A17"/>
    <w:rsid w:val="000938C5"/>
    <w:rsid w:val="000A3310"/>
    <w:rsid w:val="000B124E"/>
    <w:rsid w:val="000D4DCD"/>
    <w:rsid w:val="000E2010"/>
    <w:rsid w:val="000E2503"/>
    <w:rsid w:val="00112CE2"/>
    <w:rsid w:val="00113171"/>
    <w:rsid w:val="00125420"/>
    <w:rsid w:val="00172552"/>
    <w:rsid w:val="00172A27"/>
    <w:rsid w:val="001A5890"/>
    <w:rsid w:val="001A5C54"/>
    <w:rsid w:val="001E4BD0"/>
    <w:rsid w:val="00223C55"/>
    <w:rsid w:val="00240126"/>
    <w:rsid w:val="00253F5A"/>
    <w:rsid w:val="0027369A"/>
    <w:rsid w:val="00292D4D"/>
    <w:rsid w:val="002D5945"/>
    <w:rsid w:val="002F2DAF"/>
    <w:rsid w:val="00317CB8"/>
    <w:rsid w:val="003351E7"/>
    <w:rsid w:val="0034306D"/>
    <w:rsid w:val="00351BBB"/>
    <w:rsid w:val="00361675"/>
    <w:rsid w:val="003651F3"/>
    <w:rsid w:val="00365C9A"/>
    <w:rsid w:val="003678DE"/>
    <w:rsid w:val="003739EF"/>
    <w:rsid w:val="003819AF"/>
    <w:rsid w:val="00391BB7"/>
    <w:rsid w:val="00392D9F"/>
    <w:rsid w:val="003956C0"/>
    <w:rsid w:val="003C0602"/>
    <w:rsid w:val="003C4704"/>
    <w:rsid w:val="003E48C2"/>
    <w:rsid w:val="003E4D86"/>
    <w:rsid w:val="003E7B32"/>
    <w:rsid w:val="003F2383"/>
    <w:rsid w:val="00404715"/>
    <w:rsid w:val="00411C9C"/>
    <w:rsid w:val="00422D3B"/>
    <w:rsid w:val="00432C28"/>
    <w:rsid w:val="00443B60"/>
    <w:rsid w:val="00473E22"/>
    <w:rsid w:val="004874D5"/>
    <w:rsid w:val="004E720E"/>
    <w:rsid w:val="005212BA"/>
    <w:rsid w:val="00527188"/>
    <w:rsid w:val="0054027C"/>
    <w:rsid w:val="005524BC"/>
    <w:rsid w:val="0055487B"/>
    <w:rsid w:val="00586670"/>
    <w:rsid w:val="005A271D"/>
    <w:rsid w:val="00651A2C"/>
    <w:rsid w:val="00653BDD"/>
    <w:rsid w:val="00674011"/>
    <w:rsid w:val="00674CF6"/>
    <w:rsid w:val="006C6E85"/>
    <w:rsid w:val="006D1A15"/>
    <w:rsid w:val="006D2AF2"/>
    <w:rsid w:val="006D3B49"/>
    <w:rsid w:val="006D597B"/>
    <w:rsid w:val="00706619"/>
    <w:rsid w:val="00713086"/>
    <w:rsid w:val="0071437B"/>
    <w:rsid w:val="007178B1"/>
    <w:rsid w:val="00743B7E"/>
    <w:rsid w:val="007463FF"/>
    <w:rsid w:val="00796940"/>
    <w:rsid w:val="007C481E"/>
    <w:rsid w:val="007E5FD6"/>
    <w:rsid w:val="007F778A"/>
    <w:rsid w:val="008166E0"/>
    <w:rsid w:val="00816FAE"/>
    <w:rsid w:val="0085702F"/>
    <w:rsid w:val="0086273F"/>
    <w:rsid w:val="00865786"/>
    <w:rsid w:val="00871BB0"/>
    <w:rsid w:val="00872E23"/>
    <w:rsid w:val="0087670F"/>
    <w:rsid w:val="008829C6"/>
    <w:rsid w:val="00886C17"/>
    <w:rsid w:val="008C0834"/>
    <w:rsid w:val="008E6057"/>
    <w:rsid w:val="008F01F1"/>
    <w:rsid w:val="00904495"/>
    <w:rsid w:val="0090728F"/>
    <w:rsid w:val="00934AA9"/>
    <w:rsid w:val="00962843"/>
    <w:rsid w:val="00994D95"/>
    <w:rsid w:val="009B3A08"/>
    <w:rsid w:val="009C67E9"/>
    <w:rsid w:val="009D16CE"/>
    <w:rsid w:val="009D3228"/>
    <w:rsid w:val="00A1294E"/>
    <w:rsid w:val="00A16AEC"/>
    <w:rsid w:val="00A24264"/>
    <w:rsid w:val="00A32C36"/>
    <w:rsid w:val="00A35899"/>
    <w:rsid w:val="00A80D76"/>
    <w:rsid w:val="00A85252"/>
    <w:rsid w:val="00A8730E"/>
    <w:rsid w:val="00AA6DDD"/>
    <w:rsid w:val="00AB25B2"/>
    <w:rsid w:val="00AC3282"/>
    <w:rsid w:val="00B22F76"/>
    <w:rsid w:val="00B31EAB"/>
    <w:rsid w:val="00B40FA5"/>
    <w:rsid w:val="00B54A32"/>
    <w:rsid w:val="00BA1A02"/>
    <w:rsid w:val="00BA2651"/>
    <w:rsid w:val="00BC6927"/>
    <w:rsid w:val="00BF2F2B"/>
    <w:rsid w:val="00C024F8"/>
    <w:rsid w:val="00C369AA"/>
    <w:rsid w:val="00C4057A"/>
    <w:rsid w:val="00C41572"/>
    <w:rsid w:val="00C63E1B"/>
    <w:rsid w:val="00CA11A9"/>
    <w:rsid w:val="00CA2392"/>
    <w:rsid w:val="00CA751E"/>
    <w:rsid w:val="00CB360C"/>
    <w:rsid w:val="00CE025A"/>
    <w:rsid w:val="00CF3558"/>
    <w:rsid w:val="00D11074"/>
    <w:rsid w:val="00D44444"/>
    <w:rsid w:val="00D505EF"/>
    <w:rsid w:val="00D54520"/>
    <w:rsid w:val="00D64E9C"/>
    <w:rsid w:val="00DA43ED"/>
    <w:rsid w:val="00DA64ED"/>
    <w:rsid w:val="00DA667C"/>
    <w:rsid w:val="00DC5074"/>
    <w:rsid w:val="00DD37F6"/>
    <w:rsid w:val="00DD53D0"/>
    <w:rsid w:val="00E12974"/>
    <w:rsid w:val="00E2158C"/>
    <w:rsid w:val="00E541F0"/>
    <w:rsid w:val="00E56FE4"/>
    <w:rsid w:val="00E65645"/>
    <w:rsid w:val="00E66ED6"/>
    <w:rsid w:val="00E77CDC"/>
    <w:rsid w:val="00E87077"/>
    <w:rsid w:val="00E93C80"/>
    <w:rsid w:val="00EA4816"/>
    <w:rsid w:val="00EC5255"/>
    <w:rsid w:val="00ED02FA"/>
    <w:rsid w:val="00EE6C34"/>
    <w:rsid w:val="00F24937"/>
    <w:rsid w:val="00F451BE"/>
    <w:rsid w:val="00F62BE2"/>
    <w:rsid w:val="00F8533A"/>
    <w:rsid w:val="00FA6523"/>
    <w:rsid w:val="00FB0FD9"/>
    <w:rsid w:val="00FB263B"/>
    <w:rsid w:val="0179556C"/>
    <w:rsid w:val="02135FD3"/>
    <w:rsid w:val="022C33BC"/>
    <w:rsid w:val="03072C22"/>
    <w:rsid w:val="03084CFA"/>
    <w:rsid w:val="04221DEB"/>
    <w:rsid w:val="045C354F"/>
    <w:rsid w:val="06564996"/>
    <w:rsid w:val="06CC6BD2"/>
    <w:rsid w:val="06F77693"/>
    <w:rsid w:val="07132099"/>
    <w:rsid w:val="08236132"/>
    <w:rsid w:val="08627DB2"/>
    <w:rsid w:val="08EC29C7"/>
    <w:rsid w:val="09DB3294"/>
    <w:rsid w:val="09F2400E"/>
    <w:rsid w:val="0A7C4F06"/>
    <w:rsid w:val="0AB319EF"/>
    <w:rsid w:val="0AB6328D"/>
    <w:rsid w:val="0C635C82"/>
    <w:rsid w:val="0C6D3E1F"/>
    <w:rsid w:val="0EEA3B63"/>
    <w:rsid w:val="0F4B669A"/>
    <w:rsid w:val="0F9D7FA6"/>
    <w:rsid w:val="0F9E470A"/>
    <w:rsid w:val="113831D6"/>
    <w:rsid w:val="115B4B8E"/>
    <w:rsid w:val="11C555F4"/>
    <w:rsid w:val="12136167"/>
    <w:rsid w:val="128E5CA6"/>
    <w:rsid w:val="1303728B"/>
    <w:rsid w:val="131C4CCA"/>
    <w:rsid w:val="13CF3B07"/>
    <w:rsid w:val="14A405FA"/>
    <w:rsid w:val="14F459E4"/>
    <w:rsid w:val="156E3C1D"/>
    <w:rsid w:val="162C24E0"/>
    <w:rsid w:val="16977679"/>
    <w:rsid w:val="16B00044"/>
    <w:rsid w:val="16B74615"/>
    <w:rsid w:val="17F35ECE"/>
    <w:rsid w:val="18420856"/>
    <w:rsid w:val="18892EDF"/>
    <w:rsid w:val="19375EE1"/>
    <w:rsid w:val="19DB051D"/>
    <w:rsid w:val="1A7A3605"/>
    <w:rsid w:val="1CC30840"/>
    <w:rsid w:val="1DD5675A"/>
    <w:rsid w:val="1DD957B9"/>
    <w:rsid w:val="1F0012FB"/>
    <w:rsid w:val="2096589C"/>
    <w:rsid w:val="210950DE"/>
    <w:rsid w:val="21230C7D"/>
    <w:rsid w:val="2128270A"/>
    <w:rsid w:val="220F79FB"/>
    <w:rsid w:val="22846ECF"/>
    <w:rsid w:val="229E7DA7"/>
    <w:rsid w:val="23622A2C"/>
    <w:rsid w:val="23982EC7"/>
    <w:rsid w:val="23B720F8"/>
    <w:rsid w:val="2534545C"/>
    <w:rsid w:val="255B55BC"/>
    <w:rsid w:val="257376C0"/>
    <w:rsid w:val="25BB1054"/>
    <w:rsid w:val="25D845A8"/>
    <w:rsid w:val="26EC5351"/>
    <w:rsid w:val="281765A6"/>
    <w:rsid w:val="284A5F74"/>
    <w:rsid w:val="2984318F"/>
    <w:rsid w:val="2A1A7084"/>
    <w:rsid w:val="2A33462D"/>
    <w:rsid w:val="2A5C2E14"/>
    <w:rsid w:val="2A723F7F"/>
    <w:rsid w:val="2C1B0D4A"/>
    <w:rsid w:val="2CD93F82"/>
    <w:rsid w:val="2CE51A84"/>
    <w:rsid w:val="2D2D5593"/>
    <w:rsid w:val="2D893A1F"/>
    <w:rsid w:val="2D9767D9"/>
    <w:rsid w:val="2E6030B9"/>
    <w:rsid w:val="2E7E4EF0"/>
    <w:rsid w:val="31436CD1"/>
    <w:rsid w:val="31764356"/>
    <w:rsid w:val="32272728"/>
    <w:rsid w:val="32B819E9"/>
    <w:rsid w:val="33103914"/>
    <w:rsid w:val="331D07D1"/>
    <w:rsid w:val="35487757"/>
    <w:rsid w:val="35B90DD2"/>
    <w:rsid w:val="35D501BC"/>
    <w:rsid w:val="36DD37CC"/>
    <w:rsid w:val="37377380"/>
    <w:rsid w:val="379D6972"/>
    <w:rsid w:val="380D6EF4"/>
    <w:rsid w:val="386D5023"/>
    <w:rsid w:val="38746B20"/>
    <w:rsid w:val="390A7CFF"/>
    <w:rsid w:val="39BA1BA2"/>
    <w:rsid w:val="3A442B93"/>
    <w:rsid w:val="3AA0523C"/>
    <w:rsid w:val="3B637117"/>
    <w:rsid w:val="3C0A5F7D"/>
    <w:rsid w:val="3C41032F"/>
    <w:rsid w:val="3C5A4264"/>
    <w:rsid w:val="3CB31F78"/>
    <w:rsid w:val="3D1268F0"/>
    <w:rsid w:val="3D5B737C"/>
    <w:rsid w:val="3F1461F9"/>
    <w:rsid w:val="425A0117"/>
    <w:rsid w:val="429D18BF"/>
    <w:rsid w:val="440C3942"/>
    <w:rsid w:val="44354C47"/>
    <w:rsid w:val="45B206E7"/>
    <w:rsid w:val="463B050F"/>
    <w:rsid w:val="46D149CF"/>
    <w:rsid w:val="47FA38C7"/>
    <w:rsid w:val="4820176A"/>
    <w:rsid w:val="4876708F"/>
    <w:rsid w:val="488937B4"/>
    <w:rsid w:val="49034157"/>
    <w:rsid w:val="491F1A22"/>
    <w:rsid w:val="495C2C76"/>
    <w:rsid w:val="4B63653E"/>
    <w:rsid w:val="4B920D53"/>
    <w:rsid w:val="4CB3128D"/>
    <w:rsid w:val="4CC4300C"/>
    <w:rsid w:val="4D5A127B"/>
    <w:rsid w:val="4F7B4BEF"/>
    <w:rsid w:val="5034504B"/>
    <w:rsid w:val="51436207"/>
    <w:rsid w:val="51A27387"/>
    <w:rsid w:val="51E11F6A"/>
    <w:rsid w:val="52276852"/>
    <w:rsid w:val="522E1B11"/>
    <w:rsid w:val="5362532D"/>
    <w:rsid w:val="53652582"/>
    <w:rsid w:val="540F5132"/>
    <w:rsid w:val="56240A22"/>
    <w:rsid w:val="579932E7"/>
    <w:rsid w:val="58490869"/>
    <w:rsid w:val="58C236F1"/>
    <w:rsid w:val="5A0215EC"/>
    <w:rsid w:val="5A67627B"/>
    <w:rsid w:val="5A76065D"/>
    <w:rsid w:val="5AA6042C"/>
    <w:rsid w:val="5AC733C4"/>
    <w:rsid w:val="5ADD7845"/>
    <w:rsid w:val="5B050EB5"/>
    <w:rsid w:val="5B7E4CCE"/>
    <w:rsid w:val="5B9328F9"/>
    <w:rsid w:val="5C0C052C"/>
    <w:rsid w:val="5C283EC5"/>
    <w:rsid w:val="5EE65777"/>
    <w:rsid w:val="5F4D6E91"/>
    <w:rsid w:val="5F5400BC"/>
    <w:rsid w:val="5FA82319"/>
    <w:rsid w:val="5FB162E0"/>
    <w:rsid w:val="618E553F"/>
    <w:rsid w:val="61BB2C21"/>
    <w:rsid w:val="6200468F"/>
    <w:rsid w:val="6201343F"/>
    <w:rsid w:val="629B6FF0"/>
    <w:rsid w:val="63C14F9E"/>
    <w:rsid w:val="63EB4DBA"/>
    <w:rsid w:val="64EF383B"/>
    <w:rsid w:val="65A63B99"/>
    <w:rsid w:val="65AE59D0"/>
    <w:rsid w:val="65F745B2"/>
    <w:rsid w:val="66237C88"/>
    <w:rsid w:val="669B46E7"/>
    <w:rsid w:val="67606102"/>
    <w:rsid w:val="67BF46A4"/>
    <w:rsid w:val="67D82FCC"/>
    <w:rsid w:val="687F3F95"/>
    <w:rsid w:val="699E5335"/>
    <w:rsid w:val="6A3457CB"/>
    <w:rsid w:val="6B9D0C82"/>
    <w:rsid w:val="6BC71370"/>
    <w:rsid w:val="6C276CBC"/>
    <w:rsid w:val="6C6E6699"/>
    <w:rsid w:val="6DB77BCC"/>
    <w:rsid w:val="70386031"/>
    <w:rsid w:val="70437ECD"/>
    <w:rsid w:val="709F099D"/>
    <w:rsid w:val="71C034F3"/>
    <w:rsid w:val="71CC00E9"/>
    <w:rsid w:val="71E4604A"/>
    <w:rsid w:val="733972BD"/>
    <w:rsid w:val="740A314B"/>
    <w:rsid w:val="75307056"/>
    <w:rsid w:val="754A592D"/>
    <w:rsid w:val="75E969DD"/>
    <w:rsid w:val="77521091"/>
    <w:rsid w:val="77ED3F06"/>
    <w:rsid w:val="795F1843"/>
    <w:rsid w:val="79803F00"/>
    <w:rsid w:val="7B115A05"/>
    <w:rsid w:val="7B252358"/>
    <w:rsid w:val="7BC23C5D"/>
    <w:rsid w:val="7BFF0E61"/>
    <w:rsid w:val="7C036440"/>
    <w:rsid w:val="7C140161"/>
    <w:rsid w:val="7C2348FF"/>
    <w:rsid w:val="7DA737B9"/>
    <w:rsid w:val="7F251D3F"/>
    <w:rsid w:val="7F901A63"/>
    <w:rsid w:val="7F9C1899"/>
    <w:rsid w:val="7FDD21EA"/>
    <w:rsid w:val="D7DF6F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05" w:lineRule="auto"/>
      <w:ind w:firstLine="678" w:firstLineChars="200"/>
      <w:jc w:val="both"/>
    </w:pPr>
    <w:rPr>
      <w:rFonts w:eastAsia="仿宋" w:asciiTheme="minorAscii" w:hAnsiTheme="minorAscii" w:cstheme="minorBidi"/>
      <w:kern w:val="2"/>
      <w:sz w:val="28"/>
      <w:szCs w:val="22"/>
      <w:lang w:val="en-US" w:eastAsia="zh-CN" w:bidi="ar-SA"/>
    </w:rPr>
  </w:style>
  <w:style w:type="paragraph" w:styleId="2">
    <w:name w:val="heading 1"/>
    <w:next w:val="1"/>
    <w:qFormat/>
    <w:uiPriority w:val="9"/>
    <w:pPr>
      <w:keepNext/>
      <w:keepLines/>
      <w:numPr>
        <w:ilvl w:val="0"/>
        <w:numId w:val="1"/>
      </w:numPr>
      <w:spacing w:line="360" w:lineRule="auto"/>
      <w:outlineLvl w:val="0"/>
    </w:pPr>
    <w:rPr>
      <w:rFonts w:ascii="宋体" w:hAnsi="宋体" w:eastAsia="黑体" w:cs="SimSun-ExtB"/>
      <w:b/>
      <w:bCs/>
      <w:kern w:val="44"/>
      <w:sz w:val="32"/>
      <w:szCs w:val="44"/>
      <w:lang w:val="en-US" w:eastAsia="zh-CN" w:bidi="ar-SA"/>
    </w:rPr>
  </w:style>
  <w:style w:type="paragraph" w:styleId="3">
    <w:name w:val="heading 2"/>
    <w:next w:val="1"/>
    <w:unhideWhenUsed/>
    <w:qFormat/>
    <w:uiPriority w:val="9"/>
    <w:pPr>
      <w:keepNext/>
      <w:keepLines/>
      <w:numPr>
        <w:ilvl w:val="1"/>
        <w:numId w:val="1"/>
      </w:numPr>
      <w:spacing w:line="360" w:lineRule="auto"/>
      <w:outlineLvl w:val="1"/>
    </w:pPr>
    <w:rPr>
      <w:rFonts w:ascii="宋体" w:hAnsi="宋体" w:eastAsia="黑体" w:cs="SimSun-ExtB"/>
      <w:b/>
      <w:bCs/>
      <w:kern w:val="2"/>
      <w:sz w:val="28"/>
      <w:szCs w:val="32"/>
      <w:lang w:val="en-US" w:eastAsia="zh-CN" w:bidi="ar-SA"/>
    </w:rPr>
  </w:style>
  <w:style w:type="paragraph" w:styleId="4">
    <w:name w:val="heading 3"/>
    <w:next w:val="1"/>
    <w:unhideWhenUsed/>
    <w:qFormat/>
    <w:uiPriority w:val="9"/>
    <w:pPr>
      <w:keepNext/>
      <w:keepLines/>
      <w:numPr>
        <w:ilvl w:val="2"/>
        <w:numId w:val="1"/>
      </w:numPr>
      <w:spacing w:line="360" w:lineRule="auto"/>
      <w:outlineLvl w:val="2"/>
    </w:pPr>
    <w:rPr>
      <w:rFonts w:ascii="宋体" w:hAnsi="宋体" w:eastAsia="黑体" w:cs="SimSun-ExtB"/>
      <w:b/>
      <w:bCs/>
      <w:kern w:val="2"/>
      <w:sz w:val="28"/>
      <w:szCs w:val="32"/>
      <w:lang w:val="en-US" w:eastAsia="zh-CN" w:bidi="ar-SA"/>
    </w:rPr>
  </w:style>
  <w:style w:type="paragraph" w:styleId="5">
    <w:name w:val="heading 4"/>
    <w:next w:val="1"/>
    <w:unhideWhenUsed/>
    <w:qFormat/>
    <w:uiPriority w:val="9"/>
    <w:pPr>
      <w:keepNext/>
      <w:keepLines/>
      <w:numPr>
        <w:ilvl w:val="3"/>
        <w:numId w:val="1"/>
      </w:numPr>
      <w:spacing w:line="360" w:lineRule="auto"/>
      <w:outlineLvl w:val="3"/>
    </w:pPr>
    <w:rPr>
      <w:rFonts w:ascii="宋体" w:hAnsi="宋体" w:eastAsia="黑体" w:cs="SimSun-ExtB"/>
      <w:bCs/>
      <w:kern w:val="2"/>
      <w:sz w:val="28"/>
      <w:szCs w:val="28"/>
      <w:lang w:val="en-US" w:eastAsia="zh-CN" w:bidi="ar-SA"/>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caption"/>
    <w:basedOn w:val="1"/>
    <w:next w:val="1"/>
    <w:unhideWhenUsed/>
    <w:qFormat/>
    <w:uiPriority w:val="35"/>
    <w:pPr>
      <w:ind w:firstLine="0" w:firstLineChars="0"/>
      <w:jc w:val="center"/>
    </w:pPr>
    <w:rPr>
      <w:rFonts w:ascii="Arial" w:hAnsi="Arial" w:eastAsia="黑体"/>
      <w:sz w:val="24"/>
    </w:rPr>
  </w:style>
  <w:style w:type="paragraph" w:styleId="7">
    <w:name w:val="annotation text"/>
    <w:basedOn w:val="1"/>
    <w:semiHidden/>
    <w:unhideWhenUsed/>
    <w:qFormat/>
    <w:uiPriority w:val="99"/>
    <w:pPr>
      <w:jc w:val="left"/>
    </w:pPr>
  </w:style>
  <w:style w:type="paragraph" w:styleId="8">
    <w:name w:val="Body Text"/>
    <w:basedOn w:val="1"/>
    <w:qFormat/>
    <w:uiPriority w:val="1"/>
    <w:pPr>
      <w:ind w:left="120"/>
      <w:jc w:val="left"/>
    </w:pPr>
    <w:rPr>
      <w:rFonts w:ascii="宋体" w:hAnsi="宋体"/>
      <w:kern w:val="0"/>
      <w:sz w:val="18"/>
      <w:szCs w:val="18"/>
      <w:lang w:eastAsia="en-US"/>
    </w:rPr>
  </w:style>
  <w:style w:type="paragraph" w:styleId="9">
    <w:name w:val="Balloon Text"/>
    <w:basedOn w:val="1"/>
    <w:link w:val="24"/>
    <w:unhideWhenUsed/>
    <w:qFormat/>
    <w:uiPriority w:val="99"/>
    <w:rPr>
      <w:sz w:val="18"/>
      <w:szCs w:val="18"/>
    </w:rPr>
  </w:style>
  <w:style w:type="paragraph" w:styleId="10">
    <w:name w:val="footer"/>
    <w:basedOn w:val="1"/>
    <w:link w:val="23"/>
    <w:unhideWhenUsed/>
    <w:qFormat/>
    <w:uiPriority w:val="99"/>
    <w:pPr>
      <w:tabs>
        <w:tab w:val="center" w:pos="4153"/>
        <w:tab w:val="right" w:pos="8306"/>
      </w:tabs>
      <w:snapToGrid w:val="0"/>
      <w:jc w:val="left"/>
    </w:pPr>
    <w:rPr>
      <w:sz w:val="18"/>
      <w:szCs w:val="18"/>
    </w:rPr>
  </w:style>
  <w:style w:type="paragraph" w:styleId="11">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next w:val="1"/>
    <w:semiHidden/>
    <w:qFormat/>
    <w:uiPriority w:val="0"/>
    <w:pPr>
      <w:jc w:val="both"/>
    </w:pPr>
    <w:rPr>
      <w:rFonts w:ascii="宋体" w:hAnsi="Times New Roman" w:eastAsia="宋体" w:cs="Times New Roman"/>
      <w:sz w:val="21"/>
      <w:lang w:val="en-US" w:eastAsia="zh-CN" w:bidi="ar-SA"/>
    </w:rPr>
  </w:style>
  <w:style w:type="paragraph" w:styleId="13">
    <w:name w:val="toc 2"/>
    <w:basedOn w:val="1"/>
    <w:next w:val="1"/>
    <w:semiHidden/>
    <w:unhideWhenUsed/>
    <w:qFormat/>
    <w:uiPriority w:val="39"/>
    <w:pPr>
      <w:ind w:left="420" w:leftChars="200"/>
    </w:pPr>
  </w:style>
  <w:style w:type="paragraph" w:styleId="14">
    <w:name w:val="Normal (Web)"/>
    <w:basedOn w:val="1"/>
    <w:unhideWhenUsed/>
    <w:qFormat/>
    <w:uiPriority w:val="99"/>
    <w:pPr>
      <w:spacing w:beforeAutospacing="1" w:afterAutospacing="1"/>
      <w:jc w:val="left"/>
    </w:pPr>
    <w:rPr>
      <w:rFonts w:cs="Times New Roman"/>
      <w:kern w:val="0"/>
      <w:sz w:val="24"/>
    </w:rPr>
  </w:style>
  <w:style w:type="paragraph" w:styleId="15">
    <w:name w:val="Body Text First Indent"/>
    <w:basedOn w:val="1"/>
    <w:next w:val="1"/>
    <w:qFormat/>
    <w:uiPriority w:val="0"/>
    <w:pPr>
      <w:ind w:firstLine="420" w:firstLineChars="100"/>
    </w:p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semiHidden/>
    <w:qFormat/>
    <w:uiPriority w:val="0"/>
    <w:rPr>
      <w:rFonts w:ascii="Times New Roman" w:hAnsi="Times New Roman" w:eastAsia="宋体"/>
      <w:sz w:val="18"/>
    </w:rPr>
  </w:style>
  <w:style w:type="character" w:styleId="20">
    <w:name w:val="Hyperlink"/>
    <w:semiHidden/>
    <w:qFormat/>
    <w:uiPriority w:val="0"/>
    <w:rPr>
      <w:rFonts w:ascii="Times New Roman" w:hAnsi="Times New Roman" w:eastAsia="宋体"/>
      <w:color w:val="auto"/>
      <w:spacing w:val="0"/>
      <w:w w:val="100"/>
      <w:position w:val="0"/>
      <w:sz w:val="21"/>
      <w:u w:val="none"/>
      <w:vertAlign w:val="baseline"/>
    </w:rPr>
  </w:style>
  <w:style w:type="character" w:styleId="21">
    <w:name w:val="annotation reference"/>
    <w:basedOn w:val="18"/>
    <w:semiHidden/>
    <w:unhideWhenUsed/>
    <w:qFormat/>
    <w:uiPriority w:val="99"/>
    <w:rPr>
      <w:sz w:val="21"/>
      <w:szCs w:val="21"/>
    </w:rPr>
  </w:style>
  <w:style w:type="character" w:customStyle="1" w:styleId="22">
    <w:name w:val="页眉 字符"/>
    <w:basedOn w:val="18"/>
    <w:link w:val="11"/>
    <w:qFormat/>
    <w:uiPriority w:val="99"/>
    <w:rPr>
      <w:sz w:val="18"/>
      <w:szCs w:val="18"/>
    </w:rPr>
  </w:style>
  <w:style w:type="character" w:customStyle="1" w:styleId="23">
    <w:name w:val="页脚 字符"/>
    <w:basedOn w:val="18"/>
    <w:link w:val="10"/>
    <w:qFormat/>
    <w:uiPriority w:val="99"/>
    <w:rPr>
      <w:sz w:val="18"/>
      <w:szCs w:val="18"/>
    </w:rPr>
  </w:style>
  <w:style w:type="character" w:customStyle="1" w:styleId="24">
    <w:name w:val="批注框文本 字符"/>
    <w:basedOn w:val="18"/>
    <w:link w:val="9"/>
    <w:semiHidden/>
    <w:qFormat/>
    <w:uiPriority w:val="99"/>
    <w:rPr>
      <w:sz w:val="18"/>
      <w:szCs w:val="18"/>
    </w:rPr>
  </w:style>
  <w:style w:type="paragraph" w:customStyle="1" w:styleId="25">
    <w:name w:val="段"/>
    <w:qFormat/>
    <w:uiPriority w:val="0"/>
    <w:pPr>
      <w:autoSpaceDE w:val="0"/>
      <w:autoSpaceDN w:val="0"/>
      <w:jc w:val="both"/>
    </w:pPr>
    <w:rPr>
      <w:rFonts w:ascii="宋体" w:hAnsi="宋体" w:eastAsia="宋体" w:cs="Times New Roman"/>
      <w:sz w:val="21"/>
      <w:lang w:val="en-US" w:eastAsia="zh-CN" w:bidi="ar-SA"/>
    </w:rPr>
  </w:style>
  <w:style w:type="paragraph" w:customStyle="1" w:styleId="26">
    <w:name w:val="标准文件_一级条标题"/>
    <w:basedOn w:val="27"/>
    <w:next w:val="1"/>
    <w:qFormat/>
    <w:uiPriority w:val="0"/>
    <w:pPr>
      <w:spacing w:beforeLines="50" w:afterLines="50"/>
      <w:outlineLvl w:val="1"/>
    </w:pPr>
  </w:style>
  <w:style w:type="paragraph" w:customStyle="1" w:styleId="27">
    <w:name w:val="标准文件_章标题"/>
    <w:next w:val="1"/>
    <w:qFormat/>
    <w:uiPriority w:val="0"/>
    <w:pPr>
      <w:spacing w:beforeLines="100" w:afterLines="100"/>
      <w:jc w:val="both"/>
      <w:outlineLvl w:val="0"/>
    </w:pPr>
    <w:rPr>
      <w:rFonts w:ascii="黑体" w:hAnsi="Times New Roman" w:eastAsia="黑体" w:cs="Times New Roman"/>
      <w:sz w:val="21"/>
      <w:lang w:val="en-US" w:eastAsia="zh-CN" w:bidi="ar-SA"/>
    </w:rPr>
  </w:style>
  <w:style w:type="paragraph" w:customStyle="1" w:styleId="28">
    <w:name w:val="标准文件_段"/>
    <w:qFormat/>
    <w:uiPriority w:val="0"/>
    <w:pPr>
      <w:autoSpaceDE w:val="0"/>
      <w:autoSpaceDN w:val="0"/>
      <w:ind w:firstLine="200" w:firstLineChars="200"/>
      <w:jc w:val="both"/>
    </w:pPr>
    <w:rPr>
      <w:rFonts w:ascii="宋体" w:hAnsi="Times New Roman" w:eastAsia="宋体" w:cs="Times New Roman"/>
      <w:kern w:val="2"/>
      <w:sz w:val="21"/>
      <w:szCs w:val="22"/>
      <w:lang w:val="en-US" w:eastAsia="zh-CN" w:bidi="ar-SA"/>
    </w:rPr>
  </w:style>
  <w:style w:type="paragraph" w:customStyle="1" w:styleId="29">
    <w:name w:val="标准文件_二级无标题"/>
    <w:basedOn w:val="30"/>
    <w:qFormat/>
    <w:uiPriority w:val="0"/>
    <w:pPr>
      <w:numPr>
        <w:ilvl w:val="3"/>
        <w:numId w:val="2"/>
      </w:numPr>
      <w:spacing w:beforeLines="0" w:afterLines="0"/>
      <w:ind w:left="0"/>
      <w:outlineLvl w:val="9"/>
    </w:pPr>
    <w:rPr>
      <w:rFonts w:ascii="宋体" w:eastAsia="宋体"/>
    </w:rPr>
  </w:style>
  <w:style w:type="paragraph" w:customStyle="1" w:styleId="30">
    <w:name w:val="标准文件_二级条标题"/>
    <w:next w:val="1"/>
    <w:qFormat/>
    <w:uiPriority w:val="0"/>
    <w:pPr>
      <w:widowControl w:val="0"/>
      <w:spacing w:beforeLines="50" w:afterLines="50"/>
      <w:ind w:left="852"/>
      <w:jc w:val="both"/>
      <w:outlineLvl w:val="2"/>
    </w:pPr>
    <w:rPr>
      <w:rFonts w:ascii="黑体" w:hAnsi="Times New Roman" w:eastAsia="黑体" w:cs="Times New Roman"/>
      <w:sz w:val="21"/>
      <w:lang w:val="en-US" w:eastAsia="zh-CN" w:bidi="ar-SA"/>
    </w:rPr>
  </w:style>
  <w:style w:type="paragraph" w:customStyle="1" w:styleId="31">
    <w:name w:val="二级条标题"/>
    <w:basedOn w:val="32"/>
    <w:next w:val="25"/>
    <w:qFormat/>
    <w:uiPriority w:val="0"/>
    <w:pPr>
      <w:numPr>
        <w:ilvl w:val="3"/>
      </w:numPr>
      <w:outlineLvl w:val="3"/>
    </w:pPr>
  </w:style>
  <w:style w:type="paragraph" w:customStyle="1" w:styleId="32">
    <w:name w:val="一级条标题"/>
    <w:basedOn w:val="33"/>
    <w:next w:val="25"/>
    <w:qFormat/>
    <w:uiPriority w:val="0"/>
    <w:pPr>
      <w:numPr>
        <w:ilvl w:val="2"/>
      </w:numPr>
      <w:spacing w:before="0" w:beforeLines="0" w:after="0" w:afterLines="0"/>
      <w:outlineLvl w:val="2"/>
    </w:pPr>
  </w:style>
  <w:style w:type="paragraph" w:customStyle="1" w:styleId="33">
    <w:name w:val="章标题"/>
    <w:next w:val="25"/>
    <w:qFormat/>
    <w:uiPriority w:val="0"/>
    <w:pPr>
      <w:numPr>
        <w:ilvl w:val="1"/>
        <w:numId w:val="3"/>
      </w:numPr>
      <w:spacing w:before="50" w:beforeLines="50" w:after="50" w:afterLines="50"/>
      <w:jc w:val="both"/>
      <w:outlineLvl w:val="1"/>
    </w:pPr>
    <w:rPr>
      <w:rFonts w:ascii="黑体" w:hAnsi="Times New Roman" w:eastAsia="黑体" w:cs="Times New Roman"/>
      <w:sz w:val="21"/>
      <w:lang w:val="en-US" w:eastAsia="zh-CN" w:bidi="ar-SA"/>
    </w:rPr>
  </w:style>
  <w:style w:type="paragraph" w:customStyle="1" w:styleId="34">
    <w:name w:val="三级条标题"/>
    <w:basedOn w:val="31"/>
    <w:next w:val="25"/>
    <w:qFormat/>
    <w:uiPriority w:val="0"/>
    <w:pPr>
      <w:numPr>
        <w:ilvl w:val="4"/>
      </w:numPr>
      <w:outlineLvl w:val="4"/>
    </w:pPr>
  </w:style>
  <w:style w:type="paragraph" w:customStyle="1" w:styleId="35">
    <w:name w:val="标准文件_术语条一"/>
    <w:basedOn w:val="1"/>
    <w:next w:val="1"/>
    <w:qFormat/>
    <w:uiPriority w:val="0"/>
    <w:pPr>
      <w:widowControl/>
      <w:tabs>
        <w:tab w:val="left" w:pos="360"/>
      </w:tabs>
    </w:pPr>
    <w:rPr>
      <w:rFonts w:ascii="宋体" w:hAnsi="Times New Roman" w:eastAsia="宋体" w:cs="Times New Roman"/>
      <w:kern w:val="0"/>
      <w:szCs w:val="20"/>
    </w:rPr>
  </w:style>
  <w:style w:type="paragraph" w:customStyle="1" w:styleId="36">
    <w:name w:val="附录标识"/>
    <w:basedOn w:val="37"/>
    <w:qFormat/>
    <w:uiPriority w:val="0"/>
    <w:pPr>
      <w:numPr>
        <w:ilvl w:val="0"/>
        <w:numId w:val="4"/>
      </w:numPr>
      <w:tabs>
        <w:tab w:val="left" w:pos="6405"/>
      </w:tabs>
      <w:spacing w:after="200"/>
    </w:pPr>
    <w:rPr>
      <w:sz w:val="21"/>
    </w:rPr>
  </w:style>
  <w:style w:type="paragraph" w:customStyle="1" w:styleId="37">
    <w:name w:val="前言、引言标题"/>
    <w:next w:val="1"/>
    <w:qFormat/>
    <w:uiPriority w:val="0"/>
    <w:pPr>
      <w:numPr>
        <w:ilvl w:val="0"/>
        <w:numId w:val="3"/>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38">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39">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40">
    <w:name w:val="Table Paragraph"/>
    <w:basedOn w:val="1"/>
    <w:qFormat/>
    <w:uiPriority w:val="1"/>
    <w:pPr>
      <w:ind w:left="106"/>
    </w:pPr>
    <w:rPr>
      <w:rFonts w:ascii="宋体" w:hAnsi="宋体" w:eastAsia="宋体" w:cs="宋体"/>
      <w:lang w:val="zh-CN" w:bidi="zh-CN"/>
    </w:rPr>
  </w:style>
  <w:style w:type="paragraph" w:customStyle="1" w:styleId="41">
    <w:name w:val="WPSOffice手动目录 1"/>
    <w:qFormat/>
    <w:uiPriority w:val="0"/>
    <w:pPr>
      <w:ind w:leftChars="0"/>
    </w:pPr>
    <w:rPr>
      <w:rFonts w:ascii="Times New Roman" w:hAnsi="Times New Roman" w:eastAsia="宋体" w:cs="Times New Roman"/>
      <w:sz w:val="20"/>
      <w:szCs w:val="20"/>
    </w:rPr>
  </w:style>
  <w:style w:type="paragraph" w:customStyle="1" w:styleId="42">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DoubleOX</Company>
  <Pages>11</Pages>
  <Words>5553</Words>
  <Characters>5937</Characters>
  <Lines>58</Lines>
  <Paragraphs>16</Paragraphs>
  <TotalTime>0</TotalTime>
  <ScaleCrop>false</ScaleCrop>
  <LinksUpToDate>false</LinksUpToDate>
  <CharactersWithSpaces>6012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2023-11-01T14:52:00Z</dcterms:created>
  <dc:creator>王星朗</dc:creator>
  <cp:lastModifiedBy>孙鹏</cp:lastModifiedBy>
  <cp:lastPrinted>2022-04-07T17:01:00Z</cp:lastPrinted>
  <dcterms:modified xsi:type="dcterms:W3CDTF">2025-04-01T13:22:52Z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2CB5306520B746588E5B42EC0671DBF5_13</vt:lpwstr>
  </property>
  <property fmtid="{D5CDD505-2E9C-101B-9397-08002B2CF9AE}" pid="4" name="KSOTemplateDocerSaveRecord">
    <vt:lpwstr>eyJoZGlkIjoiMWJiZTZlODY3NWYyYjliZTI3YTFhYmE0ZmI2NzE1NGUiLCJ1c2VySWQiOiIzNDEwMzg3MTYifQ==</vt:lpwstr>
  </property>
</Properties>
</file>