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7B689">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海南省地方标准编制说明</w:t>
      </w:r>
    </w:p>
    <w:p w14:paraId="172060BA">
      <w:pPr>
        <w:keepNext w:val="0"/>
        <w:keepLines w:val="0"/>
        <w:pageBreakBefore w:val="0"/>
        <w:widowControl w:val="0"/>
        <w:kinsoku/>
        <w:wordWrap/>
        <w:overflowPunct/>
        <w:topLinePunct w:val="0"/>
        <w:autoSpaceDE/>
        <w:autoSpaceDN/>
        <w:bidi w:val="0"/>
        <w:adjustRightInd/>
        <w:snapToGrid/>
        <w:spacing w:line="500" w:lineRule="exact"/>
        <w:textAlignment w:val="auto"/>
        <w:outlineLvl w:val="0"/>
        <w:rPr>
          <w:rFonts w:hint="eastAsia" w:asciiTheme="minorEastAsia" w:hAnsiTheme="minorEastAsia" w:eastAsiaTheme="minorEastAsia" w:cstheme="minorEastAsia"/>
          <w:b/>
          <w:bCs/>
          <w:sz w:val="24"/>
          <w:szCs w:val="24"/>
        </w:rPr>
      </w:pPr>
    </w:p>
    <w:p w14:paraId="54624ACA">
      <w:pPr>
        <w:keepNext w:val="0"/>
        <w:keepLines w:val="0"/>
        <w:pageBreakBefore w:val="0"/>
        <w:widowControl w:val="0"/>
        <w:kinsoku/>
        <w:wordWrap/>
        <w:overflowPunct/>
        <w:topLinePunct w:val="0"/>
        <w:autoSpaceDE/>
        <w:autoSpaceDN/>
        <w:bidi w:val="0"/>
        <w:adjustRightInd/>
        <w:snapToGrid/>
        <w:spacing w:line="500" w:lineRule="exact"/>
        <w:textAlignment w:val="auto"/>
        <w:outlineLvl w:val="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一、项目简况</w:t>
      </w:r>
    </w:p>
    <w:p w14:paraId="47570AED">
      <w:pPr>
        <w:keepNext w:val="0"/>
        <w:keepLines w:val="0"/>
        <w:pageBreakBefore w:val="0"/>
        <w:widowControl w:val="0"/>
        <w:numPr>
          <w:ilvl w:val="0"/>
          <w:numId w:val="2"/>
        </w:numPr>
        <w:kinsoku/>
        <w:wordWrap/>
        <w:overflowPunct/>
        <w:topLinePunct w:val="0"/>
        <w:autoSpaceDE/>
        <w:autoSpaceDN/>
        <w:bidi w:val="0"/>
        <w:adjustRightInd/>
        <w:snapToGrid/>
        <w:spacing w:line="5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标准名称：</w:t>
      </w:r>
      <w:r>
        <w:rPr>
          <w:rFonts w:hint="eastAsia" w:asciiTheme="minorEastAsia" w:hAnsiTheme="minorEastAsia" w:eastAsiaTheme="minorEastAsia" w:cstheme="minorEastAsia"/>
          <w:sz w:val="24"/>
          <w:szCs w:val="24"/>
          <w:lang w:eastAsia="zh-CN"/>
        </w:rPr>
        <w:t>地震预警信息发布</w:t>
      </w:r>
      <w:r>
        <w:rPr>
          <w:rFonts w:hint="eastAsia" w:asciiTheme="minorEastAsia" w:hAnsiTheme="minorEastAsia" w:cstheme="minorEastAsia"/>
          <w:sz w:val="24"/>
          <w:szCs w:val="24"/>
          <w:lang w:eastAsia="zh-CN"/>
        </w:rPr>
        <w:t>。</w:t>
      </w:r>
    </w:p>
    <w:p w14:paraId="0D0EA76A">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任务来源（项目计划号）：《海南省市场监督管理局 关于下达海南省2024年第</w:t>
      </w: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批地方标准制修订项目计划的通知》项目计划号：</w:t>
      </w:r>
      <w:r>
        <w:rPr>
          <w:rFonts w:hint="eastAsia" w:asciiTheme="minorEastAsia" w:hAnsiTheme="minorEastAsia" w:eastAsiaTheme="minorEastAsia" w:cstheme="minorEastAsia"/>
          <w:sz w:val="24"/>
          <w:szCs w:val="24"/>
          <w:lang w:val="en-US" w:eastAsia="zh-CN"/>
        </w:rPr>
        <w:t>2024-Z060</w:t>
      </w:r>
      <w:r>
        <w:rPr>
          <w:rFonts w:hint="eastAsia" w:asciiTheme="minorEastAsia" w:hAnsiTheme="minorEastAsia" w:cstheme="minorEastAsia"/>
          <w:sz w:val="24"/>
          <w:szCs w:val="24"/>
          <w:lang w:val="en-US" w:eastAsia="zh-CN"/>
        </w:rPr>
        <w:t>。</w:t>
      </w:r>
    </w:p>
    <w:p w14:paraId="5B4730F7">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rPr>
        <w:t>起草单位：</w:t>
      </w:r>
      <w:r>
        <w:rPr>
          <w:rFonts w:hint="eastAsia" w:asciiTheme="minorEastAsia" w:hAnsiTheme="minorEastAsia" w:eastAsiaTheme="minorEastAsia" w:cstheme="minorEastAsia"/>
          <w:sz w:val="24"/>
          <w:szCs w:val="24"/>
          <w:lang w:val="en-US" w:eastAsia="zh-CN"/>
        </w:rPr>
        <w:t>海南省地震局 海南地震台</w:t>
      </w:r>
      <w:r>
        <w:rPr>
          <w:rFonts w:hint="eastAsia" w:asciiTheme="minorEastAsia" w:hAnsiTheme="minorEastAsia" w:cstheme="minorEastAsia"/>
          <w:sz w:val="24"/>
          <w:szCs w:val="24"/>
          <w:lang w:val="en-US" w:eastAsia="zh-CN"/>
        </w:rPr>
        <w:t>。</w:t>
      </w:r>
    </w:p>
    <w:p w14:paraId="5DD01D94">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单位地址：</w:t>
      </w:r>
      <w:r>
        <w:rPr>
          <w:rFonts w:hint="eastAsia" w:asciiTheme="minorEastAsia" w:hAnsiTheme="minorEastAsia" w:eastAsiaTheme="minorEastAsia" w:cstheme="minorEastAsia"/>
          <w:i w:val="0"/>
          <w:iCs w:val="0"/>
          <w:caps w:val="0"/>
          <w:color w:val="000000"/>
          <w:spacing w:val="0"/>
          <w:sz w:val="24"/>
          <w:szCs w:val="24"/>
          <w:shd w:val="clear" w:fill="FFFFFF"/>
        </w:rPr>
        <w:t>海南省海口市美苑路13号</w:t>
      </w:r>
      <w:r>
        <w:rPr>
          <w:rFonts w:hint="eastAsia" w:asciiTheme="minorEastAsia" w:hAnsiTheme="minorEastAsia" w:cstheme="minorEastAsia"/>
          <w:i w:val="0"/>
          <w:iCs w:val="0"/>
          <w:caps w:val="0"/>
          <w:color w:val="000000"/>
          <w:spacing w:val="0"/>
          <w:sz w:val="24"/>
          <w:szCs w:val="24"/>
          <w:shd w:val="clear" w:fill="FFFFFF"/>
          <w:lang w:eastAsia="zh-CN"/>
        </w:rPr>
        <w:t>。</w:t>
      </w:r>
    </w:p>
    <w:p w14:paraId="330AF35A">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参加起草单位：</w:t>
      </w:r>
      <w:r>
        <w:rPr>
          <w:rFonts w:hint="eastAsia" w:asciiTheme="minorEastAsia" w:hAnsiTheme="minorEastAsia" w:eastAsiaTheme="minorEastAsia" w:cstheme="minorEastAsia"/>
          <w:sz w:val="24"/>
          <w:szCs w:val="24"/>
          <w:lang w:val="en-US" w:eastAsia="zh-CN"/>
        </w:rPr>
        <w:t>无。</w:t>
      </w:r>
    </w:p>
    <w:p w14:paraId="34C90A5F">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（六）标准起草人：</w:t>
      </w:r>
    </w:p>
    <w:p w14:paraId="79422F0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表 1 标准起草人</w:t>
      </w:r>
    </w:p>
    <w:tbl>
      <w:tblPr>
        <w:tblStyle w:val="7"/>
        <w:tblW w:w="55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947"/>
        <w:gridCol w:w="1560"/>
        <w:gridCol w:w="858"/>
        <w:gridCol w:w="1481"/>
        <w:gridCol w:w="2022"/>
        <w:gridCol w:w="1757"/>
      </w:tblGrid>
      <w:tr w14:paraId="5BE8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96" w:type="dxa"/>
            <w:vAlign w:val="center"/>
          </w:tcPr>
          <w:p w14:paraId="236EE61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b/>
                <w:bCs/>
                <w:sz w:val="21"/>
                <w:szCs w:val="21"/>
                <w:vertAlign w:val="baseline"/>
              </w:rPr>
            </w:pPr>
            <w:r>
              <w:rPr>
                <w:rFonts w:hint="eastAsia" w:ascii="Times New Roman" w:hAnsi="Times New Roman" w:eastAsiaTheme="minorEastAsia" w:cstheme="minorEastAsia"/>
                <w:b/>
                <w:bCs/>
                <w:sz w:val="21"/>
                <w:szCs w:val="21"/>
              </w:rPr>
              <w:t>序号</w:t>
            </w:r>
          </w:p>
        </w:tc>
        <w:tc>
          <w:tcPr>
            <w:tcW w:w="947" w:type="dxa"/>
            <w:vAlign w:val="center"/>
          </w:tcPr>
          <w:p w14:paraId="36AE5A5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b/>
                <w:bCs/>
                <w:sz w:val="21"/>
                <w:szCs w:val="21"/>
                <w:vertAlign w:val="baseline"/>
              </w:rPr>
            </w:pPr>
            <w:r>
              <w:rPr>
                <w:rFonts w:hint="eastAsia" w:ascii="Times New Roman" w:hAnsi="Times New Roman" w:eastAsiaTheme="minorEastAsia" w:cstheme="minorEastAsia"/>
                <w:b/>
                <w:bCs/>
                <w:sz w:val="21"/>
                <w:szCs w:val="21"/>
              </w:rPr>
              <w:t>姓名</w:t>
            </w:r>
          </w:p>
        </w:tc>
        <w:tc>
          <w:tcPr>
            <w:tcW w:w="1560" w:type="dxa"/>
            <w:vAlign w:val="center"/>
          </w:tcPr>
          <w:p w14:paraId="0EE7B3F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b/>
                <w:bCs/>
                <w:sz w:val="21"/>
                <w:szCs w:val="21"/>
                <w:vertAlign w:val="baseline"/>
              </w:rPr>
            </w:pPr>
            <w:r>
              <w:rPr>
                <w:rFonts w:hint="eastAsia" w:ascii="Times New Roman" w:hAnsi="Times New Roman" w:eastAsiaTheme="minorEastAsia" w:cstheme="minorEastAsia"/>
                <w:b/>
                <w:bCs/>
                <w:sz w:val="21"/>
                <w:szCs w:val="21"/>
              </w:rPr>
              <w:t>单位</w:t>
            </w:r>
          </w:p>
        </w:tc>
        <w:tc>
          <w:tcPr>
            <w:tcW w:w="858" w:type="dxa"/>
            <w:vAlign w:val="center"/>
          </w:tcPr>
          <w:p w14:paraId="16BACF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b/>
                <w:bCs/>
                <w:sz w:val="21"/>
                <w:szCs w:val="21"/>
                <w:vertAlign w:val="baseline"/>
              </w:rPr>
            </w:pPr>
            <w:r>
              <w:rPr>
                <w:rFonts w:hint="eastAsia" w:ascii="Times New Roman" w:hAnsi="Times New Roman" w:eastAsiaTheme="minorEastAsia" w:cstheme="minorEastAsia"/>
                <w:b/>
                <w:bCs/>
                <w:sz w:val="21"/>
                <w:szCs w:val="21"/>
              </w:rPr>
              <w:t>职务</w:t>
            </w:r>
          </w:p>
        </w:tc>
        <w:tc>
          <w:tcPr>
            <w:tcW w:w="1481" w:type="dxa"/>
            <w:vAlign w:val="center"/>
          </w:tcPr>
          <w:p w14:paraId="4EAEED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b/>
                <w:bCs/>
                <w:sz w:val="21"/>
                <w:szCs w:val="21"/>
                <w:vertAlign w:val="baseline"/>
              </w:rPr>
            </w:pPr>
            <w:r>
              <w:rPr>
                <w:rFonts w:hint="eastAsia" w:ascii="Times New Roman" w:hAnsi="Times New Roman" w:eastAsiaTheme="minorEastAsia" w:cstheme="minorEastAsia"/>
                <w:b/>
                <w:bCs/>
                <w:sz w:val="21"/>
                <w:szCs w:val="21"/>
              </w:rPr>
              <w:t>职称</w:t>
            </w:r>
          </w:p>
        </w:tc>
        <w:tc>
          <w:tcPr>
            <w:tcW w:w="2022" w:type="dxa"/>
            <w:vAlign w:val="center"/>
          </w:tcPr>
          <w:p w14:paraId="775D43B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b/>
                <w:bCs/>
                <w:sz w:val="21"/>
                <w:szCs w:val="21"/>
                <w:vertAlign w:val="baseline"/>
              </w:rPr>
            </w:pPr>
            <w:r>
              <w:rPr>
                <w:rFonts w:hint="eastAsia" w:ascii="Times New Roman" w:hAnsi="Times New Roman" w:eastAsiaTheme="minorEastAsia" w:cstheme="minorEastAsia"/>
                <w:b/>
                <w:bCs/>
                <w:sz w:val="21"/>
                <w:szCs w:val="21"/>
              </w:rPr>
              <w:t>任务分工</w:t>
            </w:r>
          </w:p>
        </w:tc>
        <w:tc>
          <w:tcPr>
            <w:tcW w:w="1757" w:type="dxa"/>
            <w:vAlign w:val="center"/>
          </w:tcPr>
          <w:p w14:paraId="0ACA281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b/>
                <w:bCs/>
                <w:sz w:val="21"/>
                <w:szCs w:val="21"/>
              </w:rPr>
            </w:pPr>
            <w:r>
              <w:rPr>
                <w:rFonts w:hint="eastAsia" w:ascii="Times New Roman" w:hAnsi="Times New Roman" w:eastAsiaTheme="minorEastAsia" w:cstheme="minorEastAsia"/>
                <w:b/>
                <w:bCs/>
                <w:sz w:val="21"/>
                <w:szCs w:val="21"/>
              </w:rPr>
              <w:t>联系方式</w:t>
            </w:r>
          </w:p>
        </w:tc>
      </w:tr>
      <w:tr w14:paraId="285F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96" w:type="dxa"/>
            <w:vAlign w:val="center"/>
          </w:tcPr>
          <w:p w14:paraId="602BAA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1</w:t>
            </w:r>
          </w:p>
        </w:tc>
        <w:tc>
          <w:tcPr>
            <w:tcW w:w="947" w:type="dxa"/>
            <w:vAlign w:val="center"/>
          </w:tcPr>
          <w:p w14:paraId="096790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eastAsiaTheme="minorEastAsia" w:cstheme="minorEastAsia"/>
                <w:sz w:val="21"/>
                <w:szCs w:val="21"/>
                <w:lang w:val="en-US" w:eastAsia="zh-CN"/>
              </w:rPr>
              <w:t>曾维顺</w:t>
            </w:r>
          </w:p>
        </w:tc>
        <w:tc>
          <w:tcPr>
            <w:tcW w:w="1560" w:type="dxa"/>
            <w:vAlign w:val="center"/>
          </w:tcPr>
          <w:p w14:paraId="3F4960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lang w:val="en-US" w:eastAsia="zh-CN"/>
              </w:rPr>
            </w:pPr>
            <w:r>
              <w:rPr>
                <w:rFonts w:hint="eastAsia" w:ascii="Times New Roman" w:hAnsi="Times New Roman" w:eastAsiaTheme="minorEastAsia" w:cstheme="minorEastAsia"/>
                <w:sz w:val="21"/>
                <w:szCs w:val="21"/>
                <w:lang w:val="en-US" w:eastAsia="zh-CN"/>
              </w:rPr>
              <w:t>海南省地震局</w:t>
            </w:r>
          </w:p>
        </w:tc>
        <w:tc>
          <w:tcPr>
            <w:tcW w:w="858" w:type="dxa"/>
            <w:vAlign w:val="center"/>
          </w:tcPr>
          <w:p w14:paraId="3EB70C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cstheme="minorEastAsia"/>
                <w:sz w:val="21"/>
                <w:szCs w:val="21"/>
                <w:vertAlign w:val="baseline"/>
                <w:lang w:val="en-US" w:eastAsia="zh-CN"/>
              </w:rPr>
            </w:pPr>
            <w:r>
              <w:rPr>
                <w:rFonts w:hint="eastAsia" w:ascii="Times New Roman" w:hAnsi="Times New Roman" w:cstheme="minorEastAsia"/>
                <w:sz w:val="21"/>
                <w:szCs w:val="21"/>
                <w:vertAlign w:val="baseline"/>
                <w:lang w:val="en-US" w:eastAsia="zh-CN"/>
              </w:rPr>
              <w:t>台长</w:t>
            </w:r>
          </w:p>
          <w:p w14:paraId="0672D21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Theme="minorEastAsia" w:cstheme="minorEastAsia"/>
                <w:sz w:val="21"/>
                <w:szCs w:val="21"/>
                <w:vertAlign w:val="baseline"/>
                <w:lang w:val="en-US" w:eastAsia="zh-CN"/>
              </w:rPr>
            </w:pPr>
            <w:r>
              <w:rPr>
                <w:rFonts w:hint="eastAsia" w:ascii="Times New Roman" w:hAnsi="Times New Roman" w:cstheme="minorEastAsia"/>
                <w:sz w:val="21"/>
                <w:szCs w:val="21"/>
                <w:vertAlign w:val="baseline"/>
                <w:lang w:val="en-US" w:eastAsia="zh-CN"/>
              </w:rPr>
              <w:t>助理</w:t>
            </w:r>
          </w:p>
        </w:tc>
        <w:tc>
          <w:tcPr>
            <w:tcW w:w="1481" w:type="dxa"/>
            <w:vAlign w:val="center"/>
          </w:tcPr>
          <w:p w14:paraId="2FFDB20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eastAsiaTheme="minorEastAsia" w:cstheme="minorEastAsia"/>
                <w:sz w:val="21"/>
                <w:szCs w:val="21"/>
                <w:vertAlign w:val="baseline"/>
                <w:lang w:val="en-US" w:eastAsia="zh-CN"/>
              </w:rPr>
              <w:t>高级工程师</w:t>
            </w:r>
          </w:p>
        </w:tc>
        <w:tc>
          <w:tcPr>
            <w:tcW w:w="2022" w:type="dxa"/>
            <w:vAlign w:val="center"/>
          </w:tcPr>
          <w:p w14:paraId="66301F9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eastAsiaTheme="minorEastAsia" w:cstheme="minorEastAsia"/>
                <w:sz w:val="21"/>
                <w:szCs w:val="21"/>
                <w:vertAlign w:val="baseline"/>
              </w:rPr>
              <w:t>标准起草、修改和撰写编制说明</w:t>
            </w:r>
          </w:p>
        </w:tc>
        <w:tc>
          <w:tcPr>
            <w:tcW w:w="1757" w:type="dxa"/>
            <w:shd w:val="clear" w:color="auto" w:fill="auto"/>
            <w:vAlign w:val="center"/>
          </w:tcPr>
          <w:p w14:paraId="352AA85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18689896188</w:t>
            </w:r>
          </w:p>
        </w:tc>
      </w:tr>
      <w:tr w14:paraId="57AB3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96" w:type="dxa"/>
            <w:vAlign w:val="center"/>
          </w:tcPr>
          <w:p w14:paraId="3D5A07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2</w:t>
            </w:r>
          </w:p>
        </w:tc>
        <w:tc>
          <w:tcPr>
            <w:tcW w:w="947" w:type="dxa"/>
            <w:vAlign w:val="center"/>
          </w:tcPr>
          <w:p w14:paraId="695043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eastAsiaTheme="minorEastAsia" w:cstheme="minorEastAsia"/>
                <w:sz w:val="21"/>
                <w:szCs w:val="21"/>
                <w:lang w:val="en-US" w:eastAsia="zh-CN"/>
              </w:rPr>
              <w:t>林冰</w:t>
            </w:r>
          </w:p>
        </w:tc>
        <w:tc>
          <w:tcPr>
            <w:tcW w:w="1560" w:type="dxa"/>
            <w:vAlign w:val="center"/>
          </w:tcPr>
          <w:p w14:paraId="44BA55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lang w:val="en-US" w:eastAsia="zh-CN"/>
              </w:rPr>
            </w:pPr>
            <w:r>
              <w:rPr>
                <w:rFonts w:hint="eastAsia" w:ascii="Times New Roman" w:hAnsi="Times New Roman" w:eastAsiaTheme="minorEastAsia" w:cstheme="minorEastAsia"/>
                <w:sz w:val="21"/>
                <w:szCs w:val="21"/>
                <w:lang w:val="en-US" w:eastAsia="zh-CN"/>
              </w:rPr>
              <w:t>海南省地震局</w:t>
            </w:r>
          </w:p>
        </w:tc>
        <w:tc>
          <w:tcPr>
            <w:tcW w:w="858" w:type="dxa"/>
            <w:vAlign w:val="center"/>
          </w:tcPr>
          <w:p w14:paraId="0418C4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w:t>
            </w:r>
          </w:p>
        </w:tc>
        <w:tc>
          <w:tcPr>
            <w:tcW w:w="1481" w:type="dxa"/>
            <w:vAlign w:val="center"/>
          </w:tcPr>
          <w:p w14:paraId="582F7EA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工程师</w:t>
            </w:r>
          </w:p>
        </w:tc>
        <w:tc>
          <w:tcPr>
            <w:tcW w:w="2022" w:type="dxa"/>
            <w:vAlign w:val="center"/>
          </w:tcPr>
          <w:p w14:paraId="39410B5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eastAsiaTheme="minorEastAsia" w:cstheme="minorEastAsia"/>
                <w:sz w:val="21"/>
                <w:szCs w:val="21"/>
                <w:vertAlign w:val="baseline"/>
              </w:rPr>
              <w:t>标准起草、修改和撰写编制说明</w:t>
            </w:r>
          </w:p>
        </w:tc>
        <w:tc>
          <w:tcPr>
            <w:tcW w:w="1757" w:type="dxa"/>
            <w:vAlign w:val="center"/>
          </w:tcPr>
          <w:p w14:paraId="60CAE8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Theme="minorEastAsia" w:cstheme="minorEastAsia"/>
                <w:sz w:val="21"/>
                <w:szCs w:val="21"/>
                <w:vertAlign w:val="baseline"/>
                <w:lang w:val="en-US" w:eastAsia="zh-CN"/>
              </w:rPr>
            </w:pPr>
            <w:r>
              <w:rPr>
                <w:rFonts w:hint="eastAsia" w:ascii="Times New Roman" w:hAnsi="Times New Roman" w:cstheme="minorEastAsia"/>
                <w:sz w:val="21"/>
                <w:szCs w:val="21"/>
                <w:vertAlign w:val="baseline"/>
                <w:lang w:val="en-US" w:eastAsia="zh-CN"/>
              </w:rPr>
              <w:t>17766921775</w:t>
            </w:r>
          </w:p>
        </w:tc>
      </w:tr>
      <w:tr w14:paraId="6AFC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96" w:type="dxa"/>
            <w:vAlign w:val="center"/>
          </w:tcPr>
          <w:p w14:paraId="07075CD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3</w:t>
            </w:r>
          </w:p>
        </w:tc>
        <w:tc>
          <w:tcPr>
            <w:tcW w:w="947" w:type="dxa"/>
            <w:vAlign w:val="center"/>
          </w:tcPr>
          <w:p w14:paraId="17CB545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eastAsiaTheme="minorEastAsia" w:cstheme="minorEastAsia"/>
                <w:sz w:val="21"/>
                <w:szCs w:val="21"/>
                <w:lang w:val="en-US" w:eastAsia="zh-CN"/>
              </w:rPr>
              <w:t>张涵</w:t>
            </w:r>
          </w:p>
        </w:tc>
        <w:tc>
          <w:tcPr>
            <w:tcW w:w="1560" w:type="dxa"/>
            <w:vAlign w:val="center"/>
          </w:tcPr>
          <w:p w14:paraId="364F71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lang w:val="en-US" w:eastAsia="zh-CN"/>
              </w:rPr>
            </w:pPr>
            <w:r>
              <w:rPr>
                <w:rFonts w:hint="eastAsia" w:ascii="Times New Roman" w:hAnsi="Times New Roman" w:eastAsiaTheme="minorEastAsia" w:cstheme="minorEastAsia"/>
                <w:sz w:val="21"/>
                <w:szCs w:val="21"/>
                <w:lang w:val="en-US" w:eastAsia="zh-CN"/>
              </w:rPr>
              <w:t>海南省地震局</w:t>
            </w:r>
          </w:p>
        </w:tc>
        <w:tc>
          <w:tcPr>
            <w:tcW w:w="858" w:type="dxa"/>
            <w:vAlign w:val="center"/>
          </w:tcPr>
          <w:p w14:paraId="55495A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w:t>
            </w:r>
          </w:p>
        </w:tc>
        <w:tc>
          <w:tcPr>
            <w:tcW w:w="1481" w:type="dxa"/>
            <w:vAlign w:val="center"/>
          </w:tcPr>
          <w:p w14:paraId="3227D9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eastAsiaTheme="minorEastAsia" w:cstheme="minorEastAsia"/>
                <w:sz w:val="21"/>
                <w:szCs w:val="21"/>
                <w:vertAlign w:val="baseline"/>
                <w:lang w:val="en-US" w:eastAsia="zh-CN"/>
              </w:rPr>
              <w:t>工程师</w:t>
            </w:r>
          </w:p>
        </w:tc>
        <w:tc>
          <w:tcPr>
            <w:tcW w:w="2022" w:type="dxa"/>
            <w:vAlign w:val="center"/>
          </w:tcPr>
          <w:p w14:paraId="6C096FE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eastAsiaTheme="minorEastAsia" w:cstheme="minorEastAsia"/>
                <w:sz w:val="21"/>
                <w:szCs w:val="21"/>
              </w:rPr>
              <w:t>标准起草</w:t>
            </w:r>
          </w:p>
        </w:tc>
        <w:tc>
          <w:tcPr>
            <w:tcW w:w="1757" w:type="dxa"/>
            <w:shd w:val="clear" w:color="auto" w:fill="auto"/>
            <w:vAlign w:val="center"/>
          </w:tcPr>
          <w:p w14:paraId="323B9629">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16689645193</w:t>
            </w:r>
          </w:p>
        </w:tc>
      </w:tr>
      <w:tr w14:paraId="79DC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96" w:type="dxa"/>
            <w:vAlign w:val="center"/>
          </w:tcPr>
          <w:p w14:paraId="5AADCC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4</w:t>
            </w:r>
          </w:p>
        </w:tc>
        <w:tc>
          <w:tcPr>
            <w:tcW w:w="947" w:type="dxa"/>
            <w:vAlign w:val="center"/>
          </w:tcPr>
          <w:p w14:paraId="51E922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eastAsiaTheme="minorEastAsia" w:cstheme="minorEastAsia"/>
                <w:sz w:val="21"/>
                <w:szCs w:val="21"/>
                <w:lang w:val="en-US" w:eastAsia="zh-CN"/>
              </w:rPr>
              <w:t>王隆</w:t>
            </w:r>
          </w:p>
        </w:tc>
        <w:tc>
          <w:tcPr>
            <w:tcW w:w="1560" w:type="dxa"/>
            <w:vAlign w:val="center"/>
          </w:tcPr>
          <w:p w14:paraId="10C823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lang w:val="en-US" w:eastAsia="zh-CN"/>
              </w:rPr>
            </w:pPr>
            <w:r>
              <w:rPr>
                <w:rFonts w:hint="eastAsia" w:ascii="Times New Roman" w:hAnsi="Times New Roman" w:eastAsiaTheme="minorEastAsia" w:cstheme="minorEastAsia"/>
                <w:sz w:val="21"/>
                <w:szCs w:val="21"/>
                <w:lang w:val="en-US" w:eastAsia="zh-CN"/>
              </w:rPr>
              <w:t>海南省地震局</w:t>
            </w:r>
          </w:p>
        </w:tc>
        <w:tc>
          <w:tcPr>
            <w:tcW w:w="858" w:type="dxa"/>
            <w:vAlign w:val="center"/>
          </w:tcPr>
          <w:p w14:paraId="2DAA31E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w:t>
            </w:r>
          </w:p>
        </w:tc>
        <w:tc>
          <w:tcPr>
            <w:tcW w:w="1481" w:type="dxa"/>
            <w:vAlign w:val="center"/>
          </w:tcPr>
          <w:p w14:paraId="7C85F9F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eastAsiaTheme="minorEastAsia" w:cstheme="minorEastAsia"/>
                <w:sz w:val="21"/>
                <w:szCs w:val="21"/>
                <w:vertAlign w:val="baseline"/>
                <w:lang w:val="en-US" w:eastAsia="zh-CN"/>
              </w:rPr>
              <w:t>助理工程师</w:t>
            </w:r>
          </w:p>
        </w:tc>
        <w:tc>
          <w:tcPr>
            <w:tcW w:w="2022" w:type="dxa"/>
            <w:vAlign w:val="center"/>
          </w:tcPr>
          <w:p w14:paraId="2919E3C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rPr>
              <w:t>标准</w:t>
            </w:r>
            <w:r>
              <w:rPr>
                <w:rFonts w:hint="eastAsia" w:ascii="Times New Roman" w:hAnsi="Times New Roman" w:eastAsiaTheme="minorEastAsia" w:cstheme="minorEastAsia"/>
                <w:sz w:val="21"/>
                <w:szCs w:val="21"/>
                <w:lang w:val="en-US" w:eastAsia="zh-CN"/>
              </w:rPr>
              <w:t>修改</w:t>
            </w:r>
            <w:r>
              <w:rPr>
                <w:rFonts w:hint="eastAsia" w:ascii="Times New Roman" w:hAnsi="Times New Roman" w:cstheme="minorEastAsia"/>
                <w:sz w:val="21"/>
                <w:szCs w:val="21"/>
                <w:lang w:val="en-US" w:eastAsia="zh-CN"/>
              </w:rPr>
              <w:t>、内容格式校核</w:t>
            </w:r>
          </w:p>
        </w:tc>
        <w:tc>
          <w:tcPr>
            <w:tcW w:w="1757" w:type="dxa"/>
            <w:shd w:val="clear" w:color="auto" w:fill="auto"/>
            <w:vAlign w:val="center"/>
          </w:tcPr>
          <w:p w14:paraId="1366D7EB">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15512603997</w:t>
            </w:r>
          </w:p>
        </w:tc>
      </w:tr>
      <w:tr w14:paraId="3835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96" w:type="dxa"/>
            <w:vAlign w:val="center"/>
          </w:tcPr>
          <w:p w14:paraId="4BDB8B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5</w:t>
            </w:r>
          </w:p>
        </w:tc>
        <w:tc>
          <w:tcPr>
            <w:tcW w:w="947" w:type="dxa"/>
            <w:vAlign w:val="center"/>
          </w:tcPr>
          <w:p w14:paraId="7CC3B4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eastAsiaTheme="minorEastAsia" w:cstheme="minorEastAsia"/>
                <w:sz w:val="21"/>
                <w:szCs w:val="21"/>
                <w:lang w:val="en-US" w:eastAsia="zh-CN"/>
              </w:rPr>
              <w:t>李健</w:t>
            </w:r>
          </w:p>
        </w:tc>
        <w:tc>
          <w:tcPr>
            <w:tcW w:w="1560" w:type="dxa"/>
            <w:vAlign w:val="center"/>
          </w:tcPr>
          <w:p w14:paraId="5C328B7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lang w:val="en-US" w:eastAsia="zh-CN"/>
              </w:rPr>
            </w:pPr>
            <w:r>
              <w:rPr>
                <w:rFonts w:hint="eastAsia" w:ascii="Times New Roman" w:hAnsi="Times New Roman" w:eastAsiaTheme="minorEastAsia" w:cstheme="minorEastAsia"/>
                <w:sz w:val="21"/>
                <w:szCs w:val="21"/>
                <w:lang w:val="en-US" w:eastAsia="zh-CN"/>
              </w:rPr>
              <w:t>海南省地震局</w:t>
            </w:r>
          </w:p>
        </w:tc>
        <w:tc>
          <w:tcPr>
            <w:tcW w:w="858" w:type="dxa"/>
            <w:vAlign w:val="center"/>
          </w:tcPr>
          <w:p w14:paraId="4ADD9D5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w:t>
            </w:r>
          </w:p>
        </w:tc>
        <w:tc>
          <w:tcPr>
            <w:tcW w:w="1481" w:type="dxa"/>
            <w:vAlign w:val="center"/>
          </w:tcPr>
          <w:p w14:paraId="2A81101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eastAsiaTheme="minorEastAsia" w:cstheme="minorEastAsia"/>
                <w:sz w:val="21"/>
                <w:szCs w:val="21"/>
                <w:vertAlign w:val="baseline"/>
                <w:lang w:val="en-US" w:eastAsia="zh-CN"/>
              </w:rPr>
              <w:t>工程师</w:t>
            </w:r>
          </w:p>
        </w:tc>
        <w:tc>
          <w:tcPr>
            <w:tcW w:w="2022" w:type="dxa"/>
            <w:vAlign w:val="center"/>
          </w:tcPr>
          <w:p w14:paraId="4D31A65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Theme="minorEastAsia" w:cstheme="minorEastAsia"/>
                <w:sz w:val="21"/>
                <w:szCs w:val="21"/>
                <w:vertAlign w:val="baseline"/>
                <w:lang w:val="en-US" w:eastAsia="zh-CN"/>
              </w:rPr>
            </w:pPr>
            <w:r>
              <w:rPr>
                <w:rFonts w:hint="eastAsia" w:ascii="Times New Roman" w:hAnsi="Times New Roman" w:cstheme="minorEastAsia"/>
                <w:sz w:val="21"/>
                <w:szCs w:val="21"/>
                <w:vertAlign w:val="baseline"/>
                <w:lang w:val="en-US" w:eastAsia="zh-CN"/>
              </w:rPr>
              <w:t>资料整理</w:t>
            </w:r>
          </w:p>
        </w:tc>
        <w:tc>
          <w:tcPr>
            <w:tcW w:w="1757" w:type="dxa"/>
            <w:shd w:val="clear" w:color="auto" w:fill="auto"/>
            <w:vAlign w:val="center"/>
          </w:tcPr>
          <w:p w14:paraId="1DB2D8EF">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18189827306</w:t>
            </w:r>
          </w:p>
        </w:tc>
      </w:tr>
      <w:tr w14:paraId="6FCA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96" w:type="dxa"/>
            <w:vAlign w:val="center"/>
          </w:tcPr>
          <w:p w14:paraId="3DE8D30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6</w:t>
            </w:r>
          </w:p>
        </w:tc>
        <w:tc>
          <w:tcPr>
            <w:tcW w:w="947" w:type="dxa"/>
            <w:vAlign w:val="center"/>
          </w:tcPr>
          <w:p w14:paraId="16C5FC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lang w:val="en-US" w:eastAsia="zh-CN"/>
              </w:rPr>
            </w:pPr>
            <w:r>
              <w:rPr>
                <w:rFonts w:hint="eastAsia" w:ascii="Times New Roman" w:hAnsi="Times New Roman" w:eastAsiaTheme="minorEastAsia" w:cstheme="minorEastAsia"/>
                <w:sz w:val="21"/>
                <w:szCs w:val="21"/>
                <w:lang w:val="en-US" w:eastAsia="zh-CN"/>
              </w:rPr>
              <w:t>王茺</w:t>
            </w:r>
          </w:p>
        </w:tc>
        <w:tc>
          <w:tcPr>
            <w:tcW w:w="1560" w:type="dxa"/>
            <w:vAlign w:val="center"/>
          </w:tcPr>
          <w:p w14:paraId="59A327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lang w:val="en-US" w:eastAsia="zh-CN"/>
              </w:rPr>
            </w:pPr>
            <w:r>
              <w:rPr>
                <w:rFonts w:hint="eastAsia" w:ascii="Times New Roman" w:hAnsi="Times New Roman" w:eastAsiaTheme="minorEastAsia" w:cstheme="minorEastAsia"/>
                <w:sz w:val="21"/>
                <w:szCs w:val="21"/>
                <w:lang w:val="en-US" w:eastAsia="zh-CN"/>
              </w:rPr>
              <w:t>海南省地震局</w:t>
            </w:r>
          </w:p>
        </w:tc>
        <w:tc>
          <w:tcPr>
            <w:tcW w:w="858" w:type="dxa"/>
            <w:vAlign w:val="center"/>
          </w:tcPr>
          <w:p w14:paraId="3B103A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w:t>
            </w:r>
          </w:p>
        </w:tc>
        <w:tc>
          <w:tcPr>
            <w:tcW w:w="1481" w:type="dxa"/>
            <w:vAlign w:val="center"/>
          </w:tcPr>
          <w:p w14:paraId="5BF2EB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eastAsiaTheme="minorEastAsia" w:cstheme="minorEastAsia"/>
                <w:sz w:val="21"/>
                <w:szCs w:val="21"/>
                <w:vertAlign w:val="baseline"/>
                <w:lang w:val="en-US" w:eastAsia="zh-CN"/>
              </w:rPr>
              <w:t>工程师</w:t>
            </w:r>
          </w:p>
        </w:tc>
        <w:tc>
          <w:tcPr>
            <w:tcW w:w="2022" w:type="dxa"/>
            <w:vAlign w:val="center"/>
          </w:tcPr>
          <w:p w14:paraId="3033DB1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cstheme="minorEastAsia"/>
                <w:sz w:val="21"/>
                <w:szCs w:val="21"/>
                <w:vertAlign w:val="baseline"/>
                <w:lang w:val="en-US" w:eastAsia="zh-CN"/>
              </w:rPr>
              <w:t>资料整理</w:t>
            </w:r>
          </w:p>
        </w:tc>
        <w:tc>
          <w:tcPr>
            <w:tcW w:w="1757" w:type="dxa"/>
            <w:shd w:val="clear" w:color="auto" w:fill="auto"/>
            <w:vAlign w:val="center"/>
          </w:tcPr>
          <w:p w14:paraId="6C7C1013">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17766921860</w:t>
            </w:r>
          </w:p>
        </w:tc>
      </w:tr>
      <w:tr w14:paraId="27B1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96" w:type="dxa"/>
            <w:vAlign w:val="center"/>
          </w:tcPr>
          <w:p w14:paraId="076AE38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7</w:t>
            </w:r>
          </w:p>
        </w:tc>
        <w:tc>
          <w:tcPr>
            <w:tcW w:w="947" w:type="dxa"/>
            <w:vAlign w:val="center"/>
          </w:tcPr>
          <w:p w14:paraId="4E2E121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Theme="minorEastAsia" w:cstheme="minorEastAsia"/>
                <w:sz w:val="21"/>
                <w:szCs w:val="21"/>
                <w:lang w:val="en-US" w:eastAsia="zh-CN"/>
              </w:rPr>
            </w:pPr>
            <w:r>
              <w:rPr>
                <w:rFonts w:hint="eastAsia" w:ascii="Times New Roman" w:hAnsi="Times New Roman" w:cstheme="minorEastAsia"/>
                <w:sz w:val="21"/>
                <w:szCs w:val="21"/>
                <w:lang w:val="en-US" w:eastAsia="zh-CN"/>
              </w:rPr>
              <w:t>彭利媚</w:t>
            </w:r>
          </w:p>
        </w:tc>
        <w:tc>
          <w:tcPr>
            <w:tcW w:w="1560" w:type="dxa"/>
            <w:vAlign w:val="center"/>
          </w:tcPr>
          <w:p w14:paraId="1B211B0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lang w:val="en-US" w:eastAsia="zh-CN"/>
              </w:rPr>
            </w:pPr>
            <w:r>
              <w:rPr>
                <w:rFonts w:hint="eastAsia" w:ascii="Times New Roman" w:hAnsi="Times New Roman" w:eastAsiaTheme="minorEastAsia" w:cstheme="minorEastAsia"/>
                <w:sz w:val="21"/>
                <w:szCs w:val="21"/>
                <w:lang w:val="en-US" w:eastAsia="zh-CN"/>
              </w:rPr>
              <w:t>海南省地震局</w:t>
            </w:r>
          </w:p>
        </w:tc>
        <w:tc>
          <w:tcPr>
            <w:tcW w:w="858" w:type="dxa"/>
            <w:vAlign w:val="center"/>
          </w:tcPr>
          <w:p w14:paraId="360036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Theme="minorEastAsia" w:cstheme="minorEastAsia"/>
                <w:sz w:val="21"/>
                <w:szCs w:val="21"/>
                <w:vertAlign w:val="baseline"/>
                <w:lang w:val="en-US" w:eastAsia="zh-CN"/>
              </w:rPr>
            </w:pPr>
            <w:r>
              <w:rPr>
                <w:rFonts w:hint="eastAsia" w:ascii="Times New Roman" w:hAnsi="Times New Roman" w:cstheme="minorEastAsia"/>
                <w:sz w:val="21"/>
                <w:szCs w:val="21"/>
                <w:vertAlign w:val="baseline"/>
                <w:lang w:val="en-US" w:eastAsia="zh-CN"/>
              </w:rPr>
              <w:t>/</w:t>
            </w:r>
          </w:p>
        </w:tc>
        <w:tc>
          <w:tcPr>
            <w:tcW w:w="1481" w:type="dxa"/>
            <w:vAlign w:val="center"/>
          </w:tcPr>
          <w:p w14:paraId="02AD824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cstheme="minorEastAsia"/>
                <w:sz w:val="21"/>
                <w:szCs w:val="21"/>
                <w:vertAlign w:val="baseline"/>
                <w:lang w:val="en-US" w:eastAsia="zh-CN"/>
              </w:rPr>
              <w:t>高级</w:t>
            </w:r>
            <w:r>
              <w:rPr>
                <w:rFonts w:hint="eastAsia" w:ascii="Times New Roman" w:hAnsi="Times New Roman" w:eastAsiaTheme="minorEastAsia" w:cstheme="minorEastAsia"/>
                <w:sz w:val="21"/>
                <w:szCs w:val="21"/>
                <w:vertAlign w:val="baseline"/>
                <w:lang w:val="en-US" w:eastAsia="zh-CN"/>
              </w:rPr>
              <w:t>工程师</w:t>
            </w:r>
          </w:p>
        </w:tc>
        <w:tc>
          <w:tcPr>
            <w:tcW w:w="2022" w:type="dxa"/>
            <w:vAlign w:val="center"/>
          </w:tcPr>
          <w:p w14:paraId="4D16A1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cstheme="minorEastAsia"/>
                <w:sz w:val="21"/>
                <w:szCs w:val="21"/>
                <w:vertAlign w:val="baseline"/>
                <w:lang w:val="en-US" w:eastAsia="zh-CN"/>
              </w:rPr>
              <w:t>资料整理</w:t>
            </w:r>
          </w:p>
        </w:tc>
        <w:tc>
          <w:tcPr>
            <w:tcW w:w="1757" w:type="dxa"/>
            <w:shd w:val="clear" w:color="auto" w:fill="auto"/>
            <w:vAlign w:val="center"/>
          </w:tcPr>
          <w:p w14:paraId="415354C8">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17766921826</w:t>
            </w:r>
          </w:p>
        </w:tc>
      </w:tr>
      <w:tr w14:paraId="414E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96" w:type="dxa"/>
            <w:vAlign w:val="center"/>
          </w:tcPr>
          <w:p w14:paraId="0DE70F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8</w:t>
            </w:r>
          </w:p>
        </w:tc>
        <w:tc>
          <w:tcPr>
            <w:tcW w:w="947" w:type="dxa"/>
            <w:tcBorders>
              <w:top w:val="single" w:color="auto" w:sz="4" w:space="0"/>
              <w:left w:val="single" w:color="auto" w:sz="4" w:space="0"/>
              <w:bottom w:val="single" w:color="auto" w:sz="4" w:space="0"/>
              <w:right w:val="single" w:color="auto" w:sz="4" w:space="0"/>
            </w:tcBorders>
            <w:vAlign w:val="center"/>
          </w:tcPr>
          <w:p w14:paraId="3B8CCEE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Theme="minorEastAsia" w:cstheme="minorEastAsia"/>
                <w:sz w:val="21"/>
                <w:szCs w:val="21"/>
                <w:lang w:val="en-US" w:eastAsia="zh-CN"/>
              </w:rPr>
            </w:pPr>
            <w:r>
              <w:rPr>
                <w:rFonts w:hint="eastAsia" w:ascii="Times New Roman" w:hAnsi="Times New Roman" w:cstheme="minorEastAsia"/>
                <w:sz w:val="21"/>
                <w:szCs w:val="21"/>
                <w:lang w:val="en-US" w:eastAsia="zh-CN"/>
              </w:rPr>
              <w:t>丁有兴</w:t>
            </w:r>
          </w:p>
        </w:tc>
        <w:tc>
          <w:tcPr>
            <w:tcW w:w="1560" w:type="dxa"/>
            <w:tcBorders>
              <w:top w:val="single" w:color="auto" w:sz="4" w:space="0"/>
              <w:left w:val="single" w:color="auto" w:sz="4" w:space="0"/>
              <w:bottom w:val="single" w:color="auto" w:sz="4" w:space="0"/>
              <w:right w:val="single" w:color="auto" w:sz="4" w:space="0"/>
            </w:tcBorders>
            <w:vAlign w:val="center"/>
          </w:tcPr>
          <w:p w14:paraId="2077720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lang w:val="en-US" w:eastAsia="zh-CN"/>
              </w:rPr>
            </w:pPr>
            <w:r>
              <w:rPr>
                <w:rFonts w:hint="eastAsia" w:ascii="Times New Roman" w:hAnsi="Times New Roman" w:eastAsiaTheme="minorEastAsia" w:cstheme="minorEastAsia"/>
                <w:sz w:val="21"/>
                <w:szCs w:val="21"/>
                <w:lang w:val="en-US" w:eastAsia="zh-CN"/>
              </w:rPr>
              <w:t>海南省地震局</w:t>
            </w:r>
          </w:p>
        </w:tc>
        <w:tc>
          <w:tcPr>
            <w:tcW w:w="858" w:type="dxa"/>
            <w:tcBorders>
              <w:top w:val="single" w:color="auto" w:sz="4" w:space="0"/>
              <w:left w:val="single" w:color="auto" w:sz="4" w:space="0"/>
              <w:bottom w:val="single" w:color="auto" w:sz="4" w:space="0"/>
              <w:right w:val="single" w:color="auto" w:sz="4" w:space="0"/>
            </w:tcBorders>
            <w:vAlign w:val="center"/>
          </w:tcPr>
          <w:p w14:paraId="3C2879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w:t>
            </w:r>
          </w:p>
        </w:tc>
        <w:tc>
          <w:tcPr>
            <w:tcW w:w="1481" w:type="dxa"/>
            <w:tcBorders>
              <w:top w:val="single" w:color="auto" w:sz="4" w:space="0"/>
              <w:left w:val="single" w:color="auto" w:sz="4" w:space="0"/>
              <w:bottom w:val="single" w:color="auto" w:sz="4" w:space="0"/>
              <w:right w:val="single" w:color="auto" w:sz="4" w:space="0"/>
            </w:tcBorders>
            <w:vAlign w:val="center"/>
          </w:tcPr>
          <w:p w14:paraId="5DABF8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cstheme="minorEastAsia"/>
                <w:sz w:val="21"/>
                <w:szCs w:val="21"/>
                <w:vertAlign w:val="baseline"/>
                <w:lang w:val="en-US" w:eastAsia="zh-CN"/>
              </w:rPr>
              <w:t>高级</w:t>
            </w:r>
            <w:r>
              <w:rPr>
                <w:rFonts w:hint="eastAsia" w:ascii="Times New Roman" w:hAnsi="Times New Roman" w:eastAsiaTheme="minorEastAsia" w:cstheme="minorEastAsia"/>
                <w:sz w:val="21"/>
                <w:szCs w:val="21"/>
                <w:vertAlign w:val="baseline"/>
                <w:lang w:val="en-US" w:eastAsia="zh-CN"/>
              </w:rPr>
              <w:t>工程师</w:t>
            </w:r>
          </w:p>
        </w:tc>
        <w:tc>
          <w:tcPr>
            <w:tcW w:w="2022" w:type="dxa"/>
            <w:tcBorders>
              <w:top w:val="single" w:color="auto" w:sz="4" w:space="0"/>
              <w:left w:val="single" w:color="auto" w:sz="4" w:space="0"/>
              <w:bottom w:val="single" w:color="auto" w:sz="4" w:space="0"/>
              <w:right w:val="single" w:color="auto" w:sz="4" w:space="0"/>
            </w:tcBorders>
            <w:vAlign w:val="center"/>
          </w:tcPr>
          <w:p w14:paraId="01177E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eastAsiaTheme="minorEastAsia" w:cstheme="minorEastAsia"/>
                <w:sz w:val="21"/>
                <w:szCs w:val="21"/>
                <w:vertAlign w:val="baseline"/>
              </w:rPr>
              <w:t>技术指导</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6DFA2550">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13519845558</w:t>
            </w:r>
          </w:p>
        </w:tc>
      </w:tr>
      <w:tr w14:paraId="6172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96" w:type="dxa"/>
            <w:vAlign w:val="center"/>
          </w:tcPr>
          <w:p w14:paraId="05506FB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9</w:t>
            </w:r>
          </w:p>
        </w:tc>
        <w:tc>
          <w:tcPr>
            <w:tcW w:w="947" w:type="dxa"/>
            <w:tcBorders>
              <w:top w:val="single" w:color="auto" w:sz="4" w:space="0"/>
              <w:left w:val="single" w:color="auto" w:sz="4" w:space="0"/>
              <w:bottom w:val="single" w:color="auto" w:sz="4" w:space="0"/>
              <w:right w:val="single" w:color="auto" w:sz="4" w:space="0"/>
            </w:tcBorders>
            <w:vAlign w:val="center"/>
          </w:tcPr>
          <w:p w14:paraId="7A0CA6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lang w:val="en-US" w:eastAsia="zh-CN"/>
              </w:rPr>
            </w:pPr>
            <w:r>
              <w:rPr>
                <w:rFonts w:hint="eastAsia" w:ascii="Times New Roman" w:hAnsi="Times New Roman" w:eastAsiaTheme="minorEastAsia" w:cstheme="minorEastAsia"/>
                <w:sz w:val="21"/>
                <w:szCs w:val="21"/>
                <w:lang w:val="en-US" w:eastAsia="zh-CN"/>
              </w:rPr>
              <w:t>李盛</w:t>
            </w:r>
          </w:p>
        </w:tc>
        <w:tc>
          <w:tcPr>
            <w:tcW w:w="1560" w:type="dxa"/>
            <w:tcBorders>
              <w:top w:val="single" w:color="auto" w:sz="4" w:space="0"/>
              <w:left w:val="single" w:color="auto" w:sz="4" w:space="0"/>
              <w:bottom w:val="single" w:color="auto" w:sz="4" w:space="0"/>
              <w:right w:val="single" w:color="auto" w:sz="4" w:space="0"/>
            </w:tcBorders>
            <w:vAlign w:val="center"/>
          </w:tcPr>
          <w:p w14:paraId="3DD8517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lang w:val="en-US" w:eastAsia="zh-CN"/>
              </w:rPr>
            </w:pPr>
            <w:r>
              <w:rPr>
                <w:rFonts w:hint="eastAsia" w:ascii="Times New Roman" w:hAnsi="Times New Roman" w:eastAsiaTheme="minorEastAsia" w:cstheme="minorEastAsia"/>
                <w:sz w:val="21"/>
                <w:szCs w:val="21"/>
                <w:lang w:val="en-US" w:eastAsia="zh-CN"/>
              </w:rPr>
              <w:t>海南省地震局</w:t>
            </w:r>
          </w:p>
        </w:tc>
        <w:tc>
          <w:tcPr>
            <w:tcW w:w="858" w:type="dxa"/>
            <w:tcBorders>
              <w:top w:val="single" w:color="auto" w:sz="4" w:space="0"/>
              <w:left w:val="single" w:color="auto" w:sz="4" w:space="0"/>
              <w:bottom w:val="single" w:color="auto" w:sz="4" w:space="0"/>
              <w:right w:val="single" w:color="auto" w:sz="4" w:space="0"/>
            </w:tcBorders>
            <w:vAlign w:val="center"/>
          </w:tcPr>
          <w:p w14:paraId="3A1C28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w:t>
            </w:r>
          </w:p>
        </w:tc>
        <w:tc>
          <w:tcPr>
            <w:tcW w:w="1481" w:type="dxa"/>
            <w:tcBorders>
              <w:top w:val="single" w:color="auto" w:sz="4" w:space="0"/>
              <w:left w:val="single" w:color="auto" w:sz="4" w:space="0"/>
              <w:bottom w:val="single" w:color="auto" w:sz="4" w:space="0"/>
              <w:right w:val="single" w:color="auto" w:sz="4" w:space="0"/>
            </w:tcBorders>
            <w:vAlign w:val="center"/>
          </w:tcPr>
          <w:p w14:paraId="34E42B8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eastAsiaTheme="minorEastAsia" w:cstheme="minorEastAsia"/>
                <w:sz w:val="21"/>
                <w:szCs w:val="21"/>
                <w:vertAlign w:val="baseline"/>
                <w:lang w:val="en-US" w:eastAsia="zh-CN"/>
              </w:rPr>
              <w:t>高级工程师</w:t>
            </w:r>
          </w:p>
        </w:tc>
        <w:tc>
          <w:tcPr>
            <w:tcW w:w="2022" w:type="dxa"/>
            <w:tcBorders>
              <w:top w:val="single" w:color="auto" w:sz="4" w:space="0"/>
              <w:left w:val="single" w:color="auto" w:sz="4" w:space="0"/>
              <w:bottom w:val="single" w:color="auto" w:sz="4" w:space="0"/>
              <w:right w:val="single" w:color="auto" w:sz="4" w:space="0"/>
            </w:tcBorders>
            <w:vAlign w:val="center"/>
          </w:tcPr>
          <w:p w14:paraId="08E0F1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eastAsiaTheme="minorEastAsia" w:cstheme="minorEastAsia"/>
                <w:sz w:val="21"/>
                <w:szCs w:val="21"/>
                <w:vertAlign w:val="baseline"/>
              </w:rPr>
              <w:t>技术指导</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0A6C5F22">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13647543766</w:t>
            </w:r>
          </w:p>
        </w:tc>
      </w:tr>
      <w:tr w14:paraId="2406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96" w:type="dxa"/>
            <w:vAlign w:val="center"/>
          </w:tcPr>
          <w:p w14:paraId="2E70A1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10</w:t>
            </w:r>
          </w:p>
        </w:tc>
        <w:tc>
          <w:tcPr>
            <w:tcW w:w="947" w:type="dxa"/>
            <w:tcBorders>
              <w:top w:val="single" w:color="auto" w:sz="4" w:space="0"/>
              <w:left w:val="single" w:color="auto" w:sz="4" w:space="0"/>
              <w:bottom w:val="single" w:color="auto" w:sz="4" w:space="0"/>
              <w:right w:val="single" w:color="auto" w:sz="4" w:space="0"/>
            </w:tcBorders>
            <w:vAlign w:val="center"/>
          </w:tcPr>
          <w:p w14:paraId="776B0B8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lang w:val="en-US" w:eastAsia="zh-CN"/>
              </w:rPr>
            </w:pPr>
            <w:r>
              <w:rPr>
                <w:rFonts w:hint="eastAsia" w:ascii="Times New Roman" w:hAnsi="Times New Roman" w:eastAsiaTheme="minorEastAsia" w:cstheme="minorEastAsia"/>
                <w:sz w:val="21"/>
                <w:szCs w:val="21"/>
                <w:lang w:val="en-US" w:eastAsia="zh-CN"/>
              </w:rPr>
              <w:t>姚道平</w:t>
            </w:r>
          </w:p>
        </w:tc>
        <w:tc>
          <w:tcPr>
            <w:tcW w:w="1560" w:type="dxa"/>
            <w:tcBorders>
              <w:top w:val="single" w:color="auto" w:sz="4" w:space="0"/>
              <w:left w:val="single" w:color="auto" w:sz="4" w:space="0"/>
              <w:bottom w:val="single" w:color="auto" w:sz="4" w:space="0"/>
              <w:right w:val="single" w:color="auto" w:sz="4" w:space="0"/>
            </w:tcBorders>
            <w:vAlign w:val="center"/>
          </w:tcPr>
          <w:p w14:paraId="3DF604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lang w:val="en-US" w:eastAsia="zh-CN"/>
              </w:rPr>
            </w:pPr>
            <w:r>
              <w:rPr>
                <w:rFonts w:hint="eastAsia" w:ascii="Times New Roman" w:hAnsi="Times New Roman" w:eastAsiaTheme="minorEastAsia" w:cstheme="minorEastAsia"/>
                <w:sz w:val="21"/>
                <w:szCs w:val="21"/>
                <w:lang w:val="en-US" w:eastAsia="zh-CN"/>
              </w:rPr>
              <w:t>海南省地震局</w:t>
            </w:r>
          </w:p>
        </w:tc>
        <w:tc>
          <w:tcPr>
            <w:tcW w:w="858" w:type="dxa"/>
            <w:tcBorders>
              <w:top w:val="single" w:color="auto" w:sz="4" w:space="0"/>
              <w:left w:val="single" w:color="auto" w:sz="4" w:space="0"/>
              <w:bottom w:val="single" w:color="auto" w:sz="4" w:space="0"/>
              <w:right w:val="single" w:color="auto" w:sz="4" w:space="0"/>
            </w:tcBorders>
            <w:vAlign w:val="center"/>
          </w:tcPr>
          <w:p w14:paraId="38CBE81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副局长</w:t>
            </w:r>
          </w:p>
        </w:tc>
        <w:tc>
          <w:tcPr>
            <w:tcW w:w="1481" w:type="dxa"/>
            <w:tcBorders>
              <w:top w:val="single" w:color="auto" w:sz="4" w:space="0"/>
              <w:left w:val="single" w:color="auto" w:sz="4" w:space="0"/>
              <w:bottom w:val="single" w:color="auto" w:sz="4" w:space="0"/>
              <w:right w:val="single" w:color="auto" w:sz="4" w:space="0"/>
            </w:tcBorders>
            <w:vAlign w:val="center"/>
          </w:tcPr>
          <w:p w14:paraId="3C404D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eastAsiaTheme="minorEastAsia" w:cstheme="minorEastAsia"/>
                <w:sz w:val="21"/>
                <w:szCs w:val="21"/>
                <w:vertAlign w:val="baseline"/>
                <w:lang w:val="en-US" w:eastAsia="zh-CN"/>
              </w:rPr>
              <w:t>高级工程师</w:t>
            </w:r>
          </w:p>
        </w:tc>
        <w:tc>
          <w:tcPr>
            <w:tcW w:w="2022" w:type="dxa"/>
            <w:tcBorders>
              <w:top w:val="single" w:color="auto" w:sz="4" w:space="0"/>
              <w:left w:val="single" w:color="auto" w:sz="4" w:space="0"/>
              <w:bottom w:val="single" w:color="auto" w:sz="4" w:space="0"/>
              <w:right w:val="single" w:color="auto" w:sz="4" w:space="0"/>
            </w:tcBorders>
            <w:vAlign w:val="center"/>
          </w:tcPr>
          <w:p w14:paraId="70D4CE8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eastAsiaTheme="minorEastAsia" w:cstheme="minorEastAsia"/>
                <w:sz w:val="21"/>
                <w:szCs w:val="21"/>
                <w:vertAlign w:val="baseline"/>
              </w:rPr>
              <w:t>技术指导</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0EE70F98">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13850061615</w:t>
            </w:r>
          </w:p>
        </w:tc>
      </w:tr>
      <w:tr w14:paraId="72AA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96" w:type="dxa"/>
            <w:vAlign w:val="center"/>
          </w:tcPr>
          <w:p w14:paraId="542AB05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Theme="minorEastAsia" w:cstheme="minorEastAsia"/>
                <w:sz w:val="21"/>
                <w:szCs w:val="21"/>
                <w:vertAlign w:val="baseline"/>
                <w:lang w:val="en-US" w:eastAsia="zh-CN"/>
              </w:rPr>
            </w:pPr>
            <w:r>
              <w:rPr>
                <w:rFonts w:hint="eastAsia" w:ascii="Times New Roman" w:hAnsi="Times New Roman" w:cstheme="minorEastAsia"/>
                <w:sz w:val="21"/>
                <w:szCs w:val="21"/>
                <w:vertAlign w:val="baseline"/>
                <w:lang w:val="en-US" w:eastAsia="zh-CN"/>
              </w:rPr>
              <w:t>11</w:t>
            </w:r>
          </w:p>
        </w:tc>
        <w:tc>
          <w:tcPr>
            <w:tcW w:w="947" w:type="dxa"/>
            <w:tcBorders>
              <w:top w:val="single" w:color="auto" w:sz="4" w:space="0"/>
              <w:left w:val="single" w:color="auto" w:sz="4" w:space="0"/>
              <w:bottom w:val="single" w:color="auto" w:sz="4" w:space="0"/>
              <w:right w:val="single" w:color="auto" w:sz="4" w:space="0"/>
            </w:tcBorders>
            <w:vAlign w:val="center"/>
          </w:tcPr>
          <w:p w14:paraId="68E84A5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lang w:val="en-US" w:eastAsia="zh-CN"/>
              </w:rPr>
            </w:pPr>
            <w:r>
              <w:rPr>
                <w:rFonts w:hint="eastAsia" w:ascii="Times New Roman" w:hAnsi="Times New Roman" w:eastAsiaTheme="minorEastAsia" w:cstheme="minorEastAsia"/>
                <w:sz w:val="21"/>
                <w:szCs w:val="21"/>
                <w:lang w:val="en-US" w:eastAsia="zh-CN"/>
              </w:rPr>
              <w:t>王惠琳</w:t>
            </w:r>
          </w:p>
        </w:tc>
        <w:tc>
          <w:tcPr>
            <w:tcW w:w="1560" w:type="dxa"/>
            <w:tcBorders>
              <w:top w:val="single" w:color="auto" w:sz="4" w:space="0"/>
              <w:left w:val="single" w:color="auto" w:sz="4" w:space="0"/>
              <w:bottom w:val="single" w:color="auto" w:sz="4" w:space="0"/>
              <w:right w:val="single" w:color="auto" w:sz="4" w:space="0"/>
            </w:tcBorders>
            <w:vAlign w:val="center"/>
          </w:tcPr>
          <w:p w14:paraId="076F6D5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lang w:val="en-US" w:eastAsia="zh-CN"/>
              </w:rPr>
            </w:pPr>
            <w:r>
              <w:rPr>
                <w:rFonts w:hint="eastAsia" w:ascii="Times New Roman" w:hAnsi="Times New Roman" w:eastAsiaTheme="minorEastAsia" w:cstheme="minorEastAsia"/>
                <w:sz w:val="21"/>
                <w:szCs w:val="21"/>
                <w:lang w:val="en-US" w:eastAsia="zh-CN"/>
              </w:rPr>
              <w:t>海南省地震局</w:t>
            </w:r>
          </w:p>
        </w:tc>
        <w:tc>
          <w:tcPr>
            <w:tcW w:w="858" w:type="dxa"/>
            <w:tcBorders>
              <w:top w:val="single" w:color="auto" w:sz="4" w:space="0"/>
              <w:left w:val="single" w:color="auto" w:sz="4" w:space="0"/>
              <w:bottom w:val="single" w:color="auto" w:sz="4" w:space="0"/>
              <w:right w:val="single" w:color="auto" w:sz="4" w:space="0"/>
            </w:tcBorders>
            <w:vAlign w:val="center"/>
          </w:tcPr>
          <w:p w14:paraId="2DC6C9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副台长</w:t>
            </w:r>
          </w:p>
        </w:tc>
        <w:tc>
          <w:tcPr>
            <w:tcW w:w="1481" w:type="dxa"/>
            <w:tcBorders>
              <w:top w:val="single" w:color="auto" w:sz="4" w:space="0"/>
              <w:left w:val="single" w:color="auto" w:sz="4" w:space="0"/>
              <w:bottom w:val="single" w:color="auto" w:sz="4" w:space="0"/>
              <w:right w:val="single" w:color="auto" w:sz="4" w:space="0"/>
            </w:tcBorders>
            <w:vAlign w:val="center"/>
          </w:tcPr>
          <w:p w14:paraId="484F250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lang w:val="en-US" w:eastAsia="zh-CN"/>
              </w:rPr>
            </w:pPr>
            <w:r>
              <w:rPr>
                <w:rFonts w:hint="eastAsia" w:ascii="Times New Roman" w:hAnsi="Times New Roman" w:eastAsiaTheme="minorEastAsia" w:cstheme="minorEastAsia"/>
                <w:sz w:val="21"/>
                <w:szCs w:val="21"/>
                <w:vertAlign w:val="baseline"/>
                <w:lang w:val="en-US" w:eastAsia="zh-CN"/>
              </w:rPr>
              <w:t>高级工程师</w:t>
            </w:r>
          </w:p>
        </w:tc>
        <w:tc>
          <w:tcPr>
            <w:tcW w:w="2022" w:type="dxa"/>
            <w:tcBorders>
              <w:top w:val="single" w:color="auto" w:sz="4" w:space="0"/>
              <w:left w:val="single" w:color="auto" w:sz="4" w:space="0"/>
              <w:bottom w:val="single" w:color="auto" w:sz="4" w:space="0"/>
              <w:right w:val="single" w:color="auto" w:sz="4" w:space="0"/>
            </w:tcBorders>
            <w:vAlign w:val="center"/>
          </w:tcPr>
          <w:p w14:paraId="7642F81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Theme="minorEastAsia" w:cstheme="minorEastAsia"/>
                <w:sz w:val="21"/>
                <w:szCs w:val="21"/>
                <w:vertAlign w:val="baseline"/>
              </w:rPr>
            </w:pPr>
            <w:r>
              <w:rPr>
                <w:rFonts w:hint="eastAsia" w:ascii="Times New Roman" w:hAnsi="Times New Roman" w:eastAsiaTheme="minorEastAsia" w:cstheme="minorEastAsia"/>
                <w:sz w:val="21"/>
                <w:szCs w:val="21"/>
                <w:vertAlign w:val="baseline"/>
              </w:rPr>
              <w:t>技术指导</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31B47F19">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18889827682</w:t>
            </w:r>
          </w:p>
        </w:tc>
      </w:tr>
    </w:tbl>
    <w:p w14:paraId="1D0B1B39">
      <w:pPr>
        <w:keepNext w:val="0"/>
        <w:keepLines w:val="0"/>
        <w:pageBreakBefore w:val="0"/>
        <w:widowControl w:val="0"/>
        <w:kinsoku/>
        <w:wordWrap/>
        <w:overflowPunct/>
        <w:topLinePunct w:val="0"/>
        <w:autoSpaceDE/>
        <w:autoSpaceDN/>
        <w:bidi w:val="0"/>
        <w:adjustRightInd/>
        <w:snapToGrid/>
        <w:spacing w:line="500" w:lineRule="exact"/>
        <w:textAlignment w:val="auto"/>
        <w:outlineLvl w:val="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二、编制情况</w:t>
      </w:r>
    </w:p>
    <w:p w14:paraId="22EE3BDA">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（一）编制标准的必要性和意义及背景</w:t>
      </w:r>
    </w:p>
    <w:p w14:paraId="677DCEA8">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海南岛位于欧亚板块、印澳板块和菲律宾板块的交汇区域附近，大地构造位置独特，受板块相互作用、南海弧后盆地的多期扩张活动影响，海南岛及邻区地质构造复杂，区域地壳构造、地震和火山活动强烈。海南岛全岛处于地震烈度Ⅵ度以上抗震设防区，9个市县处于Ⅶ度设防地区，其中海口市地震烈度高达Ⅷ（0.30g），是全国抗震设防要求最高的省会城市之一。1605年琼州7.5级大地震，造成海口琼山72个村庄沉陷海底，死亡3300余人，为华南地区有记载的死亡人数最多、破坏最惨重的一次大震灾。自1969年以来，海南岛南部及临近海域中强地震活跃，引起社会广泛关注。</w:t>
      </w:r>
    </w:p>
    <w:p w14:paraId="185A2229">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在《关于全国地震重点监视防御区（2021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2030年）确定结果和加强防震减灾工作的意见》中，“广西兴业至海南定安”被列为2021年至2030年全国22个地震重点监视防御区之一。该区包含我省海口、临高、澄迈、文昌和定安等5个市县，历史上曾发生多次强震，是我国华南沿海主要的强震活动区之一。由此，海南地震监测预报工作面临严峻的挑战。</w:t>
      </w:r>
    </w:p>
    <w:p w14:paraId="45C9609E">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震预警信息的发布能够在地震发生后提供数秒至数十秒预警时间，公众可以采取避震措施减少人员伤亡，重大基础设施和生命线工程可以实施紧急处置措施避免次生灾害。然而，并不是所有震级的地震都有必要发布预警信息；并不是所有能监测到地震的人，都可以发布预警信息的。不当的地震预警信息发布或擅自发布的预警信息将引发社会混乱等负面影响。因此，我省的地震预警信息的发布还需要规范，包括地震预警信息的发布主体、发布条件、预警内容、发布对象、社会协同、法律责任等，都需要做出明确规定。</w:t>
      </w:r>
    </w:p>
    <w:p w14:paraId="61029304">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海南省地震预警管理办法》是经2023年1月3日七届海南省政府第113次常务会议审议通过的文件，自2023年5月1日起施行。第七条规定：全省地震预警系统建设、维护，预警信息发布、传播，执行统一的技术规范和标准。省人民政府地震工作主管部门应当根据有关法律法规规定，制定全省地震预警系统建设、维护以及预警信息发布、传播的规范。</w:t>
      </w:r>
    </w:p>
    <w:p w14:paraId="07A6D205">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《地震预警信息发布》</w:t>
      </w:r>
      <w:r>
        <w:rPr>
          <w:rFonts w:hint="eastAsia" w:asciiTheme="minorEastAsia" w:hAnsiTheme="minorEastAsia" w:eastAsiaTheme="minorEastAsia" w:cstheme="minorEastAsia"/>
          <w:sz w:val="24"/>
          <w:szCs w:val="24"/>
          <w:lang w:eastAsia="zh-CN"/>
        </w:rPr>
        <w:t>地方</w:t>
      </w:r>
      <w:r>
        <w:rPr>
          <w:rFonts w:hint="eastAsia" w:asciiTheme="minorEastAsia" w:hAnsiTheme="minorEastAsia" w:eastAsiaTheme="minorEastAsia" w:cstheme="minorEastAsia"/>
          <w:sz w:val="24"/>
          <w:szCs w:val="24"/>
        </w:rPr>
        <w:t>标准着力于研究规范</w:t>
      </w:r>
      <w:r>
        <w:rPr>
          <w:rFonts w:hint="eastAsia" w:asciiTheme="minorEastAsia" w:hAnsiTheme="minorEastAsia" w:eastAsiaTheme="minorEastAsia" w:cstheme="minorEastAsia"/>
          <w:sz w:val="24"/>
          <w:szCs w:val="24"/>
          <w:lang w:eastAsia="zh-CN"/>
        </w:rPr>
        <w:t>地震预警信息</w:t>
      </w:r>
      <w:r>
        <w:rPr>
          <w:rFonts w:hint="eastAsia" w:asciiTheme="minorEastAsia" w:hAnsiTheme="minorEastAsia" w:eastAsiaTheme="minorEastAsia" w:cstheme="minorEastAsia"/>
          <w:sz w:val="24"/>
          <w:szCs w:val="24"/>
        </w:rPr>
        <w:t>发布的基本规定、发布流程、信息呈现方式及发布内容、信息更新与取消、信息安全等</w:t>
      </w:r>
      <w:r>
        <w:rPr>
          <w:rFonts w:hint="eastAsia" w:asciiTheme="minorEastAsia" w:hAnsiTheme="minorEastAsia" w:eastAsiaTheme="minorEastAsia" w:cstheme="minorEastAsia"/>
          <w:sz w:val="24"/>
          <w:szCs w:val="24"/>
          <w:lang w:val="en-US" w:eastAsia="zh-CN"/>
        </w:rPr>
        <w:t>基本内容</w:t>
      </w:r>
      <w:r>
        <w:rPr>
          <w:rFonts w:hint="eastAsia" w:asciiTheme="minorEastAsia" w:hAnsiTheme="minorEastAsia" w:eastAsiaTheme="minorEastAsia" w:cstheme="minorEastAsia"/>
          <w:sz w:val="24"/>
          <w:szCs w:val="24"/>
        </w:rPr>
        <w:t>，结合国家地震烈度速报与预警工程</w:t>
      </w:r>
      <w:r>
        <w:rPr>
          <w:rFonts w:hint="eastAsia" w:asciiTheme="minorEastAsia" w:hAnsiTheme="minorEastAsia" w:eastAsiaTheme="minorEastAsia" w:cstheme="minorEastAsia"/>
          <w:sz w:val="24"/>
          <w:szCs w:val="24"/>
          <w:lang w:eastAsia="zh-CN"/>
        </w:rPr>
        <w:t>海南</w:t>
      </w:r>
      <w:r>
        <w:rPr>
          <w:rFonts w:hint="eastAsia" w:asciiTheme="minorEastAsia" w:hAnsiTheme="minorEastAsia" w:eastAsiaTheme="minorEastAsia" w:cstheme="minorEastAsia"/>
          <w:sz w:val="24"/>
          <w:szCs w:val="24"/>
        </w:rPr>
        <w:t>子项目等重大工程建设任务，将</w:t>
      </w:r>
      <w:r>
        <w:rPr>
          <w:rFonts w:hint="eastAsia" w:asciiTheme="minorEastAsia" w:hAnsiTheme="minorEastAsia" w:eastAsiaTheme="minorEastAsia" w:cstheme="minorEastAsia"/>
          <w:sz w:val="24"/>
          <w:szCs w:val="24"/>
          <w:lang w:eastAsia="zh-CN"/>
        </w:rPr>
        <w:t>地震预警</w:t>
      </w:r>
      <w:r>
        <w:rPr>
          <w:rFonts w:hint="eastAsia" w:asciiTheme="minorEastAsia" w:hAnsiTheme="minorEastAsia" w:eastAsiaTheme="minorEastAsia" w:cstheme="minorEastAsia"/>
          <w:sz w:val="24"/>
          <w:szCs w:val="24"/>
        </w:rPr>
        <w:t>信息发布工作规范化、标准化，制定出切实可行、符合我省</w:t>
      </w:r>
      <w:r>
        <w:rPr>
          <w:rFonts w:hint="eastAsia" w:asciiTheme="minorEastAsia" w:hAnsiTheme="minorEastAsia" w:eastAsiaTheme="minorEastAsia" w:cstheme="minorEastAsia"/>
          <w:sz w:val="24"/>
          <w:szCs w:val="24"/>
          <w:lang w:eastAsia="zh-CN"/>
        </w:rPr>
        <w:t>地震预警</w:t>
      </w:r>
      <w:r>
        <w:rPr>
          <w:rFonts w:hint="eastAsia" w:asciiTheme="minorEastAsia" w:hAnsiTheme="minorEastAsia" w:eastAsiaTheme="minorEastAsia" w:cstheme="minorEastAsia"/>
          <w:sz w:val="24"/>
          <w:szCs w:val="24"/>
        </w:rPr>
        <w:t>信息发布实际需求的标准、规范</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不断推进</w:t>
      </w:r>
      <w:r>
        <w:rPr>
          <w:rFonts w:hint="eastAsia" w:asciiTheme="minorEastAsia" w:hAnsiTheme="minorEastAsia" w:eastAsiaTheme="minorEastAsia" w:cstheme="minorEastAsia"/>
          <w:sz w:val="24"/>
          <w:szCs w:val="24"/>
          <w:lang w:eastAsia="zh-CN"/>
        </w:rPr>
        <w:t>海南</w:t>
      </w:r>
      <w:r>
        <w:rPr>
          <w:rFonts w:hint="eastAsia" w:asciiTheme="minorEastAsia" w:hAnsiTheme="minorEastAsia" w:eastAsiaTheme="minorEastAsia" w:cstheme="minorEastAsia"/>
          <w:sz w:val="24"/>
          <w:szCs w:val="24"/>
        </w:rPr>
        <w:t>省</w:t>
      </w:r>
      <w:r>
        <w:rPr>
          <w:rFonts w:hint="eastAsia" w:asciiTheme="minorEastAsia" w:hAnsiTheme="minorEastAsia" w:eastAsiaTheme="minorEastAsia" w:cstheme="minorEastAsia"/>
          <w:sz w:val="24"/>
          <w:szCs w:val="24"/>
          <w:lang w:eastAsia="zh-CN"/>
        </w:rPr>
        <w:t>地震预警</w:t>
      </w:r>
      <w:r>
        <w:rPr>
          <w:rFonts w:hint="eastAsia" w:asciiTheme="minorEastAsia" w:hAnsiTheme="minorEastAsia" w:eastAsiaTheme="minorEastAsia" w:cstheme="minorEastAsia"/>
          <w:sz w:val="24"/>
          <w:szCs w:val="24"/>
        </w:rPr>
        <w:t>信息发布工作正常并有效防控社会风险。</w:t>
      </w:r>
    </w:p>
    <w:p w14:paraId="0C623D49">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（二）编制过程简介</w:t>
      </w:r>
    </w:p>
    <w:p w14:paraId="7C2B244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2024</w:t>
      </w:r>
      <w:r>
        <w:rPr>
          <w:rFonts w:hint="eastAsia" w:asciiTheme="minorEastAsia" w:hAnsiTheme="minorEastAsia" w:eastAsiaTheme="minorEastAsia" w:cstheme="minorEastAsia"/>
          <w:sz w:val="24"/>
          <w:szCs w:val="24"/>
        </w:rPr>
        <w:t xml:space="preserve"> 年</w:t>
      </w: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19</w:t>
      </w:r>
      <w:r>
        <w:rPr>
          <w:rFonts w:hint="eastAsia" w:asciiTheme="minorEastAsia" w:hAnsiTheme="minorEastAsia" w:eastAsiaTheme="minorEastAsia" w:cstheme="minorEastAsia"/>
          <w:sz w:val="24"/>
          <w:szCs w:val="24"/>
        </w:rPr>
        <w:t>日，收到《关于下达</w:t>
      </w:r>
      <w:r>
        <w:rPr>
          <w:rFonts w:hint="eastAsia" w:asciiTheme="minorEastAsia" w:hAnsiTheme="minorEastAsia" w:eastAsiaTheme="minorEastAsia" w:cstheme="minorEastAsia"/>
          <w:sz w:val="24"/>
          <w:szCs w:val="24"/>
          <w:lang w:val="en-US" w:eastAsia="zh-CN"/>
        </w:rPr>
        <w:t>2024</w:t>
      </w:r>
      <w:r>
        <w:rPr>
          <w:rFonts w:hint="eastAsia" w:asciiTheme="minorEastAsia" w:hAnsiTheme="minorEastAsia" w:eastAsiaTheme="minorEastAsia" w:cstheme="minorEastAsia"/>
          <w:sz w:val="24"/>
          <w:szCs w:val="24"/>
        </w:rPr>
        <w:t>年第</w:t>
      </w: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批海南省地方标准制修订计划（征求意见稿）的通知》后，成立标准编制小组，成员有</w:t>
      </w:r>
      <w:r>
        <w:rPr>
          <w:rFonts w:hint="eastAsia" w:asciiTheme="minorEastAsia" w:hAnsiTheme="minorEastAsia" w:eastAsiaTheme="minorEastAsia" w:cstheme="minorEastAsia"/>
          <w:sz w:val="24"/>
          <w:szCs w:val="24"/>
          <w:lang w:val="en-US" w:eastAsia="zh-CN"/>
        </w:rPr>
        <w:t>曾维顺、林冰、张涵、王隆、李健、王茺、</w:t>
      </w:r>
      <w:r>
        <w:rPr>
          <w:rFonts w:hint="eastAsia" w:asciiTheme="minorEastAsia" w:hAnsiTheme="minorEastAsia" w:eastAsiaTheme="minorEastAsia" w:cstheme="minorEastAsia"/>
          <w:sz w:val="24"/>
          <w:szCs w:val="24"/>
        </w:rPr>
        <w:t>彭利媚、</w:t>
      </w:r>
      <w:r>
        <w:rPr>
          <w:rFonts w:hint="eastAsia" w:asciiTheme="minorEastAsia" w:hAnsiTheme="minorEastAsia" w:cstheme="minorEastAsia"/>
          <w:sz w:val="24"/>
          <w:szCs w:val="24"/>
          <w:lang w:val="en-US" w:eastAsia="zh-CN"/>
        </w:rPr>
        <w:t>丁有兴</w:t>
      </w:r>
      <w:r>
        <w:rPr>
          <w:rFonts w:hint="eastAsia" w:asciiTheme="minorEastAsia" w:hAnsiTheme="minorEastAsia" w:eastAsiaTheme="minorEastAsia" w:cstheme="minorEastAsia"/>
          <w:sz w:val="24"/>
          <w:szCs w:val="24"/>
          <w:lang w:val="en-US" w:eastAsia="zh-CN"/>
        </w:rPr>
        <w:t>、李盛、姚道平、王惠琳</w:t>
      </w:r>
      <w:r>
        <w:rPr>
          <w:rFonts w:hint="eastAsia" w:asciiTheme="minorEastAsia" w:hAnsiTheme="minorEastAsia" w:eastAsiaTheme="minorEastAsia" w:cstheme="minorEastAsia"/>
          <w:sz w:val="24"/>
          <w:szCs w:val="24"/>
        </w:rPr>
        <w:t>。</w:t>
      </w:r>
    </w:p>
    <w:p w14:paraId="1DCC4C8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标准起草过程</w:t>
      </w:r>
      <w:r>
        <w:rPr>
          <w:rFonts w:hint="eastAsia" w:asciiTheme="minorEastAsia" w:hAnsiTheme="minorEastAsia" w:eastAsiaTheme="minorEastAsia" w:cstheme="minorEastAsia"/>
          <w:sz w:val="24"/>
          <w:szCs w:val="24"/>
        </w:rPr>
        <w:t>：</w:t>
      </w:r>
    </w:p>
    <w:p w14:paraId="19C945F8">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20</w:t>
      </w:r>
      <w:r>
        <w:rPr>
          <w:rFonts w:hint="eastAsia"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rPr>
        <w:t>月，《地震预警信息发布》</w:t>
      </w:r>
      <w:r>
        <w:rPr>
          <w:rFonts w:hint="eastAsia" w:asciiTheme="minorEastAsia" w:hAnsiTheme="minorEastAsia" w:eastAsiaTheme="minorEastAsia" w:cstheme="minorEastAsia"/>
          <w:sz w:val="24"/>
          <w:szCs w:val="24"/>
          <w:lang w:eastAsia="zh-CN"/>
        </w:rPr>
        <w:t>地方</w:t>
      </w:r>
      <w:r>
        <w:rPr>
          <w:rFonts w:hint="eastAsia" w:asciiTheme="minorEastAsia" w:hAnsiTheme="minorEastAsia" w:eastAsiaTheme="minorEastAsia" w:cstheme="minorEastAsia"/>
          <w:sz w:val="24"/>
          <w:szCs w:val="24"/>
        </w:rPr>
        <w:t>标准通过</w:t>
      </w:r>
      <w:r>
        <w:rPr>
          <w:rFonts w:hint="eastAsia" w:asciiTheme="minorEastAsia" w:hAnsiTheme="minorEastAsia" w:eastAsiaTheme="minorEastAsia" w:cstheme="minorEastAsia"/>
          <w:sz w:val="24"/>
          <w:szCs w:val="24"/>
          <w:lang w:eastAsia="zh-CN"/>
        </w:rPr>
        <w:t>海南</w:t>
      </w:r>
      <w:r>
        <w:rPr>
          <w:rFonts w:hint="eastAsia" w:asciiTheme="minorEastAsia" w:hAnsiTheme="minorEastAsia" w:eastAsiaTheme="minorEastAsia" w:cstheme="minorEastAsia"/>
          <w:sz w:val="24"/>
          <w:szCs w:val="24"/>
        </w:rPr>
        <w:t>省</w:t>
      </w:r>
      <w:r>
        <w:rPr>
          <w:rFonts w:hint="eastAsia" w:asciiTheme="minorEastAsia" w:hAnsiTheme="minorEastAsia" w:eastAsiaTheme="minorEastAsia" w:cstheme="minorEastAsia"/>
          <w:sz w:val="24"/>
          <w:szCs w:val="24"/>
          <w:lang w:eastAsia="zh-CN"/>
        </w:rPr>
        <w:t>市场</w:t>
      </w:r>
      <w:r>
        <w:rPr>
          <w:rFonts w:hint="eastAsia" w:asciiTheme="minorEastAsia" w:hAnsiTheme="minorEastAsia" w:eastAsiaTheme="minorEastAsia" w:cstheme="minorEastAsia"/>
          <w:sz w:val="24"/>
          <w:szCs w:val="24"/>
        </w:rPr>
        <w:t>监督管理局立项审查</w:t>
      </w:r>
      <w:r>
        <w:rPr>
          <w:rFonts w:hint="eastAsia" w:asciiTheme="minorEastAsia" w:hAnsiTheme="minorEastAsia" w:eastAsiaTheme="minorEastAsia" w:cstheme="minorEastAsia"/>
          <w:sz w:val="24"/>
          <w:szCs w:val="24"/>
          <w:lang w:eastAsia="zh-CN"/>
        </w:rPr>
        <w:t>。同月，海南省地震局成立标准编制工作组。</w:t>
      </w:r>
    </w:p>
    <w:p w14:paraId="1E2AE301">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2月，标准编制工作组分别针对标准编制涉及的内容开展了文献查阅、实地调研等前期工作，了解国内外地震预警建设及标准制定情况。</w:t>
      </w:r>
    </w:p>
    <w:p w14:paraId="6AD79A3A">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w:t>
      </w:r>
      <w:r>
        <w:rPr>
          <w:rFonts w:hint="eastAsia"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月，标准编制工作组召开编制工作启动会，标准编制组成员参加了会议。</w:t>
      </w:r>
    </w:p>
    <w:p w14:paraId="7A115601">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20</w:t>
      </w:r>
      <w:r>
        <w:rPr>
          <w:rFonts w:hint="eastAsia"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月</w:t>
      </w:r>
      <w:r>
        <w:rPr>
          <w:rFonts w:hint="eastAsia" w:asciiTheme="minorEastAsia" w:hAnsiTheme="minorEastAsia" w:eastAsiaTheme="minorEastAsia" w:cstheme="minorEastAsia"/>
          <w:sz w:val="24"/>
          <w:szCs w:val="24"/>
          <w:lang w:val="en-US" w:eastAsia="zh-CN"/>
        </w:rPr>
        <w:t>-3月</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标准编制工作组结合</w:t>
      </w:r>
      <w:r>
        <w:rPr>
          <w:rFonts w:hint="eastAsia" w:asciiTheme="minorEastAsia" w:hAnsiTheme="minorEastAsia" w:eastAsiaTheme="minorEastAsia" w:cstheme="minorEastAsia"/>
          <w:sz w:val="24"/>
          <w:szCs w:val="24"/>
          <w:lang w:eastAsia="zh-CN"/>
        </w:rPr>
        <w:t>海南</w:t>
      </w:r>
      <w:r>
        <w:rPr>
          <w:rFonts w:hint="eastAsia" w:asciiTheme="minorEastAsia" w:hAnsiTheme="minorEastAsia" w:eastAsiaTheme="minorEastAsia" w:cstheme="minorEastAsia"/>
          <w:sz w:val="24"/>
          <w:szCs w:val="24"/>
        </w:rPr>
        <w:t>省现状及</w:t>
      </w:r>
      <w:r>
        <w:rPr>
          <w:rFonts w:hint="eastAsia" w:asciiTheme="minorEastAsia" w:hAnsiTheme="minorEastAsia" w:eastAsiaTheme="minorEastAsia" w:cstheme="minorEastAsia"/>
          <w:sz w:val="24"/>
          <w:szCs w:val="24"/>
          <w:lang w:eastAsia="zh-CN"/>
        </w:rPr>
        <w:t>地震</w:t>
      </w:r>
      <w:r>
        <w:rPr>
          <w:rFonts w:hint="eastAsia" w:asciiTheme="minorEastAsia" w:hAnsiTheme="minorEastAsia" w:eastAsiaTheme="minorEastAsia" w:cstheme="minorEastAsia"/>
          <w:sz w:val="24"/>
          <w:szCs w:val="24"/>
        </w:rPr>
        <w:t>预警信息发布业务需求</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完成了《地震预警信息发布》（</w:t>
      </w:r>
      <w:r>
        <w:rPr>
          <w:rFonts w:hint="eastAsia" w:asciiTheme="minorEastAsia" w:hAnsiTheme="minorEastAsia" w:eastAsiaTheme="minorEastAsia" w:cstheme="minorEastAsia"/>
          <w:sz w:val="24"/>
          <w:szCs w:val="24"/>
          <w:lang w:val="en-US" w:eastAsia="zh-CN"/>
        </w:rPr>
        <w:t>征求意见稿</w:t>
      </w:r>
      <w:r>
        <w:rPr>
          <w:rFonts w:hint="eastAsia" w:asciiTheme="minorEastAsia" w:hAnsiTheme="minorEastAsia" w:eastAsiaTheme="minorEastAsia" w:cstheme="minorEastAsia"/>
          <w:sz w:val="24"/>
          <w:szCs w:val="24"/>
        </w:rPr>
        <w:t>）。</w:t>
      </w:r>
    </w:p>
    <w:p w14:paraId="5877F53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2"/>
          <w:sz w:val="24"/>
          <w:szCs w:val="24"/>
          <w:lang w:val="en-US" w:eastAsia="zh-CN" w:bidi="ar-SA"/>
        </w:rPr>
        <w:t>3</w:t>
      </w:r>
      <w:r>
        <w:rPr>
          <w:rFonts w:hint="eastAsia" w:asciiTheme="minorEastAsia" w:hAnsiTheme="minorEastAsia" w:cstheme="minorEastAsia"/>
          <w:kern w:val="2"/>
          <w:sz w:val="24"/>
          <w:szCs w:val="24"/>
          <w:lang w:val="en-US" w:eastAsia="zh-CN" w:bidi="ar-SA"/>
        </w:rPr>
        <w:t>、</w:t>
      </w:r>
      <w:r>
        <w:rPr>
          <w:rFonts w:hint="eastAsia" w:asciiTheme="minorEastAsia" w:hAnsiTheme="minorEastAsia" w:eastAsiaTheme="minorEastAsia" w:cstheme="minorEastAsia"/>
          <w:sz w:val="24"/>
          <w:szCs w:val="24"/>
          <w:lang w:val="en-US" w:eastAsia="zh-CN"/>
        </w:rPr>
        <w:t>征求意见情况：</w:t>
      </w:r>
    </w:p>
    <w:p w14:paraId="2D24D85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202</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年4月</w:t>
      </w:r>
      <w:r>
        <w:rPr>
          <w:rFonts w:hint="eastAsia" w:asciiTheme="minorEastAsia" w:hAnsiTheme="minorEastAsia" w:cstheme="minorEastAsia"/>
          <w:color w:val="auto"/>
          <w:sz w:val="24"/>
          <w:szCs w:val="24"/>
          <w:lang w:val="en-US" w:eastAsia="zh-CN"/>
        </w:rPr>
        <w:t>23</w:t>
      </w:r>
      <w:r>
        <w:rPr>
          <w:rFonts w:hint="eastAsia" w:asciiTheme="minorEastAsia" w:hAnsiTheme="minorEastAsia" w:eastAsiaTheme="minorEastAsia" w:cstheme="minorEastAsia"/>
          <w:color w:val="auto"/>
          <w:sz w:val="24"/>
          <w:szCs w:val="24"/>
        </w:rPr>
        <w:t>日，</w:t>
      </w:r>
      <w:r>
        <w:rPr>
          <w:rFonts w:hint="eastAsia" w:asciiTheme="minorEastAsia" w:hAnsiTheme="minorEastAsia" w:eastAsiaTheme="minorEastAsia" w:cstheme="minorEastAsia"/>
          <w:color w:val="auto"/>
          <w:sz w:val="24"/>
          <w:szCs w:val="24"/>
          <w:lang w:val="en-US" w:eastAsia="zh-CN"/>
        </w:rPr>
        <w:t>通过海南省地震局</w:t>
      </w:r>
      <w:r>
        <w:rPr>
          <w:rFonts w:hint="eastAsia" w:asciiTheme="minorEastAsia" w:hAnsiTheme="minorEastAsia" w:eastAsiaTheme="minorEastAsia" w:cstheme="minorEastAsia"/>
          <w:color w:val="auto"/>
          <w:sz w:val="24"/>
          <w:szCs w:val="24"/>
        </w:rPr>
        <w:t>门户网站向社会公开征求意见</w:t>
      </w:r>
      <w:r>
        <w:rPr>
          <w:rFonts w:hint="eastAsia" w:asciiTheme="minorEastAsia" w:hAnsiTheme="minorEastAsia" w:cstheme="minorEastAsia"/>
          <w:color w:val="auto"/>
          <w:sz w:val="24"/>
          <w:szCs w:val="24"/>
          <w:lang w:val="en-US" w:eastAsia="zh-CN"/>
        </w:rPr>
        <w:t>一个月</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未收到意见反馈。</w:t>
      </w:r>
    </w:p>
    <w:p w14:paraId="7E9E3A0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lang w:eastAsia="zh-CN"/>
        </w:rPr>
      </w:pPr>
    </w:p>
    <w:p w14:paraId="24EACCD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lang w:eastAsia="zh-CN"/>
        </w:rPr>
      </w:pPr>
    </w:p>
    <w:p w14:paraId="5384744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lang w:eastAsia="zh-CN"/>
        </w:rPr>
      </w:pPr>
    </w:p>
    <w:p w14:paraId="0140447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lang w:eastAsia="zh-CN"/>
        </w:rPr>
      </w:pPr>
    </w:p>
    <w:p w14:paraId="3BAC84C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20" w:firstLineChars="200"/>
        <w:jc w:val="both"/>
        <w:textAlignment w:val="auto"/>
        <w:rPr>
          <w:rFonts w:hint="eastAsia" w:asciiTheme="minorEastAsia" w:hAnsiTheme="minorEastAsia" w:eastAsiaTheme="minorEastAsia" w:cstheme="minorEastAsia"/>
          <w:color w:val="auto"/>
          <w:sz w:val="24"/>
          <w:szCs w:val="24"/>
          <w:lang w:eastAsia="zh-CN"/>
        </w:rPr>
      </w:pPr>
      <w:r>
        <w:drawing>
          <wp:anchor distT="0" distB="0" distL="114300" distR="114300" simplePos="0" relativeHeight="251659264" behindDoc="0" locked="0" layoutInCell="1" allowOverlap="1">
            <wp:simplePos x="0" y="0"/>
            <wp:positionH relativeFrom="column">
              <wp:posOffset>114300</wp:posOffset>
            </wp:positionH>
            <wp:positionV relativeFrom="paragraph">
              <wp:posOffset>-485775</wp:posOffset>
            </wp:positionV>
            <wp:extent cx="5106670" cy="3248025"/>
            <wp:effectExtent l="0" t="0" r="17780" b="952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106670" cy="3248025"/>
                    </a:xfrm>
                    <a:prstGeom prst="rect">
                      <a:avLst/>
                    </a:prstGeom>
                    <a:noFill/>
                    <a:ln>
                      <a:noFill/>
                    </a:ln>
                  </pic:spPr>
                </pic:pic>
              </a:graphicData>
            </a:graphic>
          </wp:anchor>
        </w:drawing>
      </w:r>
    </w:p>
    <w:p w14:paraId="480A3E4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lang w:eastAsia="zh-CN"/>
        </w:rPr>
      </w:pPr>
    </w:p>
    <w:p w14:paraId="4961B8F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lang w:eastAsia="zh-CN"/>
        </w:rPr>
      </w:pPr>
    </w:p>
    <w:p w14:paraId="579B303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lang w:eastAsia="zh-CN"/>
        </w:rPr>
      </w:pPr>
    </w:p>
    <w:p w14:paraId="5825F38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lang w:eastAsia="zh-CN"/>
        </w:rPr>
      </w:pPr>
    </w:p>
    <w:p w14:paraId="397ECBA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lang w:eastAsia="zh-CN"/>
        </w:rPr>
      </w:pPr>
    </w:p>
    <w:p w14:paraId="01EDBE2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lang w:eastAsia="zh-CN"/>
        </w:rPr>
      </w:pPr>
    </w:p>
    <w:p w14:paraId="2719C0C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lang w:eastAsia="zh-CN"/>
        </w:rPr>
      </w:pPr>
    </w:p>
    <w:p w14:paraId="435ED6F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lang w:eastAsia="zh-CN"/>
        </w:rPr>
      </w:pPr>
    </w:p>
    <w:p w14:paraId="6058126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lang w:eastAsia="zh-CN"/>
        </w:rPr>
      </w:pPr>
    </w:p>
    <w:p w14:paraId="57DDBB4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202</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年4月</w:t>
      </w:r>
      <w:r>
        <w:rPr>
          <w:rFonts w:hint="eastAsia" w:asciiTheme="minorEastAsia" w:hAnsiTheme="minorEastAsia" w:cstheme="minorEastAsia"/>
          <w:color w:val="auto"/>
          <w:sz w:val="24"/>
          <w:szCs w:val="24"/>
          <w:lang w:val="en-US" w:eastAsia="zh-CN"/>
        </w:rPr>
        <w:t>23</w:t>
      </w:r>
      <w:r>
        <w:rPr>
          <w:rFonts w:hint="eastAsia" w:asciiTheme="minorEastAsia" w:hAnsiTheme="minorEastAsia" w:eastAsiaTheme="minorEastAsia" w:cstheme="minorEastAsia"/>
          <w:color w:val="auto"/>
          <w:sz w:val="24"/>
          <w:szCs w:val="24"/>
        </w:rPr>
        <w:t>日，</w:t>
      </w:r>
      <w:r>
        <w:rPr>
          <w:rFonts w:hint="eastAsia" w:asciiTheme="minorEastAsia" w:hAnsiTheme="minorEastAsia" w:eastAsiaTheme="minorEastAsia" w:cstheme="minorEastAsia"/>
          <w:color w:val="auto"/>
          <w:sz w:val="24"/>
          <w:szCs w:val="24"/>
          <w:lang w:val="en-US" w:eastAsia="zh-CN"/>
        </w:rPr>
        <w:t>通过海南省地震局</w:t>
      </w:r>
      <w:r>
        <w:rPr>
          <w:rFonts w:hint="eastAsia" w:asciiTheme="minorEastAsia" w:hAnsiTheme="minorEastAsia" w:eastAsiaTheme="minorEastAsia" w:cstheme="minorEastAsia"/>
          <w:color w:val="auto"/>
          <w:sz w:val="24"/>
          <w:szCs w:val="24"/>
        </w:rPr>
        <w:t>以发函形式广泛征求意见，发函对象包括</w:t>
      </w:r>
      <w:r>
        <w:rPr>
          <w:rFonts w:hint="eastAsia" w:asciiTheme="minorEastAsia" w:hAnsiTheme="minorEastAsia" w:cstheme="minorEastAsia"/>
          <w:color w:val="auto"/>
          <w:sz w:val="24"/>
          <w:szCs w:val="24"/>
          <w:lang w:val="en-US" w:eastAsia="zh-CN"/>
        </w:rPr>
        <w:t>中国地震局各级地震业务工作管理部门等相关单位、省委宣传部</w:t>
      </w:r>
      <w:r>
        <w:rPr>
          <w:rFonts w:hint="eastAsia" w:asciiTheme="minorEastAsia" w:hAnsiTheme="minorEastAsia" w:eastAsiaTheme="minorEastAsia" w:cstheme="minorEastAsia"/>
          <w:color w:val="auto"/>
          <w:sz w:val="24"/>
          <w:szCs w:val="24"/>
          <w:lang w:val="en-US" w:eastAsia="zh-CN"/>
        </w:rPr>
        <w:t>、应急</w:t>
      </w:r>
      <w:r>
        <w:rPr>
          <w:rFonts w:hint="eastAsia" w:asciiTheme="minorEastAsia" w:hAnsiTheme="minorEastAsia" w:eastAsiaTheme="minorEastAsia" w:cstheme="minorEastAsia"/>
          <w:color w:val="auto"/>
          <w:sz w:val="24"/>
          <w:szCs w:val="24"/>
        </w:rPr>
        <w:t>厅</w:t>
      </w:r>
      <w:r>
        <w:rPr>
          <w:rFonts w:hint="eastAsia" w:asciiTheme="minorEastAsia" w:hAnsiTheme="minorEastAsia" w:cstheme="minorEastAsia"/>
          <w:color w:val="auto"/>
          <w:sz w:val="24"/>
          <w:szCs w:val="24"/>
          <w:lang w:eastAsia="zh-CN"/>
        </w:rPr>
        <w:t>等</w:t>
      </w:r>
      <w:r>
        <w:rPr>
          <w:rFonts w:hint="eastAsia" w:asciiTheme="minorEastAsia" w:hAnsiTheme="minorEastAsia" w:cstheme="minorEastAsia"/>
          <w:color w:val="auto"/>
          <w:sz w:val="24"/>
          <w:szCs w:val="24"/>
          <w:lang w:val="en-US" w:eastAsia="zh-CN"/>
        </w:rPr>
        <w:t>24</w:t>
      </w:r>
      <w:r>
        <w:rPr>
          <w:rFonts w:hint="eastAsia" w:asciiTheme="minorEastAsia" w:hAnsiTheme="minorEastAsia" w:eastAsiaTheme="minorEastAsia" w:cstheme="minorEastAsia"/>
          <w:color w:val="auto"/>
          <w:sz w:val="24"/>
          <w:szCs w:val="24"/>
        </w:rPr>
        <w:t>个相关单位</w:t>
      </w:r>
      <w:r>
        <w:rPr>
          <w:rFonts w:hint="eastAsia" w:asciiTheme="minorEastAsia" w:hAnsiTheme="minorEastAsia" w:cstheme="minorEastAsia"/>
          <w:color w:val="auto"/>
          <w:sz w:val="24"/>
          <w:szCs w:val="24"/>
          <w:lang w:val="en-US" w:eastAsia="zh-CN"/>
        </w:rPr>
        <w:t>，</w:t>
      </w:r>
      <w:bookmarkStart w:id="0" w:name="_GoBack"/>
      <w:bookmarkEnd w:id="0"/>
      <w:r>
        <w:rPr>
          <w:rFonts w:hint="eastAsia" w:asciiTheme="minorEastAsia" w:hAnsiTheme="minorEastAsia" w:cstheme="minorEastAsia"/>
          <w:color w:val="auto"/>
          <w:sz w:val="24"/>
          <w:szCs w:val="24"/>
          <w:lang w:val="en-US" w:eastAsia="zh-CN"/>
        </w:rPr>
        <w:t>收到17条意见，采纳11条，部分采纳1条，不采纳5条</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意见汇总表见附表1），</w:t>
      </w:r>
      <w:r>
        <w:rPr>
          <w:rFonts w:hint="eastAsia" w:asciiTheme="minorEastAsia" w:hAnsiTheme="minorEastAsia" w:eastAsiaTheme="minorEastAsia" w:cstheme="minorEastAsia"/>
          <w:color w:val="auto"/>
          <w:sz w:val="24"/>
          <w:szCs w:val="24"/>
        </w:rPr>
        <w:t>编制组根据上述意见对标准征求意见稿进一步修改完善</w:t>
      </w:r>
      <w:r>
        <w:rPr>
          <w:rFonts w:hint="eastAsia" w:asciiTheme="minorEastAsia" w:hAnsiTheme="minorEastAsia" w:eastAsiaTheme="minorEastAsia" w:cstheme="minorEastAsia"/>
          <w:color w:val="auto"/>
          <w:sz w:val="24"/>
          <w:szCs w:val="24"/>
          <w:lang w:eastAsia="zh-CN"/>
        </w:rPr>
        <w:t>。</w:t>
      </w:r>
    </w:p>
    <w:p w14:paraId="644F3E2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20" w:firstLineChars="200"/>
        <w:jc w:val="both"/>
        <w:textAlignment w:val="auto"/>
        <w:rPr>
          <w:rFonts w:hint="eastAsia" w:asciiTheme="minorEastAsia" w:hAnsiTheme="minorEastAsia" w:eastAsiaTheme="minorEastAsia" w:cstheme="minorEastAsia"/>
          <w:color w:val="auto"/>
          <w:sz w:val="24"/>
          <w:szCs w:val="24"/>
        </w:rPr>
      </w:pPr>
      <w:r>
        <w:drawing>
          <wp:anchor distT="0" distB="0" distL="114300" distR="114300" simplePos="0" relativeHeight="251660288" behindDoc="0" locked="0" layoutInCell="1" allowOverlap="1">
            <wp:simplePos x="0" y="0"/>
            <wp:positionH relativeFrom="column">
              <wp:posOffset>390525</wp:posOffset>
            </wp:positionH>
            <wp:positionV relativeFrom="paragraph">
              <wp:posOffset>1340485</wp:posOffset>
            </wp:positionV>
            <wp:extent cx="4953000" cy="3253105"/>
            <wp:effectExtent l="0" t="0" r="0"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953000" cy="3253105"/>
                    </a:xfrm>
                    <a:prstGeom prst="rect">
                      <a:avLst/>
                    </a:prstGeom>
                    <a:noFill/>
                    <a:ln>
                      <a:noFill/>
                    </a:ln>
                  </pic:spPr>
                </pic:pic>
              </a:graphicData>
            </a:graphic>
          </wp:anchor>
        </w:drawing>
      </w:r>
      <w:r>
        <w:rPr>
          <w:rFonts w:hint="eastAsia" w:asciiTheme="minorEastAsia" w:hAnsiTheme="minorEastAsia" w:eastAsiaTheme="minorEastAsia" w:cstheme="minorEastAsia"/>
          <w:color w:val="auto"/>
          <w:sz w:val="24"/>
          <w:szCs w:val="24"/>
          <w:lang w:val="en-US" w:eastAsia="zh-CN"/>
        </w:rPr>
        <w:t>2025年5月12日，</w:t>
      </w:r>
      <w:r>
        <w:rPr>
          <w:rFonts w:hint="eastAsia" w:asciiTheme="minorEastAsia" w:hAnsiTheme="minorEastAsia" w:eastAsiaTheme="minorEastAsia" w:cstheme="minorEastAsia"/>
          <w:color w:val="auto"/>
          <w:sz w:val="24"/>
          <w:szCs w:val="24"/>
        </w:rPr>
        <w:t>召开线下标准征求意见会，共有来自</w:t>
      </w:r>
      <w:r>
        <w:rPr>
          <w:rFonts w:hint="eastAsia" w:asciiTheme="minorEastAsia" w:hAnsiTheme="minorEastAsia" w:eastAsiaTheme="minorEastAsia" w:cstheme="minorEastAsia"/>
          <w:color w:val="auto"/>
          <w:sz w:val="24"/>
          <w:szCs w:val="24"/>
          <w:lang w:val="en-US" w:eastAsia="zh-CN"/>
        </w:rPr>
        <w:t>4</w:t>
      </w:r>
      <w:r>
        <w:rPr>
          <w:rFonts w:hint="eastAsia" w:asciiTheme="minorEastAsia" w:hAnsiTheme="minorEastAsia" w:eastAsiaTheme="minorEastAsia" w:cstheme="minorEastAsia"/>
          <w:color w:val="auto"/>
          <w:sz w:val="24"/>
          <w:szCs w:val="24"/>
        </w:rPr>
        <w:t>个单位的</w:t>
      </w:r>
      <w:r>
        <w:rPr>
          <w:rFonts w:hint="eastAsia" w:asciiTheme="minorEastAsia" w:hAnsiTheme="minorEastAsia" w:eastAsiaTheme="minorEastAsia" w:cstheme="minorEastAsia"/>
          <w:color w:val="auto"/>
          <w:sz w:val="24"/>
          <w:szCs w:val="24"/>
          <w:lang w:val="en-US" w:eastAsia="zh-CN"/>
        </w:rPr>
        <w:t>4</w:t>
      </w:r>
      <w:r>
        <w:rPr>
          <w:rFonts w:hint="eastAsia" w:asciiTheme="minorEastAsia" w:hAnsiTheme="minorEastAsia" w:eastAsiaTheme="minorEastAsia" w:cstheme="minorEastAsia"/>
          <w:color w:val="auto"/>
          <w:sz w:val="24"/>
          <w:szCs w:val="24"/>
        </w:rPr>
        <w:t>位代表参与会议，并对标准内容提出问题与意见，编制组对问题进行了解答、对意见进行了记录，</w:t>
      </w:r>
      <w:r>
        <w:rPr>
          <w:rFonts w:hint="eastAsia" w:asciiTheme="minorEastAsia" w:hAnsiTheme="minorEastAsia" w:cstheme="minorEastAsia"/>
          <w:color w:val="auto"/>
          <w:sz w:val="24"/>
          <w:szCs w:val="24"/>
          <w:lang w:val="en-US" w:eastAsia="zh-CN"/>
        </w:rPr>
        <w:t>会议提出29条意见，采纳23条，部分采纳2条，不采纳4条</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意见汇总表见附表2</w:t>
      </w:r>
      <w:r>
        <w:rPr>
          <w:rFonts w:hint="eastAsia"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，并根据意见处理情况对标准征求意见稿及编制说明进行修改。</w:t>
      </w:r>
    </w:p>
    <w:p w14:paraId="3A3A79D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rPr>
      </w:pPr>
    </w:p>
    <w:p w14:paraId="4025F02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rPr>
      </w:pPr>
    </w:p>
    <w:p w14:paraId="005EB13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rPr>
      </w:pPr>
    </w:p>
    <w:p w14:paraId="0EE1C52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rPr>
      </w:pPr>
    </w:p>
    <w:p w14:paraId="1499287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rPr>
      </w:pPr>
    </w:p>
    <w:p w14:paraId="0292E6E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Theme="minorEastAsia" w:hAnsiTheme="minorEastAsia" w:eastAsiaTheme="minorEastAsia" w:cstheme="minorEastAsia"/>
          <w:color w:val="auto"/>
          <w:sz w:val="24"/>
          <w:szCs w:val="24"/>
        </w:rPr>
      </w:pPr>
    </w:p>
    <w:p w14:paraId="6A5C57A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20" w:firstLineChars="200"/>
        <w:jc w:val="both"/>
        <w:textAlignment w:val="auto"/>
      </w:pPr>
    </w:p>
    <w:p w14:paraId="189E74A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20" w:firstLineChars="200"/>
        <w:jc w:val="both"/>
        <w:textAlignment w:val="auto"/>
      </w:pPr>
    </w:p>
    <w:p w14:paraId="169017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lang w:val="en-US" w:eastAsia="zh-CN"/>
        </w:rPr>
      </w:pPr>
    </w:p>
    <w:p w14:paraId="26737B59">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（三）制定标准的原则和依据，与现行法律法规、标准的关系</w:t>
      </w:r>
    </w:p>
    <w:p w14:paraId="73761CD6">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1、制定标准的原则</w:t>
      </w:r>
    </w:p>
    <w:p w14:paraId="44F55CA6">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84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科学性</w:t>
      </w:r>
    </w:p>
    <w:p w14:paraId="3178719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在本标准制定过程中，参考相关国家标准、中国地震局技术指南和</w:t>
      </w:r>
      <w:r>
        <w:rPr>
          <w:rFonts w:hint="eastAsia" w:asciiTheme="minorEastAsia" w:hAnsiTheme="minorEastAsia" w:cstheme="minorEastAsia"/>
          <w:sz w:val="24"/>
          <w:szCs w:val="24"/>
          <w:lang w:val="en-US" w:eastAsia="zh-CN"/>
        </w:rPr>
        <w:t>其他</w:t>
      </w:r>
      <w:r>
        <w:rPr>
          <w:rFonts w:hint="eastAsia" w:asciiTheme="minorEastAsia" w:hAnsiTheme="minorEastAsia" w:eastAsiaTheme="minorEastAsia" w:cstheme="minorEastAsia"/>
          <w:sz w:val="24"/>
          <w:szCs w:val="24"/>
          <w:lang w:val="en-US" w:eastAsia="zh-CN"/>
        </w:rPr>
        <w:t>省份地方标准对地震预警信息发布中涉及的科学术语进行统一规范，确保在预警信息发布过程中使用准确、一致的语言，避免因术语歧义导致的信息误解和传播混乱。</w:t>
      </w:r>
    </w:p>
    <w:p w14:paraId="1B12B112">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84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统一性</w:t>
      </w:r>
    </w:p>
    <w:p w14:paraId="4FE6E2A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在本标准制定过程中，统一性能避免出现相互矛盾或重复的情况，它有助于减少混乱，确保标准的权威性和有效性。</w:t>
      </w:r>
    </w:p>
    <w:p w14:paraId="405E43C2">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84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协调性</w:t>
      </w:r>
    </w:p>
    <w:p w14:paraId="41F9102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本标准在编制过程中，坚持标准研究与政策法规的协调，标准制定与现行标准体系的协调，标准实施与相关实施部门的协调。</w:t>
      </w:r>
    </w:p>
    <w:p w14:paraId="58D86712">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84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适用性</w:t>
      </w:r>
    </w:p>
    <w:p w14:paraId="7404A4C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本标准的制定强调针对性、指导性、操作性与实用性。它专为海南省地震预警信息发布而设，适用对象涵盖政府部门、社会公众及特殊行业。编制时严格遵循 GB/T1.1关于层次设置、编号等规定，确保标准结构清晰、编号规范，便于被其他相关文件引用，提升标准在地震预警工作中的实际应用价值。</w:t>
      </w:r>
    </w:p>
    <w:p w14:paraId="671A3529">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84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规范性</w:t>
      </w:r>
    </w:p>
    <w:p w14:paraId="66B4A8F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本标准的结构和编写规则上，GB/T</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t>1《标准化工作导则》《海南省地方标准管理办法》和DB46/T 74—2021《地方标准制修订工作规范》的相关要求，以保证标准编写质量。</w:t>
      </w:r>
    </w:p>
    <w:p w14:paraId="4791942F">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与现行法律法规、标准的关系</w:t>
      </w:r>
    </w:p>
    <w:p w14:paraId="18EC7EE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本标准</w:t>
      </w:r>
      <w:r>
        <w:rPr>
          <w:rFonts w:hint="eastAsia" w:asciiTheme="minorEastAsia" w:hAnsiTheme="minorEastAsia" w:eastAsiaTheme="minorEastAsia" w:cstheme="minorEastAsia"/>
          <w:sz w:val="24"/>
          <w:szCs w:val="24"/>
        </w:rPr>
        <w:t>与</w:t>
      </w:r>
      <w:r>
        <w:rPr>
          <w:rFonts w:hint="eastAsia" w:asciiTheme="minorEastAsia" w:hAnsiTheme="minorEastAsia" w:eastAsiaTheme="minorEastAsia" w:cstheme="minorEastAsia"/>
          <w:sz w:val="24"/>
          <w:szCs w:val="24"/>
          <w:lang w:val="en-US" w:eastAsia="zh-CN"/>
        </w:rPr>
        <w:t>现行</w:t>
      </w:r>
      <w:r>
        <w:rPr>
          <w:rFonts w:hint="eastAsia" w:asciiTheme="minorEastAsia" w:hAnsiTheme="minorEastAsia" w:eastAsiaTheme="minorEastAsia" w:cstheme="minorEastAsia"/>
          <w:sz w:val="24"/>
          <w:szCs w:val="24"/>
        </w:rPr>
        <w:t>《中华人民共和国防震减灾法》</w:t>
      </w:r>
      <w:r>
        <w:rPr>
          <w:rFonts w:hint="eastAsia" w:asciiTheme="minorEastAsia" w:hAnsiTheme="minorEastAsia" w:eastAsiaTheme="minorEastAsia" w:cstheme="minorEastAsia"/>
          <w:sz w:val="24"/>
          <w:szCs w:val="24"/>
          <w:lang w:eastAsia="zh-CN"/>
        </w:rPr>
        <w:t>、《海南省地震预警管理办法》、</w:t>
      </w:r>
      <w:r>
        <w:rPr>
          <w:rFonts w:hint="eastAsia" w:asciiTheme="minorEastAsia" w:hAnsiTheme="minorEastAsia" w:eastAsiaTheme="minorEastAsia" w:cstheme="minorEastAsia"/>
          <w:sz w:val="24"/>
          <w:szCs w:val="24"/>
        </w:rPr>
        <w:t>《地震标准制修订工作程序（试行）》和《</w:t>
      </w:r>
      <w:r>
        <w:rPr>
          <w:rFonts w:hint="eastAsia" w:asciiTheme="minorEastAsia" w:hAnsiTheme="minorEastAsia" w:eastAsiaTheme="minorEastAsia" w:cstheme="minorEastAsia"/>
          <w:sz w:val="24"/>
          <w:szCs w:val="24"/>
          <w:lang w:eastAsia="zh-CN"/>
        </w:rPr>
        <w:t>海南</w:t>
      </w:r>
      <w:r>
        <w:rPr>
          <w:rFonts w:hint="eastAsia" w:asciiTheme="minorEastAsia" w:hAnsiTheme="minorEastAsia" w:eastAsiaTheme="minorEastAsia" w:cstheme="minorEastAsia"/>
          <w:sz w:val="24"/>
          <w:szCs w:val="24"/>
        </w:rPr>
        <w:t>省地方标准管理办法</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相一致，不与</w:t>
      </w:r>
      <w:r>
        <w:rPr>
          <w:rFonts w:hint="eastAsia" w:asciiTheme="minorEastAsia" w:hAnsiTheme="minorEastAsia" w:eastAsiaTheme="minorEastAsia" w:cstheme="minorEastAsia"/>
          <w:sz w:val="24"/>
          <w:szCs w:val="24"/>
        </w:rPr>
        <w:t>其它法律、法规、标准相违背。</w:t>
      </w:r>
    </w:p>
    <w:p w14:paraId="3C97CB2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（四）主要条款的说明，主要技术指标、参数、试验验证的论述</w:t>
      </w:r>
    </w:p>
    <w:p w14:paraId="1DF501D9">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本文件的章节由范围</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规范性引用文件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术语和定义</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地震预警等级、预警信息的发布、信息更新与取消</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信息安全要求</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附录A地震预警等级图标</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附录B地震预警声音</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附录C地震预警信息文本模板</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参考文献</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部分组成。</w:t>
      </w:r>
    </w:p>
    <w:p w14:paraId="53FCB133">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（五）标准中如果涉及专利，应有明确的知识产权说明</w:t>
      </w:r>
    </w:p>
    <w:p w14:paraId="3E2E4BEA">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无</w:t>
      </w:r>
      <w:r>
        <w:rPr>
          <w:rFonts w:hint="eastAsia" w:asciiTheme="minorEastAsia" w:hAnsiTheme="minorEastAsia" w:eastAsiaTheme="minorEastAsia" w:cstheme="minorEastAsia"/>
          <w:sz w:val="24"/>
          <w:szCs w:val="24"/>
        </w:rPr>
        <w:t>。</w:t>
      </w:r>
    </w:p>
    <w:p w14:paraId="1F918FD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（六）采用国际标准或国外先进标准的，说明采标程度，以及国内外同类标准水平的对比情况</w:t>
      </w:r>
    </w:p>
    <w:p w14:paraId="664C8F5F">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rPr>
        <w:t>本</w:t>
      </w:r>
      <w:r>
        <w:rPr>
          <w:rFonts w:hint="eastAsia" w:asciiTheme="minorEastAsia" w:hAnsiTheme="minorEastAsia" w:eastAsiaTheme="minorEastAsia" w:cstheme="minorEastAsia"/>
          <w:sz w:val="24"/>
          <w:szCs w:val="24"/>
          <w:lang w:val="en-US" w:eastAsia="zh-CN"/>
        </w:rPr>
        <w:t>标准</w:t>
      </w:r>
      <w:r>
        <w:rPr>
          <w:rFonts w:hint="eastAsia" w:asciiTheme="minorEastAsia" w:hAnsiTheme="minorEastAsia" w:eastAsiaTheme="minorEastAsia" w:cstheme="minorEastAsia"/>
          <w:sz w:val="24"/>
          <w:szCs w:val="24"/>
        </w:rPr>
        <w:t>未采用国际标准或国外先进标准。</w:t>
      </w:r>
    </w:p>
    <w:p w14:paraId="148D37A8">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rPr>
        <w:t>国</w:t>
      </w:r>
      <w:r>
        <w:rPr>
          <w:rFonts w:hint="eastAsia" w:asciiTheme="minorEastAsia" w:hAnsiTheme="minorEastAsia" w:eastAsiaTheme="minorEastAsia" w:cstheme="minorEastAsia"/>
          <w:sz w:val="24"/>
          <w:szCs w:val="24"/>
          <w:lang w:val="en-US" w:eastAsia="zh-CN"/>
        </w:rPr>
        <w:t>外</w:t>
      </w:r>
      <w:r>
        <w:rPr>
          <w:rFonts w:hint="eastAsia" w:asciiTheme="minorEastAsia" w:hAnsiTheme="minorEastAsia" w:eastAsiaTheme="minorEastAsia" w:cstheme="minorEastAsia"/>
          <w:sz w:val="24"/>
          <w:szCs w:val="24"/>
        </w:rPr>
        <w:t>相关标准概况</w:t>
      </w:r>
    </w:p>
    <w:p w14:paraId="762AA189">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目前，世界上具备健全紧急地震信息发布体系的国家和地区较少，日本在地震预警信息发布系统的建设与推广方面成效显著，这得益于其完善的法律制度和高效的协调机制。截至 2006年，日本政府已制定232部危机管理法律法规，其中《灾害对策基本法》《地震防灾对策特别措施法》等多部法律均涉及紧急地震信息发布。尤其是《气象业务法》，对地震预警信息的发布名称、内容、条件及责任义务进行了细致规范。此外，日本围绕地震烈度发布、信息保密、台网运维等环节，构建了一系列标准规程，并明确气象厅为地震预警信息的唯一权威发布机构。这些法律法规与规范标准，确保了日本地震预警信息发布的快速性、规范性和权威性，有效提升了信息质量与可靠性。</w:t>
      </w:r>
    </w:p>
    <w:p w14:paraId="2D44127F">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rPr>
        <w:t>国</w:t>
      </w:r>
      <w:r>
        <w:rPr>
          <w:rFonts w:hint="eastAsia" w:asciiTheme="minorEastAsia" w:hAnsiTheme="minorEastAsia" w:eastAsiaTheme="minorEastAsia" w:cstheme="minorEastAsia"/>
          <w:sz w:val="24"/>
          <w:szCs w:val="24"/>
          <w:lang w:val="en-US" w:eastAsia="zh-CN"/>
        </w:rPr>
        <w:t>内</w:t>
      </w:r>
      <w:r>
        <w:rPr>
          <w:rFonts w:hint="eastAsia" w:asciiTheme="minorEastAsia" w:hAnsiTheme="minorEastAsia" w:eastAsiaTheme="minorEastAsia" w:cstheme="minorEastAsia"/>
          <w:sz w:val="24"/>
          <w:szCs w:val="24"/>
        </w:rPr>
        <w:t>相关标准概况</w:t>
      </w:r>
    </w:p>
    <w:p w14:paraId="7AE1BA6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在国内，重特大自然灾害的预警和紧急信息发布主要依据《中华人民共和国突发事件应对法》，该法在过往灾害发布与响应中发挥了重要指导作用。随着国家地震烈度速报与预警工程项目推进，中国地震局及地方省局积极完善制度建设，出台了《中国地震预警网地震预警发布指南（内部执行）》《京津冀紧急地震信息发布技术约定》等一系列规定。​</w:t>
      </w:r>
    </w:p>
    <w:p w14:paraId="75CAA1B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在标准制定层面，2017 年福建省率先实施地方标准《地震预警信息发布》（DB35/T 1666-2017），明确了预警等级、图标、声音及发布要求等内容，为信息传播提供规范。此后，辽宁、广东、河南等多省份相继颁布地震预警信息发布地方标准，新疆等地也在紧锣密鼓编制相关标准。​</w:t>
      </w:r>
    </w:p>
    <w:p w14:paraId="55494F2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color w:val="auto"/>
          <w:sz w:val="24"/>
          <w:szCs w:val="24"/>
        </w:rPr>
        <w:t>管理规范方面，北京市、河北省等 24 个省局已颁布地震预警信息发布地方性法规。海南省政府以政府令第 311 号形式发布《海南省地震预警管理办法》，并于 2023 年 5 月 1 日起正式施行，进一步完善了预警信息发布的制度体系 。</w:t>
      </w:r>
      <w:r>
        <w:rPr>
          <w:rFonts w:hint="eastAsia" w:asciiTheme="minorEastAsia" w:hAnsiTheme="minorEastAsia" w:eastAsiaTheme="minorEastAsia" w:cstheme="minorEastAsia"/>
          <w:b/>
          <w:bCs/>
          <w:sz w:val="24"/>
          <w:szCs w:val="24"/>
        </w:rPr>
        <w:t>（七）重大分歧意见的处理依据和结果</w:t>
      </w:r>
    </w:p>
    <w:p w14:paraId="783358FD">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本文件在编制和讨论过程中，未出现重大分歧意见。</w:t>
      </w:r>
    </w:p>
    <w:p w14:paraId="37E05F6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（八）贯彻标准的要求和措施建议（包括组织措施、技术措施、过渡办法、实施日期等）</w:t>
      </w:r>
    </w:p>
    <w:p w14:paraId="68859076">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1、组织措施:由海南省地震局牵头，加强组织领导和监督检查，确保标准的落实。</w:t>
      </w:r>
    </w:p>
    <w:p w14:paraId="1C7675AC">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2、技术措施:开展对相关单位、企业和人员的标准</w:t>
      </w:r>
      <w:r>
        <w:rPr>
          <w:rFonts w:hint="eastAsia" w:asciiTheme="minorEastAsia" w:hAnsiTheme="minorEastAsia" w:cstheme="minorEastAsia"/>
          <w:sz w:val="24"/>
          <w:szCs w:val="24"/>
          <w:lang w:val="en-US" w:eastAsia="zh-CN"/>
        </w:rPr>
        <w:t>宣</w:t>
      </w:r>
      <w:r>
        <w:rPr>
          <w:rFonts w:hint="eastAsia" w:asciiTheme="minorEastAsia" w:hAnsiTheme="minorEastAsia" w:eastAsiaTheme="minorEastAsia" w:cstheme="minorEastAsia"/>
          <w:sz w:val="24"/>
          <w:szCs w:val="24"/>
          <w:lang w:val="en-US" w:eastAsia="zh-CN"/>
        </w:rPr>
        <w:t>贯工作。</w:t>
      </w:r>
    </w:p>
    <w:p w14:paraId="1AEFD2DA">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3、过渡办法:针对不同阶段的工作，制定合理的过渡措施，确保各项工作的顺利衔接。</w:t>
      </w:r>
    </w:p>
    <w:p w14:paraId="3517ED5C">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4、实施日期:本文件正式发布实施之日起。</w:t>
      </w:r>
    </w:p>
    <w:p w14:paraId="5B94F26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（九）预期效果</w:t>
      </w:r>
    </w:p>
    <w:p w14:paraId="5D2EF002">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本</w:t>
      </w:r>
      <w:r>
        <w:rPr>
          <w:rFonts w:hint="eastAsia" w:asciiTheme="minorEastAsia" w:hAnsiTheme="minorEastAsia" w:eastAsiaTheme="minorEastAsia" w:cstheme="minorEastAsia"/>
          <w:sz w:val="24"/>
          <w:szCs w:val="24"/>
          <w:lang w:eastAsia="zh-CN"/>
        </w:rPr>
        <w:t>标准</w:t>
      </w:r>
      <w:r>
        <w:rPr>
          <w:rFonts w:hint="eastAsia" w:asciiTheme="minorEastAsia" w:hAnsiTheme="minorEastAsia" w:eastAsiaTheme="minorEastAsia" w:cstheme="minorEastAsia"/>
          <w:sz w:val="24"/>
          <w:szCs w:val="24"/>
        </w:rPr>
        <w:t>的制定</w:t>
      </w:r>
      <w:r>
        <w:rPr>
          <w:rFonts w:hint="eastAsia" w:asciiTheme="minorEastAsia" w:hAnsiTheme="minorEastAsia" w:eastAsiaTheme="minorEastAsia" w:cstheme="minorEastAsia"/>
          <w:sz w:val="24"/>
          <w:szCs w:val="24"/>
          <w:lang w:eastAsia="zh-CN"/>
        </w:rPr>
        <w:t>是</w:t>
      </w:r>
      <w:r>
        <w:rPr>
          <w:rFonts w:hint="eastAsia" w:asciiTheme="minorEastAsia" w:hAnsiTheme="minorEastAsia" w:eastAsiaTheme="minorEastAsia" w:cstheme="minorEastAsia"/>
          <w:sz w:val="24"/>
          <w:szCs w:val="24"/>
          <w:lang w:val="en-US" w:eastAsia="zh-CN"/>
        </w:rPr>
        <w:t>对</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海南</w:t>
      </w:r>
      <w:r>
        <w:rPr>
          <w:rFonts w:hint="eastAsia" w:asciiTheme="minorEastAsia" w:hAnsiTheme="minorEastAsia" w:eastAsiaTheme="minorEastAsia" w:cstheme="minorEastAsia"/>
          <w:sz w:val="24"/>
          <w:szCs w:val="24"/>
        </w:rPr>
        <w:t>省地震预警管理办法》的细化，对</w:t>
      </w:r>
      <w:r>
        <w:rPr>
          <w:rFonts w:hint="eastAsia" w:asciiTheme="minorEastAsia" w:hAnsiTheme="minorEastAsia" w:eastAsiaTheme="minorEastAsia" w:cstheme="minorEastAsia"/>
          <w:sz w:val="24"/>
          <w:szCs w:val="24"/>
          <w:lang w:eastAsia="zh-CN"/>
        </w:rPr>
        <w:t>海南</w:t>
      </w:r>
      <w:r>
        <w:rPr>
          <w:rFonts w:hint="eastAsia" w:asciiTheme="minorEastAsia" w:hAnsiTheme="minorEastAsia" w:eastAsiaTheme="minorEastAsia" w:cstheme="minorEastAsia"/>
          <w:sz w:val="24"/>
          <w:szCs w:val="24"/>
        </w:rPr>
        <w:t>省</w:t>
      </w:r>
      <w:r>
        <w:rPr>
          <w:rFonts w:hint="eastAsia" w:asciiTheme="minorEastAsia" w:hAnsiTheme="minorEastAsia" w:eastAsiaTheme="minorEastAsia" w:cstheme="minorEastAsia"/>
          <w:sz w:val="24"/>
          <w:szCs w:val="24"/>
          <w:lang w:val="en-US" w:eastAsia="zh-CN"/>
        </w:rPr>
        <w:t>省</w:t>
      </w:r>
      <w:r>
        <w:rPr>
          <w:rFonts w:hint="eastAsia" w:asciiTheme="minorEastAsia" w:hAnsiTheme="minorEastAsia" w:eastAsiaTheme="minorEastAsia" w:cstheme="minorEastAsia"/>
          <w:sz w:val="24"/>
          <w:szCs w:val="24"/>
        </w:rPr>
        <w:t>内地震预警信息发布行为进行管理和规范具有重要的意义</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为预警信息发布方面提供了技术支撑。</w:t>
      </w:r>
    </w:p>
    <w:p w14:paraId="432F63B8">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（十）其他应予说明的事项</w:t>
      </w:r>
    </w:p>
    <w:p w14:paraId="1177BC58">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无。</w:t>
      </w:r>
    </w:p>
    <w:p w14:paraId="5627AA33">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p>
    <w:p w14:paraId="34BAF8FD">
      <w:pPr>
        <w:autoSpaceDE w:val="0"/>
        <w:autoSpaceDN w:val="0"/>
        <w:adjustRightInd w:val="0"/>
        <w:spacing w:line="560" w:lineRule="exact"/>
        <w:ind w:firstLine="420" w:firstLineChars="150"/>
        <w:rPr>
          <w:rFonts w:ascii="仿宋" w:hAnsi="仿宋" w:eastAsia="仿宋" w:cs="宋体"/>
          <w:sz w:val="28"/>
          <w:szCs w:val="28"/>
          <w:lang w:eastAsia="zh-CN"/>
        </w:rPr>
      </w:pPr>
    </w:p>
    <w:p w14:paraId="007114E7">
      <w:pPr>
        <w:pStyle w:val="5"/>
        <w:spacing w:before="0" w:beforeAutospacing="0" w:after="0" w:afterAutospacing="0"/>
        <w:ind w:right="280" w:firstLine="560" w:firstLineChars="200"/>
        <w:jc w:val="right"/>
        <w:rPr>
          <w:rFonts w:ascii="仿宋" w:hAnsi="仿宋" w:eastAsia="仿宋" w:cs="Times New Roman"/>
          <w:kern w:val="2"/>
          <w:sz w:val="28"/>
          <w:szCs w:val="22"/>
        </w:rPr>
      </w:pPr>
      <w:r>
        <w:rPr>
          <w:rFonts w:hint="eastAsia" w:ascii="仿宋" w:hAnsi="仿宋" w:eastAsia="仿宋" w:cs="Times New Roman"/>
          <w:kern w:val="2"/>
          <w:sz w:val="28"/>
          <w:szCs w:val="22"/>
        </w:rPr>
        <w:t>标准编制工作组</w:t>
      </w:r>
    </w:p>
    <w:p w14:paraId="25FBFECE">
      <w:pPr>
        <w:pStyle w:val="5"/>
        <w:spacing w:before="0" w:beforeAutospacing="0" w:after="0" w:afterAutospacing="0"/>
        <w:ind w:right="420" w:firstLine="560" w:firstLineChars="200"/>
        <w:jc w:val="right"/>
      </w:pPr>
      <w:r>
        <w:rPr>
          <w:rFonts w:hint="eastAsia" w:ascii="仿宋" w:hAnsi="仿宋" w:eastAsia="仿宋" w:cs="Times New Roman"/>
          <w:kern w:val="2"/>
          <w:sz w:val="28"/>
          <w:szCs w:val="22"/>
        </w:rPr>
        <w:t>20</w:t>
      </w:r>
      <w:r>
        <w:rPr>
          <w:rFonts w:hint="eastAsia" w:ascii="仿宋" w:hAnsi="仿宋" w:eastAsia="仿宋" w:cs="Times New Roman"/>
          <w:kern w:val="2"/>
          <w:sz w:val="28"/>
          <w:szCs w:val="22"/>
          <w:lang w:eastAsia="zh-CN"/>
        </w:rPr>
        <w:t>2</w:t>
      </w:r>
      <w:r>
        <w:rPr>
          <w:rFonts w:hint="eastAsia" w:ascii="仿宋" w:hAnsi="仿宋" w:eastAsia="仿宋" w:cs="Times New Roman"/>
          <w:kern w:val="2"/>
          <w:sz w:val="28"/>
          <w:szCs w:val="22"/>
          <w:lang w:val="en-US" w:eastAsia="zh-CN"/>
        </w:rPr>
        <w:t>5</w:t>
      </w:r>
      <w:r>
        <w:rPr>
          <w:rFonts w:hint="eastAsia" w:ascii="仿宋" w:hAnsi="仿宋" w:eastAsia="仿宋" w:cs="Times New Roman"/>
          <w:kern w:val="2"/>
          <w:sz w:val="28"/>
          <w:szCs w:val="22"/>
        </w:rPr>
        <w:t>年</w:t>
      </w:r>
      <w:r>
        <w:rPr>
          <w:rFonts w:hint="eastAsia" w:ascii="仿宋" w:hAnsi="仿宋" w:eastAsia="仿宋" w:cs="Times New Roman"/>
          <w:kern w:val="2"/>
          <w:sz w:val="28"/>
          <w:szCs w:val="22"/>
          <w:lang w:val="en-US" w:eastAsia="zh-CN"/>
        </w:rPr>
        <w:t>5</w:t>
      </w:r>
      <w:r>
        <w:rPr>
          <w:rFonts w:hint="eastAsia" w:ascii="仿宋" w:hAnsi="仿宋" w:eastAsia="仿宋" w:cs="Times New Roman"/>
          <w:kern w:val="2"/>
          <w:sz w:val="28"/>
          <w:szCs w:val="22"/>
        </w:rPr>
        <w:t>月</w:t>
      </w:r>
    </w:p>
    <w:p w14:paraId="4E14B96E">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123F41D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heme="minorEastAsia" w:hAnsiTheme="minorEastAsia" w:cstheme="minorEastAsia"/>
          <w:sz w:val="24"/>
          <w:szCs w:val="24"/>
          <w:lang w:val="en-US" w:eastAsia="zh-CN"/>
        </w:rPr>
        <w:sectPr>
          <w:pgSz w:w="11906" w:h="16838"/>
          <w:pgMar w:top="1440" w:right="1800" w:bottom="1440" w:left="1800" w:header="851" w:footer="992" w:gutter="0"/>
          <w:cols w:space="425" w:num="1"/>
          <w:docGrid w:type="lines" w:linePitch="312" w:charSpace="0"/>
        </w:sectPr>
      </w:pPr>
    </w:p>
    <w:p w14:paraId="0B0816A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附表1</w:t>
      </w:r>
    </w:p>
    <w:p w14:paraId="2EBE439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heme="minorEastAsia" w:hAnsiTheme="minorEastAsia" w:cstheme="minorEastAsia"/>
          <w:sz w:val="24"/>
          <w:szCs w:val="24"/>
          <w:lang w:val="en-US" w:eastAsia="zh-CN"/>
        </w:rPr>
      </w:pPr>
    </w:p>
    <w:p w14:paraId="6794223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sz w:val="44"/>
          <w:szCs w:val="44"/>
          <w:lang w:val="en-US" w:eastAsia="zh-CN"/>
        </w:rPr>
      </w:pPr>
      <w:r>
        <w:rPr>
          <w:rFonts w:hint="default" w:ascii="方正小标宋简体" w:hAnsi="方正小标宋简体" w:eastAsia="方正小标宋简体" w:cs="方正小标宋简体"/>
          <w:b w:val="0"/>
          <w:bCs w:val="0"/>
          <w:sz w:val="44"/>
          <w:szCs w:val="44"/>
          <w:lang w:val="en-US" w:eastAsia="zh-CN"/>
        </w:rPr>
        <w:t>海南省地震局以发函形式征求</w:t>
      </w:r>
    </w:p>
    <w:p w14:paraId="64D1719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海南省地方标准《</w:t>
      </w:r>
      <w:r>
        <w:rPr>
          <w:rFonts w:hint="eastAsia" w:ascii="方正小标宋简体" w:hAnsi="方正小标宋简体" w:eastAsia="方正小标宋简体" w:cs="方正小标宋简体"/>
          <w:b w:val="0"/>
          <w:bCs w:val="0"/>
          <w:sz w:val="44"/>
          <w:szCs w:val="44"/>
          <w:lang w:val="en-US" w:eastAsia="zh-CN"/>
        </w:rPr>
        <w:t>地震预警信息发布</w:t>
      </w:r>
      <w:r>
        <w:rPr>
          <w:rFonts w:hint="eastAsia" w:ascii="方正小标宋简体" w:hAnsi="方正小标宋简体" w:eastAsia="方正小标宋简体" w:cs="方正小标宋简体"/>
          <w:b w:val="0"/>
          <w:bCs w:val="0"/>
          <w:sz w:val="44"/>
          <w:szCs w:val="44"/>
          <w:lang w:eastAsia="zh-CN"/>
        </w:rPr>
        <w:t>》征求意见汇总处理表</w:t>
      </w:r>
    </w:p>
    <w:tbl>
      <w:tblPr>
        <w:tblStyle w:val="6"/>
        <w:tblW w:w="14505"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650"/>
        <w:gridCol w:w="3420"/>
        <w:gridCol w:w="3075"/>
        <w:gridCol w:w="3075"/>
        <w:gridCol w:w="2550"/>
      </w:tblGrid>
      <w:tr w14:paraId="1C03D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8" w:hRule="atLeast"/>
        </w:trPr>
        <w:tc>
          <w:tcPr>
            <w:tcW w:w="735" w:type="dxa"/>
            <w:noWrap w:val="0"/>
            <w:vAlign w:val="center"/>
          </w:tcPr>
          <w:p w14:paraId="2A3859E6">
            <w:pPr>
              <w:jc w:val="center"/>
              <w:rPr>
                <w:rFonts w:hint="eastAsia"/>
                <w:b/>
                <w:bCs/>
                <w:sz w:val="24"/>
                <w:szCs w:val="24"/>
                <w:u w:val="none"/>
                <w:vertAlign w:val="baseline"/>
                <w:lang w:val="en-US" w:eastAsia="zh-CN"/>
              </w:rPr>
            </w:pPr>
            <w:r>
              <w:rPr>
                <w:rFonts w:hint="eastAsia" w:ascii="Calibri" w:eastAsia="宋体"/>
                <w:b/>
                <w:bCs/>
                <w:sz w:val="24"/>
                <w:szCs w:val="24"/>
                <w:u w:val="none"/>
                <w:lang w:val="en-US" w:eastAsia="zh-CN"/>
              </w:rPr>
              <w:t>序号</w:t>
            </w:r>
          </w:p>
        </w:tc>
        <w:tc>
          <w:tcPr>
            <w:tcW w:w="1650" w:type="dxa"/>
            <w:noWrap w:val="0"/>
            <w:vAlign w:val="center"/>
          </w:tcPr>
          <w:p w14:paraId="54FB9678">
            <w:pPr>
              <w:jc w:val="center"/>
              <w:rPr>
                <w:rFonts w:hint="eastAsia"/>
                <w:b/>
                <w:bCs/>
                <w:sz w:val="24"/>
                <w:szCs w:val="24"/>
                <w:u w:val="none"/>
                <w:vertAlign w:val="baseline"/>
                <w:lang w:val="en-US" w:eastAsia="zh-CN"/>
              </w:rPr>
            </w:pPr>
            <w:r>
              <w:rPr>
                <w:rFonts w:hint="eastAsia" w:ascii="Calibri" w:eastAsia="宋体"/>
                <w:b/>
                <w:bCs/>
                <w:sz w:val="24"/>
                <w:szCs w:val="24"/>
                <w:u w:val="none"/>
                <w:vertAlign w:val="baseline"/>
                <w:lang w:val="en-US" w:eastAsia="zh-CN"/>
              </w:rPr>
              <w:t>章条编号</w:t>
            </w:r>
          </w:p>
        </w:tc>
        <w:tc>
          <w:tcPr>
            <w:tcW w:w="3420" w:type="dxa"/>
            <w:noWrap w:val="0"/>
            <w:vAlign w:val="center"/>
          </w:tcPr>
          <w:p w14:paraId="14E7CF3D">
            <w:pPr>
              <w:jc w:val="center"/>
              <w:rPr>
                <w:rFonts w:hint="eastAsia"/>
                <w:b/>
                <w:bCs/>
                <w:sz w:val="24"/>
                <w:szCs w:val="24"/>
                <w:u w:val="none"/>
                <w:vertAlign w:val="baseline"/>
                <w:lang w:val="en-US" w:eastAsia="zh-CN"/>
              </w:rPr>
            </w:pPr>
            <w:r>
              <w:rPr>
                <w:rFonts w:hint="eastAsia" w:ascii="Calibri" w:eastAsia="宋体"/>
                <w:b/>
                <w:bCs/>
                <w:sz w:val="24"/>
                <w:szCs w:val="24"/>
                <w:u w:val="none"/>
                <w:vertAlign w:val="baseline"/>
                <w:lang w:val="en-US" w:eastAsia="zh-CN"/>
              </w:rPr>
              <w:t>修改意见</w:t>
            </w:r>
          </w:p>
        </w:tc>
        <w:tc>
          <w:tcPr>
            <w:tcW w:w="3075" w:type="dxa"/>
            <w:noWrap w:val="0"/>
            <w:vAlign w:val="center"/>
          </w:tcPr>
          <w:p w14:paraId="3A809E2C">
            <w:pPr>
              <w:jc w:val="center"/>
              <w:rPr>
                <w:rFonts w:hint="eastAsia" w:ascii="Calibri" w:eastAsia="宋体"/>
                <w:b/>
                <w:bCs/>
                <w:sz w:val="24"/>
                <w:szCs w:val="24"/>
                <w:u w:val="none"/>
                <w:vertAlign w:val="baseline"/>
                <w:lang w:val="en-US" w:eastAsia="zh-CN"/>
              </w:rPr>
            </w:pPr>
            <w:r>
              <w:rPr>
                <w:rFonts w:hint="eastAsia"/>
                <w:b/>
                <w:bCs/>
                <w:sz w:val="24"/>
                <w:szCs w:val="24"/>
                <w:u w:val="none"/>
                <w:vertAlign w:val="baseline"/>
                <w:lang w:val="en-US" w:eastAsia="zh-CN"/>
              </w:rPr>
              <w:t>理由或依据</w:t>
            </w:r>
          </w:p>
        </w:tc>
        <w:tc>
          <w:tcPr>
            <w:tcW w:w="3075" w:type="dxa"/>
            <w:noWrap w:val="0"/>
            <w:vAlign w:val="center"/>
          </w:tcPr>
          <w:p w14:paraId="137D2B71">
            <w:pPr>
              <w:jc w:val="center"/>
              <w:rPr>
                <w:rFonts w:hint="eastAsia"/>
                <w:b/>
                <w:bCs/>
                <w:sz w:val="24"/>
                <w:szCs w:val="24"/>
                <w:u w:val="none"/>
                <w:vertAlign w:val="baseline"/>
                <w:lang w:val="en-US" w:eastAsia="zh-CN"/>
              </w:rPr>
            </w:pPr>
            <w:r>
              <w:rPr>
                <w:rFonts w:hint="eastAsia" w:ascii="Calibri" w:eastAsia="宋体"/>
                <w:b/>
                <w:bCs/>
                <w:sz w:val="24"/>
                <w:szCs w:val="24"/>
                <w:u w:val="none"/>
                <w:vertAlign w:val="baseline"/>
                <w:lang w:val="en-US" w:eastAsia="zh-CN"/>
              </w:rPr>
              <w:t>提出单位</w:t>
            </w:r>
          </w:p>
        </w:tc>
        <w:tc>
          <w:tcPr>
            <w:tcW w:w="2550" w:type="dxa"/>
            <w:noWrap w:val="0"/>
            <w:vAlign w:val="center"/>
          </w:tcPr>
          <w:p w14:paraId="71BA86F4">
            <w:pPr>
              <w:jc w:val="center"/>
              <w:rPr>
                <w:rFonts w:hint="eastAsia"/>
                <w:b/>
                <w:bCs/>
                <w:sz w:val="24"/>
                <w:szCs w:val="24"/>
                <w:u w:val="none"/>
                <w:vertAlign w:val="baseline"/>
                <w:lang w:val="en-US" w:eastAsia="zh-CN"/>
              </w:rPr>
            </w:pPr>
            <w:r>
              <w:rPr>
                <w:rFonts w:hint="eastAsia" w:ascii="Calibri" w:eastAsia="宋体"/>
                <w:b/>
                <w:bCs/>
                <w:sz w:val="24"/>
                <w:szCs w:val="24"/>
                <w:u w:val="none"/>
                <w:vertAlign w:val="baseline"/>
                <w:lang w:val="en-US" w:eastAsia="zh-CN"/>
              </w:rPr>
              <w:t>处理意见</w:t>
            </w:r>
          </w:p>
        </w:tc>
      </w:tr>
      <w:tr w14:paraId="65CC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031707FD">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w:t>
            </w:r>
          </w:p>
        </w:tc>
        <w:tc>
          <w:tcPr>
            <w:tcW w:w="1650" w:type="dxa"/>
            <w:shd w:val="clear" w:color="auto" w:fill="auto"/>
            <w:noWrap w:val="0"/>
            <w:vAlign w:val="center"/>
          </w:tcPr>
          <w:p w14:paraId="60A52063">
            <w:pPr>
              <w:jc w:val="center"/>
              <w:rPr>
                <w:rFonts w:hint="default" w:ascii="Calibri" w:hAnsi="Calibri" w:eastAsia="宋体" w:cs="Times New Roman"/>
                <w:b/>
                <w:bCs/>
                <w:kern w:val="2"/>
                <w:sz w:val="24"/>
                <w:szCs w:val="24"/>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7 发布对象</w:t>
            </w:r>
          </w:p>
        </w:tc>
        <w:tc>
          <w:tcPr>
            <w:tcW w:w="3420" w:type="dxa"/>
            <w:shd w:val="clear" w:color="auto" w:fill="auto"/>
            <w:noWrap w:val="0"/>
            <w:vAlign w:val="center"/>
          </w:tcPr>
          <w:p w14:paraId="07F64745">
            <w:pPr>
              <w:jc w:val="both"/>
              <w:rPr>
                <w:rFonts w:hint="default" w:ascii="Calibri" w:hAnsi="Calibri" w:eastAsia="宋体" w:cs="Times New Roman"/>
                <w:b/>
                <w:bCs/>
                <w:kern w:val="2"/>
                <w:sz w:val="24"/>
                <w:szCs w:val="24"/>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标准正文“7发布对象”中用列项列出政府机构，公众用户和特定用户。但三者描述中，仅公众使用“接收并利用”，其他用的是“利用”，建议统一用词，否则应提出为什么单独突出。</w:t>
            </w:r>
          </w:p>
        </w:tc>
        <w:tc>
          <w:tcPr>
            <w:tcW w:w="3075" w:type="dxa"/>
            <w:shd w:val="clear" w:color="auto" w:fill="auto"/>
            <w:noWrap w:val="0"/>
            <w:vAlign w:val="center"/>
          </w:tcPr>
          <w:p w14:paraId="7B1E1675">
            <w:pPr>
              <w:jc w:val="left"/>
              <w:rPr>
                <w:rFonts w:hint="eastAsia" w:ascii="宋体" w:hAnsi="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统一用词，避免理解歧义。</w:t>
            </w:r>
          </w:p>
        </w:tc>
        <w:tc>
          <w:tcPr>
            <w:tcW w:w="3075" w:type="dxa"/>
            <w:shd w:val="clear" w:color="auto" w:fill="auto"/>
            <w:noWrap w:val="0"/>
            <w:vAlign w:val="center"/>
          </w:tcPr>
          <w:p w14:paraId="61910157">
            <w:pPr>
              <w:jc w:val="left"/>
              <w:rPr>
                <w:rFonts w:hint="eastAsia" w:ascii="Calibri" w:hAnsi="Calibri" w:eastAsia="宋体" w:cs="Times New Roman"/>
                <w:b/>
                <w:bCs/>
                <w:kern w:val="2"/>
                <w:sz w:val="24"/>
                <w:szCs w:val="24"/>
                <w:u w:val="none"/>
                <w:vertAlign w:val="baseline"/>
                <w:lang w:val="en-US" w:eastAsia="zh-CN" w:bidi="ar-SA"/>
              </w:rPr>
            </w:pPr>
            <w:r>
              <w:rPr>
                <w:rFonts w:hint="eastAsia" w:ascii="宋体" w:hAnsi="宋体" w:cs="宋体"/>
                <w:b w:val="0"/>
                <w:bCs w:val="0"/>
                <w:kern w:val="2"/>
                <w:sz w:val="21"/>
                <w:szCs w:val="21"/>
                <w:u w:val="none"/>
                <w:vertAlign w:val="baseline"/>
                <w:lang w:val="en-US" w:eastAsia="zh-CN" w:bidi="ar-SA"/>
              </w:rPr>
              <w:t>福建</w:t>
            </w:r>
          </w:p>
        </w:tc>
        <w:tc>
          <w:tcPr>
            <w:tcW w:w="2550" w:type="dxa"/>
            <w:shd w:val="clear" w:color="auto" w:fill="auto"/>
            <w:noWrap w:val="0"/>
            <w:vAlign w:val="center"/>
          </w:tcPr>
          <w:p w14:paraId="18E804B5">
            <w:pPr>
              <w:jc w:val="left"/>
              <w:rPr>
                <w:rFonts w:hint="eastAsia" w:ascii="Calibri" w:hAnsi="Calibri" w:eastAsia="宋体" w:cs="Times New Roman"/>
                <w:b/>
                <w:bCs/>
                <w:kern w:val="2"/>
                <w:sz w:val="24"/>
                <w:szCs w:val="24"/>
                <w:u w:val="none"/>
                <w:vertAlign w:val="baseline"/>
                <w:lang w:val="en-US" w:eastAsia="zh-CN" w:bidi="ar-SA"/>
              </w:rPr>
            </w:pPr>
            <w:r>
              <w:rPr>
                <w:rFonts w:hint="eastAsia" w:ascii="宋体" w:hAnsi="宋体" w:cs="宋体"/>
                <w:b w:val="0"/>
                <w:bCs w:val="0"/>
                <w:sz w:val="21"/>
                <w:szCs w:val="21"/>
                <w:u w:val="none"/>
                <w:vertAlign w:val="baseline"/>
                <w:lang w:val="en-US" w:eastAsia="zh-CN"/>
              </w:rPr>
              <w:t>采纳。</w:t>
            </w:r>
          </w:p>
        </w:tc>
      </w:tr>
      <w:tr w14:paraId="3C3E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5E3190E8">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2</w:t>
            </w:r>
          </w:p>
        </w:tc>
        <w:tc>
          <w:tcPr>
            <w:tcW w:w="1650" w:type="dxa"/>
            <w:shd w:val="clear" w:color="auto" w:fill="auto"/>
            <w:noWrap w:val="0"/>
            <w:vAlign w:val="center"/>
          </w:tcPr>
          <w:p w14:paraId="3A61E0B0">
            <w:pPr>
              <w:jc w:val="center"/>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前言</w:t>
            </w:r>
          </w:p>
        </w:tc>
        <w:tc>
          <w:tcPr>
            <w:tcW w:w="3420" w:type="dxa"/>
            <w:shd w:val="clear" w:color="auto" w:fill="auto"/>
            <w:noWrap w:val="0"/>
            <w:vAlign w:val="center"/>
          </w:tcPr>
          <w:p w14:paraId="7F447E34">
            <w:pPr>
              <w:jc w:val="left"/>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补充专利的说明：请注意本文本的某些内容可能涉及专利。本文件的发布机构不承担识别专利的责任</w:t>
            </w:r>
          </w:p>
        </w:tc>
        <w:tc>
          <w:tcPr>
            <w:tcW w:w="3075" w:type="dxa"/>
            <w:shd w:val="clear" w:color="auto" w:fill="auto"/>
            <w:noWrap w:val="0"/>
            <w:vAlign w:val="center"/>
          </w:tcPr>
          <w:p w14:paraId="064C3B4D">
            <w:pPr>
              <w:jc w:val="left"/>
              <w:rPr>
                <w:rFonts w:hint="eastAsia" w:ascii="宋体" w:hAnsi="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地方标准格式规范要求</w:t>
            </w:r>
          </w:p>
        </w:tc>
        <w:tc>
          <w:tcPr>
            <w:tcW w:w="3075" w:type="dxa"/>
            <w:shd w:val="clear" w:color="auto" w:fill="auto"/>
            <w:noWrap w:val="0"/>
            <w:vAlign w:val="center"/>
          </w:tcPr>
          <w:p w14:paraId="0B98B2DF">
            <w:pPr>
              <w:jc w:val="left"/>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kern w:val="2"/>
                <w:sz w:val="21"/>
                <w:szCs w:val="21"/>
                <w:u w:val="none"/>
                <w:vertAlign w:val="baseline"/>
                <w:lang w:val="en-US" w:eastAsia="zh-CN" w:bidi="ar-SA"/>
              </w:rPr>
              <w:t>四川省地震局</w:t>
            </w:r>
          </w:p>
        </w:tc>
        <w:tc>
          <w:tcPr>
            <w:tcW w:w="2550" w:type="dxa"/>
            <w:shd w:val="clear" w:color="auto" w:fill="auto"/>
            <w:noWrap w:val="0"/>
            <w:vAlign w:val="center"/>
          </w:tcPr>
          <w:p w14:paraId="368FC988">
            <w:pPr>
              <w:jc w:val="left"/>
              <w:rPr>
                <w:rFonts w:hint="eastAsia"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不采纳。本文本不涉及专利。</w:t>
            </w:r>
          </w:p>
        </w:tc>
      </w:tr>
      <w:tr w14:paraId="23AF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0601FA6B">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3</w:t>
            </w:r>
          </w:p>
        </w:tc>
        <w:tc>
          <w:tcPr>
            <w:tcW w:w="1650" w:type="dxa"/>
            <w:shd w:val="clear" w:color="auto" w:fill="auto"/>
            <w:noWrap w:val="0"/>
            <w:vAlign w:val="center"/>
          </w:tcPr>
          <w:p w14:paraId="55CE171A">
            <w:pPr>
              <w:jc w:val="center"/>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5 发布传播原则</w:t>
            </w:r>
          </w:p>
        </w:tc>
        <w:tc>
          <w:tcPr>
            <w:tcW w:w="3420" w:type="dxa"/>
            <w:shd w:val="clear" w:color="auto" w:fill="auto"/>
            <w:noWrap w:val="0"/>
            <w:vAlign w:val="center"/>
          </w:tcPr>
          <w:p w14:paraId="3498E39B">
            <w:pPr>
              <w:jc w:val="left"/>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b）应优先向地震预警等级高且地震动。“地震预警等级高”地震预警等级应该用高和低表述，不用强或弱表述</w:t>
            </w:r>
          </w:p>
        </w:tc>
        <w:tc>
          <w:tcPr>
            <w:tcW w:w="3075" w:type="dxa"/>
            <w:shd w:val="clear" w:color="auto" w:fill="auto"/>
            <w:noWrap w:val="0"/>
            <w:vAlign w:val="center"/>
          </w:tcPr>
          <w:p w14:paraId="41B50F19">
            <w:pPr>
              <w:jc w:val="left"/>
              <w:rPr>
                <w:rFonts w:hint="eastAsia" w:ascii="宋体" w:hAnsi="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地震预警等级应该用高和低表述，不用强或弱表述</w:t>
            </w:r>
          </w:p>
        </w:tc>
        <w:tc>
          <w:tcPr>
            <w:tcW w:w="3075" w:type="dxa"/>
            <w:shd w:val="clear" w:color="auto" w:fill="auto"/>
            <w:noWrap w:val="0"/>
            <w:vAlign w:val="center"/>
          </w:tcPr>
          <w:p w14:paraId="3B82B9AF">
            <w:pPr>
              <w:jc w:val="left"/>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kern w:val="2"/>
                <w:sz w:val="21"/>
                <w:szCs w:val="21"/>
                <w:u w:val="none"/>
                <w:vertAlign w:val="baseline"/>
                <w:lang w:val="en-US" w:eastAsia="zh-CN" w:bidi="ar-SA"/>
              </w:rPr>
              <w:t>四川省地震局</w:t>
            </w:r>
          </w:p>
        </w:tc>
        <w:tc>
          <w:tcPr>
            <w:tcW w:w="2550" w:type="dxa"/>
            <w:shd w:val="clear" w:color="auto" w:fill="auto"/>
            <w:noWrap w:val="0"/>
            <w:vAlign w:val="center"/>
          </w:tcPr>
          <w:p w14:paraId="3E0FD7AC">
            <w:pPr>
              <w:jc w:val="left"/>
              <w:rPr>
                <w:rFonts w:hint="eastAsia"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采纳。地震预警等级用高和低表述。</w:t>
            </w:r>
          </w:p>
        </w:tc>
      </w:tr>
      <w:tr w14:paraId="27C0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0E11473F">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4</w:t>
            </w:r>
          </w:p>
        </w:tc>
        <w:tc>
          <w:tcPr>
            <w:tcW w:w="1650" w:type="dxa"/>
            <w:shd w:val="clear" w:color="auto" w:fill="auto"/>
            <w:noWrap w:val="0"/>
            <w:vAlign w:val="center"/>
          </w:tcPr>
          <w:p w14:paraId="1C653078">
            <w:pPr>
              <w:jc w:val="center"/>
              <w:rPr>
                <w:rFonts w:hint="eastAsia"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6 发布内容</w:t>
            </w:r>
          </w:p>
        </w:tc>
        <w:tc>
          <w:tcPr>
            <w:tcW w:w="3420" w:type="dxa"/>
            <w:shd w:val="clear" w:color="auto" w:fill="auto"/>
            <w:noWrap w:val="0"/>
            <w:vAlign w:val="center"/>
          </w:tcPr>
          <w:p w14:paraId="0D5C0219">
            <w:pPr>
              <w:jc w:val="left"/>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a）应根据不同发布端的所具备的功能，删除不同发布端后面的“的”，另“发布端”没有定义。</w:t>
            </w:r>
          </w:p>
        </w:tc>
        <w:tc>
          <w:tcPr>
            <w:tcW w:w="3075" w:type="dxa"/>
            <w:shd w:val="clear" w:color="auto" w:fill="auto"/>
            <w:noWrap w:val="0"/>
            <w:vAlign w:val="center"/>
          </w:tcPr>
          <w:p w14:paraId="25D4F802">
            <w:pPr>
              <w:jc w:val="left"/>
              <w:rPr>
                <w:rFonts w:hint="eastAsia" w:ascii="宋体" w:hAnsi="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“的”字重复，且“发布端”在名词术语中未定义</w:t>
            </w:r>
          </w:p>
        </w:tc>
        <w:tc>
          <w:tcPr>
            <w:tcW w:w="3075" w:type="dxa"/>
            <w:shd w:val="clear" w:color="auto" w:fill="auto"/>
            <w:noWrap w:val="0"/>
            <w:vAlign w:val="center"/>
          </w:tcPr>
          <w:p w14:paraId="60A0E002">
            <w:pPr>
              <w:jc w:val="left"/>
              <w:rPr>
                <w:rFonts w:hint="eastAsia"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kern w:val="2"/>
                <w:sz w:val="21"/>
                <w:szCs w:val="21"/>
                <w:u w:val="none"/>
                <w:vertAlign w:val="baseline"/>
                <w:lang w:val="en-US" w:eastAsia="zh-CN" w:bidi="ar-SA"/>
              </w:rPr>
              <w:t>四川省地震局</w:t>
            </w:r>
          </w:p>
        </w:tc>
        <w:tc>
          <w:tcPr>
            <w:tcW w:w="2550" w:type="dxa"/>
            <w:shd w:val="clear" w:color="auto" w:fill="auto"/>
            <w:noWrap w:val="0"/>
            <w:vAlign w:val="center"/>
          </w:tcPr>
          <w:p w14:paraId="0BEE0F79">
            <w:pPr>
              <w:jc w:val="left"/>
              <w:rPr>
                <w:rFonts w:hint="eastAsia"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采纳。发布端即地震预警终端，已修改。</w:t>
            </w:r>
          </w:p>
        </w:tc>
      </w:tr>
      <w:tr w14:paraId="6C07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02B8DFE6">
            <w:pPr>
              <w:jc w:val="center"/>
              <w:rPr>
                <w:rFonts w:hint="eastAsia"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5</w:t>
            </w:r>
          </w:p>
        </w:tc>
        <w:tc>
          <w:tcPr>
            <w:tcW w:w="1650" w:type="dxa"/>
            <w:shd w:val="clear" w:color="auto" w:fill="auto"/>
            <w:noWrap w:val="0"/>
            <w:vAlign w:val="center"/>
          </w:tcPr>
          <w:p w14:paraId="50E131C3">
            <w:pPr>
              <w:jc w:val="center"/>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6 发布内容</w:t>
            </w:r>
          </w:p>
        </w:tc>
        <w:tc>
          <w:tcPr>
            <w:tcW w:w="3420" w:type="dxa"/>
            <w:shd w:val="clear" w:color="auto" w:fill="auto"/>
            <w:noWrap w:val="0"/>
            <w:vAlign w:val="center"/>
          </w:tcPr>
          <w:p w14:paraId="3F4A0B94">
            <w:pPr>
              <w:jc w:val="left"/>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b）应包括地震预警等级图标。地震预警等级图标规格要求见附件。建议统一写为“地震等级预警图标”</w:t>
            </w:r>
          </w:p>
        </w:tc>
        <w:tc>
          <w:tcPr>
            <w:tcW w:w="3075" w:type="dxa"/>
            <w:shd w:val="clear" w:color="auto" w:fill="auto"/>
            <w:noWrap w:val="0"/>
            <w:vAlign w:val="center"/>
          </w:tcPr>
          <w:p w14:paraId="7DFD040F">
            <w:pPr>
              <w:jc w:val="left"/>
              <w:rPr>
                <w:rFonts w:hint="eastAsia" w:ascii="宋体" w:hAnsi="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前面表述为地震预警等级图标，后面为地震等级预警图标，不统一</w:t>
            </w:r>
          </w:p>
        </w:tc>
        <w:tc>
          <w:tcPr>
            <w:tcW w:w="3075" w:type="dxa"/>
            <w:shd w:val="clear" w:color="auto" w:fill="auto"/>
            <w:noWrap w:val="0"/>
            <w:vAlign w:val="center"/>
          </w:tcPr>
          <w:p w14:paraId="5A473C41">
            <w:pPr>
              <w:jc w:val="left"/>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kern w:val="2"/>
                <w:sz w:val="21"/>
                <w:szCs w:val="21"/>
                <w:u w:val="none"/>
                <w:vertAlign w:val="baseline"/>
                <w:lang w:val="en-US" w:eastAsia="zh-CN" w:bidi="ar-SA"/>
              </w:rPr>
              <w:t>四川省地震局</w:t>
            </w:r>
          </w:p>
        </w:tc>
        <w:tc>
          <w:tcPr>
            <w:tcW w:w="2550" w:type="dxa"/>
            <w:shd w:val="clear" w:color="auto" w:fill="auto"/>
            <w:noWrap w:val="0"/>
            <w:vAlign w:val="center"/>
          </w:tcPr>
          <w:p w14:paraId="4CEC6F38">
            <w:pPr>
              <w:jc w:val="left"/>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采纳。已统一修改为地震预警等级图标</w:t>
            </w:r>
          </w:p>
        </w:tc>
      </w:tr>
      <w:tr w14:paraId="0616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434902D4">
            <w:pPr>
              <w:jc w:val="center"/>
              <w:rPr>
                <w:rFonts w:hint="eastAsia"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6</w:t>
            </w:r>
          </w:p>
        </w:tc>
        <w:tc>
          <w:tcPr>
            <w:tcW w:w="1650" w:type="dxa"/>
            <w:shd w:val="clear" w:color="auto" w:fill="auto"/>
            <w:noWrap w:val="0"/>
            <w:vAlign w:val="center"/>
          </w:tcPr>
          <w:p w14:paraId="29EB7671">
            <w:pPr>
              <w:jc w:val="center"/>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7 发布对象</w:t>
            </w:r>
          </w:p>
        </w:tc>
        <w:tc>
          <w:tcPr>
            <w:tcW w:w="3420" w:type="dxa"/>
            <w:shd w:val="clear" w:color="auto" w:fill="auto"/>
            <w:noWrap w:val="0"/>
            <w:vAlign w:val="center"/>
          </w:tcPr>
          <w:p w14:paraId="7AFCFE35">
            <w:pPr>
              <w:jc w:val="left"/>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规定了预警发布对象包括政府机构、公众用户、特定用户。图1中提及了一般用户和专业用户未定义，且未在文本中体现，前后不一致，应一致</w:t>
            </w:r>
          </w:p>
        </w:tc>
        <w:tc>
          <w:tcPr>
            <w:tcW w:w="3075" w:type="dxa"/>
            <w:shd w:val="clear" w:color="auto" w:fill="auto"/>
            <w:noWrap w:val="0"/>
            <w:vAlign w:val="center"/>
          </w:tcPr>
          <w:p w14:paraId="79F8B8A8">
            <w:pPr>
              <w:jc w:val="left"/>
              <w:rPr>
                <w:rFonts w:hint="eastAsia" w:ascii="宋体" w:hAnsi="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图1中提及了一般用户和专业用户未定义，且未在文本中体现，前后不一致</w:t>
            </w:r>
          </w:p>
        </w:tc>
        <w:tc>
          <w:tcPr>
            <w:tcW w:w="3075" w:type="dxa"/>
            <w:shd w:val="clear" w:color="auto" w:fill="auto"/>
            <w:noWrap w:val="0"/>
            <w:vAlign w:val="center"/>
          </w:tcPr>
          <w:p w14:paraId="6F5B6A88">
            <w:pPr>
              <w:jc w:val="left"/>
              <w:rPr>
                <w:rFonts w:hint="eastAsia"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kern w:val="2"/>
                <w:sz w:val="21"/>
                <w:szCs w:val="21"/>
                <w:u w:val="none"/>
                <w:vertAlign w:val="baseline"/>
                <w:lang w:val="en-US" w:eastAsia="zh-CN" w:bidi="ar-SA"/>
              </w:rPr>
              <w:t>四川省地震局</w:t>
            </w:r>
          </w:p>
        </w:tc>
        <w:tc>
          <w:tcPr>
            <w:tcW w:w="2550" w:type="dxa"/>
            <w:shd w:val="clear" w:color="auto" w:fill="auto"/>
            <w:noWrap w:val="0"/>
            <w:vAlign w:val="center"/>
          </w:tcPr>
          <w:p w14:paraId="57916C4B">
            <w:pPr>
              <w:jc w:val="left"/>
              <w:rPr>
                <w:rFonts w:hint="eastAsia"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采纳。已修改图1</w:t>
            </w:r>
          </w:p>
        </w:tc>
      </w:tr>
      <w:tr w14:paraId="1EF9D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01F51187">
            <w:pPr>
              <w:jc w:val="center"/>
              <w:rPr>
                <w:rFonts w:hint="eastAsia"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7</w:t>
            </w:r>
          </w:p>
        </w:tc>
        <w:tc>
          <w:tcPr>
            <w:tcW w:w="1650" w:type="dxa"/>
            <w:shd w:val="clear" w:color="auto" w:fill="auto"/>
            <w:noWrap w:val="0"/>
            <w:vAlign w:val="center"/>
          </w:tcPr>
          <w:p w14:paraId="78C3F129">
            <w:pPr>
              <w:jc w:val="center"/>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8 信息更新与取消</w:t>
            </w:r>
          </w:p>
        </w:tc>
        <w:tc>
          <w:tcPr>
            <w:tcW w:w="3420" w:type="dxa"/>
            <w:shd w:val="clear" w:color="auto" w:fill="auto"/>
            <w:noWrap w:val="0"/>
            <w:vAlign w:val="center"/>
          </w:tcPr>
          <w:p w14:paraId="4E661CF9">
            <w:pPr>
              <w:jc w:val="left"/>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8.1.1应更改为8.1，直接表述为8.1 当预测地震烈度发生……</w:t>
            </w:r>
          </w:p>
        </w:tc>
        <w:tc>
          <w:tcPr>
            <w:tcW w:w="3075" w:type="dxa"/>
            <w:shd w:val="clear" w:color="auto" w:fill="auto"/>
            <w:noWrap w:val="0"/>
            <w:vAlign w:val="center"/>
          </w:tcPr>
          <w:p w14:paraId="56A35795">
            <w:pPr>
              <w:jc w:val="left"/>
              <w:rPr>
                <w:rFonts w:hint="eastAsia" w:ascii="宋体" w:hAnsi="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地方标准格式规范要求</w:t>
            </w:r>
          </w:p>
        </w:tc>
        <w:tc>
          <w:tcPr>
            <w:tcW w:w="3075" w:type="dxa"/>
            <w:shd w:val="clear" w:color="auto" w:fill="auto"/>
            <w:noWrap w:val="0"/>
            <w:vAlign w:val="center"/>
          </w:tcPr>
          <w:p w14:paraId="0EE383C7">
            <w:pPr>
              <w:jc w:val="left"/>
              <w:rPr>
                <w:rFonts w:hint="eastAsia"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kern w:val="2"/>
                <w:sz w:val="21"/>
                <w:szCs w:val="21"/>
                <w:u w:val="none"/>
                <w:vertAlign w:val="baseline"/>
                <w:lang w:val="en-US" w:eastAsia="zh-CN" w:bidi="ar-SA"/>
              </w:rPr>
              <w:t>四川省地震局</w:t>
            </w:r>
          </w:p>
        </w:tc>
        <w:tc>
          <w:tcPr>
            <w:tcW w:w="2550" w:type="dxa"/>
            <w:shd w:val="clear" w:color="auto" w:fill="auto"/>
            <w:noWrap w:val="0"/>
            <w:vAlign w:val="center"/>
          </w:tcPr>
          <w:p w14:paraId="5DEDAE59">
            <w:pPr>
              <w:jc w:val="left"/>
              <w:rPr>
                <w:rFonts w:hint="eastAsia"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采纳。</w:t>
            </w:r>
          </w:p>
        </w:tc>
      </w:tr>
      <w:tr w14:paraId="7DC78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3BA27FE3">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8</w:t>
            </w:r>
          </w:p>
        </w:tc>
        <w:tc>
          <w:tcPr>
            <w:tcW w:w="1650" w:type="dxa"/>
            <w:shd w:val="clear" w:color="auto" w:fill="auto"/>
            <w:noWrap w:val="0"/>
            <w:vAlign w:val="center"/>
          </w:tcPr>
          <w:p w14:paraId="32E08775">
            <w:pPr>
              <w:jc w:val="center"/>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9 信息安全</w:t>
            </w:r>
          </w:p>
        </w:tc>
        <w:tc>
          <w:tcPr>
            <w:tcW w:w="3420" w:type="dxa"/>
            <w:shd w:val="clear" w:color="auto" w:fill="auto"/>
            <w:noWrap w:val="0"/>
            <w:vAlign w:val="center"/>
          </w:tcPr>
          <w:p w14:paraId="740770BF">
            <w:pPr>
              <w:jc w:val="left"/>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发布系统是否包含第三方还是指省级发布系统？第三方指？发布系统和第三方未定义</w:t>
            </w:r>
          </w:p>
        </w:tc>
        <w:tc>
          <w:tcPr>
            <w:tcW w:w="3075" w:type="dxa"/>
            <w:shd w:val="clear" w:color="auto" w:fill="auto"/>
            <w:noWrap w:val="0"/>
            <w:vAlign w:val="center"/>
          </w:tcPr>
          <w:p w14:paraId="646DBF54">
            <w:pPr>
              <w:jc w:val="left"/>
              <w:rPr>
                <w:rFonts w:hint="eastAsia" w:ascii="宋体" w:hAnsi="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发布系统和第三方未定义</w:t>
            </w:r>
          </w:p>
        </w:tc>
        <w:tc>
          <w:tcPr>
            <w:tcW w:w="3075" w:type="dxa"/>
            <w:shd w:val="clear" w:color="auto" w:fill="auto"/>
            <w:noWrap w:val="0"/>
            <w:vAlign w:val="center"/>
          </w:tcPr>
          <w:p w14:paraId="0BA09704">
            <w:pPr>
              <w:jc w:val="left"/>
              <w:rPr>
                <w:rFonts w:hint="eastAsia"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kern w:val="2"/>
                <w:sz w:val="21"/>
                <w:szCs w:val="21"/>
                <w:u w:val="none"/>
                <w:vertAlign w:val="baseline"/>
                <w:lang w:val="en-US" w:eastAsia="zh-CN" w:bidi="ar-SA"/>
              </w:rPr>
              <w:t>四川省地震局</w:t>
            </w:r>
          </w:p>
        </w:tc>
        <w:tc>
          <w:tcPr>
            <w:tcW w:w="2550" w:type="dxa"/>
            <w:shd w:val="clear" w:color="auto" w:fill="auto"/>
            <w:noWrap w:val="0"/>
            <w:vAlign w:val="center"/>
          </w:tcPr>
          <w:p w14:paraId="49E783D9">
            <w:pPr>
              <w:pStyle w:val="12"/>
              <w:numPr>
                <w:ilvl w:val="1"/>
                <w:numId w:val="0"/>
              </w:numPr>
              <w:ind w:left="0" w:leftChars="0" w:firstLine="0" w:firstLineChars="0"/>
              <w:rPr>
                <w:rFonts w:hint="default"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部分采纳。应添加定义。</w:t>
            </w:r>
          </w:p>
        </w:tc>
      </w:tr>
      <w:tr w14:paraId="4D6AB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1C93BA3C">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9</w:t>
            </w:r>
          </w:p>
        </w:tc>
        <w:tc>
          <w:tcPr>
            <w:tcW w:w="1650" w:type="dxa"/>
            <w:shd w:val="clear" w:color="auto" w:fill="auto"/>
            <w:noWrap w:val="0"/>
            <w:vAlign w:val="center"/>
          </w:tcPr>
          <w:p w14:paraId="1B170807">
            <w:pPr>
              <w:pStyle w:val="14"/>
              <w:keepNext w:val="0"/>
              <w:keepLines w:val="0"/>
              <w:widowControl/>
              <w:numPr>
                <w:ilvl w:val="0"/>
                <w:numId w:val="0"/>
              </w:numPr>
              <w:suppressLineNumbers w:val="0"/>
              <w:spacing w:beforeLines="100" w:beforeAutospacing="0" w:afterLines="100" w:afterAutospacing="0"/>
              <w:ind w:leftChars="0" w:right="0" w:rightChars="0"/>
              <w:rPr>
                <w:rFonts w:hint="default"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4</w:t>
            </w:r>
            <w:r>
              <w:rPr>
                <w:rFonts w:hint="default" w:ascii="宋体" w:hAnsi="宋体" w:eastAsia="宋体" w:cs="宋体"/>
                <w:b w:val="0"/>
                <w:bCs w:val="0"/>
                <w:kern w:val="2"/>
                <w:sz w:val="21"/>
                <w:szCs w:val="21"/>
                <w:u w:val="none"/>
                <w:vertAlign w:val="baseline"/>
                <w:lang w:val="en-US" w:eastAsia="zh-CN" w:bidi="ar-SA"/>
              </w:rPr>
              <w:t xml:space="preserve"> 地震预警等级</w:t>
            </w:r>
          </w:p>
          <w:p w14:paraId="389561F3">
            <w:pPr>
              <w:jc w:val="center"/>
              <w:rPr>
                <w:rFonts w:hint="eastAsia" w:ascii="宋体" w:hAnsi="宋体" w:eastAsia="宋体" w:cs="宋体"/>
                <w:b w:val="0"/>
                <w:bCs w:val="0"/>
                <w:kern w:val="2"/>
                <w:sz w:val="21"/>
                <w:szCs w:val="21"/>
                <w:u w:val="none"/>
                <w:vertAlign w:val="baseline"/>
                <w:lang w:val="en-US" w:eastAsia="zh-CN" w:bidi="ar-SA"/>
              </w:rPr>
            </w:pPr>
          </w:p>
        </w:tc>
        <w:tc>
          <w:tcPr>
            <w:tcW w:w="3420" w:type="dxa"/>
            <w:shd w:val="clear" w:color="auto" w:fill="auto"/>
            <w:noWrap w:val="0"/>
            <w:vAlign w:val="center"/>
          </w:tcPr>
          <w:p w14:paraId="42D3CFC5">
            <w:pPr>
              <w:jc w:val="left"/>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地震预警等级划分建议参考《中华人民共和国突发事件应对法》第六十三条规定的等级划分，使用“一、二、三、四级”表述。</w:t>
            </w:r>
          </w:p>
          <w:p w14:paraId="51A8D330">
            <w:pPr>
              <w:jc w:val="left"/>
              <w:rPr>
                <w:rFonts w:hint="default" w:ascii="宋体" w:hAnsi="宋体" w:eastAsia="宋体" w:cs="宋体"/>
                <w:b w:val="0"/>
                <w:bCs w:val="0"/>
                <w:kern w:val="2"/>
                <w:sz w:val="21"/>
                <w:szCs w:val="21"/>
                <w:u w:val="none"/>
                <w:vertAlign w:val="baseline"/>
                <w:lang w:val="en-US" w:eastAsia="zh-CN" w:bidi="ar-SA"/>
              </w:rPr>
            </w:pPr>
          </w:p>
        </w:tc>
        <w:tc>
          <w:tcPr>
            <w:tcW w:w="3075" w:type="dxa"/>
            <w:shd w:val="clear" w:color="auto" w:fill="auto"/>
            <w:noWrap w:val="0"/>
            <w:vAlign w:val="center"/>
          </w:tcPr>
          <w:p w14:paraId="11D06DB0">
            <w:pPr>
              <w:jc w:val="left"/>
              <w:rPr>
                <w:rFonts w:hint="eastAsia" w:ascii="宋体" w:hAnsi="宋体" w:cs="宋体"/>
                <w:b w:val="0"/>
                <w:bCs w:val="0"/>
                <w:kern w:val="2"/>
                <w:sz w:val="21"/>
                <w:szCs w:val="21"/>
                <w:u w:val="none"/>
                <w:vertAlign w:val="baseline"/>
                <w:lang w:val="en-US" w:eastAsia="zh-CN" w:bidi="ar-SA"/>
              </w:rPr>
            </w:pPr>
          </w:p>
        </w:tc>
        <w:tc>
          <w:tcPr>
            <w:tcW w:w="3075" w:type="dxa"/>
            <w:shd w:val="clear" w:color="auto" w:fill="auto"/>
            <w:noWrap w:val="0"/>
            <w:vAlign w:val="center"/>
          </w:tcPr>
          <w:p w14:paraId="2324BFAB">
            <w:pPr>
              <w:jc w:val="left"/>
              <w:rPr>
                <w:rFonts w:hint="eastAsia"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kern w:val="2"/>
                <w:sz w:val="21"/>
                <w:szCs w:val="21"/>
                <w:u w:val="none"/>
                <w:vertAlign w:val="baseline"/>
                <w:lang w:val="en-US" w:eastAsia="zh-CN" w:bidi="ar-SA"/>
              </w:rPr>
              <w:t>海南省应急管理厅</w:t>
            </w:r>
          </w:p>
        </w:tc>
        <w:tc>
          <w:tcPr>
            <w:tcW w:w="2550" w:type="dxa"/>
            <w:shd w:val="clear" w:color="auto" w:fill="auto"/>
            <w:noWrap w:val="0"/>
            <w:vAlign w:val="center"/>
          </w:tcPr>
          <w:p w14:paraId="5F03DF25">
            <w:pPr>
              <w:jc w:val="left"/>
              <w:rPr>
                <w:rFonts w:hint="eastAsia" w:ascii="宋体" w:hAnsi="宋体" w:eastAsia="宋体" w:cs="宋体"/>
                <w:b w:val="0"/>
                <w:bCs w:val="0"/>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不采纳。依据GB/T 38121-2019《地震预警信息发布》及地震行业规范，采用罗马数字等级划分（Ⅰ、Ⅱ级）地震等级与《中华人民共和国突发事件应对法》定性描述的应急响应等级存在本质区别，二者不宜简单对应。</w:t>
            </w:r>
          </w:p>
        </w:tc>
      </w:tr>
      <w:tr w14:paraId="5193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227EF416">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10</w:t>
            </w:r>
          </w:p>
        </w:tc>
        <w:tc>
          <w:tcPr>
            <w:tcW w:w="1650" w:type="dxa"/>
            <w:shd w:val="clear" w:color="auto" w:fill="auto"/>
            <w:noWrap w:val="0"/>
            <w:vAlign w:val="center"/>
          </w:tcPr>
          <w:p w14:paraId="6522B121">
            <w:pPr>
              <w:pStyle w:val="5"/>
              <w:keepNext w:val="0"/>
              <w:keepLines w:val="0"/>
              <w:widowControl/>
              <w:numPr>
                <w:ilvl w:val="0"/>
                <w:numId w:val="0"/>
              </w:numPr>
              <w:suppressLineNumbers w:val="0"/>
              <w:spacing w:before="312" w:beforeLines="100" w:beforeAutospacing="0" w:after="312" w:afterLines="100" w:afterAutospacing="0"/>
              <w:ind w:left="0" w:leftChars="0" w:right="0" w:rightChars="0" w:firstLine="0" w:firstLineChars="0"/>
              <w:jc w:val="both"/>
              <w:outlineLvl w:val="1"/>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6</w:t>
            </w:r>
            <w:r>
              <w:rPr>
                <w:rFonts w:hint="default" w:ascii="宋体" w:hAnsi="宋体" w:eastAsia="宋体" w:cs="宋体"/>
                <w:b w:val="0"/>
                <w:bCs w:val="0"/>
                <w:kern w:val="2"/>
                <w:sz w:val="21"/>
                <w:szCs w:val="21"/>
                <w:u w:val="none"/>
                <w:vertAlign w:val="baseline"/>
                <w:lang w:val="en-US" w:eastAsia="zh-CN" w:bidi="ar-SA"/>
              </w:rPr>
              <w:t>发布内容</w:t>
            </w:r>
          </w:p>
        </w:tc>
        <w:tc>
          <w:tcPr>
            <w:tcW w:w="3420" w:type="dxa"/>
            <w:shd w:val="clear" w:color="auto" w:fill="auto"/>
            <w:noWrap w:val="0"/>
            <w:vAlign w:val="center"/>
          </w:tcPr>
          <w:p w14:paraId="5B4F23FD">
            <w:pPr>
              <w:jc w:val="left"/>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建议参考《中华人民共和国突发事件应对法》第六十四条规定的“发布警报应当明确预警类别、级别、起始时间、可能影响的范围、警示事项、应当采取的措施、发布单位和发布时间等。”。</w:t>
            </w:r>
          </w:p>
          <w:p w14:paraId="18C0EB11">
            <w:pPr>
              <w:jc w:val="left"/>
              <w:rPr>
                <w:rFonts w:hint="eastAsia" w:ascii="宋体" w:hAnsi="宋体" w:eastAsia="宋体" w:cs="宋体"/>
                <w:b w:val="0"/>
                <w:bCs w:val="0"/>
                <w:kern w:val="2"/>
                <w:sz w:val="21"/>
                <w:szCs w:val="21"/>
                <w:u w:val="none"/>
                <w:vertAlign w:val="baseline"/>
                <w:lang w:val="en-US" w:eastAsia="zh-CN" w:bidi="ar-SA"/>
              </w:rPr>
            </w:pPr>
          </w:p>
        </w:tc>
        <w:tc>
          <w:tcPr>
            <w:tcW w:w="3075" w:type="dxa"/>
            <w:shd w:val="clear" w:color="auto" w:fill="auto"/>
            <w:noWrap w:val="0"/>
            <w:vAlign w:val="center"/>
          </w:tcPr>
          <w:p w14:paraId="572CBB10">
            <w:pPr>
              <w:jc w:val="left"/>
              <w:rPr>
                <w:rFonts w:hint="eastAsia" w:ascii="宋体" w:hAnsi="宋体" w:cs="宋体"/>
                <w:b w:val="0"/>
                <w:bCs w:val="0"/>
                <w:kern w:val="2"/>
                <w:sz w:val="21"/>
                <w:szCs w:val="21"/>
                <w:u w:val="none"/>
                <w:vertAlign w:val="baseline"/>
                <w:lang w:val="en-US" w:eastAsia="zh-CN" w:bidi="ar-SA"/>
              </w:rPr>
            </w:pPr>
          </w:p>
        </w:tc>
        <w:tc>
          <w:tcPr>
            <w:tcW w:w="3075" w:type="dxa"/>
            <w:shd w:val="clear" w:color="auto" w:fill="auto"/>
            <w:noWrap w:val="0"/>
            <w:vAlign w:val="center"/>
          </w:tcPr>
          <w:p w14:paraId="2F2A2B95">
            <w:pPr>
              <w:jc w:val="left"/>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kern w:val="2"/>
                <w:sz w:val="21"/>
                <w:szCs w:val="21"/>
                <w:u w:val="none"/>
                <w:vertAlign w:val="baseline"/>
                <w:lang w:val="en-US" w:eastAsia="zh-CN" w:bidi="ar-SA"/>
              </w:rPr>
              <w:t>海南省应急管理厅</w:t>
            </w:r>
          </w:p>
        </w:tc>
        <w:tc>
          <w:tcPr>
            <w:tcW w:w="2550" w:type="dxa"/>
            <w:shd w:val="clear" w:color="auto" w:fill="auto"/>
            <w:noWrap w:val="0"/>
            <w:vAlign w:val="center"/>
          </w:tcPr>
          <w:p w14:paraId="45F5A961">
            <w:pPr>
              <w:jc w:val="left"/>
              <w:rPr>
                <w:rFonts w:hint="eastAsia"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不采纳。地震预警信息的主要目的就是针对地震这一特定灾害进行预警，其类别相对单一，与《中华人民共和国突发事件应对法》第六十四条所涵盖的多种突发事件类型有所不同。</w:t>
            </w:r>
          </w:p>
        </w:tc>
      </w:tr>
      <w:tr w14:paraId="1C89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735" w:type="dxa"/>
            <w:noWrap w:val="0"/>
            <w:vAlign w:val="center"/>
          </w:tcPr>
          <w:p w14:paraId="54B4608E">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11</w:t>
            </w:r>
          </w:p>
        </w:tc>
        <w:tc>
          <w:tcPr>
            <w:tcW w:w="1650" w:type="dxa"/>
            <w:shd w:val="clear" w:color="auto" w:fill="auto"/>
            <w:noWrap w:val="0"/>
            <w:vAlign w:val="center"/>
          </w:tcPr>
          <w:p w14:paraId="2C6BBCA3">
            <w:pPr>
              <w:jc w:val="center"/>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1范围</w:t>
            </w:r>
          </w:p>
        </w:tc>
        <w:tc>
          <w:tcPr>
            <w:tcW w:w="3420" w:type="dxa"/>
            <w:noWrap w:val="0"/>
            <w:vAlign w:val="center"/>
          </w:tcPr>
          <w:p w14:paraId="461026C5">
            <w:pPr>
              <w:jc w:val="left"/>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范围约定内容不全，应对照3-9章内容，完善规范规定内容范围。</w:t>
            </w:r>
          </w:p>
        </w:tc>
        <w:tc>
          <w:tcPr>
            <w:tcW w:w="3075" w:type="dxa"/>
            <w:noWrap w:val="0"/>
            <w:vAlign w:val="center"/>
          </w:tcPr>
          <w:p w14:paraId="634849CF">
            <w:pPr>
              <w:jc w:val="left"/>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依据《</w:t>
            </w:r>
            <w:r>
              <w:rPr>
                <w:rFonts w:hint="eastAsia"/>
              </w:rPr>
              <w:t>标准化工作导则</w:t>
            </w:r>
            <w:r>
              <w:rPr>
                <w:rFonts w:hint="eastAsia" w:ascii="宋体" w:hAnsi="宋体" w:cs="宋体"/>
                <w:b w:val="0"/>
                <w:bCs w:val="0"/>
                <w:sz w:val="21"/>
                <w:szCs w:val="21"/>
                <w:u w:val="none"/>
                <w:vertAlign w:val="baseline"/>
                <w:lang w:val="en-US" w:eastAsia="zh-CN"/>
              </w:rPr>
              <w:t>》中8.5.1中要求，应界定各自部分的标准化对象和所覆盖的各个方面。</w:t>
            </w:r>
          </w:p>
        </w:tc>
        <w:tc>
          <w:tcPr>
            <w:tcW w:w="3075" w:type="dxa"/>
            <w:noWrap w:val="0"/>
            <w:vAlign w:val="center"/>
          </w:tcPr>
          <w:p w14:paraId="0EB1175B">
            <w:pPr>
              <w:jc w:val="center"/>
              <w:rPr>
                <w:rFonts w:hint="default" w:ascii="宋体" w:hAnsi="宋体" w:eastAsia="宋体" w:cs="宋体"/>
                <w:b w:val="0"/>
                <w:bCs w:val="0"/>
                <w:kern w:val="2"/>
                <w:sz w:val="21"/>
                <w:szCs w:val="21"/>
                <w:u w:val="none"/>
                <w:vertAlign w:val="baseline"/>
                <w:lang w:val="en-US" w:eastAsia="zh-CN" w:bidi="ar-SA"/>
              </w:rPr>
            </w:pPr>
            <w:r>
              <w:rPr>
                <w:rFonts w:hint="default" w:ascii="宋体" w:hAnsi="宋体" w:eastAsia="宋体" w:cs="宋体"/>
                <w:b w:val="0"/>
                <w:bCs w:val="0"/>
                <w:kern w:val="2"/>
                <w:sz w:val="21"/>
                <w:szCs w:val="21"/>
                <w:u w:val="none"/>
                <w:vertAlign w:val="baseline"/>
                <w:lang w:val="en-US" w:eastAsia="zh-CN" w:bidi="ar-SA"/>
              </w:rPr>
              <w:t>天津市地震局</w:t>
            </w:r>
          </w:p>
        </w:tc>
        <w:tc>
          <w:tcPr>
            <w:tcW w:w="2550" w:type="dxa"/>
            <w:shd w:val="clear" w:color="auto" w:fill="auto"/>
            <w:noWrap w:val="0"/>
            <w:vAlign w:val="center"/>
          </w:tcPr>
          <w:p w14:paraId="2ABF7E90">
            <w:pPr>
              <w:jc w:val="left"/>
              <w:rPr>
                <w:rFonts w:hint="eastAsia"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采纳。</w:t>
            </w:r>
          </w:p>
        </w:tc>
      </w:tr>
      <w:tr w14:paraId="6115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0694B163">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12</w:t>
            </w:r>
          </w:p>
        </w:tc>
        <w:tc>
          <w:tcPr>
            <w:tcW w:w="1650" w:type="dxa"/>
            <w:shd w:val="clear" w:color="auto" w:fill="auto"/>
            <w:noWrap w:val="0"/>
            <w:vAlign w:val="center"/>
          </w:tcPr>
          <w:p w14:paraId="0AF907B0">
            <w:pPr>
              <w:jc w:val="center"/>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2规范性引用文件</w:t>
            </w:r>
          </w:p>
        </w:tc>
        <w:tc>
          <w:tcPr>
            <w:tcW w:w="3420" w:type="dxa"/>
            <w:noWrap w:val="0"/>
            <w:vAlign w:val="center"/>
          </w:tcPr>
          <w:p w14:paraId="46D00107">
            <w:pPr>
              <w:jc w:val="left"/>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建议只体现国标编号，省略版本时间</w:t>
            </w:r>
          </w:p>
        </w:tc>
        <w:tc>
          <w:tcPr>
            <w:tcW w:w="3075" w:type="dxa"/>
            <w:noWrap w:val="0"/>
            <w:vAlign w:val="center"/>
          </w:tcPr>
          <w:p w14:paraId="31723CCE">
            <w:pPr>
              <w:jc w:val="left"/>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所涉及规范性引用文件较多，各项标准出现更新后，引用文件时间版本号发生变化，要求该标准也要做出调整，增加后续工作量和标准的执行严肃性。</w:t>
            </w:r>
          </w:p>
        </w:tc>
        <w:tc>
          <w:tcPr>
            <w:tcW w:w="3075" w:type="dxa"/>
            <w:noWrap w:val="0"/>
            <w:vAlign w:val="center"/>
          </w:tcPr>
          <w:p w14:paraId="0AD4A677">
            <w:pPr>
              <w:jc w:val="center"/>
              <w:rPr>
                <w:rFonts w:hint="eastAsia" w:ascii="宋体" w:hAnsi="宋体" w:cs="宋体"/>
                <w:b w:val="0"/>
                <w:bCs w:val="0"/>
                <w:sz w:val="21"/>
                <w:szCs w:val="21"/>
                <w:u w:val="none"/>
                <w:vertAlign w:val="baseline"/>
                <w:lang w:val="en-US" w:eastAsia="zh-CN"/>
              </w:rPr>
            </w:pPr>
            <w:r>
              <w:rPr>
                <w:rFonts w:hint="default" w:ascii="宋体" w:hAnsi="宋体" w:eastAsia="宋体" w:cs="宋体"/>
                <w:b w:val="0"/>
                <w:bCs w:val="0"/>
                <w:kern w:val="2"/>
                <w:sz w:val="21"/>
                <w:szCs w:val="21"/>
                <w:u w:val="none"/>
                <w:vertAlign w:val="baseline"/>
                <w:lang w:val="en-US" w:eastAsia="zh-CN" w:bidi="ar-SA"/>
              </w:rPr>
              <w:t>天津市地震局</w:t>
            </w:r>
          </w:p>
        </w:tc>
        <w:tc>
          <w:tcPr>
            <w:tcW w:w="2550" w:type="dxa"/>
            <w:shd w:val="clear" w:color="auto" w:fill="auto"/>
            <w:noWrap w:val="0"/>
            <w:vAlign w:val="center"/>
          </w:tcPr>
          <w:p w14:paraId="3A7D2EB0">
            <w:pPr>
              <w:pStyle w:val="15"/>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kern w:val="2"/>
                <w:sz w:val="21"/>
                <w:szCs w:val="21"/>
                <w:u w:val="none"/>
                <w:vertAlign w:val="baseline"/>
                <w:lang w:val="en-US" w:eastAsia="zh-CN" w:bidi="ar-SA"/>
              </w:rPr>
              <w:t>不采纳。写明版本号，指明是本文件使用的版本</w:t>
            </w:r>
          </w:p>
        </w:tc>
      </w:tr>
      <w:tr w14:paraId="43A6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735" w:type="dxa"/>
            <w:noWrap w:val="0"/>
            <w:vAlign w:val="center"/>
          </w:tcPr>
          <w:p w14:paraId="6D37AB22">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13</w:t>
            </w:r>
          </w:p>
        </w:tc>
        <w:tc>
          <w:tcPr>
            <w:tcW w:w="1650" w:type="dxa"/>
            <w:shd w:val="clear" w:color="auto" w:fill="auto"/>
            <w:noWrap w:val="0"/>
            <w:vAlign w:val="center"/>
          </w:tcPr>
          <w:p w14:paraId="7D5B0FB5">
            <w:pPr>
              <w:jc w:val="center"/>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3术语和定义</w:t>
            </w:r>
          </w:p>
        </w:tc>
        <w:tc>
          <w:tcPr>
            <w:tcW w:w="3420" w:type="dxa"/>
            <w:noWrap w:val="0"/>
            <w:vAlign w:val="center"/>
          </w:tcPr>
          <w:p w14:paraId="1AA336B4">
            <w:pPr>
              <w:jc w:val="left"/>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请将涉及标注“来源”的相关地方标准名称放入参考文献。</w:t>
            </w:r>
          </w:p>
        </w:tc>
        <w:tc>
          <w:tcPr>
            <w:tcW w:w="3075" w:type="dxa"/>
            <w:noWrap w:val="0"/>
            <w:vAlign w:val="center"/>
          </w:tcPr>
          <w:p w14:paraId="0CD77F44">
            <w:pPr>
              <w:jc w:val="left"/>
              <w:rPr>
                <w:rFonts w:hint="eastAsia" w:ascii="宋体" w:hAnsi="宋体" w:cs="宋体"/>
                <w:b w:val="0"/>
                <w:bCs w:val="0"/>
                <w:sz w:val="21"/>
                <w:szCs w:val="21"/>
                <w:u w:val="none"/>
                <w:vertAlign w:val="baseline"/>
                <w:lang w:val="en-US" w:eastAsia="zh-CN"/>
              </w:rPr>
            </w:pPr>
          </w:p>
        </w:tc>
        <w:tc>
          <w:tcPr>
            <w:tcW w:w="3075" w:type="dxa"/>
            <w:noWrap w:val="0"/>
            <w:vAlign w:val="center"/>
          </w:tcPr>
          <w:p w14:paraId="21A16AC7">
            <w:pPr>
              <w:jc w:val="center"/>
              <w:rPr>
                <w:rFonts w:hint="eastAsia" w:ascii="宋体" w:hAnsi="宋体" w:cs="宋体"/>
                <w:b w:val="0"/>
                <w:bCs w:val="0"/>
                <w:sz w:val="21"/>
                <w:szCs w:val="21"/>
                <w:u w:val="none"/>
                <w:vertAlign w:val="baseline"/>
                <w:lang w:val="en-US" w:eastAsia="zh-CN"/>
              </w:rPr>
            </w:pPr>
            <w:r>
              <w:rPr>
                <w:rFonts w:hint="default" w:ascii="宋体" w:hAnsi="宋体" w:eastAsia="宋体" w:cs="宋体"/>
                <w:b w:val="0"/>
                <w:bCs w:val="0"/>
                <w:kern w:val="2"/>
                <w:sz w:val="21"/>
                <w:szCs w:val="21"/>
                <w:u w:val="none"/>
                <w:vertAlign w:val="baseline"/>
                <w:lang w:val="en-US" w:eastAsia="zh-CN" w:bidi="ar-SA"/>
              </w:rPr>
              <w:t>天津市地震局</w:t>
            </w:r>
          </w:p>
        </w:tc>
        <w:tc>
          <w:tcPr>
            <w:tcW w:w="2550" w:type="dxa"/>
            <w:noWrap w:val="0"/>
            <w:vAlign w:val="center"/>
          </w:tcPr>
          <w:p w14:paraId="1DC5F080">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w:t>
            </w:r>
          </w:p>
        </w:tc>
      </w:tr>
      <w:tr w14:paraId="5847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2CB044AF">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14</w:t>
            </w:r>
          </w:p>
        </w:tc>
        <w:tc>
          <w:tcPr>
            <w:tcW w:w="1650" w:type="dxa"/>
            <w:shd w:val="clear" w:color="auto" w:fill="auto"/>
            <w:noWrap w:val="0"/>
            <w:vAlign w:val="center"/>
          </w:tcPr>
          <w:p w14:paraId="233997F0">
            <w:pPr>
              <w:jc w:val="center"/>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2规范性引用文件</w:t>
            </w:r>
          </w:p>
        </w:tc>
        <w:tc>
          <w:tcPr>
            <w:tcW w:w="3420" w:type="dxa"/>
            <w:noWrap w:val="0"/>
            <w:vAlign w:val="center"/>
          </w:tcPr>
          <w:p w14:paraId="22D106FC">
            <w:pPr>
              <w:jc w:val="left"/>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请将该部分全部放入参考文献</w:t>
            </w:r>
          </w:p>
        </w:tc>
        <w:tc>
          <w:tcPr>
            <w:tcW w:w="3075" w:type="dxa"/>
            <w:noWrap w:val="0"/>
            <w:vAlign w:val="center"/>
          </w:tcPr>
          <w:p w14:paraId="11EF6C9A">
            <w:pPr>
              <w:jc w:val="left"/>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借鉴和引用部分内容应放入参考文献，在规范中写明应遵守该GB的，可放在此处</w:t>
            </w:r>
          </w:p>
        </w:tc>
        <w:tc>
          <w:tcPr>
            <w:tcW w:w="3075" w:type="dxa"/>
            <w:noWrap w:val="0"/>
            <w:vAlign w:val="center"/>
          </w:tcPr>
          <w:p w14:paraId="13765B08">
            <w:pPr>
              <w:jc w:val="center"/>
              <w:rPr>
                <w:rFonts w:hint="eastAsia" w:ascii="宋体" w:hAnsi="宋体" w:cs="宋体"/>
                <w:b w:val="0"/>
                <w:bCs w:val="0"/>
                <w:sz w:val="21"/>
                <w:szCs w:val="21"/>
                <w:u w:val="none"/>
                <w:vertAlign w:val="baseline"/>
                <w:lang w:val="en-US" w:eastAsia="zh-CN"/>
              </w:rPr>
            </w:pPr>
            <w:r>
              <w:rPr>
                <w:rFonts w:hint="default" w:ascii="宋体" w:hAnsi="宋体" w:eastAsia="宋体" w:cs="宋体"/>
                <w:b w:val="0"/>
                <w:bCs w:val="0"/>
                <w:kern w:val="2"/>
                <w:sz w:val="21"/>
                <w:szCs w:val="21"/>
                <w:u w:val="none"/>
                <w:vertAlign w:val="baseline"/>
                <w:lang w:val="en-US" w:eastAsia="zh-CN" w:bidi="ar-SA"/>
              </w:rPr>
              <w:t>天津市地震局</w:t>
            </w:r>
          </w:p>
        </w:tc>
        <w:tc>
          <w:tcPr>
            <w:tcW w:w="2550" w:type="dxa"/>
            <w:noWrap w:val="0"/>
            <w:vAlign w:val="center"/>
          </w:tcPr>
          <w:p w14:paraId="46B8E54A">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不采纳。标准“来源”的相关地方标准名称已经放在2规范性引用文件，可不再列入参考文献</w:t>
            </w:r>
          </w:p>
        </w:tc>
      </w:tr>
      <w:tr w14:paraId="78AB8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4A2A8E6E">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15</w:t>
            </w:r>
          </w:p>
        </w:tc>
        <w:tc>
          <w:tcPr>
            <w:tcW w:w="1650" w:type="dxa"/>
            <w:shd w:val="clear" w:color="auto" w:fill="auto"/>
            <w:noWrap w:val="0"/>
            <w:vAlign w:val="center"/>
          </w:tcPr>
          <w:p w14:paraId="55EE23D2">
            <w:pPr>
              <w:jc w:val="center"/>
              <w:rPr>
                <w:rFonts w:hint="default" w:ascii="宋体" w:hAnsi="宋体" w:eastAsia="宋体" w:cs="宋体"/>
                <w:b w:val="0"/>
                <w:bCs w:val="0"/>
                <w:kern w:val="2"/>
                <w:sz w:val="21"/>
                <w:szCs w:val="21"/>
                <w:u w:val="none"/>
                <w:vertAlign w:val="baseline"/>
                <w:lang w:val="en-US" w:eastAsia="zh-CN" w:bidi="ar-SA"/>
              </w:rPr>
            </w:pPr>
            <w:r>
              <w:rPr>
                <w:rFonts w:hint="eastAsia" w:ascii="宋体" w:hAnsi="宋体" w:cs="宋体"/>
                <w:b w:val="0"/>
                <w:bCs w:val="0"/>
                <w:sz w:val="21"/>
                <w:szCs w:val="21"/>
                <w:u w:val="none"/>
                <w:vertAlign w:val="baseline"/>
                <w:lang w:val="en-US" w:eastAsia="zh-CN"/>
              </w:rPr>
              <w:t>附录A、B、C</w:t>
            </w:r>
          </w:p>
        </w:tc>
        <w:tc>
          <w:tcPr>
            <w:tcW w:w="3420" w:type="dxa"/>
            <w:noWrap w:val="0"/>
            <w:vAlign w:val="center"/>
          </w:tcPr>
          <w:p w14:paraId="14C707D4">
            <w:pPr>
              <w:jc w:val="left"/>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建议将“（规范性）”改为“（资料性）”或者将第6章中有关“参见”改为“符合”</w:t>
            </w:r>
          </w:p>
        </w:tc>
        <w:tc>
          <w:tcPr>
            <w:tcW w:w="3075" w:type="dxa"/>
            <w:noWrap w:val="0"/>
            <w:vAlign w:val="center"/>
          </w:tcPr>
          <w:p w14:paraId="5F617D83">
            <w:pPr>
              <w:jc w:val="left"/>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依据《</w:t>
            </w:r>
            <w:r>
              <w:rPr>
                <w:rFonts w:hint="eastAsia"/>
              </w:rPr>
              <w:t>标准化工作导则</w:t>
            </w:r>
            <w:r>
              <w:rPr>
                <w:rFonts w:hint="eastAsia" w:ascii="宋体" w:hAnsi="宋体" w:cs="宋体"/>
                <w:b w:val="0"/>
                <w:bCs w:val="0"/>
                <w:sz w:val="21"/>
                <w:szCs w:val="21"/>
                <w:u w:val="none"/>
                <w:vertAlign w:val="baseline"/>
                <w:lang w:val="en-US" w:eastAsia="zh-CN"/>
              </w:rPr>
              <w:t>》有关对顶，附录A、B、C在第6章中出现，要求参见附录A、B、C，而非“符合”性要求，是有助于标准的理解和使用的附加要素，不需要遵守，仅供参考，建议修改。</w:t>
            </w:r>
          </w:p>
        </w:tc>
        <w:tc>
          <w:tcPr>
            <w:tcW w:w="3075" w:type="dxa"/>
            <w:noWrap w:val="0"/>
            <w:vAlign w:val="center"/>
          </w:tcPr>
          <w:p w14:paraId="5DDF033B">
            <w:pPr>
              <w:jc w:val="center"/>
              <w:rPr>
                <w:rFonts w:hint="eastAsia" w:ascii="宋体" w:hAnsi="宋体" w:cs="宋体"/>
                <w:b w:val="0"/>
                <w:bCs w:val="0"/>
                <w:sz w:val="21"/>
                <w:szCs w:val="21"/>
                <w:u w:val="none"/>
                <w:vertAlign w:val="baseline"/>
                <w:lang w:val="en-US" w:eastAsia="zh-CN"/>
              </w:rPr>
            </w:pPr>
            <w:r>
              <w:rPr>
                <w:rFonts w:hint="default" w:ascii="宋体" w:hAnsi="宋体" w:eastAsia="宋体" w:cs="宋体"/>
                <w:b w:val="0"/>
                <w:bCs w:val="0"/>
                <w:kern w:val="2"/>
                <w:sz w:val="21"/>
                <w:szCs w:val="21"/>
                <w:u w:val="none"/>
                <w:vertAlign w:val="baseline"/>
                <w:lang w:val="en-US" w:eastAsia="zh-CN" w:bidi="ar-SA"/>
              </w:rPr>
              <w:t>天津市地震局</w:t>
            </w:r>
          </w:p>
        </w:tc>
        <w:tc>
          <w:tcPr>
            <w:tcW w:w="2550" w:type="dxa"/>
            <w:noWrap w:val="0"/>
            <w:vAlign w:val="center"/>
          </w:tcPr>
          <w:p w14:paraId="195FD80E">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部分采纳。附录A（规范性）、附录B（规范性）、附录C（资料性），第6章中有关“参见附录C”改为“符合附录C”</w:t>
            </w:r>
          </w:p>
        </w:tc>
      </w:tr>
      <w:tr w14:paraId="0C6E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53412086">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16</w:t>
            </w:r>
          </w:p>
        </w:tc>
        <w:tc>
          <w:tcPr>
            <w:tcW w:w="1650" w:type="dxa"/>
            <w:noWrap w:val="0"/>
            <w:vAlign w:val="center"/>
          </w:tcPr>
          <w:p w14:paraId="157B630D">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《编制说明》</w:t>
            </w:r>
          </w:p>
        </w:tc>
        <w:tc>
          <w:tcPr>
            <w:tcW w:w="3420" w:type="dxa"/>
            <w:noWrap w:val="0"/>
            <w:vAlign w:val="center"/>
          </w:tcPr>
          <w:p w14:paraId="33A30800">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建议不宜过于详细描述。</w:t>
            </w:r>
          </w:p>
        </w:tc>
        <w:tc>
          <w:tcPr>
            <w:tcW w:w="3075" w:type="dxa"/>
            <w:noWrap w:val="0"/>
            <w:vAlign w:val="center"/>
          </w:tcPr>
          <w:p w14:paraId="57DA58B6">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编制说明里海南岛及海南岛附近区域历史地震说的太详细。</w:t>
            </w:r>
          </w:p>
        </w:tc>
        <w:tc>
          <w:tcPr>
            <w:tcW w:w="3075" w:type="dxa"/>
            <w:noWrap w:val="0"/>
            <w:vAlign w:val="center"/>
          </w:tcPr>
          <w:p w14:paraId="69F47B72">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海南省委省政府</w:t>
            </w:r>
          </w:p>
        </w:tc>
        <w:tc>
          <w:tcPr>
            <w:tcW w:w="2550" w:type="dxa"/>
            <w:noWrap w:val="0"/>
            <w:vAlign w:val="center"/>
          </w:tcPr>
          <w:p w14:paraId="0F20DFCB">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w:t>
            </w:r>
          </w:p>
        </w:tc>
      </w:tr>
      <w:tr w14:paraId="6657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14E67A4D">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17</w:t>
            </w:r>
          </w:p>
        </w:tc>
        <w:tc>
          <w:tcPr>
            <w:tcW w:w="1650" w:type="dxa"/>
            <w:noWrap w:val="0"/>
            <w:vAlign w:val="center"/>
          </w:tcPr>
          <w:p w14:paraId="320347EB">
            <w:pPr>
              <w:jc w:val="center"/>
              <w:rPr>
                <w:rFonts w:hint="default" w:ascii="宋体" w:hAnsi="宋体" w:cs="宋体"/>
                <w:b w:val="0"/>
                <w:bCs w:val="0"/>
                <w:sz w:val="21"/>
                <w:szCs w:val="21"/>
                <w:u w:val="none"/>
                <w:vertAlign w:val="baseline"/>
                <w:lang w:val="en-US" w:eastAsia="zh-CN"/>
              </w:rPr>
            </w:pPr>
          </w:p>
        </w:tc>
        <w:tc>
          <w:tcPr>
            <w:tcW w:w="3420" w:type="dxa"/>
            <w:shd w:val="clear" w:color="auto" w:fill="auto"/>
            <w:noWrap w:val="0"/>
            <w:vAlign w:val="center"/>
          </w:tcPr>
          <w:p w14:paraId="7AE4F72C">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无意见</w:t>
            </w:r>
          </w:p>
        </w:tc>
        <w:tc>
          <w:tcPr>
            <w:tcW w:w="3075" w:type="dxa"/>
            <w:shd w:val="clear" w:color="auto" w:fill="auto"/>
            <w:noWrap w:val="0"/>
            <w:vAlign w:val="center"/>
          </w:tcPr>
          <w:p w14:paraId="4E9D0815">
            <w:pPr>
              <w:jc w:val="center"/>
              <w:rPr>
                <w:rFonts w:hint="eastAsia" w:ascii="宋体" w:hAnsi="宋体" w:cs="宋体"/>
                <w:b w:val="0"/>
                <w:bCs w:val="0"/>
                <w:sz w:val="21"/>
                <w:szCs w:val="21"/>
                <w:u w:val="none"/>
                <w:vertAlign w:val="baseline"/>
                <w:lang w:val="en-US" w:eastAsia="zh-CN"/>
              </w:rPr>
            </w:pPr>
          </w:p>
        </w:tc>
        <w:tc>
          <w:tcPr>
            <w:tcW w:w="3075" w:type="dxa"/>
            <w:shd w:val="clear" w:color="auto" w:fill="auto"/>
            <w:noWrap w:val="0"/>
            <w:vAlign w:val="center"/>
          </w:tcPr>
          <w:p w14:paraId="16E96050">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海南省海洋厅</w:t>
            </w:r>
          </w:p>
        </w:tc>
        <w:tc>
          <w:tcPr>
            <w:tcW w:w="2550" w:type="dxa"/>
            <w:noWrap w:val="0"/>
            <w:vAlign w:val="center"/>
          </w:tcPr>
          <w:p w14:paraId="5778CAD4">
            <w:pPr>
              <w:jc w:val="center"/>
              <w:rPr>
                <w:rFonts w:hint="eastAsia" w:ascii="宋体" w:hAnsi="宋体" w:cs="宋体"/>
                <w:b w:val="0"/>
                <w:bCs w:val="0"/>
                <w:sz w:val="21"/>
                <w:szCs w:val="21"/>
                <w:u w:val="none"/>
                <w:vertAlign w:val="baseline"/>
                <w:lang w:val="en-US" w:eastAsia="zh-CN"/>
              </w:rPr>
            </w:pPr>
          </w:p>
        </w:tc>
      </w:tr>
      <w:tr w14:paraId="0060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45959F4E">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18</w:t>
            </w:r>
          </w:p>
        </w:tc>
        <w:tc>
          <w:tcPr>
            <w:tcW w:w="1650" w:type="dxa"/>
            <w:noWrap w:val="0"/>
            <w:vAlign w:val="center"/>
          </w:tcPr>
          <w:p w14:paraId="17AF970D">
            <w:pPr>
              <w:jc w:val="center"/>
              <w:rPr>
                <w:rFonts w:hint="default" w:ascii="宋体" w:hAnsi="宋体" w:cs="宋体"/>
                <w:b w:val="0"/>
                <w:bCs w:val="0"/>
                <w:sz w:val="21"/>
                <w:szCs w:val="21"/>
                <w:u w:val="none"/>
                <w:vertAlign w:val="baseline"/>
                <w:lang w:val="en-US" w:eastAsia="zh-CN"/>
              </w:rPr>
            </w:pPr>
          </w:p>
        </w:tc>
        <w:tc>
          <w:tcPr>
            <w:tcW w:w="3420" w:type="dxa"/>
            <w:shd w:val="clear" w:color="auto" w:fill="auto"/>
            <w:noWrap w:val="0"/>
            <w:vAlign w:val="center"/>
          </w:tcPr>
          <w:p w14:paraId="6FA515DF">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无意见</w:t>
            </w:r>
          </w:p>
        </w:tc>
        <w:tc>
          <w:tcPr>
            <w:tcW w:w="3075" w:type="dxa"/>
            <w:shd w:val="clear" w:color="auto" w:fill="auto"/>
            <w:noWrap w:val="0"/>
            <w:vAlign w:val="center"/>
          </w:tcPr>
          <w:p w14:paraId="7A036064">
            <w:pPr>
              <w:jc w:val="center"/>
              <w:rPr>
                <w:rFonts w:hint="eastAsia" w:ascii="宋体" w:hAnsi="宋体" w:cs="宋体"/>
                <w:b w:val="0"/>
                <w:bCs w:val="0"/>
                <w:sz w:val="21"/>
                <w:szCs w:val="21"/>
                <w:u w:val="none"/>
                <w:vertAlign w:val="baseline"/>
                <w:lang w:val="en-US" w:eastAsia="zh-CN"/>
              </w:rPr>
            </w:pPr>
          </w:p>
        </w:tc>
        <w:tc>
          <w:tcPr>
            <w:tcW w:w="3075" w:type="dxa"/>
            <w:shd w:val="clear" w:color="auto" w:fill="auto"/>
            <w:noWrap w:val="0"/>
            <w:vAlign w:val="center"/>
          </w:tcPr>
          <w:p w14:paraId="7254F5F0">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省委宣传部</w:t>
            </w:r>
          </w:p>
        </w:tc>
        <w:tc>
          <w:tcPr>
            <w:tcW w:w="2550" w:type="dxa"/>
            <w:noWrap w:val="0"/>
            <w:vAlign w:val="center"/>
          </w:tcPr>
          <w:p w14:paraId="340590E5">
            <w:pPr>
              <w:jc w:val="center"/>
              <w:rPr>
                <w:rFonts w:hint="eastAsia" w:ascii="宋体" w:hAnsi="宋体" w:cs="宋体"/>
                <w:b w:val="0"/>
                <w:bCs w:val="0"/>
                <w:sz w:val="21"/>
                <w:szCs w:val="21"/>
                <w:u w:val="none"/>
                <w:vertAlign w:val="baseline"/>
                <w:lang w:val="en-US" w:eastAsia="zh-CN"/>
              </w:rPr>
            </w:pPr>
          </w:p>
        </w:tc>
      </w:tr>
      <w:tr w14:paraId="3A24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31BE2A07">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19</w:t>
            </w:r>
          </w:p>
        </w:tc>
        <w:tc>
          <w:tcPr>
            <w:tcW w:w="1650" w:type="dxa"/>
            <w:noWrap w:val="0"/>
            <w:vAlign w:val="center"/>
          </w:tcPr>
          <w:p w14:paraId="34847FA9">
            <w:pPr>
              <w:jc w:val="center"/>
              <w:rPr>
                <w:rFonts w:hint="default" w:ascii="宋体" w:hAnsi="宋体" w:cs="宋体"/>
                <w:b w:val="0"/>
                <w:bCs w:val="0"/>
                <w:sz w:val="21"/>
                <w:szCs w:val="21"/>
                <w:u w:val="none"/>
                <w:vertAlign w:val="baseline"/>
                <w:lang w:val="en-US" w:eastAsia="zh-CN"/>
              </w:rPr>
            </w:pPr>
          </w:p>
        </w:tc>
        <w:tc>
          <w:tcPr>
            <w:tcW w:w="3420" w:type="dxa"/>
            <w:shd w:val="clear" w:color="auto" w:fill="auto"/>
            <w:noWrap w:val="0"/>
            <w:vAlign w:val="center"/>
          </w:tcPr>
          <w:p w14:paraId="7EBED7B5">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无意见</w:t>
            </w:r>
          </w:p>
        </w:tc>
        <w:tc>
          <w:tcPr>
            <w:tcW w:w="3075" w:type="dxa"/>
            <w:shd w:val="clear" w:color="auto" w:fill="auto"/>
            <w:noWrap w:val="0"/>
            <w:vAlign w:val="center"/>
          </w:tcPr>
          <w:p w14:paraId="698F05E4">
            <w:pPr>
              <w:jc w:val="center"/>
              <w:rPr>
                <w:rFonts w:hint="eastAsia" w:ascii="宋体" w:hAnsi="宋体" w:cs="宋体"/>
                <w:b w:val="0"/>
                <w:bCs w:val="0"/>
                <w:sz w:val="21"/>
                <w:szCs w:val="21"/>
                <w:u w:val="none"/>
                <w:vertAlign w:val="baseline"/>
                <w:lang w:val="en-US" w:eastAsia="zh-CN"/>
              </w:rPr>
            </w:pPr>
          </w:p>
        </w:tc>
        <w:tc>
          <w:tcPr>
            <w:tcW w:w="3075" w:type="dxa"/>
            <w:shd w:val="clear" w:color="auto" w:fill="auto"/>
            <w:noWrap w:val="0"/>
            <w:vAlign w:val="center"/>
          </w:tcPr>
          <w:p w14:paraId="74BE2036">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海口市应急管理局</w:t>
            </w:r>
          </w:p>
        </w:tc>
        <w:tc>
          <w:tcPr>
            <w:tcW w:w="2550" w:type="dxa"/>
            <w:noWrap w:val="0"/>
            <w:vAlign w:val="center"/>
          </w:tcPr>
          <w:p w14:paraId="0C1CCF51">
            <w:pPr>
              <w:jc w:val="center"/>
              <w:rPr>
                <w:rFonts w:hint="eastAsia" w:ascii="宋体" w:hAnsi="宋体" w:cs="宋体"/>
                <w:b w:val="0"/>
                <w:bCs w:val="0"/>
                <w:sz w:val="21"/>
                <w:szCs w:val="21"/>
                <w:u w:val="none"/>
                <w:vertAlign w:val="baseline"/>
                <w:lang w:val="en-US" w:eastAsia="zh-CN"/>
              </w:rPr>
            </w:pPr>
          </w:p>
        </w:tc>
      </w:tr>
      <w:tr w14:paraId="3DDB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3659C603">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20</w:t>
            </w:r>
          </w:p>
        </w:tc>
        <w:tc>
          <w:tcPr>
            <w:tcW w:w="1650" w:type="dxa"/>
            <w:noWrap w:val="0"/>
            <w:vAlign w:val="center"/>
          </w:tcPr>
          <w:p w14:paraId="76AB63BD">
            <w:pPr>
              <w:jc w:val="center"/>
              <w:rPr>
                <w:rFonts w:hint="default" w:ascii="宋体" w:hAnsi="宋体" w:cs="宋体"/>
                <w:b w:val="0"/>
                <w:bCs w:val="0"/>
                <w:sz w:val="21"/>
                <w:szCs w:val="21"/>
                <w:u w:val="none"/>
                <w:vertAlign w:val="baseline"/>
                <w:lang w:val="en-US" w:eastAsia="zh-CN"/>
              </w:rPr>
            </w:pPr>
          </w:p>
        </w:tc>
        <w:tc>
          <w:tcPr>
            <w:tcW w:w="3420" w:type="dxa"/>
            <w:shd w:val="clear" w:color="auto" w:fill="auto"/>
            <w:noWrap w:val="0"/>
            <w:vAlign w:val="center"/>
          </w:tcPr>
          <w:p w14:paraId="7BF3E7B9">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无意见</w:t>
            </w:r>
          </w:p>
        </w:tc>
        <w:tc>
          <w:tcPr>
            <w:tcW w:w="3075" w:type="dxa"/>
            <w:shd w:val="clear" w:color="auto" w:fill="auto"/>
            <w:noWrap w:val="0"/>
            <w:vAlign w:val="center"/>
          </w:tcPr>
          <w:p w14:paraId="4EDDBA5E">
            <w:pPr>
              <w:jc w:val="center"/>
              <w:rPr>
                <w:rFonts w:hint="eastAsia" w:ascii="宋体" w:hAnsi="宋体" w:cs="宋体"/>
                <w:b w:val="0"/>
                <w:bCs w:val="0"/>
                <w:sz w:val="21"/>
                <w:szCs w:val="21"/>
                <w:u w:val="none"/>
                <w:vertAlign w:val="baseline"/>
                <w:lang w:val="en-US" w:eastAsia="zh-CN"/>
              </w:rPr>
            </w:pPr>
          </w:p>
        </w:tc>
        <w:tc>
          <w:tcPr>
            <w:tcW w:w="3075" w:type="dxa"/>
            <w:shd w:val="clear" w:color="auto" w:fill="auto"/>
            <w:noWrap w:val="0"/>
            <w:vAlign w:val="center"/>
          </w:tcPr>
          <w:p w14:paraId="7CF2E818">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省消防总队</w:t>
            </w:r>
          </w:p>
        </w:tc>
        <w:tc>
          <w:tcPr>
            <w:tcW w:w="2550" w:type="dxa"/>
            <w:noWrap w:val="0"/>
            <w:vAlign w:val="center"/>
          </w:tcPr>
          <w:p w14:paraId="2371BD5B">
            <w:pPr>
              <w:jc w:val="center"/>
              <w:rPr>
                <w:rFonts w:hint="eastAsia" w:ascii="宋体" w:hAnsi="宋体" w:cs="宋体"/>
                <w:b w:val="0"/>
                <w:bCs w:val="0"/>
                <w:sz w:val="21"/>
                <w:szCs w:val="21"/>
                <w:u w:val="none"/>
                <w:vertAlign w:val="baseline"/>
                <w:lang w:val="en-US" w:eastAsia="zh-CN"/>
              </w:rPr>
            </w:pPr>
          </w:p>
        </w:tc>
      </w:tr>
      <w:tr w14:paraId="4C53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4F26D4C1">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21</w:t>
            </w:r>
          </w:p>
        </w:tc>
        <w:tc>
          <w:tcPr>
            <w:tcW w:w="1650" w:type="dxa"/>
            <w:noWrap w:val="0"/>
            <w:vAlign w:val="center"/>
          </w:tcPr>
          <w:p w14:paraId="5584BBC7">
            <w:pPr>
              <w:jc w:val="center"/>
              <w:rPr>
                <w:rFonts w:hint="default" w:ascii="宋体" w:hAnsi="宋体" w:eastAsia="宋体" w:cs="宋体"/>
                <w:b w:val="0"/>
                <w:bCs w:val="0"/>
                <w:sz w:val="21"/>
                <w:szCs w:val="21"/>
                <w:u w:val="none"/>
                <w:vertAlign w:val="baseline"/>
                <w:lang w:val="en-US" w:eastAsia="zh-CN"/>
              </w:rPr>
            </w:pPr>
          </w:p>
        </w:tc>
        <w:tc>
          <w:tcPr>
            <w:tcW w:w="3420" w:type="dxa"/>
            <w:shd w:val="clear" w:color="auto" w:fill="auto"/>
            <w:noWrap w:val="0"/>
            <w:vAlign w:val="center"/>
          </w:tcPr>
          <w:p w14:paraId="1DC41E13">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无意见</w:t>
            </w:r>
          </w:p>
        </w:tc>
        <w:tc>
          <w:tcPr>
            <w:tcW w:w="3075" w:type="dxa"/>
            <w:shd w:val="clear" w:color="auto" w:fill="auto"/>
            <w:noWrap w:val="0"/>
            <w:vAlign w:val="center"/>
          </w:tcPr>
          <w:p w14:paraId="48F44674">
            <w:pPr>
              <w:jc w:val="center"/>
              <w:rPr>
                <w:rFonts w:hint="eastAsia" w:ascii="宋体" w:hAnsi="宋体" w:cs="宋体"/>
                <w:b w:val="0"/>
                <w:bCs w:val="0"/>
                <w:sz w:val="21"/>
                <w:szCs w:val="21"/>
                <w:u w:val="none"/>
                <w:vertAlign w:val="baseline"/>
                <w:lang w:val="en-US" w:eastAsia="zh-CN"/>
              </w:rPr>
            </w:pPr>
          </w:p>
        </w:tc>
        <w:tc>
          <w:tcPr>
            <w:tcW w:w="3075" w:type="dxa"/>
            <w:shd w:val="clear" w:color="auto" w:fill="auto"/>
            <w:noWrap w:val="0"/>
            <w:vAlign w:val="center"/>
          </w:tcPr>
          <w:p w14:paraId="55425477">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海南有线综合办</w:t>
            </w:r>
          </w:p>
        </w:tc>
        <w:tc>
          <w:tcPr>
            <w:tcW w:w="2550" w:type="dxa"/>
            <w:noWrap w:val="0"/>
            <w:vAlign w:val="center"/>
          </w:tcPr>
          <w:p w14:paraId="6F1F0A15">
            <w:pPr>
              <w:jc w:val="center"/>
              <w:rPr>
                <w:rFonts w:hint="eastAsia" w:ascii="宋体" w:hAnsi="宋体" w:cs="宋体"/>
                <w:b w:val="0"/>
                <w:bCs w:val="0"/>
                <w:sz w:val="21"/>
                <w:szCs w:val="21"/>
                <w:u w:val="none"/>
                <w:vertAlign w:val="baseline"/>
                <w:lang w:val="en-US" w:eastAsia="zh-CN"/>
              </w:rPr>
            </w:pPr>
          </w:p>
        </w:tc>
      </w:tr>
      <w:tr w14:paraId="76D5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13BBFAEB">
            <w:pPr>
              <w:jc w:val="center"/>
              <w:rPr>
                <w:rFonts w:hint="default" w:ascii="宋体" w:hAnsi="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22</w:t>
            </w:r>
          </w:p>
        </w:tc>
        <w:tc>
          <w:tcPr>
            <w:tcW w:w="1650" w:type="dxa"/>
            <w:noWrap w:val="0"/>
            <w:vAlign w:val="center"/>
          </w:tcPr>
          <w:p w14:paraId="015CF585">
            <w:pPr>
              <w:jc w:val="center"/>
              <w:rPr>
                <w:rFonts w:hint="eastAsia" w:ascii="宋体" w:hAnsi="宋体" w:eastAsia="宋体" w:cs="宋体"/>
                <w:b w:val="0"/>
                <w:bCs w:val="0"/>
                <w:sz w:val="21"/>
                <w:szCs w:val="21"/>
                <w:u w:val="none"/>
                <w:vertAlign w:val="baseline"/>
                <w:lang w:val="en-US" w:eastAsia="zh-CN"/>
              </w:rPr>
            </w:pPr>
          </w:p>
        </w:tc>
        <w:tc>
          <w:tcPr>
            <w:tcW w:w="3420" w:type="dxa"/>
            <w:shd w:val="clear" w:color="auto" w:fill="auto"/>
            <w:noWrap w:val="0"/>
            <w:vAlign w:val="center"/>
          </w:tcPr>
          <w:p w14:paraId="722646C7">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无意见</w:t>
            </w:r>
          </w:p>
        </w:tc>
        <w:tc>
          <w:tcPr>
            <w:tcW w:w="3075" w:type="dxa"/>
            <w:shd w:val="clear" w:color="auto" w:fill="auto"/>
            <w:noWrap w:val="0"/>
            <w:vAlign w:val="center"/>
          </w:tcPr>
          <w:p w14:paraId="094BFE62">
            <w:pPr>
              <w:jc w:val="center"/>
              <w:rPr>
                <w:rFonts w:hint="eastAsia" w:ascii="宋体" w:hAnsi="宋体" w:cs="宋体"/>
                <w:b w:val="0"/>
                <w:bCs w:val="0"/>
                <w:sz w:val="21"/>
                <w:szCs w:val="21"/>
                <w:u w:val="none"/>
                <w:vertAlign w:val="baseline"/>
                <w:lang w:val="en-US" w:eastAsia="zh-CN"/>
              </w:rPr>
            </w:pPr>
          </w:p>
        </w:tc>
        <w:tc>
          <w:tcPr>
            <w:tcW w:w="3075" w:type="dxa"/>
            <w:shd w:val="clear" w:color="auto" w:fill="auto"/>
            <w:noWrap w:val="0"/>
            <w:vAlign w:val="center"/>
          </w:tcPr>
          <w:p w14:paraId="481FC85D">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海南省海洋厅</w:t>
            </w:r>
          </w:p>
        </w:tc>
        <w:tc>
          <w:tcPr>
            <w:tcW w:w="2550" w:type="dxa"/>
            <w:noWrap w:val="0"/>
            <w:vAlign w:val="center"/>
          </w:tcPr>
          <w:p w14:paraId="1C01EDD6">
            <w:pPr>
              <w:jc w:val="center"/>
              <w:rPr>
                <w:rFonts w:hint="eastAsia" w:ascii="宋体" w:hAnsi="宋体" w:cs="宋体"/>
                <w:b w:val="0"/>
                <w:bCs w:val="0"/>
                <w:sz w:val="21"/>
                <w:szCs w:val="21"/>
                <w:u w:val="none"/>
                <w:vertAlign w:val="baseline"/>
                <w:lang w:val="en-US" w:eastAsia="zh-CN"/>
              </w:rPr>
            </w:pPr>
          </w:p>
        </w:tc>
      </w:tr>
      <w:tr w14:paraId="03F79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2DB8B0DC">
            <w:pPr>
              <w:jc w:val="center"/>
              <w:rPr>
                <w:rFonts w:hint="default" w:ascii="宋体" w:hAnsi="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23</w:t>
            </w:r>
          </w:p>
        </w:tc>
        <w:tc>
          <w:tcPr>
            <w:tcW w:w="1650" w:type="dxa"/>
            <w:noWrap w:val="0"/>
            <w:vAlign w:val="center"/>
          </w:tcPr>
          <w:p w14:paraId="4F5B4576">
            <w:pPr>
              <w:jc w:val="center"/>
              <w:rPr>
                <w:rFonts w:hint="eastAsia" w:ascii="宋体" w:hAnsi="宋体" w:eastAsia="宋体" w:cs="宋体"/>
                <w:b w:val="0"/>
                <w:bCs w:val="0"/>
                <w:sz w:val="21"/>
                <w:szCs w:val="21"/>
                <w:u w:val="none"/>
                <w:vertAlign w:val="baseline"/>
                <w:lang w:val="en-US" w:eastAsia="zh-CN"/>
              </w:rPr>
            </w:pPr>
          </w:p>
        </w:tc>
        <w:tc>
          <w:tcPr>
            <w:tcW w:w="3420" w:type="dxa"/>
            <w:shd w:val="clear" w:color="auto" w:fill="auto"/>
            <w:noWrap w:val="0"/>
            <w:vAlign w:val="center"/>
          </w:tcPr>
          <w:p w14:paraId="3F7C2DF5">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无意见</w:t>
            </w:r>
          </w:p>
        </w:tc>
        <w:tc>
          <w:tcPr>
            <w:tcW w:w="3075" w:type="dxa"/>
            <w:shd w:val="clear" w:color="auto" w:fill="auto"/>
            <w:noWrap w:val="0"/>
            <w:vAlign w:val="center"/>
          </w:tcPr>
          <w:p w14:paraId="66AE7F5E">
            <w:pPr>
              <w:jc w:val="center"/>
              <w:rPr>
                <w:rFonts w:hint="eastAsia" w:ascii="宋体" w:hAnsi="宋体" w:cs="宋体"/>
                <w:b w:val="0"/>
                <w:bCs w:val="0"/>
                <w:sz w:val="21"/>
                <w:szCs w:val="21"/>
                <w:u w:val="none"/>
                <w:vertAlign w:val="baseline"/>
                <w:lang w:val="en-US" w:eastAsia="zh-CN"/>
              </w:rPr>
            </w:pPr>
          </w:p>
        </w:tc>
        <w:tc>
          <w:tcPr>
            <w:tcW w:w="3075" w:type="dxa"/>
            <w:shd w:val="clear" w:color="auto" w:fill="auto"/>
            <w:noWrap w:val="0"/>
            <w:vAlign w:val="center"/>
          </w:tcPr>
          <w:p w14:paraId="02C89DFA">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省委宣传部</w:t>
            </w:r>
          </w:p>
        </w:tc>
        <w:tc>
          <w:tcPr>
            <w:tcW w:w="2550" w:type="dxa"/>
            <w:noWrap w:val="0"/>
            <w:vAlign w:val="center"/>
          </w:tcPr>
          <w:p w14:paraId="7430254D">
            <w:pPr>
              <w:jc w:val="center"/>
              <w:rPr>
                <w:rFonts w:hint="eastAsia" w:ascii="宋体" w:hAnsi="宋体" w:cs="宋体"/>
                <w:b w:val="0"/>
                <w:bCs w:val="0"/>
                <w:sz w:val="21"/>
                <w:szCs w:val="21"/>
                <w:u w:val="none"/>
                <w:vertAlign w:val="baseline"/>
                <w:lang w:val="en-US" w:eastAsia="zh-CN"/>
              </w:rPr>
            </w:pPr>
          </w:p>
        </w:tc>
      </w:tr>
      <w:tr w14:paraId="4B0C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5A2CB5FA">
            <w:pPr>
              <w:jc w:val="center"/>
              <w:rPr>
                <w:rFonts w:hint="default" w:ascii="宋体" w:hAnsi="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24</w:t>
            </w:r>
          </w:p>
        </w:tc>
        <w:tc>
          <w:tcPr>
            <w:tcW w:w="1650" w:type="dxa"/>
            <w:noWrap w:val="0"/>
            <w:vAlign w:val="center"/>
          </w:tcPr>
          <w:p w14:paraId="625BEC5A">
            <w:pPr>
              <w:jc w:val="center"/>
              <w:rPr>
                <w:rFonts w:hint="eastAsia" w:ascii="宋体" w:hAnsi="宋体" w:eastAsia="宋体" w:cs="宋体"/>
                <w:b w:val="0"/>
                <w:bCs w:val="0"/>
                <w:sz w:val="21"/>
                <w:szCs w:val="21"/>
                <w:u w:val="none"/>
                <w:vertAlign w:val="baseline"/>
                <w:lang w:val="en-US" w:eastAsia="zh-CN"/>
              </w:rPr>
            </w:pPr>
          </w:p>
        </w:tc>
        <w:tc>
          <w:tcPr>
            <w:tcW w:w="3420" w:type="dxa"/>
            <w:shd w:val="clear" w:color="auto" w:fill="auto"/>
            <w:noWrap w:val="0"/>
            <w:vAlign w:val="center"/>
          </w:tcPr>
          <w:p w14:paraId="355EC82F">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无意见</w:t>
            </w:r>
          </w:p>
        </w:tc>
        <w:tc>
          <w:tcPr>
            <w:tcW w:w="3075" w:type="dxa"/>
            <w:shd w:val="clear" w:color="auto" w:fill="auto"/>
            <w:noWrap w:val="0"/>
            <w:vAlign w:val="center"/>
          </w:tcPr>
          <w:p w14:paraId="3D8D9754">
            <w:pPr>
              <w:jc w:val="center"/>
              <w:rPr>
                <w:rFonts w:hint="eastAsia" w:ascii="宋体" w:hAnsi="宋体" w:cs="宋体"/>
                <w:b w:val="0"/>
                <w:bCs w:val="0"/>
                <w:sz w:val="21"/>
                <w:szCs w:val="21"/>
                <w:u w:val="none"/>
                <w:vertAlign w:val="baseline"/>
                <w:lang w:val="en-US" w:eastAsia="zh-CN"/>
              </w:rPr>
            </w:pPr>
          </w:p>
        </w:tc>
        <w:tc>
          <w:tcPr>
            <w:tcW w:w="3075" w:type="dxa"/>
            <w:shd w:val="clear" w:color="auto" w:fill="auto"/>
            <w:noWrap w:val="0"/>
            <w:vAlign w:val="center"/>
          </w:tcPr>
          <w:p w14:paraId="194EEC93">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三亚市应急管理局</w:t>
            </w:r>
          </w:p>
        </w:tc>
        <w:tc>
          <w:tcPr>
            <w:tcW w:w="2550" w:type="dxa"/>
            <w:noWrap w:val="0"/>
            <w:vAlign w:val="center"/>
          </w:tcPr>
          <w:p w14:paraId="603AB0DE">
            <w:pPr>
              <w:jc w:val="center"/>
              <w:rPr>
                <w:rFonts w:hint="eastAsia" w:ascii="宋体" w:hAnsi="宋体" w:cs="宋体"/>
                <w:b w:val="0"/>
                <w:bCs w:val="0"/>
                <w:sz w:val="21"/>
                <w:szCs w:val="21"/>
                <w:u w:val="none"/>
                <w:vertAlign w:val="baseline"/>
                <w:lang w:val="en-US" w:eastAsia="zh-CN"/>
              </w:rPr>
            </w:pPr>
          </w:p>
        </w:tc>
      </w:tr>
    </w:tbl>
    <w:p w14:paraId="51925158">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default"/>
          <w:b/>
          <w:bCs/>
          <w:sz w:val="28"/>
          <w:szCs w:val="28"/>
          <w:u w:val="none"/>
          <w:lang w:val="en-US" w:eastAsia="zh-CN"/>
        </w:rPr>
      </w:pPr>
    </w:p>
    <w:p w14:paraId="1189C1DE"/>
    <w:p w14:paraId="7C0B63FB">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表2</w:t>
      </w:r>
    </w:p>
    <w:p w14:paraId="704EA83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2025年5月12日征求意见会</w:t>
      </w:r>
    </w:p>
    <w:p w14:paraId="6A7C0BC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海南省地方标准《</w:t>
      </w:r>
      <w:r>
        <w:rPr>
          <w:rFonts w:hint="eastAsia" w:ascii="方正小标宋简体" w:hAnsi="方正小标宋简体" w:eastAsia="方正小标宋简体" w:cs="方正小标宋简体"/>
          <w:b w:val="0"/>
          <w:bCs w:val="0"/>
          <w:sz w:val="44"/>
          <w:szCs w:val="44"/>
          <w:lang w:val="en-US" w:eastAsia="zh-CN"/>
        </w:rPr>
        <w:t>地震预警信息发布</w:t>
      </w:r>
      <w:r>
        <w:rPr>
          <w:rFonts w:hint="eastAsia" w:ascii="方正小标宋简体" w:hAnsi="方正小标宋简体" w:eastAsia="方正小标宋简体" w:cs="方正小标宋简体"/>
          <w:b w:val="0"/>
          <w:bCs w:val="0"/>
          <w:sz w:val="44"/>
          <w:szCs w:val="44"/>
          <w:lang w:eastAsia="zh-CN"/>
        </w:rPr>
        <w:t>》征求意见汇总处理表</w:t>
      </w:r>
    </w:p>
    <w:tbl>
      <w:tblPr>
        <w:tblStyle w:val="6"/>
        <w:tblW w:w="14790"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650"/>
        <w:gridCol w:w="3420"/>
        <w:gridCol w:w="3360"/>
        <w:gridCol w:w="3075"/>
        <w:gridCol w:w="2550"/>
      </w:tblGrid>
      <w:tr w14:paraId="7A3F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735" w:type="dxa"/>
            <w:noWrap w:val="0"/>
            <w:vAlign w:val="center"/>
          </w:tcPr>
          <w:p w14:paraId="5C9EC8FF">
            <w:pPr>
              <w:jc w:val="center"/>
              <w:rPr>
                <w:rFonts w:hint="eastAsia"/>
                <w:b/>
                <w:bCs/>
                <w:sz w:val="24"/>
                <w:szCs w:val="24"/>
                <w:u w:val="none"/>
                <w:vertAlign w:val="baseline"/>
                <w:lang w:val="en-US" w:eastAsia="zh-CN"/>
              </w:rPr>
            </w:pPr>
            <w:r>
              <w:rPr>
                <w:rFonts w:hint="eastAsia" w:ascii="Calibri" w:eastAsia="宋体"/>
                <w:b/>
                <w:bCs/>
                <w:sz w:val="24"/>
                <w:szCs w:val="24"/>
                <w:u w:val="none"/>
                <w:lang w:val="en-US" w:eastAsia="zh-CN"/>
              </w:rPr>
              <w:t>序号</w:t>
            </w:r>
          </w:p>
        </w:tc>
        <w:tc>
          <w:tcPr>
            <w:tcW w:w="1650" w:type="dxa"/>
            <w:noWrap w:val="0"/>
            <w:vAlign w:val="center"/>
          </w:tcPr>
          <w:p w14:paraId="4C6526F4">
            <w:pPr>
              <w:jc w:val="center"/>
              <w:rPr>
                <w:rFonts w:hint="eastAsia"/>
                <w:b/>
                <w:bCs/>
                <w:sz w:val="24"/>
                <w:szCs w:val="24"/>
                <w:u w:val="none"/>
                <w:vertAlign w:val="baseline"/>
                <w:lang w:val="en-US" w:eastAsia="zh-CN"/>
              </w:rPr>
            </w:pPr>
            <w:r>
              <w:rPr>
                <w:rFonts w:hint="eastAsia" w:ascii="Calibri" w:eastAsia="宋体"/>
                <w:b/>
                <w:bCs/>
                <w:sz w:val="24"/>
                <w:szCs w:val="24"/>
                <w:u w:val="none"/>
                <w:vertAlign w:val="baseline"/>
                <w:lang w:val="en-US" w:eastAsia="zh-CN"/>
              </w:rPr>
              <w:t>章条编号</w:t>
            </w:r>
          </w:p>
        </w:tc>
        <w:tc>
          <w:tcPr>
            <w:tcW w:w="3420" w:type="dxa"/>
            <w:noWrap w:val="0"/>
            <w:vAlign w:val="center"/>
          </w:tcPr>
          <w:p w14:paraId="2E241F86">
            <w:pPr>
              <w:jc w:val="center"/>
              <w:rPr>
                <w:rFonts w:hint="eastAsia"/>
                <w:b/>
                <w:bCs/>
                <w:sz w:val="24"/>
                <w:szCs w:val="24"/>
                <w:u w:val="none"/>
                <w:vertAlign w:val="baseline"/>
                <w:lang w:val="en-US" w:eastAsia="zh-CN"/>
              </w:rPr>
            </w:pPr>
            <w:r>
              <w:rPr>
                <w:rFonts w:hint="eastAsia" w:ascii="Calibri" w:eastAsia="宋体"/>
                <w:b/>
                <w:bCs/>
                <w:sz w:val="24"/>
                <w:szCs w:val="24"/>
                <w:u w:val="none"/>
                <w:vertAlign w:val="baseline"/>
                <w:lang w:val="en-US" w:eastAsia="zh-CN"/>
              </w:rPr>
              <w:t>修改意见</w:t>
            </w:r>
          </w:p>
        </w:tc>
        <w:tc>
          <w:tcPr>
            <w:tcW w:w="3360" w:type="dxa"/>
            <w:noWrap w:val="0"/>
            <w:vAlign w:val="center"/>
          </w:tcPr>
          <w:p w14:paraId="43CA80F3">
            <w:pPr>
              <w:jc w:val="center"/>
              <w:rPr>
                <w:rFonts w:hint="eastAsia"/>
                <w:b/>
                <w:bCs/>
                <w:sz w:val="24"/>
                <w:szCs w:val="24"/>
                <w:u w:val="none"/>
                <w:vertAlign w:val="baseline"/>
                <w:lang w:val="en-US" w:eastAsia="zh-CN"/>
              </w:rPr>
            </w:pPr>
            <w:r>
              <w:rPr>
                <w:rFonts w:hint="eastAsia" w:ascii="Calibri" w:eastAsia="宋体"/>
                <w:b/>
                <w:bCs/>
                <w:sz w:val="24"/>
                <w:szCs w:val="24"/>
                <w:u w:val="none"/>
                <w:vertAlign w:val="baseline"/>
                <w:lang w:val="en-US" w:eastAsia="zh-CN"/>
              </w:rPr>
              <w:t>理由或依据</w:t>
            </w:r>
          </w:p>
        </w:tc>
        <w:tc>
          <w:tcPr>
            <w:tcW w:w="3075" w:type="dxa"/>
            <w:noWrap w:val="0"/>
            <w:vAlign w:val="center"/>
          </w:tcPr>
          <w:p w14:paraId="43740531">
            <w:pPr>
              <w:jc w:val="center"/>
              <w:rPr>
                <w:rFonts w:hint="eastAsia"/>
                <w:b/>
                <w:bCs/>
                <w:sz w:val="24"/>
                <w:szCs w:val="24"/>
                <w:u w:val="none"/>
                <w:vertAlign w:val="baseline"/>
                <w:lang w:val="en-US" w:eastAsia="zh-CN"/>
              </w:rPr>
            </w:pPr>
            <w:r>
              <w:rPr>
                <w:rFonts w:hint="eastAsia" w:ascii="Calibri" w:eastAsia="宋体"/>
                <w:b/>
                <w:bCs/>
                <w:sz w:val="24"/>
                <w:szCs w:val="24"/>
                <w:u w:val="none"/>
                <w:vertAlign w:val="baseline"/>
                <w:lang w:val="en-US" w:eastAsia="zh-CN"/>
              </w:rPr>
              <w:t>提出单位</w:t>
            </w:r>
          </w:p>
        </w:tc>
        <w:tc>
          <w:tcPr>
            <w:tcW w:w="2550" w:type="dxa"/>
            <w:noWrap w:val="0"/>
            <w:vAlign w:val="center"/>
          </w:tcPr>
          <w:p w14:paraId="2E57AAFF">
            <w:pPr>
              <w:jc w:val="center"/>
              <w:rPr>
                <w:rFonts w:hint="eastAsia"/>
                <w:b/>
                <w:bCs/>
                <w:sz w:val="24"/>
                <w:szCs w:val="24"/>
                <w:u w:val="none"/>
                <w:vertAlign w:val="baseline"/>
                <w:lang w:val="en-US" w:eastAsia="zh-CN"/>
              </w:rPr>
            </w:pPr>
            <w:r>
              <w:rPr>
                <w:rFonts w:hint="eastAsia" w:ascii="Calibri" w:eastAsia="宋体"/>
                <w:b/>
                <w:bCs/>
                <w:sz w:val="24"/>
                <w:szCs w:val="24"/>
                <w:u w:val="none"/>
                <w:vertAlign w:val="baseline"/>
                <w:lang w:val="en-US" w:eastAsia="zh-CN"/>
              </w:rPr>
              <w:t>处理意见</w:t>
            </w:r>
          </w:p>
        </w:tc>
      </w:tr>
      <w:tr w14:paraId="758E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35" w:type="dxa"/>
            <w:noWrap w:val="0"/>
            <w:vAlign w:val="center"/>
          </w:tcPr>
          <w:p w14:paraId="0778E3E4">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w:t>
            </w:r>
          </w:p>
        </w:tc>
        <w:tc>
          <w:tcPr>
            <w:tcW w:w="1650" w:type="dxa"/>
            <w:noWrap w:val="0"/>
            <w:vAlign w:val="center"/>
          </w:tcPr>
          <w:p w14:paraId="26B52619">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2 规范性引用文件</w:t>
            </w:r>
          </w:p>
        </w:tc>
        <w:tc>
          <w:tcPr>
            <w:tcW w:w="3420" w:type="dxa"/>
            <w:noWrap w:val="0"/>
            <w:vAlign w:val="center"/>
          </w:tcPr>
          <w:p w14:paraId="2073693E">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建议</w:t>
            </w:r>
            <w:r>
              <w:rPr>
                <w:rFonts w:hint="default" w:ascii="宋体" w:hAnsi="宋体" w:cs="宋体"/>
                <w:b w:val="0"/>
                <w:bCs w:val="0"/>
                <w:sz w:val="21"/>
                <w:szCs w:val="21"/>
                <w:u w:val="none"/>
                <w:vertAlign w:val="baseline"/>
                <w:lang w:val="en-US" w:eastAsia="zh-CN"/>
              </w:rPr>
              <w:t>规范性引用文件</w:t>
            </w:r>
            <w:r>
              <w:rPr>
                <w:rFonts w:hint="eastAsia" w:ascii="宋体" w:hAnsi="宋体" w:cs="宋体"/>
                <w:b w:val="0"/>
                <w:bCs w:val="0"/>
                <w:sz w:val="21"/>
                <w:szCs w:val="21"/>
                <w:u w:val="none"/>
                <w:vertAlign w:val="baseline"/>
                <w:lang w:val="en-US" w:eastAsia="zh-CN"/>
              </w:rPr>
              <w:t>按国标、行标、顺序号排序</w:t>
            </w:r>
          </w:p>
        </w:tc>
        <w:tc>
          <w:tcPr>
            <w:tcW w:w="3360" w:type="dxa"/>
            <w:noWrap w:val="0"/>
            <w:vAlign w:val="center"/>
          </w:tcPr>
          <w:p w14:paraId="3C8FB77A">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格式统一，按时间/数字大小排序</w:t>
            </w:r>
          </w:p>
        </w:tc>
        <w:tc>
          <w:tcPr>
            <w:tcW w:w="3075" w:type="dxa"/>
            <w:noWrap w:val="0"/>
            <w:vAlign w:val="center"/>
          </w:tcPr>
          <w:p w14:paraId="1C14D963">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福建省地震局 王青平</w:t>
            </w:r>
          </w:p>
        </w:tc>
        <w:tc>
          <w:tcPr>
            <w:tcW w:w="2550" w:type="dxa"/>
            <w:noWrap w:val="0"/>
            <w:vAlign w:val="center"/>
          </w:tcPr>
          <w:p w14:paraId="6686023B">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采纳。按</w:t>
            </w:r>
            <w:r>
              <w:rPr>
                <w:rFonts w:hint="eastAsia" w:asciiTheme="minorEastAsia" w:hAnsiTheme="minorEastAsia" w:eastAsiaTheme="minorEastAsia" w:cstheme="minorEastAsia"/>
                <w:sz w:val="24"/>
                <w:szCs w:val="24"/>
                <w:lang w:val="en-US" w:eastAsia="zh-CN"/>
              </w:rPr>
              <w:t>GB/T 1.1规定。</w:t>
            </w:r>
          </w:p>
        </w:tc>
      </w:tr>
      <w:tr w14:paraId="512B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7C3B9010">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2</w:t>
            </w:r>
          </w:p>
        </w:tc>
        <w:tc>
          <w:tcPr>
            <w:tcW w:w="1650" w:type="dxa"/>
            <w:noWrap w:val="0"/>
            <w:vAlign w:val="center"/>
          </w:tcPr>
          <w:p w14:paraId="4B55EFFC">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5发布传播原则</w:t>
            </w:r>
          </w:p>
        </w:tc>
        <w:tc>
          <w:tcPr>
            <w:tcW w:w="3420" w:type="dxa"/>
            <w:noWrap w:val="0"/>
            <w:vAlign w:val="center"/>
          </w:tcPr>
          <w:p w14:paraId="20551CE3">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删掉其他通用终端，或者前文补充其他通用终端的说明</w:t>
            </w:r>
          </w:p>
        </w:tc>
        <w:tc>
          <w:tcPr>
            <w:tcW w:w="3360" w:type="dxa"/>
            <w:noWrap w:val="0"/>
            <w:vAlign w:val="center"/>
          </w:tcPr>
          <w:p w14:paraId="4DC1F842">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前面</w:t>
            </w:r>
            <w:r>
              <w:rPr>
                <w:rFonts w:hint="eastAsia" w:ascii="宋体" w:hAnsi="宋体" w:eastAsia="宋体" w:cs="宋体"/>
                <w:b w:val="0"/>
                <w:bCs w:val="0"/>
                <w:sz w:val="21"/>
                <w:szCs w:val="21"/>
                <w:u w:val="none"/>
                <w:vertAlign w:val="baseline"/>
                <w:lang w:val="en-US" w:eastAsia="zh-CN"/>
              </w:rPr>
              <w:t>没有定义两个终端的区别</w:t>
            </w:r>
            <w:r>
              <w:rPr>
                <w:rFonts w:hint="eastAsia" w:ascii="宋体" w:hAnsi="宋体" w:cs="宋体"/>
                <w:b w:val="0"/>
                <w:bCs w:val="0"/>
                <w:sz w:val="21"/>
                <w:szCs w:val="21"/>
                <w:u w:val="none"/>
                <w:vertAlign w:val="baseline"/>
                <w:lang w:val="en-US" w:eastAsia="zh-CN"/>
              </w:rPr>
              <w:t>，这里不能使用。</w:t>
            </w:r>
          </w:p>
        </w:tc>
        <w:tc>
          <w:tcPr>
            <w:tcW w:w="3075" w:type="dxa"/>
            <w:noWrap w:val="0"/>
            <w:vAlign w:val="center"/>
          </w:tcPr>
          <w:p w14:paraId="59DA6C77">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福建省地震局 王青平</w:t>
            </w:r>
          </w:p>
        </w:tc>
        <w:tc>
          <w:tcPr>
            <w:tcW w:w="2550" w:type="dxa"/>
            <w:noWrap w:val="0"/>
            <w:vAlign w:val="center"/>
          </w:tcPr>
          <w:p w14:paraId="767964D9">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采纳。全文无“其他通用设备”。</w:t>
            </w:r>
          </w:p>
        </w:tc>
      </w:tr>
      <w:tr w14:paraId="52C9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3A4697E6">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3</w:t>
            </w:r>
          </w:p>
        </w:tc>
        <w:tc>
          <w:tcPr>
            <w:tcW w:w="1650" w:type="dxa"/>
            <w:noWrap w:val="0"/>
            <w:vAlign w:val="center"/>
          </w:tcPr>
          <w:p w14:paraId="3C248D60">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9 信息安全</w:t>
            </w:r>
          </w:p>
        </w:tc>
        <w:tc>
          <w:tcPr>
            <w:tcW w:w="3420" w:type="dxa"/>
            <w:noWrap w:val="0"/>
            <w:vAlign w:val="center"/>
          </w:tcPr>
          <w:p w14:paraId="0D169B37">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信息安全可增加国密算法之类的要求</w:t>
            </w:r>
          </w:p>
        </w:tc>
        <w:tc>
          <w:tcPr>
            <w:tcW w:w="3360" w:type="dxa"/>
            <w:noWrap w:val="0"/>
            <w:vAlign w:val="center"/>
          </w:tcPr>
          <w:p w14:paraId="76F0A01B">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算法安全应包括类似于SM1、SM2之类的表述。</w:t>
            </w:r>
          </w:p>
        </w:tc>
        <w:tc>
          <w:tcPr>
            <w:tcW w:w="3075" w:type="dxa"/>
            <w:noWrap w:val="0"/>
            <w:vAlign w:val="center"/>
          </w:tcPr>
          <w:p w14:paraId="004CCD97">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福建省地震局 王青平</w:t>
            </w:r>
          </w:p>
        </w:tc>
        <w:tc>
          <w:tcPr>
            <w:tcW w:w="2550" w:type="dxa"/>
            <w:noWrap w:val="0"/>
            <w:vAlign w:val="center"/>
          </w:tcPr>
          <w:p w14:paraId="460F733C">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不采纳，SM1、SM2的国密算法主要是对电视预警安全子系统的信息安全的要求，本文不涉及。</w:t>
            </w:r>
          </w:p>
        </w:tc>
      </w:tr>
      <w:tr w14:paraId="71CA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0B92D4E6">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4</w:t>
            </w:r>
          </w:p>
        </w:tc>
        <w:tc>
          <w:tcPr>
            <w:tcW w:w="1650" w:type="dxa"/>
            <w:noWrap w:val="0"/>
            <w:vAlign w:val="center"/>
          </w:tcPr>
          <w:p w14:paraId="6685275D">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前言</w:t>
            </w:r>
          </w:p>
        </w:tc>
        <w:tc>
          <w:tcPr>
            <w:tcW w:w="3420" w:type="dxa"/>
            <w:noWrap w:val="0"/>
            <w:vAlign w:val="center"/>
          </w:tcPr>
          <w:p w14:paraId="5734BF53">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前言中本文件起草单位，只写海南省地震局。</w:t>
            </w:r>
          </w:p>
        </w:tc>
        <w:tc>
          <w:tcPr>
            <w:tcW w:w="3360" w:type="dxa"/>
            <w:noWrap w:val="0"/>
            <w:vAlign w:val="center"/>
          </w:tcPr>
          <w:p w14:paraId="13A04095">
            <w:pPr>
              <w:jc w:val="center"/>
              <w:rPr>
                <w:rFonts w:hint="default" w:ascii="宋体" w:hAnsi="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海南地震台</w:t>
            </w:r>
            <w:r>
              <w:rPr>
                <w:rFonts w:hint="eastAsia" w:ascii="宋体" w:hAnsi="宋体" w:cs="宋体"/>
                <w:b w:val="0"/>
                <w:bCs w:val="0"/>
                <w:sz w:val="21"/>
                <w:szCs w:val="21"/>
                <w:u w:val="none"/>
                <w:vertAlign w:val="baseline"/>
                <w:lang w:val="en-US" w:eastAsia="zh-CN"/>
              </w:rPr>
              <w:t>是海南省</w:t>
            </w:r>
            <w:r>
              <w:rPr>
                <w:rFonts w:hint="eastAsia" w:ascii="宋体" w:hAnsi="宋体" w:eastAsia="宋体" w:cs="宋体"/>
                <w:b w:val="0"/>
                <w:bCs w:val="0"/>
                <w:sz w:val="21"/>
                <w:szCs w:val="21"/>
                <w:u w:val="none"/>
                <w:vertAlign w:val="baseline"/>
                <w:lang w:val="en-US" w:eastAsia="zh-CN"/>
              </w:rPr>
              <w:t>地震局</w:t>
            </w:r>
            <w:r>
              <w:rPr>
                <w:rFonts w:hint="eastAsia" w:ascii="宋体" w:hAnsi="宋体" w:cs="宋体"/>
                <w:b w:val="0"/>
                <w:bCs w:val="0"/>
                <w:sz w:val="21"/>
                <w:szCs w:val="21"/>
                <w:u w:val="none"/>
                <w:vertAlign w:val="baseline"/>
                <w:lang w:val="en-US" w:eastAsia="zh-CN"/>
              </w:rPr>
              <w:t>子单位</w:t>
            </w:r>
          </w:p>
        </w:tc>
        <w:tc>
          <w:tcPr>
            <w:tcW w:w="3075" w:type="dxa"/>
            <w:noWrap w:val="0"/>
            <w:vAlign w:val="center"/>
          </w:tcPr>
          <w:p w14:paraId="50DA2D9A">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中国地震台网中心 郭凯</w:t>
            </w:r>
          </w:p>
        </w:tc>
        <w:tc>
          <w:tcPr>
            <w:tcW w:w="2550" w:type="dxa"/>
            <w:noWrap w:val="0"/>
            <w:vAlign w:val="center"/>
          </w:tcPr>
          <w:p w14:paraId="7C575E6F">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不采纳。海南省</w:t>
            </w:r>
            <w:r>
              <w:rPr>
                <w:rFonts w:hint="eastAsia" w:ascii="宋体" w:hAnsi="宋体" w:eastAsia="宋体" w:cs="宋体"/>
                <w:b w:val="0"/>
                <w:bCs w:val="0"/>
                <w:sz w:val="21"/>
                <w:szCs w:val="21"/>
                <w:u w:val="none"/>
                <w:vertAlign w:val="baseline"/>
                <w:lang w:val="en-US" w:eastAsia="zh-CN"/>
              </w:rPr>
              <w:t>地震局和海南地震台可同时为起草单位。</w:t>
            </w:r>
          </w:p>
        </w:tc>
      </w:tr>
      <w:tr w14:paraId="290E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5CA40FC4">
            <w:pPr>
              <w:jc w:val="center"/>
              <w:rPr>
                <w:rFonts w:hint="eastAsia"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5</w:t>
            </w:r>
          </w:p>
        </w:tc>
        <w:tc>
          <w:tcPr>
            <w:tcW w:w="1650" w:type="dxa"/>
            <w:noWrap w:val="0"/>
            <w:vAlign w:val="center"/>
          </w:tcPr>
          <w:p w14:paraId="7BF70A62">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8.1</w:t>
            </w:r>
          </w:p>
        </w:tc>
        <w:tc>
          <w:tcPr>
            <w:tcW w:w="3420" w:type="dxa"/>
            <w:noWrap w:val="0"/>
            <w:vAlign w:val="center"/>
          </w:tcPr>
          <w:p w14:paraId="28C3A9C5">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改为当预测地震震级或烈度发生显著变化时</w:t>
            </w:r>
          </w:p>
        </w:tc>
        <w:tc>
          <w:tcPr>
            <w:tcW w:w="3360" w:type="dxa"/>
            <w:noWrap w:val="0"/>
            <w:vAlign w:val="center"/>
          </w:tcPr>
          <w:p w14:paraId="439FC4D6">
            <w:pPr>
              <w:jc w:val="center"/>
              <w:rPr>
                <w:rFonts w:hint="eastAsia"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t>震级发生大的变化也要进行地震预警信息更新发布</w:t>
            </w:r>
          </w:p>
        </w:tc>
        <w:tc>
          <w:tcPr>
            <w:tcW w:w="3075" w:type="dxa"/>
            <w:noWrap w:val="0"/>
            <w:vAlign w:val="center"/>
          </w:tcPr>
          <w:p w14:paraId="220C2DCC">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中国地震台网中心 郭凯、四川省地震局 申源</w:t>
            </w:r>
          </w:p>
        </w:tc>
        <w:tc>
          <w:tcPr>
            <w:tcW w:w="2550" w:type="dxa"/>
            <w:noWrap w:val="0"/>
            <w:vAlign w:val="center"/>
          </w:tcPr>
          <w:p w14:paraId="57F2AC79">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采纳。预警震级</w:t>
            </w:r>
            <w:r>
              <w:rPr>
                <w:rFonts w:hint="default" w:ascii="宋体" w:hAnsi="宋体" w:eastAsia="宋体" w:cs="宋体"/>
                <w:b w:val="0"/>
                <w:bCs w:val="0"/>
                <w:sz w:val="21"/>
                <w:szCs w:val="21"/>
                <w:u w:val="none"/>
                <w:vertAlign w:val="baseline"/>
                <w:lang w:val="en-US" w:eastAsia="zh-CN"/>
              </w:rPr>
              <w:t>大的变化也要进行地震预警信息更新发布</w:t>
            </w:r>
            <w:r>
              <w:rPr>
                <w:rFonts w:hint="eastAsia" w:ascii="宋体" w:hAnsi="宋体" w:eastAsia="宋体" w:cs="宋体"/>
                <w:b w:val="0"/>
                <w:bCs w:val="0"/>
                <w:sz w:val="21"/>
                <w:szCs w:val="21"/>
                <w:u w:val="none"/>
                <w:vertAlign w:val="baseline"/>
                <w:lang w:val="en-US" w:eastAsia="zh-CN"/>
              </w:rPr>
              <w:t>。</w:t>
            </w:r>
          </w:p>
        </w:tc>
      </w:tr>
      <w:tr w14:paraId="6577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2BE7C79F">
            <w:pPr>
              <w:jc w:val="center"/>
              <w:rPr>
                <w:rFonts w:hint="eastAsia"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6</w:t>
            </w:r>
          </w:p>
        </w:tc>
        <w:tc>
          <w:tcPr>
            <w:tcW w:w="1650" w:type="dxa"/>
            <w:noWrap w:val="0"/>
            <w:vAlign w:val="center"/>
          </w:tcPr>
          <w:p w14:paraId="436997A0">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9信息安全</w:t>
            </w:r>
          </w:p>
        </w:tc>
        <w:tc>
          <w:tcPr>
            <w:tcW w:w="3420" w:type="dxa"/>
            <w:noWrap w:val="0"/>
            <w:vAlign w:val="center"/>
          </w:tcPr>
          <w:p w14:paraId="13ED5055">
            <w:pPr>
              <w:jc w:val="both"/>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第三方转发时来源注明：中国地震预警网（提供）。</w:t>
            </w:r>
          </w:p>
        </w:tc>
        <w:tc>
          <w:tcPr>
            <w:tcW w:w="3360" w:type="dxa"/>
            <w:noWrap w:val="0"/>
            <w:vAlign w:val="center"/>
          </w:tcPr>
          <w:p w14:paraId="380AC693">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是转发不是传播，后面加（提供）</w:t>
            </w:r>
          </w:p>
        </w:tc>
        <w:tc>
          <w:tcPr>
            <w:tcW w:w="3075" w:type="dxa"/>
            <w:noWrap w:val="0"/>
            <w:vAlign w:val="center"/>
          </w:tcPr>
          <w:p w14:paraId="79E8B913">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中国地震台网中心 郭凯</w:t>
            </w:r>
            <w:r>
              <w:rPr>
                <w:rFonts w:hint="eastAsia" w:ascii="宋体" w:hAnsi="宋体" w:eastAsia="宋体" w:cs="宋体"/>
                <w:b w:val="0"/>
                <w:bCs w:val="0"/>
                <w:sz w:val="24"/>
                <w:szCs w:val="24"/>
                <w:u w:val="none"/>
                <w:vertAlign w:val="baseline"/>
                <w:lang w:val="en-US" w:eastAsia="zh-CN"/>
              </w:rPr>
              <w:t>、</w:t>
            </w:r>
            <w:r>
              <w:rPr>
                <w:rFonts w:hint="eastAsia" w:ascii="宋体" w:hAnsi="宋体" w:cs="宋体"/>
                <w:b w:val="0"/>
                <w:bCs w:val="0"/>
                <w:sz w:val="24"/>
                <w:szCs w:val="24"/>
                <w:u w:val="none"/>
                <w:vertAlign w:val="baseline"/>
                <w:lang w:val="en-US" w:eastAsia="zh-CN"/>
              </w:rPr>
              <w:t>四川省地震局 申源</w:t>
            </w:r>
          </w:p>
        </w:tc>
        <w:tc>
          <w:tcPr>
            <w:tcW w:w="2550" w:type="dxa"/>
            <w:noWrap w:val="0"/>
            <w:vAlign w:val="center"/>
          </w:tcPr>
          <w:p w14:paraId="43F73CCE">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采纳。采纳传播改为转发，后面加提供，只要表明消息来源是中国地震预警网（提供）。</w:t>
            </w:r>
          </w:p>
        </w:tc>
      </w:tr>
      <w:tr w14:paraId="3852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26AFB791">
            <w:pPr>
              <w:jc w:val="center"/>
              <w:rPr>
                <w:rFonts w:hint="eastAsia"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7</w:t>
            </w:r>
          </w:p>
        </w:tc>
        <w:tc>
          <w:tcPr>
            <w:tcW w:w="1650" w:type="dxa"/>
            <w:noWrap w:val="0"/>
            <w:vAlign w:val="center"/>
          </w:tcPr>
          <w:p w14:paraId="237FC6DA">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宏观建议</w:t>
            </w:r>
          </w:p>
        </w:tc>
        <w:tc>
          <w:tcPr>
            <w:tcW w:w="3420" w:type="dxa"/>
            <w:noWrap w:val="0"/>
            <w:vAlign w:val="center"/>
          </w:tcPr>
          <w:p w14:paraId="4C915FB3">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建议内容增加海南区域特色的内容</w:t>
            </w:r>
          </w:p>
        </w:tc>
        <w:tc>
          <w:tcPr>
            <w:tcW w:w="3360" w:type="dxa"/>
            <w:noWrap w:val="0"/>
            <w:vAlign w:val="center"/>
          </w:tcPr>
          <w:p w14:paraId="59F98400">
            <w:pPr>
              <w:jc w:val="center"/>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应体现地域民族特色</w:t>
            </w:r>
          </w:p>
        </w:tc>
        <w:tc>
          <w:tcPr>
            <w:tcW w:w="3075" w:type="dxa"/>
            <w:noWrap w:val="0"/>
            <w:vAlign w:val="center"/>
          </w:tcPr>
          <w:p w14:paraId="27712C0B">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中国地震台网中心 郭凯</w:t>
            </w:r>
            <w:r>
              <w:rPr>
                <w:rFonts w:hint="eastAsia" w:ascii="宋体" w:hAnsi="宋体" w:eastAsia="宋体" w:cs="宋体"/>
                <w:b w:val="0"/>
                <w:bCs w:val="0"/>
                <w:sz w:val="21"/>
                <w:szCs w:val="21"/>
                <w:u w:val="none"/>
                <w:vertAlign w:val="baseline"/>
                <w:lang w:val="en-US" w:eastAsia="zh-CN"/>
              </w:rPr>
              <w:t>、</w:t>
            </w:r>
            <w:r>
              <w:rPr>
                <w:rFonts w:hint="eastAsia" w:ascii="宋体" w:hAnsi="宋体" w:cs="宋体"/>
                <w:b w:val="0"/>
                <w:bCs w:val="0"/>
                <w:sz w:val="21"/>
                <w:szCs w:val="21"/>
                <w:u w:val="none"/>
                <w:vertAlign w:val="baseline"/>
                <w:lang w:val="en-US" w:eastAsia="zh-CN"/>
              </w:rPr>
              <w:t>四川省地震局 申源、海南省市场监督管理局 芦圆</w:t>
            </w:r>
          </w:p>
        </w:tc>
        <w:tc>
          <w:tcPr>
            <w:tcW w:w="2550" w:type="dxa"/>
            <w:noWrap w:val="0"/>
            <w:vAlign w:val="center"/>
          </w:tcPr>
          <w:p w14:paraId="1BBCBD01">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采纳。增加本地特有的手机应用的发布条件说明，如海政通APP等。</w:t>
            </w:r>
          </w:p>
        </w:tc>
      </w:tr>
      <w:tr w14:paraId="0F85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33565E5C">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8</w:t>
            </w:r>
          </w:p>
        </w:tc>
        <w:tc>
          <w:tcPr>
            <w:tcW w:w="1650" w:type="dxa"/>
            <w:noWrap w:val="0"/>
            <w:vAlign w:val="center"/>
          </w:tcPr>
          <w:p w14:paraId="3AFCFBF3">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9信息安全</w:t>
            </w:r>
          </w:p>
        </w:tc>
        <w:tc>
          <w:tcPr>
            <w:tcW w:w="3420" w:type="dxa"/>
            <w:noWrap w:val="0"/>
            <w:vAlign w:val="center"/>
          </w:tcPr>
          <w:p w14:paraId="2096BA9C">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建议适当增加授权第三方转发规范指导</w:t>
            </w:r>
          </w:p>
        </w:tc>
        <w:tc>
          <w:tcPr>
            <w:tcW w:w="3360" w:type="dxa"/>
            <w:noWrap w:val="0"/>
            <w:vAlign w:val="center"/>
          </w:tcPr>
          <w:p w14:paraId="0271CCA7">
            <w:pPr>
              <w:jc w:val="center"/>
              <w:rPr>
                <w:rFonts w:hint="eastAsia" w:ascii="宋体" w:hAnsi="宋体" w:eastAsia="宋体" w:cs="宋体"/>
                <w:b w:val="0"/>
                <w:bCs w:val="0"/>
                <w:sz w:val="21"/>
                <w:szCs w:val="21"/>
                <w:u w:val="none"/>
                <w:vertAlign w:val="baseline"/>
                <w:lang w:val="en-US" w:eastAsia="zh-CN"/>
              </w:rPr>
            </w:pPr>
          </w:p>
        </w:tc>
        <w:tc>
          <w:tcPr>
            <w:tcW w:w="3075" w:type="dxa"/>
            <w:noWrap w:val="0"/>
            <w:vAlign w:val="center"/>
          </w:tcPr>
          <w:p w14:paraId="058F81F5">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中国地震台网中心 郭凯</w:t>
            </w:r>
          </w:p>
        </w:tc>
        <w:tc>
          <w:tcPr>
            <w:tcW w:w="2550" w:type="dxa"/>
            <w:noWrap w:val="0"/>
            <w:vAlign w:val="center"/>
          </w:tcPr>
          <w:p w14:paraId="0FCCF593">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不采纳。第三方转发授权并未有适当的指引文件为指导，尚未考虑把第三方转发放入本标准中。</w:t>
            </w:r>
          </w:p>
        </w:tc>
      </w:tr>
      <w:tr w14:paraId="5F4E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277B5471">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9</w:t>
            </w:r>
          </w:p>
        </w:tc>
        <w:tc>
          <w:tcPr>
            <w:tcW w:w="1650" w:type="dxa"/>
            <w:noWrap w:val="0"/>
            <w:vAlign w:val="center"/>
          </w:tcPr>
          <w:p w14:paraId="13A96A2F">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1范围</w:t>
            </w:r>
          </w:p>
        </w:tc>
        <w:tc>
          <w:tcPr>
            <w:tcW w:w="3420" w:type="dxa"/>
            <w:noWrap w:val="0"/>
            <w:vAlign w:val="center"/>
          </w:tcPr>
          <w:p w14:paraId="1D866294">
            <w:pPr>
              <w:jc w:val="both"/>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建议应对照后续章节内容，完善规范规定内容范围</w:t>
            </w:r>
          </w:p>
        </w:tc>
        <w:tc>
          <w:tcPr>
            <w:tcW w:w="3360" w:type="dxa"/>
            <w:noWrap w:val="0"/>
            <w:vAlign w:val="center"/>
          </w:tcPr>
          <w:p w14:paraId="5656CDCF">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这段话表述内容与后续内容不一致，需要前后统一。</w:t>
            </w:r>
          </w:p>
        </w:tc>
        <w:tc>
          <w:tcPr>
            <w:tcW w:w="3075" w:type="dxa"/>
            <w:noWrap w:val="0"/>
            <w:vAlign w:val="center"/>
          </w:tcPr>
          <w:p w14:paraId="26E095D9">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四川省地震局 申源</w:t>
            </w:r>
          </w:p>
        </w:tc>
        <w:tc>
          <w:tcPr>
            <w:tcW w:w="2550" w:type="dxa"/>
            <w:noWrap w:val="0"/>
            <w:vAlign w:val="center"/>
          </w:tcPr>
          <w:p w14:paraId="4149FEC6">
            <w:pPr>
              <w:jc w:val="left"/>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w:t>
            </w:r>
          </w:p>
        </w:tc>
      </w:tr>
      <w:tr w14:paraId="1EDE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032948C6">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10</w:t>
            </w:r>
          </w:p>
        </w:tc>
        <w:tc>
          <w:tcPr>
            <w:tcW w:w="1650" w:type="dxa"/>
            <w:noWrap w:val="0"/>
            <w:vAlign w:val="center"/>
          </w:tcPr>
          <w:p w14:paraId="010B117C">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6发布内容</w:t>
            </w:r>
          </w:p>
        </w:tc>
        <w:tc>
          <w:tcPr>
            <w:tcW w:w="3420" w:type="dxa"/>
            <w:noWrap w:val="0"/>
            <w:vAlign w:val="center"/>
          </w:tcPr>
          <w:p w14:paraId="656846CC">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建议修改“发布内容”为“呈现方式”</w:t>
            </w:r>
          </w:p>
        </w:tc>
        <w:tc>
          <w:tcPr>
            <w:tcW w:w="3360" w:type="dxa"/>
            <w:noWrap w:val="0"/>
            <w:vAlign w:val="center"/>
          </w:tcPr>
          <w:p w14:paraId="7871AF64">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该部分的内容是发布内容还是呈现方式</w:t>
            </w:r>
          </w:p>
        </w:tc>
        <w:tc>
          <w:tcPr>
            <w:tcW w:w="3075" w:type="dxa"/>
            <w:noWrap w:val="0"/>
            <w:vAlign w:val="center"/>
          </w:tcPr>
          <w:p w14:paraId="29E17576">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四川省地震局 申源</w:t>
            </w:r>
          </w:p>
        </w:tc>
        <w:tc>
          <w:tcPr>
            <w:tcW w:w="2550" w:type="dxa"/>
            <w:noWrap w:val="0"/>
            <w:vAlign w:val="center"/>
          </w:tcPr>
          <w:p w14:paraId="78D5552D">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部分采纳。原6内容已修订，现已纳入4地震预警等级，4.2预警图标和4.3预警声音</w:t>
            </w:r>
          </w:p>
        </w:tc>
      </w:tr>
      <w:tr w14:paraId="5F39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735" w:type="dxa"/>
            <w:noWrap w:val="0"/>
            <w:vAlign w:val="center"/>
          </w:tcPr>
          <w:p w14:paraId="4F34F219">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11</w:t>
            </w:r>
          </w:p>
        </w:tc>
        <w:tc>
          <w:tcPr>
            <w:tcW w:w="1650" w:type="dxa"/>
            <w:noWrap w:val="0"/>
            <w:vAlign w:val="center"/>
          </w:tcPr>
          <w:p w14:paraId="716ACF76">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3.3</w:t>
            </w:r>
          </w:p>
        </w:tc>
        <w:tc>
          <w:tcPr>
            <w:tcW w:w="3420" w:type="dxa"/>
            <w:noWrap w:val="0"/>
            <w:vAlign w:val="center"/>
          </w:tcPr>
          <w:p w14:paraId="37BD3288">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建议：“</w:t>
            </w:r>
            <w:r>
              <w:rPr>
                <w:rFonts w:hint="eastAsia"/>
              </w:rPr>
              <w:t>地震发生至地震动</w:t>
            </w:r>
            <w:r>
              <w:rPr>
                <w:rFonts w:hint="eastAsia"/>
                <w:lang w:eastAsia="zh-CN"/>
              </w:rPr>
              <w:t>……</w:t>
            </w:r>
            <w:r>
              <w:rPr>
                <w:rFonts w:hint="eastAsia" w:ascii="宋体" w:hAnsi="宋体" w:cs="宋体"/>
                <w:b w:val="0"/>
                <w:bCs w:val="0"/>
                <w:sz w:val="21"/>
                <w:szCs w:val="21"/>
                <w:u w:val="none"/>
                <w:vertAlign w:val="baseline"/>
                <w:lang w:val="en-US" w:eastAsia="zh-CN"/>
              </w:rPr>
              <w:t>”写成“</w:t>
            </w:r>
            <w:r>
              <w:rPr>
                <w:rFonts w:hint="eastAsia"/>
              </w:rPr>
              <w:t>地震发生至</w:t>
            </w:r>
            <w:r>
              <w:rPr>
                <w:rFonts w:hint="eastAsia"/>
                <w:lang w:val="en-US" w:eastAsia="zh-CN"/>
              </w:rPr>
              <w:t>地震</w:t>
            </w:r>
            <w:r>
              <w:rPr>
                <w:rFonts w:hint="eastAsia"/>
              </w:rPr>
              <w:t>地震动</w:t>
            </w:r>
            <w:r>
              <w:rPr>
                <w:rFonts w:hint="eastAsia"/>
                <w:lang w:eastAsia="zh-CN"/>
              </w:rPr>
              <w:t>……</w:t>
            </w:r>
            <w:r>
              <w:rPr>
                <w:rFonts w:hint="eastAsia" w:ascii="宋体" w:hAnsi="宋体" w:cs="宋体"/>
                <w:b w:val="0"/>
                <w:bCs w:val="0"/>
                <w:sz w:val="21"/>
                <w:szCs w:val="21"/>
                <w:u w:val="none"/>
                <w:vertAlign w:val="baseline"/>
                <w:lang w:val="en-US" w:eastAsia="zh-CN"/>
              </w:rPr>
              <w:t>”</w:t>
            </w:r>
          </w:p>
        </w:tc>
        <w:tc>
          <w:tcPr>
            <w:tcW w:w="3360" w:type="dxa"/>
            <w:noWrap w:val="0"/>
            <w:vAlign w:val="center"/>
          </w:tcPr>
          <w:p w14:paraId="47C64C8A">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缺失“地震”二字</w:t>
            </w:r>
          </w:p>
        </w:tc>
        <w:tc>
          <w:tcPr>
            <w:tcW w:w="3075" w:type="dxa"/>
            <w:noWrap w:val="0"/>
            <w:vAlign w:val="center"/>
          </w:tcPr>
          <w:p w14:paraId="26486603">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四川省地震局 申源</w:t>
            </w:r>
          </w:p>
        </w:tc>
        <w:tc>
          <w:tcPr>
            <w:tcW w:w="2550" w:type="dxa"/>
            <w:noWrap w:val="0"/>
            <w:vAlign w:val="center"/>
          </w:tcPr>
          <w:p w14:paraId="1A5ADCFF">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不采纳</w:t>
            </w:r>
            <w:r>
              <w:rPr>
                <w:rFonts w:hint="eastAsia" w:ascii="宋体" w:hAnsi="宋体" w:eastAsia="宋体" w:cs="宋体"/>
                <w:b w:val="0"/>
                <w:bCs w:val="0"/>
                <w:sz w:val="21"/>
                <w:szCs w:val="21"/>
                <w:u w:val="none"/>
                <w:vertAlign w:val="baseline"/>
                <w:lang w:val="en-US" w:eastAsia="zh-CN"/>
              </w:rPr>
              <w:t>。地震动指地震引起的地表及近地表介质的振动，不需要写“地震地震动”</w:t>
            </w:r>
          </w:p>
        </w:tc>
      </w:tr>
      <w:tr w14:paraId="1754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5D5CE947">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12</w:t>
            </w:r>
          </w:p>
        </w:tc>
        <w:tc>
          <w:tcPr>
            <w:tcW w:w="1650" w:type="dxa"/>
            <w:noWrap w:val="0"/>
            <w:vAlign w:val="center"/>
          </w:tcPr>
          <w:p w14:paraId="4C636D56">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3.4</w:t>
            </w:r>
          </w:p>
        </w:tc>
        <w:tc>
          <w:tcPr>
            <w:tcW w:w="3420" w:type="dxa"/>
            <w:noWrap w:val="0"/>
            <w:vAlign w:val="center"/>
          </w:tcPr>
          <w:p w14:paraId="4C395F1B">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建议“</w:t>
            </w:r>
            <w:r>
              <w:rPr>
                <w:rFonts w:hint="eastAsia" w:ascii="宋体" w:hAnsi="宋体"/>
              </w:rPr>
              <w:t>根据台站观测数据，利用地震烈度衰减模型推。</w:t>
            </w:r>
            <w:r>
              <w:rPr>
                <w:rFonts w:hint="eastAsia" w:ascii="宋体" w:hAnsi="宋体" w:cs="宋体"/>
                <w:b w:val="0"/>
                <w:bCs w:val="0"/>
                <w:sz w:val="21"/>
                <w:szCs w:val="21"/>
                <w:u w:val="none"/>
                <w:vertAlign w:val="baseline"/>
                <w:lang w:val="en-US" w:eastAsia="zh-CN"/>
              </w:rPr>
              <w:t>”写成“……推测得到</w:t>
            </w:r>
            <w:r>
              <w:rPr>
                <w:rFonts w:hint="eastAsia" w:ascii="宋体" w:hAnsi="宋体"/>
                <w:lang w:val="en-US" w:eastAsia="zh-CN"/>
              </w:rPr>
              <w:t>预</w:t>
            </w:r>
            <w:r>
              <w:rPr>
                <w:rFonts w:hint="eastAsia" w:ascii="宋体" w:hAnsi="宋体"/>
              </w:rPr>
              <w:t>测预警目标的地震烈度</w:t>
            </w:r>
            <w:r>
              <w:rPr>
                <w:rFonts w:hint="eastAsia" w:ascii="宋体" w:hAnsi="宋体" w:cs="宋体"/>
                <w:b w:val="0"/>
                <w:bCs w:val="0"/>
                <w:sz w:val="21"/>
                <w:szCs w:val="21"/>
                <w:u w:val="none"/>
                <w:vertAlign w:val="baseline"/>
                <w:lang w:val="en-US" w:eastAsia="zh-CN"/>
              </w:rPr>
              <w:t>”（加得到两个字）</w:t>
            </w:r>
          </w:p>
        </w:tc>
        <w:tc>
          <w:tcPr>
            <w:tcW w:w="3360" w:type="dxa"/>
            <w:noWrap w:val="0"/>
            <w:vAlign w:val="center"/>
          </w:tcPr>
          <w:p w14:paraId="64E7E3D2">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表述为“利用……推测得到的预测地震烈度”更妥。</w:t>
            </w:r>
          </w:p>
        </w:tc>
        <w:tc>
          <w:tcPr>
            <w:tcW w:w="3075" w:type="dxa"/>
            <w:noWrap w:val="0"/>
            <w:vAlign w:val="center"/>
          </w:tcPr>
          <w:p w14:paraId="6971F429">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四川省地震局 申源</w:t>
            </w:r>
          </w:p>
        </w:tc>
        <w:tc>
          <w:tcPr>
            <w:tcW w:w="2550" w:type="dxa"/>
            <w:noWrap w:val="0"/>
            <w:vAlign w:val="center"/>
          </w:tcPr>
          <w:p w14:paraId="37940C42">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部分采纳。已改为“</w:t>
            </w:r>
            <w:r>
              <w:rPr>
                <w:rFonts w:hint="eastAsia"/>
              </w:rPr>
              <w:t>根据地震观测台站数据和地震烈度衰减模型推测地震预警目标可能遭受的影响和破坏程度。</w:t>
            </w:r>
            <w:r>
              <w:rPr>
                <w:rFonts w:hint="eastAsia" w:ascii="宋体" w:hAnsi="宋体" w:cs="宋体"/>
                <w:b w:val="0"/>
                <w:bCs w:val="0"/>
                <w:sz w:val="21"/>
                <w:szCs w:val="21"/>
                <w:u w:val="none"/>
                <w:vertAlign w:val="baseline"/>
                <w:lang w:val="en-US" w:eastAsia="zh-CN"/>
              </w:rPr>
              <w:t>”</w:t>
            </w:r>
          </w:p>
        </w:tc>
      </w:tr>
      <w:tr w14:paraId="3341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735" w:type="dxa"/>
            <w:noWrap w:val="0"/>
            <w:vAlign w:val="center"/>
          </w:tcPr>
          <w:p w14:paraId="63DD1E91">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13</w:t>
            </w:r>
          </w:p>
        </w:tc>
        <w:tc>
          <w:tcPr>
            <w:tcW w:w="1650" w:type="dxa"/>
            <w:noWrap w:val="0"/>
            <w:vAlign w:val="center"/>
          </w:tcPr>
          <w:p w14:paraId="76794DA0">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3.7</w:t>
            </w:r>
          </w:p>
        </w:tc>
        <w:tc>
          <w:tcPr>
            <w:tcW w:w="3420" w:type="dxa"/>
            <w:noWrap w:val="0"/>
            <w:vAlign w:val="center"/>
          </w:tcPr>
          <w:p w14:paraId="50193510">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建议删除定义3.7“地震基本参数”</w:t>
            </w:r>
          </w:p>
        </w:tc>
        <w:tc>
          <w:tcPr>
            <w:tcW w:w="3360" w:type="dxa"/>
            <w:noWrap w:val="0"/>
            <w:vAlign w:val="center"/>
          </w:tcPr>
          <w:p w14:paraId="311F43D4">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后文未使用“地震基本参数”</w:t>
            </w:r>
          </w:p>
        </w:tc>
        <w:tc>
          <w:tcPr>
            <w:tcW w:w="3075" w:type="dxa"/>
            <w:noWrap w:val="0"/>
            <w:vAlign w:val="center"/>
          </w:tcPr>
          <w:p w14:paraId="31C13ECD">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四川省地震局 申源</w:t>
            </w:r>
          </w:p>
        </w:tc>
        <w:tc>
          <w:tcPr>
            <w:tcW w:w="2550" w:type="dxa"/>
            <w:noWrap w:val="0"/>
            <w:vAlign w:val="center"/>
          </w:tcPr>
          <w:p w14:paraId="6A0F4312">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采纳。删除定义。</w:t>
            </w:r>
          </w:p>
        </w:tc>
      </w:tr>
      <w:tr w14:paraId="3CF8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52767C73">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14</w:t>
            </w:r>
          </w:p>
        </w:tc>
        <w:tc>
          <w:tcPr>
            <w:tcW w:w="1650" w:type="dxa"/>
            <w:noWrap w:val="0"/>
            <w:vAlign w:val="center"/>
          </w:tcPr>
          <w:p w14:paraId="38BD03B8">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4</w:t>
            </w:r>
          </w:p>
        </w:tc>
        <w:tc>
          <w:tcPr>
            <w:tcW w:w="3420" w:type="dxa"/>
            <w:noWrap w:val="0"/>
            <w:vAlign w:val="center"/>
          </w:tcPr>
          <w:p w14:paraId="03E9E53E">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详见表1应改为：“应符合表1的规定”</w:t>
            </w:r>
          </w:p>
        </w:tc>
        <w:tc>
          <w:tcPr>
            <w:tcW w:w="3360" w:type="dxa"/>
            <w:noWrap w:val="0"/>
            <w:vAlign w:val="center"/>
          </w:tcPr>
          <w:p w14:paraId="5CCDC163">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表述问题，体现强制性</w:t>
            </w:r>
          </w:p>
        </w:tc>
        <w:tc>
          <w:tcPr>
            <w:tcW w:w="3075" w:type="dxa"/>
            <w:noWrap w:val="0"/>
            <w:vAlign w:val="center"/>
          </w:tcPr>
          <w:p w14:paraId="2C656806">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四川省地震局 申源</w:t>
            </w:r>
          </w:p>
        </w:tc>
        <w:tc>
          <w:tcPr>
            <w:tcW w:w="2550" w:type="dxa"/>
            <w:noWrap w:val="0"/>
            <w:vAlign w:val="center"/>
          </w:tcPr>
          <w:p w14:paraId="26ADFA6F">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采纳。规范性，表达为应符合。</w:t>
            </w:r>
          </w:p>
        </w:tc>
      </w:tr>
      <w:tr w14:paraId="4D28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558AD088">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15</w:t>
            </w:r>
          </w:p>
        </w:tc>
        <w:tc>
          <w:tcPr>
            <w:tcW w:w="1650" w:type="dxa"/>
            <w:noWrap w:val="0"/>
            <w:vAlign w:val="center"/>
          </w:tcPr>
          <w:p w14:paraId="32FF2532">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6</w:t>
            </w:r>
          </w:p>
        </w:tc>
        <w:tc>
          <w:tcPr>
            <w:tcW w:w="3420" w:type="dxa"/>
            <w:noWrap w:val="0"/>
            <w:vAlign w:val="center"/>
          </w:tcPr>
          <w:p w14:paraId="2FE2EC4E">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缺少引导语，不应该是直接abcd表述</w:t>
            </w:r>
          </w:p>
        </w:tc>
        <w:tc>
          <w:tcPr>
            <w:tcW w:w="3360" w:type="dxa"/>
            <w:noWrap w:val="0"/>
            <w:vAlign w:val="center"/>
          </w:tcPr>
          <w:p w14:paraId="53AF6879">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不能为悬置段。</w:t>
            </w:r>
          </w:p>
        </w:tc>
        <w:tc>
          <w:tcPr>
            <w:tcW w:w="3075" w:type="dxa"/>
            <w:noWrap w:val="0"/>
            <w:vAlign w:val="center"/>
          </w:tcPr>
          <w:p w14:paraId="09521B4E">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四川省地震局 申源</w:t>
            </w:r>
          </w:p>
        </w:tc>
        <w:tc>
          <w:tcPr>
            <w:tcW w:w="2550" w:type="dxa"/>
            <w:noWrap w:val="0"/>
            <w:vAlign w:val="center"/>
          </w:tcPr>
          <w:p w14:paraId="25A9E61F">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w:t>
            </w:r>
          </w:p>
        </w:tc>
      </w:tr>
      <w:tr w14:paraId="54D0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23D46306">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16</w:t>
            </w:r>
          </w:p>
        </w:tc>
        <w:tc>
          <w:tcPr>
            <w:tcW w:w="1650" w:type="dxa"/>
            <w:noWrap w:val="0"/>
            <w:vAlign w:val="center"/>
          </w:tcPr>
          <w:p w14:paraId="4494BCEE">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7  图1</w:t>
            </w:r>
          </w:p>
        </w:tc>
        <w:tc>
          <w:tcPr>
            <w:tcW w:w="3420" w:type="dxa"/>
            <w:noWrap w:val="0"/>
            <w:vAlign w:val="center"/>
          </w:tcPr>
          <w:p w14:paraId="2D466EA8">
            <w:pPr>
              <w:jc w:val="left"/>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建议描述发布流程或者考虑删除图1</w:t>
            </w:r>
          </w:p>
        </w:tc>
        <w:tc>
          <w:tcPr>
            <w:tcW w:w="3360" w:type="dxa"/>
            <w:noWrap w:val="0"/>
            <w:vAlign w:val="center"/>
          </w:tcPr>
          <w:p w14:paraId="12091BEE">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未见与图1相关描述</w:t>
            </w:r>
          </w:p>
        </w:tc>
        <w:tc>
          <w:tcPr>
            <w:tcW w:w="3075" w:type="dxa"/>
            <w:noWrap w:val="0"/>
            <w:vAlign w:val="center"/>
          </w:tcPr>
          <w:p w14:paraId="74FD0345">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四川省地震局 申源</w:t>
            </w:r>
          </w:p>
        </w:tc>
        <w:tc>
          <w:tcPr>
            <w:tcW w:w="2550" w:type="dxa"/>
            <w:noWrap w:val="0"/>
            <w:vAlign w:val="center"/>
          </w:tcPr>
          <w:p w14:paraId="20751EE8">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采纳。删除图1</w:t>
            </w:r>
          </w:p>
        </w:tc>
      </w:tr>
      <w:tr w14:paraId="0F33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4E057613">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17</w:t>
            </w:r>
          </w:p>
        </w:tc>
        <w:tc>
          <w:tcPr>
            <w:tcW w:w="1650" w:type="dxa"/>
            <w:noWrap w:val="0"/>
            <w:vAlign w:val="center"/>
          </w:tcPr>
          <w:p w14:paraId="6F1AA65E">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附录A.1</w:t>
            </w:r>
          </w:p>
        </w:tc>
        <w:tc>
          <w:tcPr>
            <w:tcW w:w="3420" w:type="dxa"/>
            <w:noWrap w:val="0"/>
            <w:vAlign w:val="center"/>
          </w:tcPr>
          <w:p w14:paraId="368777F1">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不能用见，改为“应符合表A.1”</w:t>
            </w:r>
          </w:p>
        </w:tc>
        <w:tc>
          <w:tcPr>
            <w:tcW w:w="3360" w:type="dxa"/>
            <w:noWrap w:val="0"/>
            <w:vAlign w:val="center"/>
          </w:tcPr>
          <w:p w14:paraId="369472BE">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规范性文件，使用“应符合”</w:t>
            </w:r>
          </w:p>
        </w:tc>
        <w:tc>
          <w:tcPr>
            <w:tcW w:w="3075" w:type="dxa"/>
            <w:noWrap w:val="0"/>
            <w:vAlign w:val="center"/>
          </w:tcPr>
          <w:p w14:paraId="7A5B3BF5">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四川省地震局 申源</w:t>
            </w:r>
          </w:p>
        </w:tc>
        <w:tc>
          <w:tcPr>
            <w:tcW w:w="2550" w:type="dxa"/>
            <w:noWrap w:val="0"/>
            <w:vAlign w:val="center"/>
          </w:tcPr>
          <w:p w14:paraId="1F829862">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w:t>
            </w:r>
          </w:p>
        </w:tc>
      </w:tr>
      <w:tr w14:paraId="3F62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41385ABD">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18</w:t>
            </w:r>
          </w:p>
        </w:tc>
        <w:tc>
          <w:tcPr>
            <w:tcW w:w="1650" w:type="dxa"/>
            <w:noWrap w:val="0"/>
            <w:vAlign w:val="center"/>
          </w:tcPr>
          <w:p w14:paraId="3933DC51">
            <w:pPr>
              <w:jc w:val="center"/>
              <w:rPr>
                <w:rFonts w:hint="default" w:ascii="宋体" w:hAnsi="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附录</w:t>
            </w:r>
            <w:r>
              <w:rPr>
                <w:rFonts w:hint="eastAsia" w:ascii="宋体" w:hAnsi="宋体" w:cs="宋体"/>
                <w:b w:val="0"/>
                <w:bCs w:val="0"/>
                <w:sz w:val="21"/>
                <w:szCs w:val="21"/>
                <w:u w:val="none"/>
                <w:vertAlign w:val="baseline"/>
                <w:lang w:val="en-US" w:eastAsia="zh-CN"/>
              </w:rPr>
              <w:t>C</w:t>
            </w:r>
            <w:r>
              <w:rPr>
                <w:rFonts w:hint="eastAsia" w:ascii="宋体" w:hAnsi="宋体" w:eastAsia="宋体" w:cs="宋体"/>
                <w:b w:val="0"/>
                <w:bCs w:val="0"/>
                <w:sz w:val="21"/>
                <w:szCs w:val="21"/>
                <w:u w:val="none"/>
                <w:vertAlign w:val="baseline"/>
                <w:lang w:val="en-US" w:eastAsia="zh-CN"/>
              </w:rPr>
              <w:t>.</w:t>
            </w:r>
            <w:r>
              <w:rPr>
                <w:rFonts w:hint="eastAsia" w:ascii="宋体" w:hAnsi="宋体" w:cs="宋体"/>
                <w:b w:val="0"/>
                <w:bCs w:val="0"/>
                <w:sz w:val="21"/>
                <w:szCs w:val="21"/>
                <w:u w:val="none"/>
                <w:vertAlign w:val="baseline"/>
                <w:lang w:val="en-US" w:eastAsia="zh-CN"/>
              </w:rPr>
              <w:t>2</w:t>
            </w:r>
          </w:p>
        </w:tc>
        <w:tc>
          <w:tcPr>
            <w:tcW w:w="3420" w:type="dxa"/>
            <w:noWrap w:val="0"/>
            <w:vAlign w:val="center"/>
          </w:tcPr>
          <w:p w14:paraId="10393953">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加引导语</w:t>
            </w:r>
          </w:p>
        </w:tc>
        <w:tc>
          <w:tcPr>
            <w:tcW w:w="3360" w:type="dxa"/>
            <w:noWrap w:val="0"/>
            <w:vAlign w:val="center"/>
          </w:tcPr>
          <w:p w14:paraId="6B32DBF7">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不能为悬置段。</w:t>
            </w:r>
          </w:p>
        </w:tc>
        <w:tc>
          <w:tcPr>
            <w:tcW w:w="3075" w:type="dxa"/>
            <w:noWrap w:val="0"/>
            <w:vAlign w:val="center"/>
          </w:tcPr>
          <w:p w14:paraId="1A9FCAB7">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四川省地震局 申源</w:t>
            </w:r>
          </w:p>
        </w:tc>
        <w:tc>
          <w:tcPr>
            <w:tcW w:w="2550" w:type="dxa"/>
            <w:noWrap w:val="0"/>
            <w:vAlign w:val="center"/>
          </w:tcPr>
          <w:p w14:paraId="017A90D7">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w:t>
            </w:r>
          </w:p>
        </w:tc>
      </w:tr>
      <w:tr w14:paraId="7F13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46181197">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19</w:t>
            </w:r>
          </w:p>
        </w:tc>
        <w:tc>
          <w:tcPr>
            <w:tcW w:w="1650" w:type="dxa"/>
            <w:noWrap w:val="0"/>
            <w:vAlign w:val="center"/>
          </w:tcPr>
          <w:p w14:paraId="16A3F243">
            <w:pPr>
              <w:jc w:val="center"/>
              <w:rPr>
                <w:rFonts w:hint="default" w:ascii="宋体" w:hAnsi="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参考文献</w:t>
            </w:r>
          </w:p>
        </w:tc>
        <w:tc>
          <w:tcPr>
            <w:tcW w:w="3420" w:type="dxa"/>
            <w:noWrap w:val="0"/>
            <w:vAlign w:val="center"/>
          </w:tcPr>
          <w:p w14:paraId="204438E2">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先国标后其他的排列</w:t>
            </w:r>
          </w:p>
        </w:tc>
        <w:tc>
          <w:tcPr>
            <w:tcW w:w="3360" w:type="dxa"/>
            <w:noWrap w:val="0"/>
            <w:vAlign w:val="center"/>
          </w:tcPr>
          <w:p w14:paraId="1F5F8F32">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按</w:t>
            </w:r>
            <w:r>
              <w:rPr>
                <w:rFonts w:hint="eastAsia" w:asciiTheme="minorEastAsia" w:hAnsiTheme="minorEastAsia" w:eastAsiaTheme="minorEastAsia" w:cstheme="minorEastAsia"/>
                <w:sz w:val="24"/>
                <w:szCs w:val="24"/>
                <w:lang w:val="en-US" w:eastAsia="zh-CN"/>
              </w:rPr>
              <w:t>GB/T 1.1</w:t>
            </w:r>
            <w:r>
              <w:rPr>
                <w:rFonts w:hint="eastAsia" w:asciiTheme="minorEastAsia" w:hAnsiTheme="minorEastAsia" w:cstheme="minorEastAsia"/>
                <w:sz w:val="24"/>
                <w:szCs w:val="24"/>
                <w:lang w:val="en-US" w:eastAsia="zh-CN"/>
              </w:rPr>
              <w:t>的规定先国标、行标、地标等排列</w:t>
            </w:r>
          </w:p>
        </w:tc>
        <w:tc>
          <w:tcPr>
            <w:tcW w:w="3075" w:type="dxa"/>
            <w:noWrap w:val="0"/>
            <w:vAlign w:val="center"/>
          </w:tcPr>
          <w:p w14:paraId="66CC168F">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四川省地震局 申源</w:t>
            </w:r>
          </w:p>
        </w:tc>
        <w:tc>
          <w:tcPr>
            <w:tcW w:w="2550" w:type="dxa"/>
            <w:noWrap w:val="0"/>
            <w:vAlign w:val="center"/>
          </w:tcPr>
          <w:p w14:paraId="10A7D247">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w:t>
            </w:r>
          </w:p>
        </w:tc>
      </w:tr>
      <w:tr w14:paraId="6185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6A299777">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20</w:t>
            </w:r>
          </w:p>
        </w:tc>
        <w:tc>
          <w:tcPr>
            <w:tcW w:w="1650" w:type="dxa"/>
            <w:noWrap w:val="0"/>
            <w:vAlign w:val="center"/>
          </w:tcPr>
          <w:p w14:paraId="78991A39">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w:t>
            </w:r>
            <w:r>
              <w:rPr>
                <w:rFonts w:hint="eastAsia" w:ascii="宋体" w:hAnsi="宋体" w:eastAsia="宋体" w:cs="宋体"/>
                <w:b w:val="0"/>
                <w:bCs w:val="0"/>
                <w:sz w:val="21"/>
                <w:szCs w:val="21"/>
                <w:u w:val="none"/>
                <w:vertAlign w:val="baseline"/>
                <w:lang w:val="en-US" w:eastAsia="zh-CN"/>
              </w:rPr>
              <w:t>编制说明</w:t>
            </w:r>
            <w:r>
              <w:rPr>
                <w:rFonts w:hint="eastAsia" w:ascii="宋体" w:hAnsi="宋体" w:cs="宋体"/>
                <w:b w:val="0"/>
                <w:bCs w:val="0"/>
                <w:sz w:val="21"/>
                <w:szCs w:val="21"/>
                <w:u w:val="none"/>
                <w:vertAlign w:val="baseline"/>
                <w:lang w:val="en-US" w:eastAsia="zh-CN"/>
              </w:rPr>
              <w:t>》</w:t>
            </w:r>
          </w:p>
        </w:tc>
        <w:tc>
          <w:tcPr>
            <w:tcW w:w="3420" w:type="dxa"/>
            <w:noWrap w:val="0"/>
            <w:vAlign w:val="center"/>
          </w:tcPr>
          <w:p w14:paraId="2392FEE4">
            <w:pPr>
              <w:jc w:val="both"/>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按DB46/T 74—2021《地方标准制修订工作规范》附录D的要求编写编制说明，编制说明应按照10个部分都要涵盖，修改汇总处理表，</w:t>
            </w:r>
          </w:p>
        </w:tc>
        <w:tc>
          <w:tcPr>
            <w:tcW w:w="3360" w:type="dxa"/>
            <w:noWrap w:val="0"/>
            <w:vAlign w:val="center"/>
          </w:tcPr>
          <w:p w14:paraId="169B2A59">
            <w:pPr>
              <w:jc w:val="center"/>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按DB46/T 74—2021《地方标准制修订工作规范》附录D的要求编写编制说明</w:t>
            </w:r>
          </w:p>
        </w:tc>
        <w:tc>
          <w:tcPr>
            <w:tcW w:w="3075" w:type="dxa"/>
            <w:noWrap w:val="0"/>
            <w:vAlign w:val="center"/>
          </w:tcPr>
          <w:p w14:paraId="4A360544">
            <w:pPr>
              <w:jc w:val="center"/>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标准与信息所</w:t>
            </w:r>
          </w:p>
        </w:tc>
        <w:tc>
          <w:tcPr>
            <w:tcW w:w="2550" w:type="dxa"/>
            <w:noWrap w:val="0"/>
            <w:vAlign w:val="center"/>
          </w:tcPr>
          <w:p w14:paraId="54553ACF">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w:t>
            </w:r>
          </w:p>
        </w:tc>
      </w:tr>
      <w:tr w14:paraId="1D3F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4EDB34B3">
            <w:pPr>
              <w:jc w:val="center"/>
              <w:rPr>
                <w:rFonts w:hint="default" w:ascii="宋体" w:hAnsi="宋体" w:eastAsia="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21</w:t>
            </w:r>
          </w:p>
        </w:tc>
        <w:tc>
          <w:tcPr>
            <w:tcW w:w="1650" w:type="dxa"/>
            <w:noWrap w:val="0"/>
            <w:vAlign w:val="center"/>
          </w:tcPr>
          <w:p w14:paraId="0F046147">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w:t>
            </w:r>
            <w:r>
              <w:rPr>
                <w:rFonts w:hint="eastAsia" w:ascii="宋体" w:hAnsi="宋体" w:eastAsia="宋体" w:cs="宋体"/>
                <w:b w:val="0"/>
                <w:bCs w:val="0"/>
                <w:sz w:val="21"/>
                <w:szCs w:val="21"/>
                <w:u w:val="none"/>
                <w:vertAlign w:val="baseline"/>
                <w:lang w:val="en-US" w:eastAsia="zh-CN"/>
              </w:rPr>
              <w:t>编制说明</w:t>
            </w:r>
            <w:r>
              <w:rPr>
                <w:rFonts w:hint="eastAsia" w:ascii="宋体" w:hAnsi="宋体" w:cs="宋体"/>
                <w:b w:val="0"/>
                <w:bCs w:val="0"/>
                <w:sz w:val="21"/>
                <w:szCs w:val="21"/>
                <w:u w:val="none"/>
                <w:vertAlign w:val="baseline"/>
                <w:lang w:val="en-US" w:eastAsia="zh-CN"/>
              </w:rPr>
              <w:t>》</w:t>
            </w:r>
          </w:p>
        </w:tc>
        <w:tc>
          <w:tcPr>
            <w:tcW w:w="3420" w:type="dxa"/>
            <w:noWrap w:val="0"/>
            <w:vAlign w:val="center"/>
          </w:tcPr>
          <w:p w14:paraId="5582936B">
            <w:pPr>
              <w:jc w:val="both"/>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增加小组成员详细的工作表</w:t>
            </w:r>
          </w:p>
        </w:tc>
        <w:tc>
          <w:tcPr>
            <w:tcW w:w="3360" w:type="dxa"/>
            <w:noWrap w:val="0"/>
            <w:vAlign w:val="center"/>
          </w:tcPr>
          <w:p w14:paraId="181C2B5F">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按DB46/T 74—2021《地方标准制修订工作规范》附录D的要求编写编制说明</w:t>
            </w:r>
          </w:p>
        </w:tc>
        <w:tc>
          <w:tcPr>
            <w:tcW w:w="3075" w:type="dxa"/>
            <w:noWrap w:val="0"/>
            <w:vAlign w:val="center"/>
          </w:tcPr>
          <w:p w14:paraId="79FA2380">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标准与信息所</w:t>
            </w:r>
          </w:p>
        </w:tc>
        <w:tc>
          <w:tcPr>
            <w:tcW w:w="2550" w:type="dxa"/>
            <w:noWrap w:val="0"/>
            <w:vAlign w:val="center"/>
          </w:tcPr>
          <w:p w14:paraId="25EFEF12">
            <w:pPr>
              <w:jc w:val="left"/>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w:t>
            </w:r>
          </w:p>
        </w:tc>
      </w:tr>
      <w:tr w14:paraId="7533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093388AA">
            <w:pPr>
              <w:jc w:val="center"/>
              <w:rPr>
                <w:rFonts w:hint="default" w:ascii="宋体" w:hAnsi="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22</w:t>
            </w:r>
          </w:p>
        </w:tc>
        <w:tc>
          <w:tcPr>
            <w:tcW w:w="1650" w:type="dxa"/>
            <w:noWrap w:val="0"/>
            <w:vAlign w:val="center"/>
          </w:tcPr>
          <w:p w14:paraId="2FCB7871">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目次</w:t>
            </w:r>
          </w:p>
        </w:tc>
        <w:tc>
          <w:tcPr>
            <w:tcW w:w="3420" w:type="dxa"/>
            <w:noWrap w:val="0"/>
            <w:vAlign w:val="center"/>
          </w:tcPr>
          <w:p w14:paraId="03F9EDEB">
            <w:pPr>
              <w:jc w:val="both"/>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内容不多且不复杂可以不用写出“目次”这章节</w:t>
            </w:r>
          </w:p>
        </w:tc>
        <w:tc>
          <w:tcPr>
            <w:tcW w:w="3360" w:type="dxa"/>
            <w:noWrap w:val="0"/>
            <w:vAlign w:val="center"/>
          </w:tcPr>
          <w:p w14:paraId="0DC9C839">
            <w:pPr>
              <w:jc w:val="both"/>
              <w:rPr>
                <w:rFonts w:hint="eastAsia" w:ascii="宋体" w:hAnsi="宋体" w:eastAsia="宋体" w:cs="宋体"/>
                <w:b w:val="0"/>
                <w:bCs w:val="0"/>
                <w:sz w:val="21"/>
                <w:szCs w:val="21"/>
                <w:u w:val="none"/>
                <w:vertAlign w:val="baseline"/>
                <w:lang w:val="en-US" w:eastAsia="zh-CN"/>
              </w:rPr>
            </w:pPr>
          </w:p>
        </w:tc>
        <w:tc>
          <w:tcPr>
            <w:tcW w:w="3075" w:type="dxa"/>
            <w:noWrap w:val="0"/>
            <w:vAlign w:val="center"/>
          </w:tcPr>
          <w:p w14:paraId="0235986F">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标准与信息所</w:t>
            </w:r>
          </w:p>
        </w:tc>
        <w:tc>
          <w:tcPr>
            <w:tcW w:w="2550" w:type="dxa"/>
            <w:noWrap w:val="0"/>
            <w:vAlign w:val="center"/>
          </w:tcPr>
          <w:p w14:paraId="551E8646">
            <w:pPr>
              <w:jc w:val="left"/>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w:t>
            </w:r>
          </w:p>
        </w:tc>
      </w:tr>
      <w:tr w14:paraId="3148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35" w:type="dxa"/>
            <w:noWrap w:val="0"/>
            <w:vAlign w:val="center"/>
          </w:tcPr>
          <w:p w14:paraId="25CC59EB">
            <w:pPr>
              <w:jc w:val="center"/>
              <w:rPr>
                <w:rFonts w:hint="default" w:ascii="宋体" w:hAnsi="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23</w:t>
            </w:r>
          </w:p>
        </w:tc>
        <w:tc>
          <w:tcPr>
            <w:tcW w:w="1650" w:type="dxa"/>
            <w:tcBorders>
              <w:top w:val="single" w:color="auto" w:sz="4" w:space="0"/>
              <w:left w:val="single" w:color="auto" w:sz="4" w:space="0"/>
              <w:bottom w:val="single" w:color="auto" w:sz="4" w:space="0"/>
              <w:right w:val="single" w:color="auto" w:sz="4" w:space="0"/>
            </w:tcBorders>
            <w:noWrap w:val="0"/>
            <w:vAlign w:val="center"/>
          </w:tcPr>
          <w:p w14:paraId="0D639CCD">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2</w:t>
            </w:r>
          </w:p>
        </w:tc>
        <w:tc>
          <w:tcPr>
            <w:tcW w:w="3420" w:type="dxa"/>
            <w:tcBorders>
              <w:top w:val="single" w:color="auto" w:sz="4" w:space="0"/>
              <w:left w:val="single" w:color="auto" w:sz="4" w:space="0"/>
              <w:bottom w:val="single" w:color="auto" w:sz="4" w:space="0"/>
              <w:right w:val="single" w:color="auto" w:sz="4" w:space="0"/>
            </w:tcBorders>
            <w:noWrap w:val="0"/>
            <w:vAlign w:val="center"/>
          </w:tcPr>
          <w:p w14:paraId="653A2BE3">
            <w:pPr>
              <w:jc w:val="both"/>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国标要放在第一个，行标，地标---排列</w:t>
            </w:r>
          </w:p>
        </w:tc>
        <w:tc>
          <w:tcPr>
            <w:tcW w:w="3360" w:type="dxa"/>
            <w:tcBorders>
              <w:top w:val="single" w:color="auto" w:sz="4" w:space="0"/>
              <w:left w:val="single" w:color="auto" w:sz="4" w:space="0"/>
              <w:bottom w:val="single" w:color="auto" w:sz="4" w:space="0"/>
              <w:right w:val="single" w:color="auto" w:sz="4" w:space="0"/>
            </w:tcBorders>
            <w:noWrap w:val="0"/>
            <w:vAlign w:val="center"/>
          </w:tcPr>
          <w:p w14:paraId="01393ACC">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按GB1.1要求的顺序排列</w:t>
            </w:r>
          </w:p>
        </w:tc>
        <w:tc>
          <w:tcPr>
            <w:tcW w:w="3075" w:type="dxa"/>
            <w:tcBorders>
              <w:top w:val="single" w:color="auto" w:sz="4" w:space="0"/>
              <w:left w:val="single" w:color="auto" w:sz="4" w:space="0"/>
              <w:bottom w:val="single" w:color="auto" w:sz="4" w:space="0"/>
              <w:right w:val="single" w:color="auto" w:sz="4" w:space="0"/>
            </w:tcBorders>
            <w:noWrap w:val="0"/>
            <w:vAlign w:val="center"/>
          </w:tcPr>
          <w:p w14:paraId="09A861BB">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标准与信息所</w:t>
            </w:r>
          </w:p>
        </w:tc>
        <w:tc>
          <w:tcPr>
            <w:tcW w:w="2550" w:type="dxa"/>
            <w:tcBorders>
              <w:top w:val="single" w:color="auto" w:sz="4" w:space="0"/>
              <w:left w:val="single" w:color="auto" w:sz="4" w:space="0"/>
              <w:bottom w:val="single" w:color="auto" w:sz="4" w:space="0"/>
              <w:right w:val="single" w:color="auto" w:sz="4" w:space="0"/>
            </w:tcBorders>
            <w:noWrap w:val="0"/>
            <w:vAlign w:val="center"/>
          </w:tcPr>
          <w:p w14:paraId="44D150FD">
            <w:pPr>
              <w:jc w:val="left"/>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采纳。按GB1.1要求的顺序排列。</w:t>
            </w:r>
          </w:p>
        </w:tc>
      </w:tr>
      <w:tr w14:paraId="7A1A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6392FB18">
            <w:pPr>
              <w:jc w:val="center"/>
              <w:rPr>
                <w:rFonts w:hint="default" w:ascii="宋体" w:hAnsi="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24</w:t>
            </w:r>
          </w:p>
        </w:tc>
        <w:tc>
          <w:tcPr>
            <w:tcW w:w="1650" w:type="dxa"/>
            <w:tcBorders>
              <w:top w:val="single" w:color="auto" w:sz="4" w:space="0"/>
              <w:left w:val="single" w:color="auto" w:sz="4" w:space="0"/>
              <w:bottom w:val="single" w:color="auto" w:sz="4" w:space="0"/>
              <w:right w:val="single" w:color="auto" w:sz="4" w:space="0"/>
            </w:tcBorders>
            <w:noWrap w:val="0"/>
            <w:vAlign w:val="center"/>
          </w:tcPr>
          <w:p w14:paraId="564E829E">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3</w:t>
            </w:r>
          </w:p>
        </w:tc>
        <w:tc>
          <w:tcPr>
            <w:tcW w:w="3420" w:type="dxa"/>
            <w:tcBorders>
              <w:top w:val="single" w:color="auto" w:sz="4" w:space="0"/>
              <w:left w:val="single" w:color="auto" w:sz="4" w:space="0"/>
              <w:bottom w:val="single" w:color="auto" w:sz="4" w:space="0"/>
              <w:right w:val="single" w:color="auto" w:sz="4" w:space="0"/>
            </w:tcBorders>
            <w:noWrap w:val="0"/>
            <w:vAlign w:val="center"/>
          </w:tcPr>
          <w:p w14:paraId="046C6D4F">
            <w:pPr>
              <w:jc w:val="both"/>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引用DB35/T 1666—2017 放在参考文献</w:t>
            </w:r>
          </w:p>
        </w:tc>
        <w:tc>
          <w:tcPr>
            <w:tcW w:w="3360" w:type="dxa"/>
            <w:tcBorders>
              <w:top w:val="single" w:color="auto" w:sz="4" w:space="0"/>
              <w:left w:val="single" w:color="auto" w:sz="4" w:space="0"/>
              <w:bottom w:val="single" w:color="auto" w:sz="4" w:space="0"/>
              <w:right w:val="single" w:color="auto" w:sz="4" w:space="0"/>
            </w:tcBorders>
            <w:noWrap w:val="0"/>
            <w:vAlign w:val="center"/>
          </w:tcPr>
          <w:p w14:paraId="03F6C32B">
            <w:pPr>
              <w:jc w:val="center"/>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术语定义，海南省定义不能引用外省</w:t>
            </w:r>
          </w:p>
        </w:tc>
        <w:tc>
          <w:tcPr>
            <w:tcW w:w="3075" w:type="dxa"/>
            <w:tcBorders>
              <w:top w:val="single" w:color="auto" w:sz="4" w:space="0"/>
              <w:left w:val="single" w:color="auto" w:sz="4" w:space="0"/>
              <w:bottom w:val="single" w:color="auto" w:sz="4" w:space="0"/>
              <w:right w:val="single" w:color="auto" w:sz="4" w:space="0"/>
            </w:tcBorders>
            <w:noWrap w:val="0"/>
            <w:vAlign w:val="center"/>
          </w:tcPr>
          <w:p w14:paraId="730A9404">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标准与信息所</w:t>
            </w:r>
          </w:p>
        </w:tc>
        <w:tc>
          <w:tcPr>
            <w:tcW w:w="2550" w:type="dxa"/>
            <w:tcBorders>
              <w:top w:val="single" w:color="auto" w:sz="4" w:space="0"/>
              <w:left w:val="single" w:color="auto" w:sz="4" w:space="0"/>
              <w:bottom w:val="single" w:color="auto" w:sz="4" w:space="0"/>
              <w:right w:val="single" w:color="auto" w:sz="4" w:space="0"/>
            </w:tcBorders>
            <w:noWrap w:val="0"/>
            <w:vAlign w:val="center"/>
          </w:tcPr>
          <w:p w14:paraId="4335A7BF">
            <w:pPr>
              <w:jc w:val="left"/>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采纳。若参考外省地方标准，应放在“参考文献”</w:t>
            </w:r>
          </w:p>
        </w:tc>
      </w:tr>
      <w:tr w14:paraId="75CF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78A5298F">
            <w:pPr>
              <w:jc w:val="center"/>
              <w:rPr>
                <w:rFonts w:hint="default" w:ascii="宋体" w:hAnsi="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25</w:t>
            </w:r>
          </w:p>
        </w:tc>
        <w:tc>
          <w:tcPr>
            <w:tcW w:w="1650" w:type="dxa"/>
            <w:tcBorders>
              <w:top w:val="single" w:color="auto" w:sz="4" w:space="0"/>
              <w:left w:val="single" w:color="auto" w:sz="4" w:space="0"/>
              <w:bottom w:val="single" w:color="auto" w:sz="4" w:space="0"/>
              <w:right w:val="single" w:color="auto" w:sz="4" w:space="0"/>
            </w:tcBorders>
            <w:noWrap w:val="0"/>
            <w:vAlign w:val="center"/>
          </w:tcPr>
          <w:p w14:paraId="586D57DF">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6</w:t>
            </w:r>
          </w:p>
        </w:tc>
        <w:tc>
          <w:tcPr>
            <w:tcW w:w="3420" w:type="dxa"/>
            <w:tcBorders>
              <w:top w:val="single" w:color="auto" w:sz="4" w:space="0"/>
              <w:left w:val="single" w:color="auto" w:sz="4" w:space="0"/>
              <w:bottom w:val="single" w:color="auto" w:sz="4" w:space="0"/>
              <w:right w:val="single" w:color="auto" w:sz="4" w:space="0"/>
            </w:tcBorders>
            <w:noWrap w:val="0"/>
            <w:vAlign w:val="center"/>
          </w:tcPr>
          <w:p w14:paraId="29DB25A1">
            <w:pPr>
              <w:jc w:val="both"/>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发布内容，悬置段，要有个引导语，是并列的还是先后顺序？（并列用杠，先后用abcde）</w:t>
            </w:r>
          </w:p>
        </w:tc>
        <w:tc>
          <w:tcPr>
            <w:tcW w:w="3360" w:type="dxa"/>
            <w:tcBorders>
              <w:top w:val="single" w:color="auto" w:sz="4" w:space="0"/>
              <w:left w:val="single" w:color="auto" w:sz="4" w:space="0"/>
              <w:bottom w:val="single" w:color="auto" w:sz="4" w:space="0"/>
              <w:right w:val="single" w:color="auto" w:sz="4" w:space="0"/>
            </w:tcBorders>
            <w:noWrap w:val="0"/>
            <w:vAlign w:val="center"/>
          </w:tcPr>
          <w:p w14:paraId="756813A1">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按GB1.1要求不可为悬置段</w:t>
            </w:r>
          </w:p>
        </w:tc>
        <w:tc>
          <w:tcPr>
            <w:tcW w:w="3075" w:type="dxa"/>
            <w:tcBorders>
              <w:top w:val="single" w:color="auto" w:sz="4" w:space="0"/>
              <w:left w:val="single" w:color="auto" w:sz="4" w:space="0"/>
              <w:bottom w:val="single" w:color="auto" w:sz="4" w:space="0"/>
              <w:right w:val="single" w:color="auto" w:sz="4" w:space="0"/>
            </w:tcBorders>
            <w:noWrap w:val="0"/>
            <w:vAlign w:val="center"/>
          </w:tcPr>
          <w:p w14:paraId="25685CE2">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标准与信息所</w:t>
            </w:r>
          </w:p>
        </w:tc>
        <w:tc>
          <w:tcPr>
            <w:tcW w:w="2550" w:type="dxa"/>
            <w:tcBorders>
              <w:top w:val="single" w:color="auto" w:sz="4" w:space="0"/>
              <w:left w:val="single" w:color="auto" w:sz="4" w:space="0"/>
              <w:bottom w:val="single" w:color="auto" w:sz="4" w:space="0"/>
              <w:right w:val="single" w:color="auto" w:sz="4" w:space="0"/>
            </w:tcBorders>
            <w:noWrap w:val="0"/>
            <w:vAlign w:val="center"/>
          </w:tcPr>
          <w:p w14:paraId="25B3E688">
            <w:pPr>
              <w:jc w:val="left"/>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 xml:space="preserve"> 采纳。</w:t>
            </w:r>
          </w:p>
        </w:tc>
      </w:tr>
      <w:tr w14:paraId="7AA9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735" w:type="dxa"/>
            <w:noWrap w:val="0"/>
            <w:vAlign w:val="center"/>
          </w:tcPr>
          <w:p w14:paraId="4B2820E5">
            <w:pPr>
              <w:jc w:val="center"/>
              <w:rPr>
                <w:rFonts w:hint="default" w:ascii="宋体" w:hAnsi="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26</w:t>
            </w:r>
          </w:p>
        </w:tc>
        <w:tc>
          <w:tcPr>
            <w:tcW w:w="1650" w:type="dxa"/>
            <w:tcBorders>
              <w:top w:val="single" w:color="auto" w:sz="4" w:space="0"/>
              <w:left w:val="single" w:color="auto" w:sz="4" w:space="0"/>
              <w:bottom w:val="single" w:color="auto" w:sz="4" w:space="0"/>
              <w:right w:val="single" w:color="auto" w:sz="4" w:space="0"/>
            </w:tcBorders>
            <w:noWrap w:val="0"/>
            <w:vAlign w:val="center"/>
          </w:tcPr>
          <w:p w14:paraId="427A2688">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8.8.2</w:t>
            </w:r>
          </w:p>
        </w:tc>
        <w:tc>
          <w:tcPr>
            <w:tcW w:w="3420" w:type="dxa"/>
            <w:tcBorders>
              <w:top w:val="single" w:color="auto" w:sz="4" w:space="0"/>
              <w:left w:val="single" w:color="auto" w:sz="4" w:space="0"/>
              <w:bottom w:val="single" w:color="auto" w:sz="4" w:space="0"/>
              <w:right w:val="single" w:color="auto" w:sz="4" w:space="0"/>
            </w:tcBorders>
            <w:noWrap w:val="0"/>
            <w:vAlign w:val="center"/>
          </w:tcPr>
          <w:p w14:paraId="47342872">
            <w:pPr>
              <w:jc w:val="both"/>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建议：包括但不限于：</w:t>
            </w:r>
          </w:p>
        </w:tc>
        <w:tc>
          <w:tcPr>
            <w:tcW w:w="3360" w:type="dxa"/>
            <w:tcBorders>
              <w:top w:val="single" w:color="auto" w:sz="4" w:space="0"/>
              <w:left w:val="single" w:color="auto" w:sz="4" w:space="0"/>
              <w:bottom w:val="single" w:color="auto" w:sz="4" w:space="0"/>
              <w:right w:val="single" w:color="auto" w:sz="4" w:space="0"/>
            </w:tcBorders>
            <w:noWrap w:val="0"/>
            <w:vAlign w:val="center"/>
          </w:tcPr>
          <w:p w14:paraId="779B4AF8">
            <w:pPr>
              <w:jc w:val="center"/>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文字严谨性的要求</w:t>
            </w:r>
          </w:p>
        </w:tc>
        <w:tc>
          <w:tcPr>
            <w:tcW w:w="3075" w:type="dxa"/>
            <w:tcBorders>
              <w:top w:val="single" w:color="auto" w:sz="4" w:space="0"/>
              <w:left w:val="single" w:color="auto" w:sz="4" w:space="0"/>
              <w:bottom w:val="single" w:color="auto" w:sz="4" w:space="0"/>
              <w:right w:val="single" w:color="auto" w:sz="4" w:space="0"/>
            </w:tcBorders>
            <w:noWrap w:val="0"/>
            <w:vAlign w:val="center"/>
          </w:tcPr>
          <w:p w14:paraId="6F32F601">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标准与信息所</w:t>
            </w:r>
          </w:p>
        </w:tc>
        <w:tc>
          <w:tcPr>
            <w:tcW w:w="2550" w:type="dxa"/>
            <w:tcBorders>
              <w:top w:val="single" w:color="auto" w:sz="4" w:space="0"/>
              <w:left w:val="single" w:color="auto" w:sz="4" w:space="0"/>
              <w:bottom w:val="single" w:color="auto" w:sz="4" w:space="0"/>
              <w:right w:val="single" w:color="auto" w:sz="4" w:space="0"/>
            </w:tcBorders>
            <w:noWrap w:val="0"/>
            <w:vAlign w:val="center"/>
          </w:tcPr>
          <w:p w14:paraId="47EDBD61">
            <w:pPr>
              <w:jc w:val="left"/>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w:t>
            </w:r>
          </w:p>
        </w:tc>
      </w:tr>
      <w:tr w14:paraId="02B6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729AF062">
            <w:pPr>
              <w:jc w:val="center"/>
              <w:rPr>
                <w:rFonts w:hint="default" w:ascii="宋体" w:hAnsi="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27</w:t>
            </w:r>
          </w:p>
        </w:tc>
        <w:tc>
          <w:tcPr>
            <w:tcW w:w="1650" w:type="dxa"/>
            <w:tcBorders>
              <w:top w:val="single" w:color="auto" w:sz="4" w:space="0"/>
              <w:left w:val="single" w:color="auto" w:sz="4" w:space="0"/>
              <w:bottom w:val="single" w:color="auto" w:sz="4" w:space="0"/>
              <w:right w:val="single" w:color="auto" w:sz="4" w:space="0"/>
            </w:tcBorders>
            <w:noWrap w:val="0"/>
            <w:vAlign w:val="center"/>
          </w:tcPr>
          <w:p w14:paraId="0CFCB627">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附录A</w:t>
            </w:r>
          </w:p>
        </w:tc>
        <w:tc>
          <w:tcPr>
            <w:tcW w:w="3420" w:type="dxa"/>
            <w:tcBorders>
              <w:top w:val="single" w:color="auto" w:sz="4" w:space="0"/>
              <w:left w:val="single" w:color="auto" w:sz="4" w:space="0"/>
              <w:bottom w:val="single" w:color="auto" w:sz="4" w:space="0"/>
              <w:right w:val="single" w:color="auto" w:sz="4" w:space="0"/>
            </w:tcBorders>
            <w:noWrap w:val="0"/>
            <w:vAlign w:val="center"/>
          </w:tcPr>
          <w:p w14:paraId="51462E06">
            <w:pPr>
              <w:jc w:val="both"/>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为表作解释应改成 “注”</w:t>
            </w:r>
          </w:p>
        </w:tc>
        <w:tc>
          <w:tcPr>
            <w:tcW w:w="3360" w:type="dxa"/>
            <w:tcBorders>
              <w:top w:val="single" w:color="auto" w:sz="4" w:space="0"/>
              <w:left w:val="single" w:color="auto" w:sz="4" w:space="0"/>
              <w:bottom w:val="single" w:color="auto" w:sz="4" w:space="0"/>
              <w:right w:val="single" w:color="auto" w:sz="4" w:space="0"/>
            </w:tcBorders>
            <w:noWrap w:val="0"/>
            <w:vAlign w:val="center"/>
          </w:tcPr>
          <w:p w14:paraId="43F3E74F">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按GB1.1要求</w:t>
            </w:r>
          </w:p>
        </w:tc>
        <w:tc>
          <w:tcPr>
            <w:tcW w:w="3075" w:type="dxa"/>
            <w:tcBorders>
              <w:top w:val="single" w:color="auto" w:sz="4" w:space="0"/>
              <w:left w:val="single" w:color="auto" w:sz="4" w:space="0"/>
              <w:bottom w:val="single" w:color="auto" w:sz="4" w:space="0"/>
              <w:right w:val="single" w:color="auto" w:sz="4" w:space="0"/>
            </w:tcBorders>
            <w:noWrap w:val="0"/>
            <w:vAlign w:val="center"/>
          </w:tcPr>
          <w:p w14:paraId="5805E98C">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标准与信息所</w:t>
            </w:r>
          </w:p>
        </w:tc>
        <w:tc>
          <w:tcPr>
            <w:tcW w:w="2550" w:type="dxa"/>
            <w:tcBorders>
              <w:top w:val="single" w:color="auto" w:sz="4" w:space="0"/>
              <w:left w:val="single" w:color="auto" w:sz="4" w:space="0"/>
              <w:bottom w:val="single" w:color="auto" w:sz="4" w:space="0"/>
              <w:right w:val="single" w:color="auto" w:sz="4" w:space="0"/>
            </w:tcBorders>
            <w:noWrap w:val="0"/>
            <w:vAlign w:val="center"/>
          </w:tcPr>
          <w:p w14:paraId="28440D75">
            <w:pPr>
              <w:jc w:val="left"/>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采纳。已修改。</w:t>
            </w:r>
          </w:p>
        </w:tc>
      </w:tr>
      <w:tr w14:paraId="027CF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35" w:type="dxa"/>
            <w:noWrap w:val="0"/>
            <w:vAlign w:val="center"/>
          </w:tcPr>
          <w:p w14:paraId="712CE81C">
            <w:pPr>
              <w:jc w:val="center"/>
              <w:rPr>
                <w:rFonts w:hint="default" w:ascii="宋体" w:hAnsi="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28</w:t>
            </w:r>
          </w:p>
        </w:tc>
        <w:tc>
          <w:tcPr>
            <w:tcW w:w="1650" w:type="dxa"/>
            <w:tcBorders>
              <w:top w:val="single" w:color="auto" w:sz="4" w:space="0"/>
              <w:left w:val="single" w:color="auto" w:sz="4" w:space="0"/>
              <w:bottom w:val="single" w:color="auto" w:sz="4" w:space="0"/>
              <w:right w:val="single" w:color="auto" w:sz="4" w:space="0"/>
            </w:tcBorders>
            <w:noWrap w:val="0"/>
            <w:vAlign w:val="center"/>
          </w:tcPr>
          <w:p w14:paraId="3F6339E0">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附录c</w:t>
            </w:r>
          </w:p>
        </w:tc>
        <w:tc>
          <w:tcPr>
            <w:tcW w:w="3420" w:type="dxa"/>
            <w:tcBorders>
              <w:top w:val="single" w:color="auto" w:sz="4" w:space="0"/>
              <w:left w:val="single" w:color="auto" w:sz="4" w:space="0"/>
              <w:bottom w:val="single" w:color="auto" w:sz="4" w:space="0"/>
              <w:right w:val="single" w:color="auto" w:sz="4" w:space="0"/>
            </w:tcBorders>
            <w:noWrap w:val="0"/>
            <w:vAlign w:val="center"/>
          </w:tcPr>
          <w:p w14:paraId="0B4B69BD">
            <w:pPr>
              <w:jc w:val="both"/>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弄清是规范这样还是资料性，如果是资料性的是引用***，如果是规范性的应写为 “见...”、“按...执行”。</w:t>
            </w:r>
          </w:p>
        </w:tc>
        <w:tc>
          <w:tcPr>
            <w:tcW w:w="3360" w:type="dxa"/>
            <w:tcBorders>
              <w:top w:val="single" w:color="auto" w:sz="4" w:space="0"/>
              <w:left w:val="single" w:color="auto" w:sz="4" w:space="0"/>
              <w:bottom w:val="single" w:color="auto" w:sz="4" w:space="0"/>
              <w:right w:val="single" w:color="auto" w:sz="4" w:space="0"/>
            </w:tcBorders>
            <w:noWrap w:val="0"/>
            <w:vAlign w:val="center"/>
          </w:tcPr>
          <w:p w14:paraId="4685D430">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按GB1.1要求</w:t>
            </w:r>
          </w:p>
        </w:tc>
        <w:tc>
          <w:tcPr>
            <w:tcW w:w="3075" w:type="dxa"/>
            <w:tcBorders>
              <w:top w:val="single" w:color="auto" w:sz="4" w:space="0"/>
              <w:left w:val="single" w:color="auto" w:sz="4" w:space="0"/>
              <w:bottom w:val="single" w:color="auto" w:sz="4" w:space="0"/>
              <w:right w:val="single" w:color="auto" w:sz="4" w:space="0"/>
            </w:tcBorders>
            <w:noWrap w:val="0"/>
            <w:vAlign w:val="center"/>
          </w:tcPr>
          <w:p w14:paraId="491322B1">
            <w:pPr>
              <w:jc w:val="center"/>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标准与信息所</w:t>
            </w:r>
          </w:p>
        </w:tc>
        <w:tc>
          <w:tcPr>
            <w:tcW w:w="2550" w:type="dxa"/>
            <w:tcBorders>
              <w:top w:val="single" w:color="auto" w:sz="4" w:space="0"/>
              <w:left w:val="single" w:color="auto" w:sz="4" w:space="0"/>
              <w:bottom w:val="single" w:color="auto" w:sz="4" w:space="0"/>
              <w:right w:val="single" w:color="auto" w:sz="4" w:space="0"/>
            </w:tcBorders>
            <w:noWrap w:val="0"/>
            <w:vAlign w:val="center"/>
          </w:tcPr>
          <w:p w14:paraId="74D6D8E8">
            <w:pPr>
              <w:jc w:val="left"/>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采纳。已修改。</w:t>
            </w:r>
          </w:p>
        </w:tc>
      </w:tr>
      <w:tr w14:paraId="0145B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735" w:type="dxa"/>
            <w:noWrap w:val="0"/>
            <w:vAlign w:val="center"/>
          </w:tcPr>
          <w:p w14:paraId="5AED5B86">
            <w:pPr>
              <w:jc w:val="center"/>
              <w:rPr>
                <w:rFonts w:hint="default" w:ascii="宋体" w:hAnsi="宋体" w:cs="宋体"/>
                <w:b/>
                <w:bCs/>
                <w:sz w:val="24"/>
                <w:szCs w:val="24"/>
                <w:u w:val="none"/>
                <w:vertAlign w:val="baseline"/>
                <w:lang w:val="en-US" w:eastAsia="zh-CN"/>
              </w:rPr>
            </w:pPr>
            <w:r>
              <w:rPr>
                <w:rFonts w:hint="eastAsia" w:ascii="宋体" w:hAnsi="宋体" w:cs="宋体"/>
                <w:b/>
                <w:bCs/>
                <w:sz w:val="24"/>
                <w:szCs w:val="24"/>
                <w:u w:val="none"/>
                <w:vertAlign w:val="baseline"/>
                <w:lang w:val="en-US" w:eastAsia="zh-CN"/>
              </w:rPr>
              <w:t>29</w:t>
            </w:r>
          </w:p>
        </w:tc>
        <w:tc>
          <w:tcPr>
            <w:tcW w:w="1650" w:type="dxa"/>
            <w:tcBorders>
              <w:top w:val="single" w:color="auto" w:sz="4" w:space="0"/>
              <w:left w:val="single" w:color="auto" w:sz="4" w:space="0"/>
              <w:bottom w:val="single" w:color="auto" w:sz="4" w:space="0"/>
              <w:right w:val="single" w:color="auto" w:sz="4" w:space="0"/>
            </w:tcBorders>
            <w:noWrap w:val="0"/>
            <w:vAlign w:val="center"/>
          </w:tcPr>
          <w:p w14:paraId="6FDD6A09">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参考文献</w:t>
            </w:r>
          </w:p>
        </w:tc>
        <w:tc>
          <w:tcPr>
            <w:tcW w:w="3420" w:type="dxa"/>
            <w:tcBorders>
              <w:top w:val="single" w:color="auto" w:sz="4" w:space="0"/>
              <w:left w:val="single" w:color="auto" w:sz="4" w:space="0"/>
              <w:bottom w:val="single" w:color="auto" w:sz="4" w:space="0"/>
              <w:right w:val="single" w:color="auto" w:sz="4" w:space="0"/>
            </w:tcBorders>
            <w:noWrap w:val="0"/>
            <w:vAlign w:val="center"/>
          </w:tcPr>
          <w:p w14:paraId="6BF652F5">
            <w:pPr>
              <w:jc w:val="both"/>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建议有引用才写</w:t>
            </w:r>
          </w:p>
        </w:tc>
        <w:tc>
          <w:tcPr>
            <w:tcW w:w="3360" w:type="dxa"/>
            <w:tcBorders>
              <w:top w:val="single" w:color="auto" w:sz="4" w:space="0"/>
              <w:left w:val="single" w:color="auto" w:sz="4" w:space="0"/>
              <w:bottom w:val="single" w:color="auto" w:sz="4" w:space="0"/>
              <w:right w:val="single" w:color="auto" w:sz="4" w:space="0"/>
            </w:tcBorders>
            <w:noWrap w:val="0"/>
            <w:vAlign w:val="center"/>
          </w:tcPr>
          <w:p w14:paraId="40CBF5F4">
            <w:pPr>
              <w:jc w:val="center"/>
              <w:rPr>
                <w:rFonts w:hint="eastAsia" w:ascii="宋体" w:hAnsi="宋体" w:eastAsia="宋体" w:cs="宋体"/>
                <w:b w:val="0"/>
                <w:bCs w:val="0"/>
                <w:sz w:val="21"/>
                <w:szCs w:val="21"/>
                <w:u w:val="none"/>
                <w:vertAlign w:val="baseline"/>
                <w:lang w:val="en-US" w:eastAsia="zh-CN"/>
              </w:rPr>
            </w:pPr>
          </w:p>
        </w:tc>
        <w:tc>
          <w:tcPr>
            <w:tcW w:w="3075" w:type="dxa"/>
            <w:tcBorders>
              <w:top w:val="single" w:color="auto" w:sz="4" w:space="0"/>
              <w:left w:val="single" w:color="auto" w:sz="4" w:space="0"/>
              <w:bottom w:val="single" w:color="auto" w:sz="4" w:space="0"/>
              <w:right w:val="single" w:color="auto" w:sz="4" w:space="0"/>
            </w:tcBorders>
            <w:noWrap w:val="0"/>
            <w:vAlign w:val="center"/>
          </w:tcPr>
          <w:p w14:paraId="0815ABC3">
            <w:pPr>
              <w:jc w:val="center"/>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标准与信息所</w:t>
            </w:r>
          </w:p>
        </w:tc>
        <w:tc>
          <w:tcPr>
            <w:tcW w:w="2550" w:type="dxa"/>
            <w:tcBorders>
              <w:top w:val="single" w:color="auto" w:sz="4" w:space="0"/>
              <w:left w:val="single" w:color="auto" w:sz="4" w:space="0"/>
              <w:bottom w:val="single" w:color="auto" w:sz="4" w:space="0"/>
              <w:right w:val="single" w:color="auto" w:sz="4" w:space="0"/>
            </w:tcBorders>
            <w:noWrap w:val="0"/>
            <w:vAlign w:val="center"/>
          </w:tcPr>
          <w:p w14:paraId="0722415E">
            <w:pPr>
              <w:jc w:val="left"/>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采纳。只列出引用的文献。</w:t>
            </w:r>
          </w:p>
        </w:tc>
      </w:tr>
    </w:tbl>
    <w:p w14:paraId="6BC111C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黑体" w:hAnsi="黑体" w:eastAsia="黑体" w:cs="黑体"/>
          <w:sz w:val="24"/>
          <w:szCs w:val="24"/>
          <w:lang w:val="en-US" w:eastAsia="zh-CN"/>
        </w:rPr>
      </w:pPr>
    </w:p>
    <w:sectPr>
      <w:pgSz w:w="16838" w:h="11906" w:orient="landscape"/>
      <w:pgMar w:top="1803" w:right="1440" w:bottom="1803" w:left="144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4121D80-3845-4CDF-92C4-AD1FC1B099B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70A8A54-E099-4766-8BF8-7536E4F3B06D}"/>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方正小标宋简体">
    <w:panose1 w:val="03000509000000000000"/>
    <w:charset w:val="86"/>
    <w:family w:val="auto"/>
    <w:pitch w:val="default"/>
    <w:sig w:usb0="00000001" w:usb1="080E0000" w:usb2="00000000" w:usb3="00000000" w:csb0="00040000" w:csb1="00000000"/>
    <w:embedRegular r:id="rId3" w:fontKey="{E9AC73F2-79B1-4C7A-BC52-1A6E32CDD5AB}"/>
  </w:font>
  <w:font w:name="仿宋_GB2312">
    <w:panose1 w:val="02010609030101010101"/>
    <w:charset w:val="86"/>
    <w:family w:val="auto"/>
    <w:pitch w:val="default"/>
    <w:sig w:usb0="00000001" w:usb1="080E0000" w:usb2="00000000" w:usb3="00000000" w:csb0="00040000" w:csb1="00000000"/>
    <w:embedRegular r:id="rId4" w:fontKey="{0E6F03BC-D3DF-4463-B565-1682D209E0F2}"/>
  </w:font>
  <w:font w:name="仿宋">
    <w:panose1 w:val="02010609060101010101"/>
    <w:charset w:val="86"/>
    <w:family w:val="modern"/>
    <w:pitch w:val="default"/>
    <w:sig w:usb0="800002BF" w:usb1="38CF7CFA" w:usb2="00000016" w:usb3="00000000" w:csb0="00040001" w:csb1="00000000"/>
    <w:embedRegular r:id="rId5" w:fontKey="{8CF1B3DC-F6A2-4862-867C-A40F1EE5522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8DEE1B"/>
    <w:multiLevelType w:val="singleLevel"/>
    <w:tmpl w:val="908DEE1B"/>
    <w:lvl w:ilvl="0" w:tentative="0">
      <w:start w:val="1"/>
      <w:numFmt w:val="decimal"/>
      <w:suff w:val="space"/>
      <w:lvlText w:val="(%1)"/>
      <w:lvlJc w:val="left"/>
      <w:pPr>
        <w:ind w:left="425" w:hanging="425"/>
      </w:pPr>
      <w:rPr>
        <w:rFonts w:hint="default"/>
      </w:rPr>
    </w:lvl>
  </w:abstractNum>
  <w:abstractNum w:abstractNumId="1">
    <w:nsid w:val="D3EE4BB8"/>
    <w:multiLevelType w:val="singleLevel"/>
    <w:tmpl w:val="D3EE4BB8"/>
    <w:lvl w:ilvl="0" w:tentative="0">
      <w:start w:val="1"/>
      <w:numFmt w:val="decimal"/>
      <w:lvlText w:val="(%1)"/>
      <w:lvlJc w:val="left"/>
      <w:pPr>
        <w:ind w:left="425" w:hanging="425"/>
      </w:pPr>
      <w:rPr>
        <w:rFonts w:hint="default"/>
      </w:rPr>
    </w:lvl>
  </w:abstractNum>
  <w:abstractNum w:abstractNumId="2">
    <w:nsid w:val="165EEEC9"/>
    <w:multiLevelType w:val="singleLevel"/>
    <w:tmpl w:val="165EEEC9"/>
    <w:lvl w:ilvl="0" w:tentative="0">
      <w:start w:val="1"/>
      <w:numFmt w:val="chineseCounting"/>
      <w:suff w:val="nothing"/>
      <w:lvlText w:val="（%1）"/>
      <w:lvlJc w:val="left"/>
      <w:rPr>
        <w:rFonts w:hint="eastAsia"/>
      </w:rPr>
    </w:lvl>
  </w:abstractNum>
  <w:abstractNum w:abstractNumId="3">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2"/>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580C3B"/>
    <w:rsid w:val="094516FA"/>
    <w:rsid w:val="0B857622"/>
    <w:rsid w:val="0D817B82"/>
    <w:rsid w:val="0E580C3B"/>
    <w:rsid w:val="0F907DD3"/>
    <w:rsid w:val="1022659C"/>
    <w:rsid w:val="13C24A51"/>
    <w:rsid w:val="14EB6229"/>
    <w:rsid w:val="1B097409"/>
    <w:rsid w:val="1B362B7B"/>
    <w:rsid w:val="1DFC3790"/>
    <w:rsid w:val="1E8730C8"/>
    <w:rsid w:val="204D00A4"/>
    <w:rsid w:val="233E0F44"/>
    <w:rsid w:val="239E04F7"/>
    <w:rsid w:val="2460453E"/>
    <w:rsid w:val="261B6962"/>
    <w:rsid w:val="285A74F6"/>
    <w:rsid w:val="2C957FFA"/>
    <w:rsid w:val="312106D4"/>
    <w:rsid w:val="33D068BE"/>
    <w:rsid w:val="37F848EE"/>
    <w:rsid w:val="3C931B2E"/>
    <w:rsid w:val="3EED0F9D"/>
    <w:rsid w:val="400675C3"/>
    <w:rsid w:val="42A33B1C"/>
    <w:rsid w:val="46405AE4"/>
    <w:rsid w:val="471F4741"/>
    <w:rsid w:val="480908C5"/>
    <w:rsid w:val="483B0F0D"/>
    <w:rsid w:val="4B7778F3"/>
    <w:rsid w:val="4DA90097"/>
    <w:rsid w:val="4E516B22"/>
    <w:rsid w:val="50165C05"/>
    <w:rsid w:val="501D3B80"/>
    <w:rsid w:val="504B134F"/>
    <w:rsid w:val="50DF6DB4"/>
    <w:rsid w:val="5155600C"/>
    <w:rsid w:val="51AF3228"/>
    <w:rsid w:val="51B42E47"/>
    <w:rsid w:val="51E246CB"/>
    <w:rsid w:val="527F3531"/>
    <w:rsid w:val="539D45B7"/>
    <w:rsid w:val="57580F21"/>
    <w:rsid w:val="5A1A086C"/>
    <w:rsid w:val="5AC253A4"/>
    <w:rsid w:val="5D3362D5"/>
    <w:rsid w:val="5E1B4A56"/>
    <w:rsid w:val="62145A44"/>
    <w:rsid w:val="64882719"/>
    <w:rsid w:val="69B64CFD"/>
    <w:rsid w:val="6C0A7EB8"/>
    <w:rsid w:val="6C2D1DB5"/>
    <w:rsid w:val="70FC0717"/>
    <w:rsid w:val="71A072F4"/>
    <w:rsid w:val="71A34664"/>
    <w:rsid w:val="7A0F14BB"/>
    <w:rsid w:val="7C0D1A2A"/>
    <w:rsid w:val="7FF573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toc 1"/>
    <w:basedOn w:val="1"/>
    <w:next w:val="1"/>
    <w:qFormat/>
    <w:uiPriority w:val="39"/>
    <w:pPr>
      <w:tabs>
        <w:tab w:val="right" w:leader="dot" w:pos="9241"/>
      </w:tabs>
      <w:spacing w:before="25" w:beforeLines="25" w:after="25" w:afterLines="25"/>
      <w:jc w:val="left"/>
    </w:pPr>
    <w:rPr>
      <w:rFonts w:ascii="宋体"/>
      <w:szCs w:val="21"/>
    </w:rPr>
  </w:style>
  <w:style w:type="paragraph" w:styleId="5">
    <w:name w:val="Normal (Web)"/>
    <w:basedOn w:val="1"/>
    <w:unhideWhenUsed/>
    <w:qFormat/>
    <w:uiPriority w:val="99"/>
    <w:pPr>
      <w:widowControl/>
      <w:spacing w:before="100" w:beforeAutospacing="1" w:after="100" w:afterAutospacing="1"/>
    </w:pPr>
    <w:rPr>
      <w:rFonts w:ascii="PMingLiU" w:hAnsi="PMingLiU" w:eastAsia="PMingLiU" w:cs="PMingLiU"/>
      <w:kern w:val="0"/>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qFormat/>
    <w:uiPriority w:val="99"/>
    <w:rPr>
      <w:color w:val="0000FF"/>
      <w:spacing w:val="0"/>
      <w:w w:val="100"/>
      <w:szCs w:val="21"/>
      <w:u w:val="single"/>
    </w:rPr>
  </w:style>
  <w:style w:type="paragraph" w:customStyle="1" w:styleId="11">
    <w:name w:val="Normal Indent1"/>
    <w:basedOn w:val="1"/>
    <w:qFormat/>
    <w:uiPriority w:val="0"/>
    <w:pPr>
      <w:ind w:firstLine="420"/>
    </w:pPr>
    <w:rPr>
      <w:rFonts w:ascii="宋体" w:hAnsi="Courier New" w:eastAsia="宋体" w:cs="宋体"/>
      <w:kern w:val="0"/>
      <w:sz w:val="20"/>
      <w:szCs w:val="20"/>
    </w:rPr>
  </w:style>
  <w:style w:type="paragraph" w:customStyle="1" w:styleId="12">
    <w:name w:val="一级条标题"/>
    <w:next w:val="13"/>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1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4">
    <w:name w:val="章标题"/>
    <w:basedOn w:val="1"/>
    <w:qFormat/>
    <w:uiPriority w:val="0"/>
    <w:pPr>
      <w:spacing w:before="312" w:beforeLines="100" w:beforeAutospacing="0" w:after="312" w:afterLines="100" w:afterAutospacing="0"/>
      <w:ind w:left="0" w:firstLine="0"/>
      <w:jc w:val="both"/>
      <w:outlineLvl w:val="1"/>
    </w:pPr>
    <w:rPr>
      <w:rFonts w:hint="default" w:ascii="黑体" w:hAnsi="宋体" w:eastAsia="黑体" w:cs="黑体"/>
      <w:kern w:val="0"/>
      <w:sz w:val="21"/>
      <w:szCs w:val="21"/>
      <w:lang w:val="en-US" w:eastAsia="zh-CN" w:bidi="ar"/>
    </w:rPr>
  </w:style>
  <w:style w:type="paragraph" w:customStyle="1" w:styleId="15">
    <w:name w:val="Normal"/>
    <w:basedOn w:val="1"/>
    <w:qFormat/>
    <w:uiPriority w:val="0"/>
    <w:pPr>
      <w:widowControl/>
    </w:pPr>
    <w:rPr>
      <w:rFonts w:ascii="Calibri" w:hAnsi="Calibri" w:cs="Calibri"/>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3808</Words>
  <Characters>4055</Characters>
  <Lines>0</Lines>
  <Paragraphs>0</Paragraphs>
  <TotalTime>1</TotalTime>
  <ScaleCrop>false</ScaleCrop>
  <LinksUpToDate>false</LinksUpToDate>
  <CharactersWithSpaces>4079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2025-05-12T09:59:00Z</dcterms:created>
  <dc:creator>Aquamarln</dc:creator>
  <cp:lastModifiedBy> lu圆</cp:lastModifiedBy>
  <dcterms:modified xsi:type="dcterms:W3CDTF">2025-05-26T00:59:32Z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E89C7906684D45F6AD874E08824A5688_11</vt:lpwstr>
  </property>
  <property fmtid="{D5CDD505-2E9C-101B-9397-08002B2CF9AE}" pid="4" name="KSOTemplateDocerSaveRecord">
    <vt:lpwstr>eyJoZGlkIjoiNDZiY2M4OGQxNjUyYTliOGNmODRlN2VjODA4NmRmYTYiLCJ1c2VySWQiOiI0NTA0MTAwNTYifQ==</vt:lpwstr>
  </property>
</Properties>
</file>