
<file path=[Content_Types].xml><?xml version="1.0" encoding="utf-8"?>
<Types xmlns="http://schemas.openxmlformats.org/package/2006/content-types">
  <Default Extension="xml" ContentType="application/xml"/>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03.080.99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A</w:t>
            </w:r>
            <w:r>
              <w:rPr>
                <w:rFonts w:ascii="黑体" w:hAnsi="黑体" w:eastAsia="黑体"/>
                <w:sz w:val="21"/>
                <w:szCs w:val="21"/>
              </w:rPr>
              <w:t xml:space="preserve"> 20</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c>
          <w:tcPr>
            <w:tcW w:w="6407" w:type="dxa"/>
          </w:tcPr>
          <w:p>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46</w:t>
            </w:r>
            <w:r>
              <w:fldChar w:fldCharType="end"/>
            </w:r>
            <w:bookmarkEnd w:id="3"/>
          </w:p>
        </w:tc>
      </w:tr>
    </w:tbl>
    <w:p>
      <w:pPr>
        <w:pStyle w:val="50"/>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海</w:t>
      </w:r>
      <w:r>
        <w:rPr>
          <w:rFonts w:ascii="黑体" w:eastAsia="黑体"/>
          <w:b w:val="0"/>
          <w:w w:val="100"/>
          <w:sz w:val="48"/>
        </w:rPr>
        <w:t>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46/T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J4NJltgAAAAMAQAADwAAAAAAAAABACAAAAA4AAAAZHJzL2Rvd25yZXYu&#10;eG1sUEsBAhQAFAAAAAgAh07iQLvgymblAQAArAMAAA4AAAAAAAAAAQAgAAAAPQEAAGRycy9lMm9E&#10;b2MueG1sUEsFBgAAAAAGAAYAWQEAAJQFAAAAAA==&#10;">
                <v:fill on="f" focussize="0,0"/>
                <v:stroke color="#000000" joinstyle="round"/>
                <v:imagedata o:title=""/>
                <o:lock v:ext="edit" aspectratio="f"/>
              </v:line>
            </w:pict>
          </mc:Fallback>
        </mc:AlternateContent>
      </w:r>
    </w:p>
    <w:p>
      <w:pPr>
        <w:pStyle w:val="50"/>
        <w:framePr w:w="9639" w:h="6976" w:hRule="exact" w:hSpace="0" w:vSpace="0" w:wrap="around" w:hAnchor="page" w:y="6408"/>
        <w:jc w:val="center"/>
        <w:rPr>
          <w:rFonts w:ascii="黑体" w:hAnsi="黑体" w:eastAsia="黑体"/>
          <w:b w:val="0"/>
          <w:bCs w:val="0"/>
          <w:w w:val="100"/>
        </w:rPr>
      </w:pPr>
    </w:p>
    <w:p>
      <w:pPr>
        <w:pStyle w:val="197"/>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社会组织信用体系建设指南</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Guidelines for the construction of social organization credit system</w:t>
      </w:r>
      <w:r>
        <w:rPr>
          <w:rFonts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海</w:t>
      </w:r>
      <w:r>
        <w:rPr>
          <w:rFonts w:hAnsi="黑体"/>
          <w:w w:val="100"/>
          <w:sz w:val="28"/>
        </w:rPr>
        <w:t>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qzMc+9cAAAAOAQAADwAAAAAAAAABACAAAAA4AAAAZHJzL2Rvd25yZXYueG1s&#10;UEsBAhQAFAAAAAgAh07iQFkuJZjjAQAAqgMAAA4AAAAAAAAAAQAgAAAAPAEAAGRycy9lMm9Eb2Mu&#10;eG1sUEsFBgAAAAAGAAYAWQEAAJEFAAAAAA==&#10;">
                <v:fill on="f" focussize="0,0"/>
                <v:stroke color="#000000" joinstyle="round"/>
                <v:imagedata o:title=""/>
                <o:lock v:ext="edit" aspectratio="f"/>
                <w10:anchorlock/>
              </v:line>
            </w:pict>
          </mc:Fallback>
        </mc:AlternateContent>
      </w:r>
    </w:p>
    <w:p>
      <w:pPr>
        <w:pStyle w:val="89"/>
        <w:spacing w:before="900" w:after="468"/>
      </w:pPr>
      <w:bookmarkStart w:id="21" w:name="BookMark2"/>
      <w:r>
        <w:rPr>
          <w:spacing w:val="320"/>
        </w:rPr>
        <w:t>前</w:t>
      </w:r>
      <w:r>
        <w:t>言</w:t>
      </w:r>
    </w:p>
    <w:p>
      <w:pPr>
        <w:pStyle w:val="56"/>
        <w:ind w:firstLine="420"/>
      </w:pPr>
      <w:r>
        <w:rPr>
          <w:rFonts w:hint="eastAsia"/>
        </w:rPr>
        <w:t>本文件按照GB/T 1.1—2020《标准化工作导则  第1部分：标准化文件的结构和起草规则》的规定起草。</w:t>
      </w:r>
    </w:p>
    <w:p>
      <w:pPr>
        <w:pStyle w:val="56"/>
        <w:ind w:firstLine="420"/>
      </w:pPr>
      <w:r>
        <w:rPr>
          <w:rFonts w:hint="eastAsia"/>
        </w:rPr>
        <w:t>请注意本文件的某些内容可能涉及专利。本文件的发布机构不承担识别专利的责任。</w:t>
      </w:r>
    </w:p>
    <w:p>
      <w:pPr>
        <w:pStyle w:val="56"/>
        <w:ind w:firstLine="420"/>
      </w:pPr>
      <w:r>
        <w:rPr>
          <w:rFonts w:hint="eastAsia"/>
        </w:rPr>
        <w:t>本文件由海南省民政厅提出并归口。</w:t>
      </w:r>
    </w:p>
    <w:p>
      <w:pPr>
        <w:pStyle w:val="56"/>
        <w:ind w:firstLine="420"/>
      </w:pPr>
      <w:r>
        <w:rPr>
          <w:rFonts w:hint="eastAsia"/>
        </w:rPr>
        <w:t>本文件起草单位：海南省民政厅、海南省民政事业发展促进会、海南速易检测技术研究院有限公司海南省老字号企业协会、海南三智诚文化传媒有限公司、海南大学、海南省心理咨询行业协会。</w:t>
      </w:r>
    </w:p>
    <w:p>
      <w:pPr>
        <w:pStyle w:val="56"/>
        <w:ind w:firstLine="420"/>
        <w:rPr>
          <w:rFonts w:hint="eastAsia" w:ascii="宋体" w:eastAsia="宋体"/>
        </w:rPr>
      </w:pPr>
      <w:r>
        <w:rPr>
          <w:rFonts w:hint="eastAsia" w:ascii="宋体" w:eastAsia="宋体"/>
        </w:rPr>
        <w:t>本文件主要起草人：王芙丽、陈燕、</w:t>
      </w:r>
      <w:r>
        <w:rPr>
          <w:rFonts w:hint="eastAsia" w:ascii="宋体" w:eastAsia="宋体"/>
          <w:lang w:val="en-US" w:eastAsia="zh-CN"/>
        </w:rPr>
        <w:t>杜美琪、</w:t>
      </w:r>
      <w:r>
        <w:rPr>
          <w:rFonts w:hint="eastAsia" w:ascii="宋体" w:eastAsia="宋体"/>
        </w:rPr>
        <w:t>何志贵、王建坡、赵文阳、陈刚、陈文文、魏士博、刘刚、</w:t>
      </w:r>
      <w:r>
        <w:rPr>
          <w:rFonts w:hint="eastAsia" w:ascii="宋体" w:eastAsia="宋体"/>
          <w:lang w:val="en-US" w:eastAsia="zh-CN"/>
        </w:rPr>
        <w:t>吴艳慧</w:t>
      </w:r>
      <w:r>
        <w:rPr>
          <w:rFonts w:hint="eastAsia" w:ascii="宋体" w:eastAsia="宋体"/>
        </w:rPr>
        <w:t>。</w:t>
      </w:r>
    </w:p>
    <w:p>
      <w:pPr>
        <w:pStyle w:val="56"/>
        <w:ind w:firstLine="420"/>
      </w:pPr>
      <w:bookmarkStart w:id="83" w:name="_GoBack"/>
      <w:bookmarkEnd w:id="83"/>
    </w:p>
    <w:p>
      <w:pPr>
        <w:pStyle w:val="56"/>
        <w:ind w:firstLine="420"/>
      </w:pPr>
    </w:p>
    <w:p>
      <w:pPr>
        <w:pStyle w:val="56"/>
        <w:ind w:firstLine="420"/>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p>
    <w:bookmarkEnd w:id="21"/>
    <w:p>
      <w:pPr>
        <w:spacing w:line="20" w:lineRule="exact"/>
        <w:jc w:val="center"/>
        <w:rPr>
          <w:rFonts w:ascii="黑体" w:hAnsi="黑体" w:eastAsia="黑体"/>
          <w:sz w:val="32"/>
          <w:szCs w:val="32"/>
        </w:rPr>
      </w:pPr>
      <w:bookmarkStart w:id="22" w:name="BookMark4"/>
    </w:p>
    <w:p>
      <w:pPr>
        <w:spacing w:line="20" w:lineRule="exact"/>
        <w:jc w:val="center"/>
        <w:rPr>
          <w:rFonts w:ascii="黑体" w:hAnsi="黑体" w:eastAsia="黑体"/>
          <w:sz w:val="32"/>
          <w:szCs w:val="32"/>
        </w:rPr>
      </w:pPr>
    </w:p>
    <w:sdt>
      <w:sdtPr>
        <w:tag w:val="NEW_STAND_NAME"/>
        <w:id w:val="595910757"/>
        <w:lock w:val="sdtLocked"/>
        <w:placeholder>
          <w:docPart w:val="087BD8373E2B421CA57B233FE650B7E3"/>
        </w:placeholder>
      </w:sdtPr>
      <w:sdtContent>
        <w:p>
          <w:pPr>
            <w:pStyle w:val="177"/>
            <w:spacing w:before="312" w:beforeLines="100" w:after="686" w:afterLines="220"/>
          </w:pPr>
          <w:bookmarkStart w:id="23" w:name="NEW_STAND_NAME"/>
          <w:r>
            <w:rPr>
              <w:rFonts w:hint="eastAsia"/>
            </w:rPr>
            <w:t>社会组织信用体系建设指南</w:t>
          </w:r>
        </w:p>
      </w:sdtContent>
    </w:sdt>
    <w:bookmarkEnd w:id="23"/>
    <w:p>
      <w:pPr>
        <w:pStyle w:val="104"/>
        <w:spacing w:before="312" w:after="312"/>
      </w:pPr>
      <w:bookmarkStart w:id="24" w:name="_Toc26986771"/>
      <w:bookmarkStart w:id="25" w:name="_Toc24884218"/>
      <w:bookmarkStart w:id="26" w:name="_Toc26718930"/>
      <w:bookmarkStart w:id="27" w:name="_Toc26648465"/>
      <w:bookmarkStart w:id="28" w:name="_Toc24884211"/>
      <w:bookmarkStart w:id="29" w:name="_Toc17233333"/>
      <w:bookmarkStart w:id="30" w:name="_Toc26986530"/>
      <w:bookmarkStart w:id="31" w:name="_Toc17233325"/>
      <w:bookmarkStart w:id="32" w:name="_Toc97191423"/>
      <w:r>
        <w:rPr>
          <w:rFonts w:hint="eastAsia"/>
        </w:rPr>
        <w:t>范围</w:t>
      </w:r>
      <w:bookmarkEnd w:id="24"/>
      <w:bookmarkEnd w:id="25"/>
      <w:bookmarkEnd w:id="26"/>
      <w:bookmarkEnd w:id="27"/>
      <w:bookmarkEnd w:id="28"/>
      <w:bookmarkEnd w:id="29"/>
      <w:bookmarkEnd w:id="30"/>
      <w:bookmarkEnd w:id="31"/>
      <w:bookmarkEnd w:id="32"/>
    </w:p>
    <w:p>
      <w:pPr>
        <w:pStyle w:val="56"/>
        <w:ind w:firstLine="420"/>
      </w:pPr>
      <w:bookmarkStart w:id="33" w:name="_Toc26648466"/>
      <w:bookmarkStart w:id="34" w:name="_Toc17233334"/>
      <w:bookmarkStart w:id="35" w:name="_Toc24884212"/>
      <w:bookmarkStart w:id="36" w:name="_Toc17233326"/>
      <w:bookmarkStart w:id="37" w:name="_Toc24884219"/>
      <w:r>
        <w:rPr>
          <w:rFonts w:hint="eastAsia"/>
        </w:rPr>
        <w:t>本文件规定了社会组织信用体系建设的术语和定义、总体目标和基本要求、信用体系建设、信用</w:t>
      </w:r>
      <w:r>
        <w:rPr>
          <w:rFonts w:hint="eastAsia"/>
          <w:lang w:val="en-US" w:eastAsia="zh-CN"/>
        </w:rPr>
        <w:t>管理</w:t>
      </w:r>
      <w:r>
        <w:rPr>
          <w:rFonts w:hint="eastAsia"/>
        </w:rPr>
        <w:t>等内容。</w:t>
      </w:r>
    </w:p>
    <w:p>
      <w:pPr>
        <w:pStyle w:val="56"/>
        <w:ind w:firstLine="420"/>
      </w:pPr>
      <w:r>
        <w:rPr>
          <w:rFonts w:hint="eastAsia"/>
        </w:rPr>
        <w:t>本文件适用于</w:t>
      </w:r>
      <w:r>
        <w:rPr>
          <w:rFonts w:hint="eastAsia"/>
          <w:lang w:val="en-US" w:eastAsia="zh-CN"/>
        </w:rPr>
        <w:t>海南省社会组织开展信用体系建设与管理工作</w:t>
      </w:r>
      <w:r>
        <w:rPr>
          <w:rFonts w:hint="eastAsia"/>
        </w:rPr>
        <w:t>。</w:t>
      </w:r>
    </w:p>
    <w:p>
      <w:pPr>
        <w:pStyle w:val="104"/>
        <w:spacing w:before="312" w:after="312"/>
      </w:pPr>
      <w:bookmarkStart w:id="38" w:name="_Toc97191424"/>
      <w:bookmarkStart w:id="39" w:name="_Toc26986531"/>
      <w:bookmarkStart w:id="40" w:name="_Toc26986772"/>
      <w:bookmarkStart w:id="41" w:name="_Toc26718931"/>
      <w:r>
        <w:rPr>
          <w:rFonts w:hint="eastAsia"/>
        </w:rPr>
        <w:t>规范性引用文件</w:t>
      </w:r>
      <w:bookmarkEnd w:id="33"/>
      <w:bookmarkEnd w:id="34"/>
      <w:bookmarkEnd w:id="35"/>
      <w:bookmarkEnd w:id="36"/>
      <w:bookmarkEnd w:id="37"/>
      <w:bookmarkEnd w:id="38"/>
      <w:bookmarkEnd w:id="39"/>
      <w:bookmarkEnd w:id="40"/>
      <w:bookmarkEnd w:id="41"/>
    </w:p>
    <w:sdt>
      <w:sdtPr>
        <w:rPr>
          <w:rFonts w:hint="eastAsia"/>
        </w:rPr>
        <w:id w:val="715848253"/>
        <w:placeholder>
          <w:docPart w:val="B66748847F184306BB86E853AD0825C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pPr>
      <w:r>
        <w:rPr>
          <w:rFonts w:hint="eastAsia"/>
        </w:rPr>
        <w:t>GB/T 22117-2018  信用基本术语</w:t>
      </w:r>
    </w:p>
    <w:p>
      <w:pPr>
        <w:pStyle w:val="104"/>
        <w:spacing w:before="312" w:after="312"/>
      </w:pPr>
      <w:bookmarkStart w:id="42" w:name="_Toc97191425"/>
      <w:r>
        <w:rPr>
          <w:rFonts w:hint="eastAsia"/>
          <w:szCs w:val="21"/>
        </w:rPr>
        <w:t>术语和定义</w:t>
      </w:r>
      <w:bookmarkEnd w:id="42"/>
    </w:p>
    <w:sdt>
      <w:sdtPr>
        <w:id w:val="-1"/>
        <w:placeholder>
          <w:docPart w:val="33FB827097064AFD93B2ED2051C67E04"/>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43" w:name="_Toc26986532"/>
          <w:bookmarkEnd w:id="43"/>
          <w:r>
            <w:t>下列术语和定义适用于本文件。</w:t>
          </w:r>
        </w:p>
      </w:sdtContent>
    </w:sdt>
    <w:p>
      <w:pPr>
        <w:pStyle w:val="105"/>
        <w:spacing w:before="156" w:after="156"/>
        <w:rPr>
          <w:szCs w:val="21"/>
        </w:rPr>
      </w:pPr>
      <w:r>
        <w:rPr>
          <w:rFonts w:hint="eastAsia"/>
        </w:rPr>
        <w:br w:type="textWrapping"/>
      </w:r>
      <w:r>
        <w:rPr>
          <w:rFonts w:hint="eastAsia"/>
        </w:rPr>
        <w:t xml:space="preserve"> </w:t>
      </w:r>
      <w:r>
        <w:t xml:space="preserve">   </w:t>
      </w:r>
      <w:r>
        <w:rPr>
          <w:rFonts w:hint="eastAsia"/>
        </w:rPr>
        <w:t>社会组织</w:t>
      </w:r>
      <w:r>
        <w:rPr>
          <w:rFonts w:hint="eastAsia"/>
          <w:lang w:val="en-US" w:eastAsia="zh-CN"/>
        </w:rPr>
        <w:t xml:space="preserve">  social organizations</w:t>
      </w:r>
    </w:p>
    <w:p>
      <w:pPr>
        <w:pStyle w:val="56"/>
        <w:ind w:firstLine="420"/>
      </w:pPr>
      <w:r>
        <w:rPr>
          <w:rFonts w:hint="eastAsia" w:hAnsi="宋体"/>
        </w:rPr>
        <w:t>在海南省内依法登记的社会团体、民办非企业单位（社会服务机构）、基金会，是为公益目的或者其他非营利目的成立，不向出资人、设立人或者会员分配所取得利润的非营利法人。</w:t>
      </w:r>
    </w:p>
    <w:p>
      <w:pPr>
        <w:pStyle w:val="56"/>
        <w:ind w:firstLine="420"/>
      </w:pPr>
      <w:r>
        <w:rPr>
          <w:rFonts w:hint="eastAsia" w:hAnsi="宋体"/>
        </w:rPr>
        <w:t>[来源：海南省社会组织信用分级分类监督管理办法（试行）]</w:t>
      </w:r>
    </w:p>
    <w:p>
      <w:pPr>
        <w:pStyle w:val="105"/>
        <w:spacing w:before="156" w:after="156"/>
      </w:pPr>
    </w:p>
    <w:p>
      <w:pPr>
        <w:pStyle w:val="56"/>
        <w:ind w:firstLine="420"/>
        <w:rPr>
          <w:rFonts w:ascii="黑体" w:hAnsi="黑体" w:eastAsia="黑体"/>
        </w:rPr>
      </w:pPr>
      <w:r>
        <w:rPr>
          <w:rFonts w:hint="eastAsia" w:ascii="黑体" w:hAnsi="黑体" w:eastAsia="黑体"/>
        </w:rPr>
        <w:t>信用  credit</w:t>
      </w:r>
    </w:p>
    <w:p>
      <w:pPr>
        <w:pStyle w:val="56"/>
        <w:ind w:firstLine="420"/>
      </w:pPr>
      <w:r>
        <w:rPr>
          <w:rFonts w:hint="eastAsia" w:hAnsi="宋体"/>
        </w:rPr>
        <w:t>个人或组织履行承诺的意愿和能力。</w:t>
      </w:r>
    </w:p>
    <w:p>
      <w:pPr>
        <w:pStyle w:val="56"/>
        <w:ind w:firstLine="420"/>
      </w:pPr>
      <w:r>
        <w:rPr>
          <w:rFonts w:hint="eastAsia" w:hAnsi="宋体"/>
        </w:rPr>
        <w:t>[来源：GB/T 22117-2018，2.1]</w:t>
      </w:r>
    </w:p>
    <w:p>
      <w:pPr>
        <w:pStyle w:val="105"/>
        <w:spacing w:before="156" w:after="156"/>
      </w:pPr>
    </w:p>
    <w:p>
      <w:pPr>
        <w:pStyle w:val="56"/>
        <w:ind w:firstLine="420"/>
        <w:rPr>
          <w:rFonts w:ascii="黑体" w:hAnsi="黑体" w:eastAsia="黑体"/>
        </w:rPr>
      </w:pPr>
      <w:r>
        <w:rPr>
          <w:rFonts w:hint="eastAsia" w:ascii="黑体" w:hAnsi="黑体" w:eastAsia="黑体"/>
        </w:rPr>
        <w:t>信用风险  credit risk</w:t>
      </w:r>
    </w:p>
    <w:p>
      <w:pPr>
        <w:pStyle w:val="56"/>
        <w:ind w:firstLine="420"/>
      </w:pPr>
      <w:r>
        <w:rPr>
          <w:rFonts w:hint="eastAsia" w:hAnsi="宋体"/>
        </w:rPr>
        <w:t>因个人或组织无意愿（或无能力）履行承诺而导致相对方潜在损失的可能性。</w:t>
      </w:r>
    </w:p>
    <w:p>
      <w:pPr>
        <w:pStyle w:val="56"/>
        <w:ind w:firstLine="420"/>
        <w:rPr>
          <w:rFonts w:ascii="黑体" w:hAnsi="黑体" w:eastAsia="黑体"/>
        </w:rPr>
      </w:pPr>
      <w:r>
        <w:rPr>
          <w:rFonts w:hint="eastAsia" w:hAnsi="宋体"/>
        </w:rPr>
        <w:t>[来源：GB/T 22117-2018，2.18，有修改]</w:t>
      </w:r>
    </w:p>
    <w:p>
      <w:pPr>
        <w:pStyle w:val="105"/>
        <w:keepNext w:val="0"/>
        <w:keepLines w:val="0"/>
        <w:pageBreakBefore w:val="0"/>
        <w:widowControl/>
        <w:kinsoku/>
        <w:wordWrap/>
        <w:overflowPunct/>
        <w:topLinePunct w:val="0"/>
        <w:autoSpaceDE/>
        <w:autoSpaceDN/>
        <w:bidi w:val="0"/>
        <w:adjustRightInd/>
        <w:snapToGrid/>
        <w:spacing w:before="156" w:after="156"/>
        <w:textAlignment w:val="auto"/>
        <w:rPr>
          <w:rFonts w:hint="default" w:ascii="黑体" w:hAnsi="Times New Roman" w:eastAsia="黑体" w:cs="Times New Roman"/>
          <w:sz w:val="21"/>
          <w:lang w:val="en-US" w:eastAsia="zh-CN" w:bidi="ar-SA"/>
        </w:rPr>
      </w:pPr>
      <w:r>
        <w:rPr>
          <w:rFonts w:hint="eastAsia"/>
        </w:rPr>
        <w:br w:type="textWrapping"/>
      </w:r>
      <w:r>
        <w:rPr>
          <w:rFonts w:hint="eastAsia" w:ascii="黑体" w:hAnsi="Times New Roman" w:eastAsia="黑体" w:cs="Times New Roman"/>
          <w:sz w:val="21"/>
          <w:lang w:val="en-US" w:eastAsia="zh-CN" w:bidi="ar-SA"/>
        </w:rPr>
        <w:t xml:space="preserve">   </w:t>
      </w:r>
      <w:r>
        <w:rPr>
          <w:rFonts w:hint="eastAsia" w:ascii="黑体" w:eastAsia="黑体" w:cs="Times New Roman"/>
          <w:sz w:val="21"/>
          <w:lang w:val="en-US" w:eastAsia="zh-CN" w:bidi="ar-SA"/>
        </w:rPr>
        <w:t xml:space="preserve"> </w:t>
      </w:r>
      <w:r>
        <w:rPr>
          <w:rFonts w:hint="eastAsia" w:ascii="黑体" w:hAnsi="Times New Roman" w:eastAsia="黑体" w:cs="Times New Roman"/>
          <w:sz w:val="21"/>
          <w:lang w:val="en-US" w:eastAsia="zh-CN" w:bidi="ar-SA"/>
        </w:rPr>
        <w:t>失信行为</w:t>
      </w:r>
      <w:r>
        <w:rPr>
          <w:rFonts w:hint="eastAsia" w:ascii="黑体" w:eastAsia="黑体" w:cs="Times New Roman"/>
          <w:sz w:val="21"/>
          <w:lang w:val="en-US" w:eastAsia="zh-CN" w:bidi="ar-SA"/>
        </w:rPr>
        <w:t xml:space="preserve"> breach of trust behavior</w:t>
      </w:r>
    </w:p>
    <w:p>
      <w:pPr>
        <w:pStyle w:val="56"/>
        <w:ind w:left="0" w:leftChars="0" w:firstLine="420" w:firstLineChars="200"/>
        <w:rPr>
          <w:rFonts w:hint="default" w:hAnsi="宋体"/>
          <w:lang w:val="en-US" w:eastAsia="zh-CN"/>
        </w:rPr>
      </w:pPr>
      <w:r>
        <w:rPr>
          <w:rFonts w:hint="eastAsia" w:hAnsi="宋体"/>
        </w:rPr>
        <w:fldChar w:fldCharType="begin"/>
      </w:r>
      <w:r>
        <w:rPr>
          <w:rFonts w:hint="eastAsia" w:hAnsi="宋体"/>
        </w:rPr>
        <w:instrText xml:space="preserve"> HYPERLINK "https://www.gov.cn/zhengce/2023-01/17/content_5737788.htm" \t "https://cn.bing.com/_blank" </w:instrText>
      </w:r>
      <w:r>
        <w:rPr>
          <w:rFonts w:hint="eastAsia" w:hAnsi="宋体"/>
        </w:rPr>
        <w:fldChar w:fldCharType="separate"/>
      </w:r>
      <w:r>
        <w:rPr>
          <w:rFonts w:hint="default" w:hAnsi="宋体"/>
        </w:rPr>
        <w:t>失信行为是指个人或单位未履行法律、合同或社会责任，导致其信用受到损害的行为。这些行为通常会被记录在信用信息系统中，影响其在社会经济活动中的参与能力。</w:t>
      </w:r>
      <w:r>
        <w:rPr>
          <w:rFonts w:hint="default" w:hAnsi="宋体"/>
        </w:rPr>
        <w:fldChar w:fldCharType="end"/>
      </w:r>
    </w:p>
    <w:p>
      <w:pPr>
        <w:pStyle w:val="104"/>
        <w:spacing w:before="312" w:after="312"/>
      </w:pPr>
      <w:r>
        <w:rPr>
          <w:rFonts w:hint="eastAsia"/>
        </w:rPr>
        <w:t>总体目标和基本要求</w:t>
      </w:r>
    </w:p>
    <w:p>
      <w:pPr>
        <w:pStyle w:val="105"/>
        <w:spacing w:before="156" w:after="156"/>
      </w:pPr>
      <w:r>
        <w:rPr>
          <w:rFonts w:hint="eastAsia"/>
        </w:rPr>
        <w:t>总体目标</w:t>
      </w:r>
    </w:p>
    <w:p>
      <w:pPr>
        <w:pStyle w:val="56"/>
        <w:ind w:firstLine="420"/>
      </w:pPr>
      <w:r>
        <w:rPr>
          <w:rFonts w:hint="eastAsia" w:hAnsi="宋体"/>
        </w:rPr>
        <w:t>应用社会征信体系原理和方法，提出社会组织信用体系建设基本理念和规范建设</w:t>
      </w:r>
      <w:r>
        <w:rPr>
          <w:rFonts w:hint="eastAsia" w:hAnsi="宋体"/>
          <w:lang w:eastAsia="zh-CN"/>
        </w:rPr>
        <w:t>指南</w:t>
      </w:r>
      <w:r>
        <w:rPr>
          <w:rFonts w:hint="eastAsia" w:hAnsi="宋体"/>
        </w:rPr>
        <w:t>，推动社会</w:t>
      </w:r>
      <w:r>
        <w:rPr>
          <w:rFonts w:hint="eastAsia" w:hAnsi="宋体"/>
          <w:lang w:val="en-US" w:eastAsia="zh-CN"/>
        </w:rPr>
        <w:t>组织</w:t>
      </w:r>
      <w:r>
        <w:rPr>
          <w:rFonts w:hint="eastAsia" w:hAnsi="宋体"/>
        </w:rPr>
        <w:t>信用体系与经济社会发展各方面各环节深度融合，增强社会组织信用意识，促进社会组织健康有序、高质量发展，助力建设“诚信海南”。</w:t>
      </w:r>
    </w:p>
    <w:p>
      <w:pPr>
        <w:pStyle w:val="56"/>
        <w:ind w:firstLine="0" w:firstLineChars="0"/>
      </w:pPr>
      <w:r>
        <w:rPr>
          <w:rFonts w:hint="eastAsia"/>
        </w:rPr>
        <w:t xml:space="preserve"> </w:t>
      </w:r>
    </w:p>
    <w:p>
      <w:pPr>
        <w:pStyle w:val="105"/>
        <w:spacing w:before="156" w:after="156"/>
      </w:pPr>
      <w:r>
        <w:rPr>
          <w:rFonts w:hint="eastAsia"/>
        </w:rPr>
        <w:t>基本要求</w:t>
      </w:r>
    </w:p>
    <w:p>
      <w:pPr>
        <w:pStyle w:val="56"/>
        <w:ind w:firstLine="420"/>
        <w:rPr>
          <w:rFonts w:hint="eastAsia" w:hAnsi="宋体"/>
        </w:rPr>
      </w:pPr>
      <w:r>
        <w:rPr>
          <w:rFonts w:hint="eastAsia" w:hAnsi="宋体"/>
        </w:rPr>
        <w:t>引导社会组织诚信自律，加强诚信建设</w:t>
      </w:r>
      <w:r>
        <w:rPr>
          <w:rFonts w:hint="eastAsia" w:hAnsi="宋体"/>
          <w:lang w:eastAsia="zh-CN"/>
        </w:rPr>
        <w:t>，</w:t>
      </w:r>
      <w:r>
        <w:rPr>
          <w:rFonts w:hint="eastAsia" w:hAnsi="宋体"/>
        </w:rPr>
        <w:t>提升内部治理水平</w:t>
      </w:r>
      <w:r>
        <w:rPr>
          <w:rFonts w:hint="eastAsia" w:hAnsi="宋体"/>
          <w:lang w:eastAsia="zh-CN"/>
        </w:rPr>
        <w:t>，</w:t>
      </w:r>
      <w:r>
        <w:rPr>
          <w:rFonts w:hint="eastAsia" w:hAnsi="宋体"/>
        </w:rPr>
        <w:t>构建信息准确、真实有效、客观公正，公开透明的社会组织信用大数据。</w:t>
      </w:r>
    </w:p>
    <w:p>
      <w:pPr>
        <w:pStyle w:val="162"/>
        <w:numPr>
          <w:ilvl w:val="2"/>
          <w:numId w:val="0"/>
        </w:numPr>
        <w:ind w:left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4.2.1 </w:t>
      </w:r>
      <w:r>
        <w:rPr>
          <w:rFonts w:hint="eastAsia"/>
          <w:color w:val="000000" w:themeColor="text1"/>
          <w14:textFill>
            <w14:solidFill>
              <w14:schemeClr w14:val="tx1"/>
            </w14:solidFill>
          </w14:textFill>
        </w:rPr>
        <w:t>社会组织应明确信用建设目标，识别所有与信用相关的关键过程，并明确职能分配，提供所需资源，确保信用建设目标实现。</w:t>
      </w:r>
    </w:p>
    <w:p>
      <w:pPr>
        <w:pStyle w:val="162"/>
        <w:numPr>
          <w:ilvl w:val="2"/>
          <w:numId w:val="0"/>
        </w:numPr>
        <w:ind w:leftChars="0"/>
      </w:pPr>
      <w:r>
        <w:rPr>
          <w:rFonts w:hint="eastAsia"/>
          <w:lang w:val="en-US" w:eastAsia="zh-CN"/>
        </w:rPr>
        <w:t xml:space="preserve">4.2.2 </w:t>
      </w:r>
      <w:r>
        <w:rPr>
          <w:rFonts w:hint="eastAsia"/>
        </w:rPr>
        <w:t>社会组织应遵守社会公德、商业道德，诚实守信，弘扬诚信文化，</w:t>
      </w:r>
      <w:r>
        <w:rPr>
          <w:rFonts w:hint="eastAsia"/>
          <w:color w:val="000000" w:themeColor="text1"/>
          <w14:textFill>
            <w14:solidFill>
              <w14:schemeClr w14:val="tx1"/>
            </w14:solidFill>
          </w14:textFill>
        </w:rPr>
        <w:t>积极参与行业信用体系建设，</w:t>
      </w:r>
      <w:r>
        <w:rPr>
          <w:rFonts w:hint="eastAsia"/>
        </w:rPr>
        <w:t>推动行业信用标准制定，建立信息公开制度，接受社会监督。</w:t>
      </w:r>
    </w:p>
    <w:p>
      <w:pPr>
        <w:pStyle w:val="162"/>
        <w:numPr>
          <w:ilvl w:val="2"/>
          <w:numId w:val="0"/>
        </w:numPr>
        <w:ind w:leftChars="0"/>
      </w:pPr>
      <w:r>
        <w:rPr>
          <w:rFonts w:hint="eastAsia"/>
          <w:lang w:val="en-US" w:eastAsia="zh-CN"/>
        </w:rPr>
        <w:t xml:space="preserve">4.2.3 </w:t>
      </w:r>
      <w:r>
        <w:rPr>
          <w:rFonts w:hint="eastAsia"/>
        </w:rPr>
        <w:t>社会组织应建立信用监测预警机制和信用风险防控机制，及时发现和识别信用风险，并采取有效措施</w:t>
      </w:r>
      <w:r>
        <w:rPr>
          <w:rFonts w:hint="eastAsia"/>
          <w:color w:val="000000" w:themeColor="text1"/>
          <w14:textFill>
            <w14:solidFill>
              <w14:schemeClr w14:val="tx1"/>
            </w14:solidFill>
          </w14:textFill>
        </w:rPr>
        <w:t>进行预警和控制信用风险，防止风险发生或扩大</w:t>
      </w:r>
      <w:r>
        <w:rPr>
          <w:rFonts w:hint="eastAsia"/>
        </w:rPr>
        <w:t>。</w:t>
      </w:r>
    </w:p>
    <w:p>
      <w:pPr>
        <w:pStyle w:val="162"/>
        <w:numPr>
          <w:ilvl w:val="2"/>
          <w:numId w:val="0"/>
        </w:numP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4.2.4 </w:t>
      </w:r>
      <w:r>
        <w:rPr>
          <w:rFonts w:hint="eastAsia"/>
          <w:color w:val="000000" w:themeColor="text1"/>
          <w14:textFill>
            <w14:solidFill>
              <w14:schemeClr w14:val="tx1"/>
            </w14:solidFill>
          </w14:textFill>
        </w:rPr>
        <w:t>社会组织应依据监管部门要求依法披露社会组织信用信息，宜自主披露财务等信息，并配合信用监管部门的信用信息采集和监督管理工作。</w:t>
      </w:r>
      <w:r>
        <w:rPr>
          <w:rFonts w:hint="eastAsia"/>
          <w:vanish/>
          <w:color w:val="000000" w:themeColor="text1"/>
          <w14:textFill>
            <w14:solidFill>
              <w14:schemeClr w14:val="tx1"/>
            </w14:solidFill>
          </w14:textFill>
        </w:rPr>
        <w:cr/>
      </w:r>
      <w:r>
        <w:rPr>
          <w:rFonts w:hint="eastAsia"/>
          <w:vanish/>
          <w:color w:val="000000" w:themeColor="text1"/>
          <w14:textFill>
            <w14:solidFill>
              <w14:schemeClr w14:val="tx1"/>
            </w14:solidFill>
          </w14:textFill>
        </w:rPr>
        <w:t>展</w:t>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r>
        <w:rPr>
          <w:rFonts w:hint="eastAsia"/>
          <w:vanish/>
          <w:color w:val="000000" w:themeColor="text1"/>
          <w14:textFill>
            <w14:solidFill>
              <w14:schemeClr w14:val="tx1"/>
            </w14:solidFill>
          </w14:textFill>
        </w:rPr>
        <w:pgNum/>
      </w:r>
    </w:p>
    <w:p>
      <w:pPr>
        <w:pStyle w:val="162"/>
        <w:numPr>
          <w:ilvl w:val="2"/>
          <w:numId w:val="0"/>
        </w:numPr>
        <w:ind w:leftChars="0"/>
        <w:rPr>
          <w:rFonts w:hint="eastAsia" w:hAnsi="宋体"/>
        </w:rPr>
      </w:pPr>
      <w:r>
        <w:rPr>
          <w:rFonts w:hint="eastAsia"/>
          <w:color w:val="000000" w:themeColor="text1"/>
          <w:lang w:val="en-US" w:eastAsia="zh-CN"/>
          <w14:textFill>
            <w14:solidFill>
              <w14:schemeClr w14:val="tx1"/>
            </w14:solidFill>
          </w14:textFill>
        </w:rPr>
        <w:t xml:space="preserve">4.2.5 </w:t>
      </w:r>
      <w:r>
        <w:rPr>
          <w:rFonts w:hint="eastAsia"/>
          <w:color w:val="000000" w:themeColor="text1"/>
          <w14:textFill>
            <w14:solidFill>
              <w14:schemeClr w14:val="tx1"/>
            </w14:solidFill>
          </w14:textFill>
        </w:rPr>
        <w:t>社会组织应建立社会组织信用管理体系并持续改进。</w:t>
      </w:r>
    </w:p>
    <w:p>
      <w:pPr>
        <w:pStyle w:val="104"/>
        <w:spacing w:before="312" w:after="312"/>
      </w:pPr>
      <w:r>
        <w:rPr>
          <w:rFonts w:hint="eastAsia"/>
        </w:rPr>
        <w:t>信用体系建设</w:t>
      </w:r>
    </w:p>
    <w:p>
      <w:pPr>
        <w:pStyle w:val="105"/>
        <w:spacing w:before="156" w:after="156"/>
      </w:pPr>
      <w:r>
        <w:rPr>
          <w:rFonts w:hint="eastAsia"/>
          <w:lang w:val="en-US" w:eastAsia="zh-CN"/>
        </w:rPr>
        <w:t>基本信息</w:t>
      </w:r>
    </w:p>
    <w:p>
      <w:pPr>
        <w:pStyle w:val="56"/>
        <w:ind w:firstLine="420"/>
      </w:pPr>
      <w:r>
        <w:rPr>
          <w:rFonts w:hint="eastAsia" w:hAnsi="宋体"/>
        </w:rPr>
        <w:t>包括不限于以下项目：</w:t>
      </w:r>
    </w:p>
    <w:p>
      <w:pPr>
        <w:pStyle w:val="56"/>
        <w:ind w:firstLine="420"/>
      </w:pPr>
      <w:r>
        <w:rPr>
          <w:rFonts w:hint="eastAsia" w:hAnsi="宋体"/>
        </w:rPr>
        <w:t>——登记信息</w:t>
      </w:r>
    </w:p>
    <w:p>
      <w:pPr>
        <w:pStyle w:val="56"/>
        <w:ind w:firstLine="420"/>
      </w:pPr>
      <w:r>
        <w:rPr>
          <w:rFonts w:hint="eastAsia" w:hAnsi="宋体"/>
        </w:rPr>
        <w:t>包括</w:t>
      </w:r>
      <w:r>
        <w:rPr>
          <w:rFonts w:hint="eastAsia" w:hAnsi="宋体"/>
          <w:lang w:eastAsia="zh-CN"/>
        </w:rPr>
        <w:t>统一社会</w:t>
      </w:r>
      <w:r>
        <w:rPr>
          <w:rFonts w:hint="eastAsia" w:hAnsi="宋体"/>
        </w:rPr>
        <w:t>信用代码、名称、</w:t>
      </w:r>
      <w:r>
        <w:rPr>
          <w:rFonts w:hint="eastAsia" w:hAnsi="宋体"/>
          <w:lang w:eastAsia="zh-CN"/>
        </w:rPr>
        <w:t>住所</w:t>
      </w:r>
      <w:r>
        <w:rPr>
          <w:rFonts w:hint="eastAsia" w:hAnsi="宋体"/>
        </w:rPr>
        <w:t>、</w:t>
      </w:r>
      <w:r>
        <w:rPr>
          <w:rFonts w:hint="eastAsia" w:hAnsi="宋体"/>
          <w:lang w:eastAsia="zh-CN"/>
        </w:rPr>
        <w:t>法定代表人、</w:t>
      </w:r>
      <w:r>
        <w:rPr>
          <w:rFonts w:hint="eastAsia" w:hAnsi="宋体"/>
        </w:rPr>
        <w:t>注册资金、</w:t>
      </w:r>
      <w:r>
        <w:rPr>
          <w:rFonts w:hint="eastAsia" w:hAnsi="宋体"/>
          <w:lang w:eastAsia="zh-CN"/>
        </w:rPr>
        <w:t>业务主管单位、发证</w:t>
      </w:r>
      <w:r>
        <w:rPr>
          <w:rFonts w:hint="eastAsia" w:hAnsi="宋体"/>
        </w:rPr>
        <w:t>日期及有效期等。</w:t>
      </w:r>
    </w:p>
    <w:p>
      <w:pPr>
        <w:pStyle w:val="56"/>
        <w:ind w:firstLine="420"/>
      </w:pPr>
      <w:r>
        <w:rPr>
          <w:rFonts w:hint="eastAsia" w:hAnsi="宋体"/>
        </w:rPr>
        <w:t>——法人代表</w:t>
      </w:r>
    </w:p>
    <w:p>
      <w:pPr>
        <w:pStyle w:val="56"/>
        <w:ind w:firstLine="420"/>
      </w:pPr>
      <w:r>
        <w:rPr>
          <w:rFonts w:hint="eastAsia" w:hAnsi="宋体"/>
        </w:rPr>
        <w:t>包括姓名、身份证号、身份证有效期、身份证照片等。</w:t>
      </w:r>
    </w:p>
    <w:p>
      <w:pPr>
        <w:pStyle w:val="56"/>
        <w:ind w:firstLine="420"/>
      </w:pPr>
      <w:r>
        <w:rPr>
          <w:rFonts w:hint="eastAsia" w:hAnsi="宋体"/>
        </w:rPr>
        <w:t>——联系信息</w:t>
      </w:r>
    </w:p>
    <w:p>
      <w:pPr>
        <w:pStyle w:val="56"/>
        <w:ind w:firstLine="420"/>
      </w:pPr>
      <w:r>
        <w:rPr>
          <w:rFonts w:hint="eastAsia" w:hAnsi="宋体"/>
        </w:rPr>
        <w:t>包括联系人姓名、联系电话、电子邮箱、</w:t>
      </w:r>
      <w:r>
        <w:rPr>
          <w:rFonts w:hint="eastAsia" w:hAnsi="宋体"/>
          <w:lang w:eastAsia="zh-CN"/>
        </w:rPr>
        <w:t>住所</w:t>
      </w:r>
      <w:r>
        <w:rPr>
          <w:rFonts w:hint="eastAsia" w:hAnsi="宋体"/>
        </w:rPr>
        <w:t>等。</w:t>
      </w:r>
    </w:p>
    <w:p>
      <w:pPr>
        <w:pStyle w:val="56"/>
        <w:ind w:firstLine="420"/>
      </w:pPr>
      <w:r>
        <w:rPr>
          <w:rFonts w:hint="eastAsia" w:hAnsi="宋体"/>
        </w:rPr>
        <w:t>——</w:t>
      </w:r>
      <w:r>
        <w:rPr>
          <w:rFonts w:hint="eastAsia" w:hAnsi="宋体"/>
          <w:lang w:eastAsia="zh-CN"/>
        </w:rPr>
        <w:t>业务</w:t>
      </w:r>
      <w:r>
        <w:rPr>
          <w:rFonts w:hint="eastAsia" w:hAnsi="宋体"/>
        </w:rPr>
        <w:t>信息</w:t>
      </w:r>
    </w:p>
    <w:p>
      <w:pPr>
        <w:pStyle w:val="56"/>
        <w:ind w:firstLine="420"/>
      </w:pPr>
      <w:r>
        <w:rPr>
          <w:rFonts w:hint="eastAsia" w:hAnsi="宋体"/>
        </w:rPr>
        <w:t>包括组织类型、</w:t>
      </w:r>
      <w:r>
        <w:rPr>
          <w:rFonts w:hint="eastAsia" w:hAnsi="宋体"/>
          <w:lang w:eastAsia="zh-CN"/>
        </w:rPr>
        <w:t>业务</w:t>
      </w:r>
      <w:r>
        <w:rPr>
          <w:rFonts w:hint="eastAsia" w:hAnsi="宋体"/>
        </w:rPr>
        <w:t>范围、</w:t>
      </w:r>
      <w:r>
        <w:rPr>
          <w:rFonts w:hint="eastAsia" w:hAnsi="宋体"/>
          <w:lang w:eastAsia="zh-CN"/>
        </w:rPr>
        <w:t>活动地域</w:t>
      </w:r>
      <w:r>
        <w:rPr>
          <w:rFonts w:hint="eastAsia" w:hAnsi="宋体"/>
        </w:rPr>
        <w:t>等。</w:t>
      </w:r>
    </w:p>
    <w:p>
      <w:pPr>
        <w:pStyle w:val="56"/>
        <w:ind w:firstLine="420"/>
      </w:pPr>
      <w:r>
        <w:rPr>
          <w:rFonts w:hint="eastAsia" w:hAnsi="宋体"/>
        </w:rPr>
        <w:t>——情况介绍</w:t>
      </w:r>
    </w:p>
    <w:p>
      <w:pPr>
        <w:pStyle w:val="56"/>
        <w:ind w:firstLine="420"/>
      </w:pPr>
      <w:r>
        <w:rPr>
          <w:rFonts w:hint="eastAsia" w:hAnsi="宋体"/>
        </w:rPr>
        <w:t>包括社会组织概况、机构、人才、技术、优势、社会责任等。</w:t>
      </w:r>
    </w:p>
    <w:p>
      <w:pPr>
        <w:pStyle w:val="56"/>
        <w:ind w:firstLine="420"/>
      </w:pPr>
      <w:r>
        <w:rPr>
          <w:rFonts w:hint="eastAsia" w:hAnsi="宋体"/>
        </w:rPr>
        <w:t>——获取荣誉</w:t>
      </w:r>
    </w:p>
    <w:p>
      <w:pPr>
        <w:pStyle w:val="56"/>
        <w:ind w:firstLine="420"/>
      </w:pPr>
      <w:r>
        <w:rPr>
          <w:rFonts w:hint="eastAsia" w:hAnsi="宋体"/>
        </w:rPr>
        <w:t>包括社会组织和员工所获荣誉等。</w:t>
      </w:r>
    </w:p>
    <w:p>
      <w:pPr>
        <w:pStyle w:val="56"/>
        <w:ind w:firstLine="420"/>
      </w:pPr>
      <w:r>
        <w:rPr>
          <w:rFonts w:hint="eastAsia" w:hAnsi="宋体"/>
        </w:rPr>
        <w:t>——位置信息</w:t>
      </w:r>
    </w:p>
    <w:p>
      <w:pPr>
        <w:pStyle w:val="56"/>
        <w:ind w:firstLine="420"/>
      </w:pPr>
      <w:r>
        <w:rPr>
          <w:rFonts w:hint="eastAsia" w:hAnsi="宋体"/>
        </w:rPr>
        <w:t>包括地址和地理位置坐标等。</w:t>
      </w:r>
    </w:p>
    <w:p>
      <w:pPr>
        <w:pStyle w:val="56"/>
        <w:ind w:firstLine="420"/>
      </w:pPr>
      <w:r>
        <w:rPr>
          <w:rFonts w:hint="eastAsia" w:hAnsi="宋体"/>
        </w:rPr>
        <w:t>——组织标志</w:t>
      </w:r>
    </w:p>
    <w:p>
      <w:pPr>
        <w:pStyle w:val="56"/>
        <w:ind w:firstLine="420"/>
      </w:pPr>
      <w:r>
        <w:rPr>
          <w:rFonts w:hint="eastAsia" w:hAnsi="宋体"/>
        </w:rPr>
        <w:t>包括社会组织</w:t>
      </w:r>
      <w:r>
        <w:rPr>
          <w:rFonts w:hint="eastAsia" w:hAnsi="宋体"/>
          <w:lang w:eastAsia="zh-CN"/>
        </w:rPr>
        <w:t>字</w:t>
      </w:r>
      <w:r>
        <w:rPr>
          <w:rFonts w:hint="eastAsia" w:hAnsi="宋体"/>
        </w:rPr>
        <w:t>号、标识体系等。</w:t>
      </w:r>
    </w:p>
    <w:p>
      <w:pPr>
        <w:pStyle w:val="56"/>
        <w:ind w:firstLine="420"/>
      </w:pPr>
      <w:r>
        <w:rPr>
          <w:rFonts w:hint="eastAsia" w:hAnsi="宋体"/>
        </w:rPr>
        <w:t>——知识产权</w:t>
      </w:r>
    </w:p>
    <w:p>
      <w:pPr>
        <w:pStyle w:val="56"/>
        <w:ind w:firstLine="420"/>
      </w:pPr>
      <w:r>
        <w:rPr>
          <w:rFonts w:hint="eastAsia" w:hAnsi="宋体"/>
        </w:rPr>
        <w:t>包括专利、商标、软著、标准、著作权、域名备案等。</w:t>
      </w:r>
    </w:p>
    <w:p>
      <w:pPr>
        <w:pStyle w:val="56"/>
        <w:ind w:firstLine="420"/>
      </w:pPr>
      <w:r>
        <w:rPr>
          <w:rFonts w:hint="eastAsia" w:hAnsi="宋体"/>
        </w:rPr>
        <w:t>——文化理念</w:t>
      </w:r>
    </w:p>
    <w:p>
      <w:pPr>
        <w:pStyle w:val="56"/>
        <w:ind w:firstLine="420"/>
      </w:pPr>
      <w:r>
        <w:rPr>
          <w:rFonts w:hint="eastAsia" w:hAnsi="宋体"/>
        </w:rPr>
        <w:t>包括社会组织宗旨、理念、目标、愿景、团建、党建等。</w:t>
      </w:r>
    </w:p>
    <w:p>
      <w:pPr>
        <w:pStyle w:val="104"/>
        <w:numPr>
          <w:ilvl w:val="1"/>
          <w:numId w:val="0"/>
        </w:numPr>
        <w:spacing w:before="312" w:after="312"/>
        <w:ind w:leftChars="0"/>
        <w:rPr>
          <w:color w:val="000000" w:themeColor="text1"/>
          <w14:textFill>
            <w14:solidFill>
              <w14:schemeClr w14:val="tx1"/>
            </w14:solidFill>
          </w14:textFill>
        </w:rPr>
      </w:pPr>
      <w:bookmarkStart w:id="44" w:name="_Toc170981441"/>
      <w:bookmarkStart w:id="45" w:name="_Toc160723541"/>
      <w:bookmarkStart w:id="46" w:name="_Toc170918080"/>
      <w:bookmarkStart w:id="47" w:name="_Toc171677500"/>
      <w:r>
        <w:rPr>
          <w:rFonts w:hint="eastAsia"/>
          <w:color w:val="000000" w:themeColor="text1"/>
          <w:lang w:val="en-US" w:eastAsia="zh-CN"/>
          <w14:textFill>
            <w14:solidFill>
              <w14:schemeClr w14:val="tx1"/>
            </w14:solidFill>
          </w14:textFill>
        </w:rPr>
        <w:t xml:space="preserve">5.2 </w:t>
      </w:r>
      <w:r>
        <w:rPr>
          <w:rFonts w:hint="eastAsia"/>
          <w:color w:val="000000" w:themeColor="text1"/>
          <w14:textFill>
            <w14:solidFill>
              <w14:schemeClr w14:val="tx1"/>
            </w14:solidFill>
          </w14:textFill>
        </w:rPr>
        <w:t>制度建设</w:t>
      </w:r>
      <w:bookmarkEnd w:id="44"/>
      <w:bookmarkEnd w:id="45"/>
      <w:bookmarkEnd w:id="46"/>
      <w:bookmarkEnd w:id="47"/>
    </w:p>
    <w:p>
      <w:pPr>
        <w:pStyle w:val="56"/>
        <w:ind w:left="0" w:leftChars="0" w:firstLine="0" w:firstLineChars="0"/>
        <w:rPr>
          <w:rFonts w:hint="default" w:eastAsia="宋体"/>
          <w:lang w:val="en-US" w:eastAsia="zh-CN"/>
        </w:rPr>
      </w:pPr>
      <w:r>
        <w:rPr>
          <w:rFonts w:hint="eastAsia"/>
          <w:lang w:val="en-US" w:eastAsia="zh-CN"/>
        </w:rPr>
        <w:t>5.2.1 基本原则</w:t>
      </w:r>
    </w:p>
    <w:p>
      <w:pPr>
        <w:pStyle w:val="56"/>
        <w:ind w:left="0" w:leftChars="0" w:firstLine="0" w:firstLineChars="0"/>
        <w:rPr>
          <w:rFonts w:hint="eastAsia"/>
          <w:lang w:val="en-US" w:eastAsia="zh-CN"/>
        </w:rPr>
      </w:pPr>
      <w:r>
        <w:rPr>
          <w:rFonts w:hint="eastAsia"/>
          <w:lang w:val="en-US" w:eastAsia="zh-CN"/>
        </w:rPr>
        <w:t>5.2.1.1 法治化原则</w:t>
      </w:r>
    </w:p>
    <w:p>
      <w:pPr>
        <w:pStyle w:val="56"/>
        <w:ind w:left="0" w:leftChars="0" w:firstLine="420" w:firstLineChars="200"/>
        <w:rPr>
          <w:rFonts w:hint="default" w:ascii="宋体" w:hAnsi="Times New Roman" w:eastAsia="宋体"/>
          <w:lang w:val="en-US"/>
        </w:rPr>
      </w:pPr>
      <w:r>
        <w:rPr>
          <w:rFonts w:hint="eastAsia"/>
          <w:lang w:val="en-US" w:eastAsia="zh-CN"/>
        </w:rPr>
        <w:t>符合《社会团体登记管理条例》《基金会管理条例》《民办非企业单位登记管理暂行条例》《中华人民共和国慈善法》等法律法规要求；</w:t>
      </w:r>
    </w:p>
    <w:p>
      <w:pPr>
        <w:pStyle w:val="174"/>
        <w:numPr>
          <w:ilvl w:val="0"/>
          <w:numId w:val="0"/>
        </w:numPr>
        <w:rPr>
          <w:rFonts w:hint="eastAsia"/>
          <w:lang w:val="en-US" w:eastAsia="zh-CN"/>
        </w:rPr>
      </w:pPr>
      <w:r>
        <w:rPr>
          <w:rFonts w:hint="eastAsia"/>
          <w:lang w:val="en-US" w:eastAsia="zh-CN"/>
        </w:rPr>
        <w:t>5.2.1.2 系统性原则</w:t>
      </w:r>
    </w:p>
    <w:p>
      <w:pPr>
        <w:pStyle w:val="174"/>
        <w:numPr>
          <w:ilvl w:val="0"/>
          <w:numId w:val="0"/>
        </w:numPr>
        <w:ind w:left="425" w:leftChars="0"/>
        <w:rPr>
          <w:rFonts w:hint="eastAsia"/>
          <w:lang w:val="en-US" w:eastAsia="zh-CN"/>
        </w:rPr>
      </w:pPr>
      <w:r>
        <w:rPr>
          <w:rFonts w:hint="eastAsia"/>
        </w:rPr>
        <w:t>将信用建设目标和总体要求列入社会组织章程</w:t>
      </w:r>
      <w:r>
        <w:rPr>
          <w:rFonts w:hint="eastAsia"/>
          <w:lang w:val="en-US" w:eastAsia="zh-CN"/>
        </w:rPr>
        <w:t xml:space="preserve">；覆盖登记管理、活动开展、年检年报、审计等全流程； </w:t>
      </w:r>
    </w:p>
    <w:p>
      <w:pPr>
        <w:pStyle w:val="174"/>
        <w:numPr>
          <w:ilvl w:val="0"/>
          <w:numId w:val="0"/>
        </w:numPr>
        <w:rPr>
          <w:rFonts w:hint="eastAsia"/>
          <w:lang w:val="en-US" w:eastAsia="zh-CN"/>
        </w:rPr>
      </w:pPr>
      <w:r>
        <w:rPr>
          <w:rFonts w:hint="eastAsia"/>
          <w:lang w:val="en-US" w:eastAsia="zh-CN"/>
        </w:rPr>
        <w:t>5.2.1.3 动态管理原则</w:t>
      </w:r>
    </w:p>
    <w:p>
      <w:pPr>
        <w:pStyle w:val="174"/>
        <w:numPr>
          <w:ilvl w:val="0"/>
          <w:numId w:val="0"/>
        </w:numPr>
        <w:ind w:firstLine="420" w:firstLineChars="200"/>
      </w:pPr>
      <w:r>
        <w:rPr>
          <w:rFonts w:hint="eastAsia"/>
          <w:lang w:val="en-US" w:eastAsia="zh-CN"/>
        </w:rPr>
        <w:t>建立信用信息定期更新机制。</w:t>
      </w:r>
    </w:p>
    <w:p>
      <w:pPr>
        <w:pStyle w:val="174"/>
        <w:numPr>
          <w:ilvl w:val="0"/>
          <w:numId w:val="0"/>
        </w:numPr>
        <w:rPr>
          <w:rFonts w:hint="eastAsia"/>
          <w:lang w:val="en-US" w:eastAsia="zh-CN"/>
        </w:rPr>
      </w:pPr>
      <w:r>
        <w:rPr>
          <w:rFonts w:hint="eastAsia"/>
          <w:lang w:val="en-US" w:eastAsia="zh-CN"/>
        </w:rPr>
        <w:t>5.2.2 核心制度</w:t>
      </w:r>
    </w:p>
    <w:p>
      <w:pPr>
        <w:pStyle w:val="174"/>
        <w:numPr>
          <w:ilvl w:val="0"/>
          <w:numId w:val="0"/>
        </w:numPr>
        <w:rPr>
          <w:rFonts w:hint="eastAsia"/>
          <w:lang w:val="en-US" w:eastAsia="zh-CN"/>
        </w:rPr>
      </w:pPr>
      <w:r>
        <w:rPr>
          <w:rFonts w:hint="eastAsia"/>
          <w:lang w:val="en-US" w:eastAsia="zh-CN"/>
        </w:rPr>
        <w:t>5.2.2.1 信用承诺制度</w:t>
      </w:r>
    </w:p>
    <w:p>
      <w:pPr>
        <w:pStyle w:val="174"/>
        <w:numPr>
          <w:ilvl w:val="0"/>
          <w:numId w:val="0"/>
        </w:numPr>
        <w:ind w:firstLine="420" w:firstLineChars="200"/>
        <w:rPr>
          <w:rFonts w:hint="eastAsia"/>
          <w:lang w:val="en-US" w:eastAsia="zh-CN"/>
        </w:rPr>
      </w:pPr>
      <w:r>
        <w:rPr>
          <w:rFonts w:hint="eastAsia"/>
          <w:lang w:val="en-US" w:eastAsia="zh-CN"/>
        </w:rPr>
        <w:t>——登记注册时签署信用承诺书；</w:t>
      </w:r>
    </w:p>
    <w:p>
      <w:pPr>
        <w:pStyle w:val="174"/>
        <w:numPr>
          <w:ilvl w:val="0"/>
          <w:numId w:val="0"/>
        </w:numPr>
        <w:ind w:firstLine="420" w:firstLineChars="200"/>
        <w:rPr>
          <w:rFonts w:hint="eastAsia"/>
          <w:lang w:val="en-US" w:eastAsia="zh-CN"/>
        </w:rPr>
      </w:pPr>
      <w:r>
        <w:rPr>
          <w:rFonts w:hint="eastAsia"/>
          <w:lang w:val="en-US" w:eastAsia="zh-CN"/>
        </w:rPr>
        <w:t>——重大事项变更时补充承诺；</w:t>
      </w:r>
    </w:p>
    <w:p>
      <w:pPr>
        <w:pStyle w:val="174"/>
        <w:numPr>
          <w:ilvl w:val="0"/>
          <w:numId w:val="0"/>
        </w:numPr>
        <w:ind w:firstLine="420" w:firstLineChars="200"/>
        <w:rPr>
          <w:rFonts w:hint="eastAsia"/>
          <w:lang w:val="en-US" w:eastAsia="zh-CN"/>
        </w:rPr>
      </w:pPr>
      <w:r>
        <w:rPr>
          <w:rFonts w:hint="eastAsia"/>
          <w:lang w:val="en-US" w:eastAsia="zh-CN"/>
        </w:rPr>
        <w:t>——承诺内容公示要求。</w:t>
      </w:r>
    </w:p>
    <w:p>
      <w:pPr>
        <w:pStyle w:val="174"/>
        <w:numPr>
          <w:ilvl w:val="0"/>
          <w:numId w:val="0"/>
        </w:numPr>
        <w:rPr>
          <w:rFonts w:hint="eastAsia"/>
          <w:lang w:val="en-US" w:eastAsia="zh-CN"/>
        </w:rPr>
      </w:pPr>
      <w:r>
        <w:rPr>
          <w:rFonts w:hint="eastAsia"/>
          <w:lang w:val="en-US" w:eastAsia="zh-CN"/>
        </w:rPr>
        <w:t>5.2.2.2 信用档案制度</w:t>
      </w:r>
    </w:p>
    <w:p>
      <w:pPr>
        <w:pStyle w:val="174"/>
        <w:numPr>
          <w:ilvl w:val="0"/>
          <w:numId w:val="0"/>
        </w:numPr>
        <w:ind w:firstLine="420" w:firstLineChars="200"/>
        <w:rPr>
          <w:rFonts w:hint="eastAsia"/>
          <w:lang w:val="en-US" w:eastAsia="zh-CN"/>
        </w:rPr>
      </w:pPr>
      <w:r>
        <w:rPr>
          <w:rFonts w:hint="eastAsia"/>
          <w:lang w:val="en-US" w:eastAsia="zh-CN"/>
        </w:rPr>
        <w:t>——档案内容：基础信用、良好行为记录、不良行为记录；</w:t>
      </w:r>
    </w:p>
    <w:p>
      <w:pPr>
        <w:pStyle w:val="174"/>
        <w:numPr>
          <w:ilvl w:val="0"/>
          <w:numId w:val="0"/>
        </w:numPr>
        <w:ind w:firstLine="420" w:firstLineChars="200"/>
        <w:rPr>
          <w:rFonts w:hint="eastAsia"/>
          <w:lang w:val="en-US" w:eastAsia="zh-CN"/>
        </w:rPr>
      </w:pPr>
      <w:r>
        <w:rPr>
          <w:rFonts w:hint="eastAsia"/>
          <w:lang w:val="en-US" w:eastAsia="zh-CN"/>
        </w:rPr>
        <w:t>——信息采集要求：明确采集范围、频次、渠道；</w:t>
      </w:r>
    </w:p>
    <w:p>
      <w:pPr>
        <w:pStyle w:val="174"/>
        <w:numPr>
          <w:ilvl w:val="0"/>
          <w:numId w:val="0"/>
        </w:numPr>
        <w:ind w:firstLine="420" w:firstLineChars="200"/>
        <w:rPr>
          <w:rFonts w:hint="eastAsia"/>
          <w:lang w:val="en-US" w:eastAsia="zh-CN"/>
        </w:rPr>
      </w:pPr>
      <w:r>
        <w:rPr>
          <w:rFonts w:hint="eastAsia"/>
          <w:lang w:val="en-US" w:eastAsia="zh-CN"/>
        </w:rPr>
        <w:t xml:space="preserve">——档案分级管理 </w:t>
      </w:r>
    </w:p>
    <w:p>
      <w:pPr>
        <w:pStyle w:val="174"/>
        <w:numPr>
          <w:ilvl w:val="0"/>
          <w:numId w:val="0"/>
        </w:numPr>
        <w:rPr>
          <w:rFonts w:hint="eastAsia"/>
          <w:lang w:val="en-US" w:eastAsia="zh-CN"/>
        </w:rPr>
      </w:pPr>
      <w:r>
        <w:rPr>
          <w:rFonts w:hint="eastAsia"/>
          <w:lang w:val="en-US" w:eastAsia="zh-CN"/>
        </w:rPr>
        <w:t>5.2.3 教育培训机制建设</w:t>
      </w:r>
    </w:p>
    <w:p>
      <w:pPr>
        <w:pStyle w:val="174"/>
        <w:numPr>
          <w:ilvl w:val="0"/>
          <w:numId w:val="0"/>
        </w:numPr>
        <w:ind w:firstLine="420" w:firstLineChars="200"/>
        <w:rPr>
          <w:rFonts w:hint="eastAsia"/>
          <w:lang w:val="en-US" w:eastAsia="zh-CN"/>
        </w:rPr>
      </w:pPr>
      <w:r>
        <w:rPr>
          <w:rFonts w:hint="eastAsia"/>
          <w:lang w:val="en-US" w:eastAsia="zh-CN"/>
        </w:rPr>
        <w:t>——从业人员信用管理培训要求；</w:t>
      </w:r>
    </w:p>
    <w:p>
      <w:pPr>
        <w:pStyle w:val="174"/>
        <w:numPr>
          <w:ilvl w:val="0"/>
          <w:numId w:val="0"/>
        </w:numPr>
        <w:ind w:firstLine="420" w:firstLineChars="200"/>
        <w:rPr>
          <w:rFonts w:hint="eastAsia"/>
          <w:lang w:val="en-US" w:eastAsia="zh-CN"/>
        </w:rPr>
      </w:pPr>
      <w:r>
        <w:rPr>
          <w:rFonts w:hint="eastAsia"/>
          <w:lang w:val="en-US" w:eastAsia="zh-CN"/>
        </w:rPr>
        <w:t>——会员单位诚信教育方案。</w:t>
      </w:r>
    </w:p>
    <w:p>
      <w:pPr>
        <w:pStyle w:val="105"/>
        <w:spacing w:before="156" w:after="156"/>
        <w:rPr>
          <w:color w:val="000000" w:themeColor="text1"/>
          <w14:textFill>
            <w14:solidFill>
              <w14:schemeClr w14:val="tx1"/>
            </w14:solidFill>
          </w14:textFill>
        </w:rPr>
      </w:pPr>
      <w:bookmarkStart w:id="48" w:name="_Toc160469763"/>
      <w:bookmarkEnd w:id="48"/>
      <w:bookmarkStart w:id="49" w:name="_Toc160693325"/>
      <w:bookmarkEnd w:id="49"/>
      <w:bookmarkStart w:id="50" w:name="_Toc160469624"/>
      <w:bookmarkEnd w:id="50"/>
      <w:bookmarkStart w:id="51" w:name="_Toc160723374"/>
      <w:bookmarkEnd w:id="51"/>
      <w:bookmarkStart w:id="52" w:name="_Toc160722648"/>
      <w:bookmarkEnd w:id="52"/>
      <w:bookmarkStart w:id="53" w:name="_Toc160723546"/>
      <w:bookmarkEnd w:id="53"/>
      <w:bookmarkStart w:id="54" w:name="_Toc160723202"/>
      <w:bookmarkEnd w:id="54"/>
      <w:bookmarkStart w:id="55" w:name="_Toc160723547"/>
      <w:bookmarkStart w:id="56" w:name="_Toc170918081"/>
      <w:bookmarkStart w:id="57" w:name="_Toc170981442"/>
      <w:bookmarkStart w:id="58" w:name="_Toc171677501"/>
      <w:r>
        <w:rPr>
          <w:rFonts w:hint="eastAsia"/>
          <w:color w:val="000000" w:themeColor="text1"/>
          <w14:textFill>
            <w14:solidFill>
              <w14:schemeClr w14:val="tx1"/>
            </w14:solidFill>
          </w14:textFill>
        </w:rPr>
        <w:t>文化建设</w:t>
      </w:r>
      <w:bookmarkEnd w:id="55"/>
      <w:bookmarkEnd w:id="56"/>
      <w:bookmarkEnd w:id="57"/>
      <w:bookmarkEnd w:id="58"/>
    </w:p>
    <w:p>
      <w:pPr>
        <w:pStyle w:val="56"/>
        <w:ind w:left="0" w:leftChars="0" w:firstLine="0" w:firstLineChars="0"/>
        <w:rPr>
          <w:rFonts w:hint="eastAsia"/>
          <w:lang w:val="en-US" w:eastAsia="zh-CN"/>
        </w:rPr>
      </w:pPr>
      <w:r>
        <w:rPr>
          <w:rFonts w:hint="eastAsia"/>
          <w:lang w:val="en-US" w:eastAsia="zh-CN"/>
        </w:rPr>
        <w:t>5.2.1 建设目标</w:t>
      </w:r>
    </w:p>
    <w:p>
      <w:pPr>
        <w:pStyle w:val="56"/>
        <w:ind w:left="0" w:leftChars="0" w:firstLine="0" w:firstLineChars="0"/>
        <w:rPr>
          <w:rFonts w:hint="eastAsia"/>
          <w:lang w:val="en-US" w:eastAsia="zh-CN"/>
        </w:rPr>
      </w:pPr>
      <w:r>
        <w:rPr>
          <w:rFonts w:hint="eastAsia"/>
          <w:lang w:val="en-US" w:eastAsia="zh-CN"/>
        </w:rPr>
        <w:t>5.2.1.1 价值导向：培育诚信自律的组织文化基因；</w:t>
      </w:r>
    </w:p>
    <w:p>
      <w:pPr>
        <w:pStyle w:val="56"/>
        <w:ind w:left="0" w:leftChars="0" w:firstLine="0" w:firstLineChars="0"/>
        <w:rPr>
          <w:rFonts w:hint="eastAsia"/>
          <w:lang w:val="en-US" w:eastAsia="zh-CN"/>
        </w:rPr>
      </w:pPr>
      <w:r>
        <w:rPr>
          <w:rFonts w:hint="eastAsia"/>
          <w:lang w:val="en-US" w:eastAsia="zh-CN"/>
        </w:rPr>
        <w:t>5.2.1.2 行为规范：形成全员遵守的信用行为准则；</w:t>
      </w:r>
    </w:p>
    <w:p>
      <w:pPr>
        <w:pStyle w:val="56"/>
        <w:ind w:left="0" w:leftChars="0" w:firstLine="0" w:firstLineChars="0"/>
        <w:rPr>
          <w:rFonts w:hint="eastAsia"/>
          <w:lang w:val="en-US" w:eastAsia="zh-CN"/>
        </w:rPr>
      </w:pPr>
      <w:r>
        <w:rPr>
          <w:rFonts w:hint="eastAsia"/>
          <w:lang w:val="en-US" w:eastAsia="zh-CN"/>
        </w:rPr>
        <w:t>5.2.1.3 生态营造：构建社会组织与政府、企业、公众的诚信互动体系。</w:t>
      </w:r>
    </w:p>
    <w:p>
      <w:pPr>
        <w:pStyle w:val="56"/>
        <w:ind w:left="0" w:leftChars="0" w:firstLine="0" w:firstLineChars="0"/>
        <w:rPr>
          <w:rFonts w:hint="eastAsia"/>
          <w:lang w:val="en-US" w:eastAsia="zh-CN"/>
        </w:rPr>
      </w:pPr>
      <w:r>
        <w:rPr>
          <w:rFonts w:hint="eastAsia"/>
          <w:lang w:val="en-US" w:eastAsia="zh-CN"/>
        </w:rPr>
        <w:t>5.2.2 核心内容</w:t>
      </w:r>
    </w:p>
    <w:p>
      <w:pPr>
        <w:pStyle w:val="56"/>
        <w:ind w:left="0" w:leftChars="0" w:firstLine="0" w:firstLineChars="0"/>
        <w:rPr>
          <w:rFonts w:hint="eastAsia"/>
          <w:lang w:val="en-US" w:eastAsia="zh-CN"/>
        </w:rPr>
      </w:pPr>
      <w:r>
        <w:rPr>
          <w:rFonts w:hint="eastAsia"/>
          <w:lang w:val="en-US" w:eastAsia="zh-CN"/>
        </w:rPr>
        <w:t>5.2.2.1 价值观培育</w:t>
      </w:r>
    </w:p>
    <w:p>
      <w:pPr>
        <w:pStyle w:val="56"/>
        <w:ind w:left="0" w:leftChars="0" w:firstLine="420" w:firstLineChars="200"/>
        <w:rPr>
          <w:rFonts w:hint="eastAsia"/>
          <w:lang w:val="en-US" w:eastAsia="zh-CN"/>
        </w:rPr>
      </w:pPr>
      <w:r>
        <w:rPr>
          <w:rFonts w:hint="eastAsia"/>
          <w:lang w:eastAsia="zh-CN"/>
        </w:rPr>
        <w:t>——</w:t>
      </w:r>
      <w:r>
        <w:rPr>
          <w:rFonts w:hint="eastAsia"/>
          <w:lang w:val="en-US" w:eastAsia="zh-CN"/>
        </w:rPr>
        <w:t>将诚信要求纳入社会组织章程；</w:t>
      </w:r>
    </w:p>
    <w:p>
      <w:pPr>
        <w:pStyle w:val="56"/>
        <w:ind w:left="0" w:leftChars="0" w:firstLine="420" w:firstLineChars="200"/>
        <w:rPr>
          <w:rFonts w:hint="default"/>
          <w:lang w:val="en-US" w:eastAsia="zh-CN"/>
        </w:rPr>
      </w:pPr>
      <w:r>
        <w:rPr>
          <w:rFonts w:hint="eastAsia"/>
          <w:lang w:val="en-US" w:eastAsia="zh-CN"/>
        </w:rPr>
        <w:t>——建立信用文化宣言/守则（包含公益承诺、例规营运、阳光披露等）；</w:t>
      </w:r>
    </w:p>
    <w:p>
      <w:pPr>
        <w:pStyle w:val="56"/>
        <w:ind w:left="0" w:leftChars="0" w:firstLine="420" w:firstLineChars="200"/>
        <w:rPr>
          <w:rFonts w:hint="eastAsia"/>
          <w:lang w:val="en-US" w:eastAsia="zh-CN"/>
        </w:rPr>
      </w:pPr>
      <w:r>
        <w:rPr>
          <w:rFonts w:hint="eastAsia"/>
          <w:lang w:val="en-US" w:eastAsia="zh-CN"/>
        </w:rPr>
        <w:t>——定期开展职业道德与诚信专题研讨，打造</w:t>
      </w:r>
      <w:r>
        <w:rPr>
          <w:rFonts w:hint="eastAsia"/>
        </w:rPr>
        <w:t>诚信、守信、践诺</w:t>
      </w:r>
      <w:r>
        <w:rPr>
          <w:rFonts w:hint="eastAsia"/>
          <w:lang w:val="en-US" w:eastAsia="zh-CN"/>
        </w:rPr>
        <w:t>的</w:t>
      </w:r>
      <w:r>
        <w:rPr>
          <w:rFonts w:hint="eastAsia"/>
        </w:rPr>
        <w:t>文化核心价值观</w:t>
      </w:r>
      <w:r>
        <w:rPr>
          <w:rFonts w:hint="eastAsia"/>
          <w:lang w:val="en-US" w:eastAsia="zh-CN"/>
        </w:rPr>
        <w:t>。</w:t>
      </w:r>
    </w:p>
    <w:p>
      <w:pPr>
        <w:pStyle w:val="56"/>
        <w:ind w:left="0" w:leftChars="0" w:firstLine="0" w:firstLineChars="0"/>
        <w:rPr>
          <w:rFonts w:hint="eastAsia"/>
          <w:lang w:val="en-US" w:eastAsia="zh-CN"/>
        </w:rPr>
      </w:pPr>
      <w:r>
        <w:rPr>
          <w:rFonts w:hint="eastAsia"/>
          <w:lang w:val="en-US" w:eastAsia="zh-CN"/>
        </w:rPr>
        <w:t>5.2.2.2 宣传教育体系</w:t>
      </w:r>
    </w:p>
    <w:p>
      <w:pPr>
        <w:pStyle w:val="56"/>
        <w:ind w:left="0" w:leftChars="0" w:firstLine="420" w:firstLineChars="200"/>
        <w:rPr>
          <w:rFonts w:hint="eastAsia"/>
          <w:lang w:val="en-US" w:eastAsia="zh-CN"/>
        </w:rPr>
      </w:pPr>
      <w:r>
        <w:rPr>
          <w:rFonts w:hint="eastAsia"/>
          <w:lang w:val="en-US" w:eastAsia="zh-CN"/>
        </w:rPr>
        <w:t>——建立培训机制，</w:t>
      </w:r>
      <w:r>
        <w:rPr>
          <w:rFonts w:hint="eastAsia"/>
        </w:rPr>
        <w:t>宜每年不少于1次，包括但不限于信用基础知识、信用法律法规和政策、信用管理相关标准、社会组织管理制度等内容；</w:t>
      </w:r>
      <w:r>
        <w:rPr>
          <w:rFonts w:hint="eastAsia"/>
          <w:lang w:val="en-US" w:eastAsia="zh-CN"/>
        </w:rPr>
        <w:t>并对管理层开展信用战略与风险防控培训；对从业人员开展业务场景中的信用规范培训；对会员单位开展行业诚信公约推广；</w:t>
      </w:r>
    </w:p>
    <w:p>
      <w:pPr>
        <w:pStyle w:val="56"/>
        <w:ind w:left="0" w:leftChars="0" w:firstLine="420" w:firstLineChars="200"/>
        <w:rPr>
          <w:rFonts w:hint="eastAsia"/>
          <w:lang w:val="en-US" w:eastAsia="zh-CN"/>
        </w:rPr>
      </w:pPr>
      <w:r>
        <w:rPr>
          <w:rFonts w:hint="eastAsia"/>
          <w:lang w:val="en-US" w:eastAsia="zh-CN"/>
        </w:rPr>
        <w:t>——设立“信用文化周/月”主题活动（安全分享、知识竞赛、失信警示展）等；</w:t>
      </w:r>
    </w:p>
    <w:p>
      <w:pPr>
        <w:pStyle w:val="174"/>
        <w:numPr>
          <w:ilvl w:val="0"/>
          <w:numId w:val="0"/>
        </w:numPr>
        <w:ind w:firstLine="420" w:firstLineChars="200"/>
      </w:pPr>
      <w:r>
        <w:rPr>
          <w:rFonts w:hint="eastAsia"/>
          <w:lang w:val="en-US" w:eastAsia="zh-CN"/>
        </w:rPr>
        <w:t>——开发标准化信用文化宣传素材库（微视频、漫画手册、标语体系）。</w:t>
      </w:r>
    </w:p>
    <w:p>
      <w:pPr>
        <w:pStyle w:val="105"/>
        <w:spacing w:before="156" w:after="156"/>
        <w:rPr>
          <w:color w:val="000000" w:themeColor="text1"/>
          <w14:textFill>
            <w14:solidFill>
              <w14:schemeClr w14:val="tx1"/>
            </w14:solidFill>
          </w14:textFill>
        </w:rPr>
      </w:pPr>
      <w:bookmarkStart w:id="59" w:name="_Toc160723551"/>
      <w:bookmarkStart w:id="60" w:name="_Toc170981443"/>
      <w:bookmarkStart w:id="61" w:name="_Toc171677502"/>
      <w:bookmarkStart w:id="62" w:name="_Toc170918082"/>
      <w:r>
        <w:rPr>
          <w:rFonts w:hint="eastAsia"/>
          <w:color w:val="000000" w:themeColor="text1"/>
          <w14:textFill>
            <w14:solidFill>
              <w14:schemeClr w14:val="tx1"/>
            </w14:solidFill>
          </w14:textFill>
        </w:rPr>
        <w:t>能力建设</w:t>
      </w:r>
      <w:bookmarkEnd w:id="59"/>
      <w:bookmarkEnd w:id="60"/>
      <w:bookmarkEnd w:id="61"/>
      <w:bookmarkEnd w:id="62"/>
    </w:p>
    <w:p>
      <w:pPr>
        <w:pStyle w:val="56"/>
        <w:ind w:left="0" w:leftChars="0" w:firstLine="0" w:firstLineChars="0"/>
        <w:rPr>
          <w:rFonts w:hint="eastAsia"/>
          <w:lang w:val="en-US" w:eastAsia="zh-CN"/>
        </w:rPr>
      </w:pPr>
      <w:bookmarkStart w:id="63" w:name="_Toc160693328"/>
      <w:bookmarkStart w:id="64" w:name="_Toc160469627"/>
      <w:bookmarkStart w:id="65" w:name="_Toc160469766"/>
      <w:r>
        <w:rPr>
          <w:rFonts w:hint="eastAsia"/>
          <w:lang w:val="en-US" w:eastAsia="zh-CN"/>
        </w:rPr>
        <w:t>5.3.1 建设目标</w:t>
      </w:r>
    </w:p>
    <w:p>
      <w:pPr>
        <w:pStyle w:val="56"/>
        <w:ind w:left="0" w:leftChars="0" w:firstLine="420" w:firstLineChars="200"/>
        <w:rPr>
          <w:rFonts w:hint="eastAsia"/>
          <w:lang w:eastAsia="zh-CN"/>
        </w:rPr>
      </w:pPr>
      <w:r>
        <w:rPr>
          <w:rFonts w:hint="eastAsia"/>
        </w:rPr>
        <w:t>社会组织应依法经营，重合同、守信用，不断提升社会组织履行承诺、承担责任、提供服务等方面能力</w:t>
      </w:r>
      <w:r>
        <w:rPr>
          <w:rFonts w:hint="eastAsia"/>
          <w:lang w:eastAsia="zh-CN"/>
        </w:rPr>
        <w:t>。</w:t>
      </w:r>
    </w:p>
    <w:p>
      <w:pPr>
        <w:pStyle w:val="56"/>
        <w:ind w:left="0" w:leftChars="0" w:firstLine="0" w:firstLineChars="0"/>
        <w:rPr>
          <w:rFonts w:hint="eastAsia"/>
          <w:lang w:val="en-US" w:eastAsia="zh-CN"/>
        </w:rPr>
      </w:pPr>
      <w:r>
        <w:rPr>
          <w:rFonts w:hint="eastAsia"/>
          <w:lang w:val="en-US" w:eastAsia="zh-CN"/>
        </w:rPr>
        <w:t>5.3.1.1 基础能力构建：形成覆盖战略决策、运营执行、监督改进的信用管理闭环；</w:t>
      </w:r>
    </w:p>
    <w:p>
      <w:pPr>
        <w:pStyle w:val="56"/>
        <w:ind w:left="0" w:leftChars="0" w:firstLine="0" w:firstLineChars="0"/>
        <w:rPr>
          <w:rFonts w:hint="eastAsia"/>
        </w:rPr>
      </w:pPr>
      <w:r>
        <w:rPr>
          <w:rFonts w:hint="eastAsia"/>
          <w:lang w:val="en-US" w:eastAsia="zh-CN"/>
        </w:rPr>
        <w:t xml:space="preserve">5.3.1.2 </w:t>
      </w:r>
      <w:r>
        <w:rPr>
          <w:rFonts w:hint="eastAsia"/>
        </w:rPr>
        <w:t>专业能力提升：培育具备信用风险识别、评估、应对的核心团队</w:t>
      </w:r>
      <w:r>
        <w:rPr>
          <w:rFonts w:hint="eastAsia"/>
          <w:lang w:val="en-US" w:eastAsia="zh-CN"/>
        </w:rPr>
        <w:t>；</w:t>
      </w:r>
      <w:r>
        <w:rPr>
          <w:rFonts w:hint="eastAsia"/>
        </w:rPr>
        <w:t xml:space="preserve">  </w:t>
      </w:r>
    </w:p>
    <w:p>
      <w:pPr>
        <w:pStyle w:val="56"/>
        <w:ind w:left="0" w:leftChars="0" w:firstLine="0" w:firstLineChars="0"/>
        <w:rPr>
          <w:rFonts w:hint="eastAsia"/>
        </w:rPr>
      </w:pPr>
      <w:r>
        <w:rPr>
          <w:rFonts w:hint="eastAsia"/>
          <w:lang w:val="en-US" w:eastAsia="zh-CN"/>
        </w:rPr>
        <w:t xml:space="preserve">5.3.1.3 </w:t>
      </w:r>
      <w:r>
        <w:rPr>
          <w:rFonts w:hint="eastAsia"/>
        </w:rPr>
        <w:t>可持续发展能力：建立信用建设与组织发展的长效融合机制</w:t>
      </w:r>
      <w:r>
        <w:rPr>
          <w:rFonts w:hint="eastAsia"/>
          <w:lang w:val="en-US" w:eastAsia="zh-CN"/>
        </w:rPr>
        <w:t>；</w:t>
      </w:r>
      <w:r>
        <w:rPr>
          <w:rFonts w:hint="eastAsia"/>
        </w:rPr>
        <w:t xml:space="preserve">  </w:t>
      </w:r>
    </w:p>
    <w:p>
      <w:pPr>
        <w:pStyle w:val="56"/>
        <w:ind w:left="0" w:leftChars="0" w:firstLine="0" w:firstLineChars="0"/>
        <w:rPr>
          <w:rFonts w:hint="eastAsia"/>
        </w:rPr>
      </w:pPr>
      <w:r>
        <w:rPr>
          <w:rFonts w:hint="eastAsia"/>
          <w:lang w:val="en-US" w:eastAsia="zh-CN"/>
        </w:rPr>
        <w:t xml:space="preserve">5.3.2 </w:t>
      </w:r>
      <w:r>
        <w:rPr>
          <w:rFonts w:hint="eastAsia"/>
        </w:rPr>
        <w:t xml:space="preserve">核心能力  </w:t>
      </w:r>
    </w:p>
    <w:p>
      <w:pPr>
        <w:pStyle w:val="56"/>
        <w:ind w:left="0" w:leftChars="0" w:firstLine="0" w:firstLineChars="0"/>
        <w:rPr>
          <w:rFonts w:hint="default" w:eastAsia="宋体"/>
          <w:lang w:val="en-US" w:eastAsia="zh-CN"/>
        </w:rPr>
      </w:pPr>
      <w:r>
        <w:rPr>
          <w:rFonts w:hint="eastAsia"/>
          <w:lang w:val="en-US" w:eastAsia="zh-CN"/>
        </w:rPr>
        <w:t xml:space="preserve">5.3.2.1 </w:t>
      </w:r>
      <w:r>
        <w:rPr>
          <w:rFonts w:hint="eastAsia"/>
        </w:rPr>
        <w:t>履约</w:t>
      </w:r>
      <w:r>
        <w:rPr>
          <w:rFonts w:hint="eastAsia"/>
          <w:lang w:val="en-US" w:eastAsia="zh-CN"/>
        </w:rPr>
        <w:t xml:space="preserve">能力 </w:t>
      </w:r>
    </w:p>
    <w:p>
      <w:pPr>
        <w:pStyle w:val="174"/>
        <w:numPr>
          <w:ilvl w:val="0"/>
          <w:numId w:val="0"/>
        </w:numPr>
        <w:ind w:firstLine="420" w:firstLineChars="200"/>
      </w:pPr>
      <w:r>
        <w:rPr>
          <w:rFonts w:hint="eastAsia"/>
          <w:lang w:eastAsia="zh-CN"/>
        </w:rPr>
        <w:t>——</w:t>
      </w:r>
      <w:r>
        <w:rPr>
          <w:rFonts w:hint="eastAsia"/>
        </w:rPr>
        <w:t>制定清晰的履约流程，包括项目计划、明确的时间和质量要求、责任分工和协作方式等；</w:t>
      </w:r>
    </w:p>
    <w:p>
      <w:pPr>
        <w:pStyle w:val="174"/>
        <w:numPr>
          <w:ilvl w:val="0"/>
          <w:numId w:val="0"/>
        </w:numPr>
        <w:ind w:firstLine="420" w:firstLineChars="200"/>
        <w:rPr>
          <w:rFonts w:hint="eastAsia"/>
        </w:rPr>
      </w:pPr>
      <w:r>
        <w:rPr>
          <w:rFonts w:hint="eastAsia"/>
          <w:lang w:eastAsia="zh-CN"/>
        </w:rPr>
        <w:t>——</w:t>
      </w:r>
      <w:r>
        <w:rPr>
          <w:rFonts w:hint="eastAsia"/>
        </w:rPr>
        <w:t>建立有效的沟通机制，促进团队成员之间的信息共享和协作；加强项目管理和协调能力，确保项目按时按质完成；</w:t>
      </w:r>
    </w:p>
    <w:p>
      <w:pPr>
        <w:pStyle w:val="174"/>
        <w:numPr>
          <w:ilvl w:val="0"/>
          <w:numId w:val="0"/>
        </w:numPr>
        <w:ind w:firstLine="420" w:firstLineChars="200"/>
      </w:pPr>
      <w:r>
        <w:rPr>
          <w:rFonts w:hint="eastAsia"/>
          <w:lang w:eastAsia="zh-CN"/>
        </w:rPr>
        <w:t>——</w:t>
      </w:r>
      <w:r>
        <w:rPr>
          <w:rFonts w:hint="eastAsia"/>
        </w:rPr>
        <w:t>应通过培训、引进等方式，提升组织成员的专业技能和素质，建立一支具备履约能力、富有责任心和团队协作精神的团队；</w:t>
      </w:r>
    </w:p>
    <w:p>
      <w:pPr>
        <w:pStyle w:val="174"/>
        <w:numPr>
          <w:ilvl w:val="0"/>
          <w:numId w:val="0"/>
        </w:numPr>
        <w:ind w:firstLine="420" w:firstLineChars="200"/>
      </w:pPr>
      <w:r>
        <w:rPr>
          <w:rFonts w:hint="eastAsia"/>
          <w:lang w:eastAsia="zh-CN"/>
        </w:rPr>
        <w:t>——</w:t>
      </w:r>
      <w:r>
        <w:rPr>
          <w:rFonts w:hint="eastAsia"/>
        </w:rPr>
        <w:t>应与政府机构、其他社会组织、企事业单位等加强合作，通过资源整合、共享等方式，提升组织的履约能力和服务水平；</w:t>
      </w:r>
    </w:p>
    <w:p>
      <w:pPr>
        <w:pStyle w:val="174"/>
        <w:numPr>
          <w:ilvl w:val="0"/>
          <w:numId w:val="0"/>
        </w:numPr>
        <w:ind w:firstLine="420" w:firstLineChars="200"/>
        <w:rPr>
          <w:rFonts w:hint="eastAsia" w:eastAsia="宋体"/>
          <w:lang w:eastAsia="zh-CN"/>
        </w:rPr>
      </w:pPr>
      <w:r>
        <w:rPr>
          <w:rFonts w:hint="eastAsia"/>
          <w:lang w:eastAsia="zh-CN"/>
        </w:rPr>
        <w:t>——</w:t>
      </w:r>
      <w:r>
        <w:rPr>
          <w:rFonts w:hint="eastAsia"/>
        </w:rPr>
        <w:t>应通过履行社会责任，组织（或参与）公益活动，提高自身公信力和影响力，注重与社会公众沟通互动，及时回应关切，增强信任合作关系</w:t>
      </w:r>
      <w:bookmarkEnd w:id="63"/>
      <w:bookmarkEnd w:id="64"/>
      <w:bookmarkEnd w:id="65"/>
      <w:r>
        <w:rPr>
          <w:rFonts w:hint="eastAsia"/>
          <w:lang w:eastAsia="zh-CN"/>
        </w:rPr>
        <w:t>。</w:t>
      </w:r>
    </w:p>
    <w:p>
      <w:pPr>
        <w:pStyle w:val="56"/>
        <w:ind w:left="0" w:leftChars="0" w:firstLine="0" w:firstLineChars="0"/>
        <w:rPr>
          <w:rFonts w:hint="eastAsia"/>
          <w:lang w:val="en-US" w:eastAsia="zh-CN"/>
        </w:rPr>
      </w:pPr>
      <w:r>
        <w:rPr>
          <w:rFonts w:hint="eastAsia"/>
          <w:lang w:val="en-US" w:eastAsia="zh-CN"/>
        </w:rPr>
        <w:t>5.3.2.2 合规能力</w:t>
      </w:r>
    </w:p>
    <w:p>
      <w:pPr>
        <w:pStyle w:val="174"/>
        <w:numPr>
          <w:ilvl w:val="0"/>
          <w:numId w:val="0"/>
        </w:numPr>
        <w:ind w:firstLine="420" w:firstLineChars="200"/>
      </w:pPr>
      <w:r>
        <w:rPr>
          <w:rFonts w:hint="eastAsia"/>
          <w:lang w:eastAsia="zh-CN"/>
        </w:rPr>
        <w:t>——</w:t>
      </w:r>
      <w:r>
        <w:rPr>
          <w:rFonts w:hint="eastAsia"/>
        </w:rPr>
        <w:t>党建、换届、财务等</w:t>
      </w:r>
      <w:r>
        <w:rPr>
          <w:rFonts w:hint="eastAsia"/>
          <w:lang w:val="en-US" w:eastAsia="zh-CN"/>
        </w:rPr>
        <w:t>内控管理</w:t>
      </w:r>
      <w:r>
        <w:rPr>
          <w:rFonts w:hint="eastAsia"/>
        </w:rPr>
        <w:t>应遵守国家相关规范性文件所明确的相关事项规则和要求；应具有经公安机关备案的公章、银行备案的财务专用章；应定期向登记管理机关报送年度工作报告等；</w:t>
      </w:r>
    </w:p>
    <w:p>
      <w:pPr>
        <w:pStyle w:val="174"/>
        <w:numPr>
          <w:ilvl w:val="0"/>
          <w:numId w:val="0"/>
        </w:numPr>
        <w:ind w:firstLine="420" w:firstLineChars="200"/>
      </w:pPr>
      <w:r>
        <w:rPr>
          <w:rFonts w:hint="eastAsia"/>
          <w:lang w:eastAsia="zh-CN"/>
        </w:rPr>
        <w:t>——</w:t>
      </w:r>
      <w:r>
        <w:rPr>
          <w:rFonts w:hint="eastAsia"/>
        </w:rPr>
        <w:t>应执行《民间非营利组织会计制度》，且会计核算规范、真实、准确；宜配备具有会计经验的专（兼）职的财务工作人员，会计岗位设置合理，明确各岗位财务人员的职责。因社会组织财产的公共属性，社会组织应向社会告知其机构运作和资金使用情况，对社会公众负责，接受社会监督；</w:t>
      </w:r>
    </w:p>
    <w:p>
      <w:pPr>
        <w:pStyle w:val="174"/>
        <w:numPr>
          <w:ilvl w:val="0"/>
          <w:numId w:val="0"/>
        </w:numPr>
        <w:ind w:firstLine="420" w:firstLineChars="200"/>
      </w:pPr>
      <w:r>
        <w:rPr>
          <w:rFonts w:hint="eastAsia"/>
          <w:lang w:eastAsia="zh-CN"/>
        </w:rPr>
        <w:t>——</w:t>
      </w:r>
      <w:r>
        <w:rPr>
          <w:rFonts w:hint="eastAsia"/>
        </w:rPr>
        <w:t>应做好资产管理，不通过关联交易变相分红分配，不转移、侵占、挪用社会组织财产等；基金会开展投资活动应遵循投资原则，厘清可投资的财产范围，明确投资类型，做好投资过程管理，实现财产的保值增值，不利用关联关系损害社会组织、社会公共、受益人的利益；</w:t>
      </w:r>
    </w:p>
    <w:p>
      <w:pPr>
        <w:pStyle w:val="174"/>
        <w:numPr>
          <w:ilvl w:val="0"/>
          <w:numId w:val="0"/>
        </w:numPr>
        <w:ind w:firstLine="420" w:firstLineChars="200"/>
      </w:pPr>
      <w:r>
        <w:rPr>
          <w:rFonts w:hint="eastAsia"/>
          <w:lang w:eastAsia="zh-CN"/>
        </w:rPr>
        <w:t>——</w:t>
      </w:r>
      <w:r>
        <w:rPr>
          <w:rFonts w:hint="eastAsia"/>
        </w:rPr>
        <w:t>应在核准的业务范围内开展服务，且在服务收费时，应遵守相关的法律政策要求；</w:t>
      </w:r>
    </w:p>
    <w:p>
      <w:pPr>
        <w:pStyle w:val="174"/>
        <w:numPr>
          <w:ilvl w:val="0"/>
          <w:numId w:val="0"/>
        </w:numPr>
        <w:ind w:firstLine="420" w:firstLineChars="200"/>
      </w:pPr>
      <w:r>
        <w:rPr>
          <w:rFonts w:hint="eastAsia"/>
          <w:lang w:eastAsia="zh-CN"/>
        </w:rPr>
        <w:t>——</w:t>
      </w:r>
      <w:r>
        <w:rPr>
          <w:rFonts w:hint="eastAsia"/>
        </w:rPr>
        <w:t>接受捐赠应遵循无偿性、公益性的原则，识别捐赠中可能存在的违规情形，包括捐赠不符合公益性，对捐赠财产的使用不尊重捐赠人意愿，接受非货币财产的合规性等；慈善组织开展公开募捐的，应当具备公开募捐资格，募捐方案应当报登记管理机关进行备案，互联网募捐的应当通过指定平台等；</w:t>
      </w:r>
    </w:p>
    <w:p>
      <w:pPr>
        <w:pStyle w:val="174"/>
        <w:numPr>
          <w:ilvl w:val="0"/>
          <w:numId w:val="0"/>
        </w:numPr>
        <w:ind w:firstLine="420" w:firstLineChars="200"/>
      </w:pPr>
      <w:r>
        <w:rPr>
          <w:rFonts w:hint="eastAsia"/>
          <w:lang w:eastAsia="zh-CN"/>
        </w:rPr>
        <w:t>——</w:t>
      </w:r>
      <w:r>
        <w:rPr>
          <w:rFonts w:hint="eastAsia"/>
        </w:rPr>
        <w:t>应从社会组织的宗旨和业务范围进行综合考虑</w:t>
      </w:r>
      <w:r>
        <w:rPr>
          <w:rFonts w:hint="eastAsia"/>
          <w:lang w:val="en-US" w:eastAsia="zh-CN"/>
        </w:rPr>
        <w:t>项目合规性</w:t>
      </w:r>
      <w:r>
        <w:rPr>
          <w:rFonts w:hint="eastAsia"/>
        </w:rPr>
        <w:t>；已确定立项的项目，应加强项目的全过程管理，如项目启动、项目计划、项目实施、项目控制、项目收尾等；</w:t>
      </w:r>
    </w:p>
    <w:p>
      <w:pPr>
        <w:pStyle w:val="174"/>
        <w:numPr>
          <w:ilvl w:val="0"/>
          <w:numId w:val="0"/>
        </w:numPr>
        <w:ind w:firstLine="420" w:firstLineChars="200"/>
      </w:pPr>
      <w:r>
        <w:rPr>
          <w:rFonts w:hint="eastAsia"/>
          <w:lang w:eastAsia="zh-CN"/>
        </w:rPr>
        <w:t>——</w:t>
      </w:r>
      <w:r>
        <w:rPr>
          <w:rFonts w:hint="eastAsia"/>
        </w:rPr>
        <w:t>在开展业务和活动过程中涉及国家安全、国民经济命脉、重要民生、重大公共利益等数据应遵守国家安全相关法律法规要求，并妥善管理各类活动中产生的电子数据。</w:t>
      </w:r>
    </w:p>
    <w:p>
      <w:pPr>
        <w:pStyle w:val="56"/>
        <w:ind w:left="0" w:leftChars="0" w:firstLine="0" w:firstLineChars="0"/>
        <w:rPr>
          <w:rFonts w:hint="eastAsia"/>
        </w:rPr>
      </w:pPr>
      <w:bookmarkStart w:id="66" w:name="_Toc160723555"/>
      <w:bookmarkStart w:id="67" w:name="_Toc164074289"/>
      <w:bookmarkStart w:id="68" w:name="_Toc166319066"/>
      <w:bookmarkStart w:id="69" w:name="_Toc170918085"/>
      <w:bookmarkStart w:id="70" w:name="_Toc170918247"/>
      <w:bookmarkStart w:id="71" w:name="_Toc171677505"/>
      <w:bookmarkStart w:id="72" w:name="_Toc161040977"/>
      <w:bookmarkStart w:id="73" w:name="_Toc170981446"/>
      <w:bookmarkStart w:id="74" w:name="_Toc166058299"/>
      <w:r>
        <w:rPr>
          <w:rFonts w:hint="eastAsia"/>
          <w:lang w:val="en-US" w:eastAsia="zh-CN"/>
        </w:rPr>
        <w:t xml:space="preserve">5.3.2.3 </w:t>
      </w:r>
      <w:r>
        <w:rPr>
          <w:rFonts w:hint="eastAsia"/>
        </w:rPr>
        <w:t>信用评估能力：</w:t>
      </w:r>
      <w:r>
        <w:rPr>
          <w:rFonts w:hint="eastAsia"/>
          <w:lang w:val="en-US" w:eastAsia="zh-CN"/>
        </w:rPr>
        <w:t>包括</w:t>
      </w:r>
      <w:r>
        <w:rPr>
          <w:rFonts w:hint="eastAsia"/>
        </w:rPr>
        <w:t>掌握社会组织信用评价</w:t>
      </w:r>
      <w:r>
        <w:rPr>
          <w:rFonts w:hint="eastAsia"/>
          <w:lang w:val="en-US" w:eastAsia="zh-CN"/>
        </w:rPr>
        <w:t>标准，</w:t>
      </w:r>
      <w:r>
        <w:rPr>
          <w:rFonts w:hint="eastAsia"/>
        </w:rPr>
        <w:t>建立内部信用自评体系</w:t>
      </w:r>
      <w:r>
        <w:rPr>
          <w:rFonts w:hint="eastAsia"/>
          <w:lang w:val="en-US" w:eastAsia="zh-CN"/>
        </w:rPr>
        <w:t>。</w:t>
      </w:r>
      <w:r>
        <w:rPr>
          <w:rFonts w:hint="eastAsia"/>
        </w:rPr>
        <w:t xml:space="preserve">  </w:t>
      </w:r>
    </w:p>
    <w:p>
      <w:pPr>
        <w:pStyle w:val="56"/>
        <w:ind w:left="0" w:leftChars="0" w:firstLine="0" w:firstLineChars="0"/>
        <w:rPr>
          <w:rFonts w:hint="eastAsia"/>
        </w:rPr>
      </w:pPr>
      <w:r>
        <w:rPr>
          <w:rFonts w:hint="eastAsia"/>
          <w:lang w:val="en-US" w:eastAsia="zh-CN"/>
        </w:rPr>
        <w:t xml:space="preserve">5.3.2.4 </w:t>
      </w:r>
      <w:r>
        <w:rPr>
          <w:rFonts w:hint="eastAsia"/>
        </w:rPr>
        <w:t>风险处置能力：建立信用风险预警指标体系</w:t>
      </w:r>
      <w:r>
        <w:rPr>
          <w:rFonts w:hint="eastAsia"/>
          <w:lang w:eastAsia="zh-CN"/>
        </w:rPr>
        <w:t>和</w:t>
      </w:r>
      <w:r>
        <w:rPr>
          <w:rFonts w:hint="eastAsia"/>
        </w:rPr>
        <w:t>应急管理预案</w:t>
      </w:r>
      <w:r>
        <w:rPr>
          <w:rFonts w:hint="eastAsia"/>
          <w:lang w:eastAsia="zh-CN"/>
        </w:rPr>
        <w:t>。</w:t>
      </w:r>
      <w:r>
        <w:rPr>
          <w:rFonts w:hint="eastAsia"/>
        </w:rPr>
        <w:t xml:space="preserve"> </w:t>
      </w:r>
    </w:p>
    <w:p>
      <w:pPr>
        <w:pStyle w:val="56"/>
        <w:ind w:left="0" w:leftChars="0" w:firstLine="0" w:firstLineChars="0"/>
        <w:rPr>
          <w:rFonts w:hint="eastAsia"/>
        </w:rPr>
      </w:pPr>
      <w:r>
        <w:rPr>
          <w:rFonts w:hint="eastAsia"/>
          <w:lang w:val="en-US" w:eastAsia="zh-CN"/>
        </w:rPr>
        <w:t xml:space="preserve">5.3.2.5 </w:t>
      </w:r>
      <w:r>
        <w:rPr>
          <w:rFonts w:hint="eastAsia"/>
        </w:rPr>
        <w:t xml:space="preserve">创新发展能力  </w:t>
      </w:r>
    </w:p>
    <w:p>
      <w:pPr>
        <w:pStyle w:val="56"/>
        <w:ind w:left="0" w:leftChars="0" w:firstLine="0" w:firstLineChars="0"/>
        <w:rPr>
          <w:rFonts w:hint="eastAsia" w:eastAsia="宋体"/>
          <w:lang w:eastAsia="zh-CN"/>
        </w:rPr>
      </w:pPr>
      <w:r>
        <w:rPr>
          <w:rFonts w:hint="eastAsia"/>
          <w:lang w:eastAsia="zh-CN"/>
        </w:rPr>
        <w:t>——</w:t>
      </w:r>
      <w:r>
        <w:rPr>
          <w:rFonts w:hint="eastAsia"/>
        </w:rPr>
        <w:t>探索</w:t>
      </w:r>
      <w:r>
        <w:rPr>
          <w:rFonts w:hint="eastAsia"/>
          <w:lang w:eastAsia="zh-CN"/>
        </w:rPr>
        <w:t>“</w:t>
      </w:r>
      <w:r>
        <w:rPr>
          <w:rFonts w:hint="eastAsia"/>
        </w:rPr>
        <w:t>信用+</w:t>
      </w:r>
      <w:r>
        <w:rPr>
          <w:rFonts w:hint="eastAsia"/>
          <w:lang w:eastAsia="zh-CN"/>
        </w:rPr>
        <w:t>”</w:t>
      </w:r>
      <w:r>
        <w:rPr>
          <w:rFonts w:hint="eastAsia"/>
        </w:rPr>
        <w:t>应用场景</w:t>
      </w:r>
      <w:r>
        <w:rPr>
          <w:rFonts w:hint="eastAsia"/>
          <w:lang w:eastAsia="zh-CN"/>
        </w:rPr>
        <w:t>；</w:t>
      </w:r>
    </w:p>
    <w:p>
      <w:pPr>
        <w:pStyle w:val="56"/>
        <w:ind w:left="0" w:leftChars="0" w:firstLine="0" w:firstLineChars="0"/>
        <w:rPr>
          <w:rFonts w:hint="eastAsia"/>
        </w:rPr>
      </w:pPr>
      <w:r>
        <w:rPr>
          <w:rFonts w:hint="eastAsia"/>
          <w:lang w:eastAsia="zh-CN"/>
        </w:rPr>
        <w:t>——</w:t>
      </w:r>
      <w:r>
        <w:rPr>
          <w:rFonts w:hint="eastAsia"/>
        </w:rPr>
        <w:t>开发信用价值转化工具</w:t>
      </w:r>
      <w:r>
        <w:rPr>
          <w:rFonts w:hint="eastAsia"/>
          <w:lang w:eastAsia="zh-CN"/>
        </w:rPr>
        <w:t>；</w:t>
      </w:r>
      <w:r>
        <w:rPr>
          <w:rFonts w:hint="eastAsia"/>
        </w:rPr>
        <w:t xml:space="preserve">  </w:t>
      </w:r>
    </w:p>
    <w:p>
      <w:pPr>
        <w:pStyle w:val="56"/>
        <w:ind w:left="0" w:leftChars="0" w:firstLine="0" w:firstLineChars="0"/>
        <w:rPr>
          <w:rFonts w:hint="eastAsia" w:eastAsia="宋体"/>
          <w:lang w:eastAsia="zh-CN"/>
        </w:rPr>
      </w:pPr>
      <w:r>
        <w:rPr>
          <w:rFonts w:hint="eastAsia"/>
          <w:lang w:eastAsia="zh-CN"/>
        </w:rPr>
        <w:t>——</w:t>
      </w:r>
      <w:r>
        <w:rPr>
          <w:rFonts w:hint="eastAsia"/>
        </w:rPr>
        <w:t xml:space="preserve"> 参与行业信用标准制定与修订</w:t>
      </w:r>
      <w:r>
        <w:rPr>
          <w:rFonts w:hint="eastAsia"/>
          <w:lang w:eastAsia="zh-CN"/>
        </w:rPr>
        <w:t>。</w:t>
      </w:r>
    </w:p>
    <w:bookmarkEnd w:id="66"/>
    <w:bookmarkEnd w:id="67"/>
    <w:bookmarkEnd w:id="68"/>
    <w:bookmarkEnd w:id="69"/>
    <w:bookmarkEnd w:id="70"/>
    <w:bookmarkEnd w:id="71"/>
    <w:bookmarkEnd w:id="72"/>
    <w:bookmarkEnd w:id="73"/>
    <w:bookmarkEnd w:id="74"/>
    <w:p>
      <w:pPr>
        <w:pStyle w:val="104"/>
        <w:numPr>
          <w:ilvl w:val="1"/>
          <w:numId w:val="0"/>
        </w:numPr>
        <w:spacing w:before="312" w:after="312"/>
        <w:ind w:leftChars="0"/>
        <w:rPr>
          <w:color w:val="000000" w:themeColor="text1"/>
          <w14:textFill>
            <w14:solidFill>
              <w14:schemeClr w14:val="tx1"/>
            </w14:solidFill>
          </w14:textFill>
        </w:rPr>
      </w:pPr>
      <w:bookmarkStart w:id="75" w:name="_Toc171677508"/>
      <w:bookmarkStart w:id="76" w:name="_Toc170981449"/>
      <w:bookmarkStart w:id="77" w:name="_Toc170918088"/>
      <w:r>
        <w:rPr>
          <w:rFonts w:hint="eastAsia"/>
          <w:color w:val="000000" w:themeColor="text1"/>
          <w:lang w:val="en-US" w:eastAsia="zh-CN"/>
          <w14:textFill>
            <w14:solidFill>
              <w14:schemeClr w14:val="tx1"/>
            </w14:solidFill>
          </w14:textFill>
        </w:rPr>
        <w:t xml:space="preserve">6 </w:t>
      </w:r>
      <w:r>
        <w:rPr>
          <w:rFonts w:hint="eastAsia"/>
          <w:color w:val="000000" w:themeColor="text1"/>
          <w14:textFill>
            <w14:solidFill>
              <w14:schemeClr w14:val="tx1"/>
            </w14:solidFill>
          </w14:textFill>
        </w:rPr>
        <w:t>信用管理</w:t>
      </w:r>
      <w:bookmarkEnd w:id="75"/>
      <w:bookmarkEnd w:id="76"/>
      <w:bookmarkEnd w:id="77"/>
    </w:p>
    <w:p>
      <w:pPr>
        <w:pStyle w:val="105"/>
        <w:numPr>
          <w:ilvl w:val="2"/>
          <w:numId w:val="0"/>
        </w:numPr>
        <w:spacing w:before="156" w:after="156"/>
        <w:ind w:leftChars="0"/>
      </w:pPr>
      <w:bookmarkStart w:id="78" w:name="_Toc170918089"/>
      <w:bookmarkStart w:id="79" w:name="_Toc171677509"/>
      <w:bookmarkStart w:id="80" w:name="_Toc170981450"/>
      <w:r>
        <w:rPr>
          <w:rFonts w:hint="eastAsia"/>
          <w:lang w:val="en-US" w:eastAsia="zh-CN"/>
        </w:rPr>
        <w:t xml:space="preserve">6.1 </w:t>
      </w:r>
      <w:r>
        <w:rPr>
          <w:rFonts w:hint="eastAsia"/>
        </w:rPr>
        <w:t>实施和运行</w:t>
      </w:r>
      <w:bookmarkEnd w:id="78"/>
      <w:bookmarkEnd w:id="79"/>
      <w:bookmarkEnd w:id="80"/>
    </w:p>
    <w:p>
      <w:pPr>
        <w:pStyle w:val="165"/>
        <w:numPr>
          <w:ilvl w:val="3"/>
          <w:numId w:val="0"/>
        </w:numPr>
        <w:ind w:left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6.1.1 </w:t>
      </w:r>
      <w:r>
        <w:rPr>
          <w:rFonts w:hint="eastAsia"/>
          <w:color w:val="000000" w:themeColor="text1"/>
          <w14:textFill>
            <w14:solidFill>
              <w14:schemeClr w14:val="tx1"/>
            </w14:solidFill>
          </w14:textFill>
        </w:rPr>
        <w:t>应将信用建设目标纳入发展规划和年度工作计划。</w:t>
      </w:r>
    </w:p>
    <w:p>
      <w:pPr>
        <w:pStyle w:val="165"/>
        <w:numPr>
          <w:ilvl w:val="3"/>
          <w:numId w:val="0"/>
        </w:numPr>
        <w:ind w:leftChars="0"/>
      </w:pPr>
      <w:r>
        <w:rPr>
          <w:rFonts w:hint="eastAsia"/>
          <w:lang w:val="en-US" w:eastAsia="zh-CN"/>
        </w:rPr>
        <w:t xml:space="preserve">6.1.2 </w:t>
      </w:r>
      <w:r>
        <w:rPr>
          <w:rFonts w:hint="eastAsia"/>
        </w:rPr>
        <w:t>应配备专职（兼职）信用管理人员。</w:t>
      </w:r>
    </w:p>
    <w:p>
      <w:pPr>
        <w:pStyle w:val="165"/>
        <w:numPr>
          <w:ilvl w:val="3"/>
          <w:numId w:val="0"/>
        </w:numPr>
        <w:ind w:leftChars="0"/>
      </w:pPr>
      <w:r>
        <w:rPr>
          <w:rFonts w:hint="eastAsia"/>
          <w:lang w:val="en-US" w:eastAsia="zh-CN"/>
        </w:rPr>
        <w:t xml:space="preserve">6.1.3 </w:t>
      </w:r>
      <w:r>
        <w:rPr>
          <w:rFonts w:hint="eastAsia"/>
        </w:rPr>
        <w:t>宜建立信用管理工作核查程序，对信用目标、信用水平、合规情况、承诺兑现等进行监测，审核内部管理程序；建立纠正、预防和失信修复程序。</w:t>
      </w:r>
    </w:p>
    <w:p>
      <w:pPr>
        <w:pStyle w:val="165"/>
        <w:numPr>
          <w:ilvl w:val="3"/>
          <w:numId w:val="0"/>
        </w:numPr>
        <w:ind w:leftChars="0"/>
      </w:pPr>
      <w:r>
        <w:rPr>
          <w:rFonts w:hint="eastAsia"/>
          <w:color w:val="000000" w:themeColor="text1"/>
          <w:lang w:val="en-US" w:eastAsia="zh-CN"/>
          <w14:textFill>
            <w14:solidFill>
              <w14:schemeClr w14:val="tx1"/>
            </w14:solidFill>
          </w14:textFill>
        </w:rPr>
        <w:t xml:space="preserve">6.1.4 </w:t>
      </w:r>
      <w:r>
        <w:rPr>
          <w:rFonts w:hint="eastAsia"/>
          <w:color w:val="000000" w:themeColor="text1"/>
          <w14:textFill>
            <w14:solidFill>
              <w14:schemeClr w14:val="tx1"/>
            </w14:solidFill>
          </w14:textFill>
        </w:rPr>
        <w:t>宜健全完善党建工作与业务融合发展机制，</w:t>
      </w:r>
      <w:r>
        <w:rPr>
          <w:rFonts w:hint="eastAsia"/>
        </w:rPr>
        <w:t>落实监督职责。</w:t>
      </w:r>
    </w:p>
    <w:p>
      <w:pPr>
        <w:pStyle w:val="165"/>
        <w:numPr>
          <w:ilvl w:val="3"/>
          <w:numId w:val="0"/>
        </w:numPr>
        <w:ind w:leftChars="0"/>
        <w:rPr>
          <w:rFonts w:hint="eastAsia"/>
        </w:rPr>
      </w:pPr>
      <w:r>
        <w:rPr>
          <w:rFonts w:hint="eastAsia"/>
          <w:lang w:val="en-US" w:eastAsia="zh-CN"/>
        </w:rPr>
        <w:t xml:space="preserve">6.1.5 </w:t>
      </w:r>
      <w:r>
        <w:rPr>
          <w:rFonts w:hint="eastAsia"/>
        </w:rPr>
        <w:t>宜指定专职工作人员协调处理相关方投诉，及内外部信用管理信息交流，确保信用</w:t>
      </w:r>
      <w:r>
        <w:rPr>
          <w:rFonts w:hint="eastAsia"/>
          <w:lang w:val="en-US" w:eastAsia="zh-CN"/>
        </w:rPr>
        <w:t>体系</w:t>
      </w:r>
      <w:r>
        <w:rPr>
          <w:rFonts w:hint="eastAsia"/>
        </w:rPr>
        <w:t>建设有效实施。</w:t>
      </w:r>
    </w:p>
    <w:p>
      <w:pPr>
        <w:pStyle w:val="105"/>
        <w:numPr>
          <w:ilvl w:val="2"/>
          <w:numId w:val="0"/>
        </w:numPr>
        <w:spacing w:before="156" w:after="156"/>
        <w:ind w:leftChars="0"/>
      </w:pPr>
      <w:r>
        <w:rPr>
          <w:rFonts w:hint="eastAsia"/>
          <w:lang w:val="en-US" w:eastAsia="zh-CN"/>
        </w:rPr>
        <w:t xml:space="preserve">6.2 </w:t>
      </w:r>
      <w:r>
        <w:rPr>
          <w:rFonts w:hint="eastAsia"/>
        </w:rPr>
        <w:t>风险管理</w:t>
      </w:r>
    </w:p>
    <w:p>
      <w:pPr>
        <w:pStyle w:val="56"/>
        <w:ind w:firstLine="420"/>
      </w:pPr>
      <w:r>
        <w:rPr>
          <w:rFonts w:hint="eastAsia" w:hAnsi="宋体"/>
        </w:rPr>
        <w:t>社会组织应开展信用风险监测及预警等工作，包括但不限于：</w:t>
      </w:r>
    </w:p>
    <w:p>
      <w:pPr>
        <w:pStyle w:val="174"/>
        <w:keepNext w:val="0"/>
        <w:keepLines w:val="0"/>
        <w:pageBreakBefore w:val="0"/>
        <w:widowControl/>
        <w:numPr>
          <w:ilvl w:val="0"/>
          <w:numId w:val="0"/>
        </w:numPr>
        <w:tabs>
          <w:tab w:val="left" w:pos="839"/>
          <w:tab w:val="clear" w:pos="851"/>
        </w:tabs>
        <w:kinsoku/>
        <w:wordWrap/>
        <w:overflowPunct/>
        <w:topLinePunct w:val="0"/>
        <w:autoSpaceDE/>
        <w:autoSpaceDN/>
        <w:bidi w:val="0"/>
        <w:adjustRightInd/>
        <w:snapToGrid/>
        <w:spacing w:beforeAutospacing="0" w:afterAutospacing="0"/>
        <w:ind w:left="425" w:leftChars="0"/>
        <w:textAlignment w:val="auto"/>
      </w:pPr>
      <w:r>
        <w:rPr>
          <w:rFonts w:hint="eastAsia" w:hAnsi="宋体"/>
          <w:lang w:val="en-US" w:eastAsia="zh-CN"/>
        </w:rPr>
        <w:t xml:space="preserve">a） </w:t>
      </w:r>
      <w:r>
        <w:rPr>
          <w:rFonts w:hint="eastAsia" w:hAnsi="宋体"/>
        </w:rPr>
        <w:t>对信用风险进行监测预警，包括宏观政策风险、监管制度风险、行业产业风险、组织管理风险、社会舆情风险等；</w:t>
      </w:r>
    </w:p>
    <w:p>
      <w:pPr>
        <w:pStyle w:val="174"/>
        <w:keepNext w:val="0"/>
        <w:keepLines w:val="0"/>
        <w:pageBreakBefore w:val="0"/>
        <w:widowControl/>
        <w:numPr>
          <w:ilvl w:val="0"/>
          <w:numId w:val="0"/>
        </w:numPr>
        <w:tabs>
          <w:tab w:val="left" w:pos="839"/>
          <w:tab w:val="clear" w:pos="851"/>
        </w:tabs>
        <w:kinsoku/>
        <w:wordWrap/>
        <w:overflowPunct/>
        <w:topLinePunct w:val="0"/>
        <w:autoSpaceDE/>
        <w:autoSpaceDN/>
        <w:bidi w:val="0"/>
        <w:adjustRightInd/>
        <w:snapToGrid/>
        <w:spacing w:beforeAutospacing="0" w:afterAutospacing="0"/>
        <w:ind w:left="425" w:leftChars="0"/>
        <w:textAlignment w:val="auto"/>
      </w:pPr>
      <w:r>
        <w:rPr>
          <w:rFonts w:hint="eastAsia" w:hAnsi="宋体"/>
          <w:lang w:val="en-US" w:eastAsia="zh-CN"/>
        </w:rPr>
        <w:t>b）</w:t>
      </w:r>
      <w:r>
        <w:rPr>
          <w:rFonts w:hint="eastAsia" w:hAnsi="宋体"/>
        </w:rPr>
        <w:t>可依托相关监测平台或通过其他管理方式，开展动态和定期的风险监测、识别和预警；</w:t>
      </w:r>
    </w:p>
    <w:p>
      <w:pPr>
        <w:pStyle w:val="174"/>
        <w:keepNext w:val="0"/>
        <w:keepLines w:val="0"/>
        <w:pageBreakBefore w:val="0"/>
        <w:widowControl/>
        <w:numPr>
          <w:ilvl w:val="0"/>
          <w:numId w:val="0"/>
        </w:numPr>
        <w:tabs>
          <w:tab w:val="left" w:pos="839"/>
          <w:tab w:val="clear" w:pos="851"/>
        </w:tabs>
        <w:kinsoku/>
        <w:wordWrap/>
        <w:overflowPunct/>
        <w:topLinePunct w:val="0"/>
        <w:autoSpaceDE/>
        <w:autoSpaceDN/>
        <w:bidi w:val="0"/>
        <w:adjustRightInd/>
        <w:snapToGrid/>
        <w:spacing w:beforeAutospacing="0" w:afterAutospacing="0"/>
        <w:ind w:left="425" w:leftChars="0"/>
        <w:textAlignment w:val="auto"/>
      </w:pPr>
      <w:r>
        <w:rPr>
          <w:rFonts w:hint="eastAsia" w:hAnsi="宋体"/>
          <w:lang w:val="en-US" w:eastAsia="zh-CN"/>
        </w:rPr>
        <w:t>c</w:t>
      </w:r>
      <w:r>
        <w:rPr>
          <w:rFonts w:hint="eastAsia" w:hAnsi="宋体"/>
          <w:lang w:eastAsia="zh-CN"/>
        </w:rPr>
        <w:t>）</w:t>
      </w:r>
      <w:r>
        <w:rPr>
          <w:rFonts w:hint="eastAsia" w:hAnsi="宋体"/>
        </w:rPr>
        <w:t>针对预警的信用风险制定风险防控方案，采取相应措施进行控制，纠正风险行为，防止风险发生。</w:t>
      </w:r>
    </w:p>
    <w:p>
      <w:pPr>
        <w:pStyle w:val="105"/>
        <w:numPr>
          <w:ilvl w:val="2"/>
          <w:numId w:val="0"/>
        </w:numPr>
        <w:spacing w:before="156" w:after="156"/>
        <w:ind w:leftChars="0"/>
      </w:pPr>
      <w:r>
        <w:rPr>
          <w:rFonts w:hint="eastAsia"/>
          <w:lang w:val="en-US" w:eastAsia="zh-CN"/>
        </w:rPr>
        <w:t xml:space="preserve">6.3 </w:t>
      </w:r>
      <w:r>
        <w:rPr>
          <w:rFonts w:hint="eastAsia"/>
        </w:rPr>
        <w:t>应急管理</w:t>
      </w:r>
    </w:p>
    <w:p>
      <w:pPr>
        <w:pStyle w:val="56"/>
        <w:keepNext w:val="0"/>
        <w:keepLines w:val="0"/>
        <w:pageBreakBefore w:val="0"/>
        <w:widowControl/>
        <w:kinsoku/>
        <w:wordWrap/>
        <w:overflowPunct/>
        <w:topLinePunct w:val="0"/>
        <w:bidi w:val="0"/>
        <w:adjustRightInd/>
        <w:snapToGrid/>
        <w:spacing w:beforeAutospacing="0" w:afterAutospacing="0"/>
        <w:ind w:firstLine="420"/>
        <w:textAlignment w:val="auto"/>
      </w:pPr>
      <w:r>
        <w:rPr>
          <w:rFonts w:hint="eastAsia" w:hAnsi="宋体"/>
        </w:rPr>
        <w:t>社会组织应建立、实施和持续改进应急准备和响应程序，以确保：</w:t>
      </w:r>
    </w:p>
    <w:p>
      <w:pPr>
        <w:pStyle w:val="174"/>
        <w:keepNext w:val="0"/>
        <w:keepLines w:val="0"/>
        <w:pageBreakBefore w:val="0"/>
        <w:widowControl/>
        <w:numPr>
          <w:ilvl w:val="0"/>
          <w:numId w:val="0"/>
        </w:numPr>
        <w:tabs>
          <w:tab w:val="left" w:pos="839"/>
          <w:tab w:val="clear" w:pos="851"/>
        </w:tabs>
        <w:kinsoku/>
        <w:wordWrap/>
        <w:overflowPunct/>
        <w:topLinePunct w:val="0"/>
        <w:bidi w:val="0"/>
        <w:adjustRightInd/>
        <w:snapToGrid/>
        <w:spacing w:beforeAutospacing="0" w:afterAutospacing="0"/>
        <w:ind w:left="425" w:leftChars="0"/>
        <w:textAlignment w:val="auto"/>
      </w:pPr>
      <w:r>
        <w:rPr>
          <w:rFonts w:hint="eastAsia" w:hAnsi="宋体"/>
          <w:lang w:val="en-US" w:eastAsia="zh-CN"/>
        </w:rPr>
        <w:t>a）</w:t>
      </w:r>
      <w:r>
        <w:rPr>
          <w:rFonts w:hint="eastAsia" w:hAnsi="宋体"/>
        </w:rPr>
        <w:t>识别可能对社会组织和会员信用造成的影响；</w:t>
      </w:r>
    </w:p>
    <w:p>
      <w:pPr>
        <w:pStyle w:val="174"/>
        <w:keepNext w:val="0"/>
        <w:keepLines w:val="0"/>
        <w:pageBreakBefore w:val="0"/>
        <w:widowControl/>
        <w:numPr>
          <w:ilvl w:val="0"/>
          <w:numId w:val="0"/>
        </w:numPr>
        <w:tabs>
          <w:tab w:val="left" w:pos="839"/>
          <w:tab w:val="clear" w:pos="851"/>
        </w:tabs>
        <w:kinsoku/>
        <w:wordWrap/>
        <w:overflowPunct/>
        <w:topLinePunct w:val="0"/>
        <w:bidi w:val="0"/>
        <w:adjustRightInd/>
        <w:snapToGrid/>
        <w:spacing w:beforeAutospacing="0" w:afterAutospacing="0"/>
        <w:ind w:left="425" w:leftChars="0"/>
        <w:textAlignment w:val="auto"/>
      </w:pPr>
      <w:r>
        <w:rPr>
          <w:rFonts w:hint="eastAsia" w:hAnsi="宋体"/>
          <w:lang w:val="en-US" w:eastAsia="zh-CN"/>
        </w:rPr>
        <w:t>b）</w:t>
      </w:r>
      <w:r>
        <w:rPr>
          <w:rFonts w:hint="eastAsia" w:hAnsi="宋体"/>
        </w:rPr>
        <w:t>制定响应措施，预防和减少因失信产生的影响；</w:t>
      </w:r>
    </w:p>
    <w:p>
      <w:pPr>
        <w:pStyle w:val="174"/>
        <w:keepNext w:val="0"/>
        <w:keepLines w:val="0"/>
        <w:pageBreakBefore w:val="0"/>
        <w:widowControl/>
        <w:numPr>
          <w:ilvl w:val="0"/>
          <w:numId w:val="0"/>
        </w:numPr>
        <w:tabs>
          <w:tab w:val="left" w:pos="839"/>
          <w:tab w:val="clear" w:pos="851"/>
        </w:tabs>
        <w:kinsoku/>
        <w:wordWrap/>
        <w:overflowPunct/>
        <w:topLinePunct w:val="0"/>
        <w:bidi w:val="0"/>
        <w:adjustRightInd/>
        <w:snapToGrid/>
        <w:spacing w:beforeAutospacing="0" w:afterAutospacing="0"/>
        <w:ind w:left="425" w:leftChars="0"/>
        <w:textAlignment w:val="auto"/>
      </w:pPr>
      <w:r>
        <w:rPr>
          <w:rFonts w:hint="eastAsia" w:hAnsi="宋体"/>
          <w:lang w:val="en-US" w:eastAsia="zh-CN"/>
        </w:rPr>
        <w:t>c）</w:t>
      </w:r>
      <w:r>
        <w:rPr>
          <w:rFonts w:hint="eastAsia" w:hAnsi="宋体"/>
        </w:rPr>
        <w:t>及时消除（或尽力减小）负面舆情产生的影响，避免社会组织公信力和美誉度下降；</w:t>
      </w:r>
    </w:p>
    <w:p>
      <w:pPr>
        <w:pStyle w:val="174"/>
        <w:keepNext w:val="0"/>
        <w:keepLines w:val="0"/>
        <w:pageBreakBefore w:val="0"/>
        <w:widowControl/>
        <w:numPr>
          <w:ilvl w:val="0"/>
          <w:numId w:val="0"/>
        </w:numPr>
        <w:tabs>
          <w:tab w:val="left" w:pos="839"/>
          <w:tab w:val="clear" w:pos="851"/>
        </w:tabs>
        <w:kinsoku/>
        <w:wordWrap/>
        <w:overflowPunct/>
        <w:topLinePunct w:val="0"/>
        <w:bidi w:val="0"/>
        <w:adjustRightInd/>
        <w:snapToGrid/>
        <w:spacing w:beforeAutospacing="0" w:afterAutospacing="0"/>
        <w:ind w:left="425" w:leftChars="0"/>
        <w:textAlignment w:val="auto"/>
      </w:pPr>
      <w:r>
        <w:rPr>
          <w:rFonts w:hint="eastAsia" w:hAnsi="宋体"/>
          <w:lang w:val="en-US" w:eastAsia="zh-CN"/>
        </w:rPr>
        <w:t>d）</w:t>
      </w:r>
      <w:r>
        <w:rPr>
          <w:rFonts w:hint="eastAsia" w:hAnsi="宋体"/>
        </w:rPr>
        <w:t>定期评审应急准备和响应程序，必要时对其进行及时修订，特别是当紧急情况发生后，及时根据实际情况处理；</w:t>
      </w:r>
    </w:p>
    <w:p>
      <w:pPr>
        <w:pStyle w:val="174"/>
        <w:keepNext w:val="0"/>
        <w:keepLines w:val="0"/>
        <w:pageBreakBefore w:val="0"/>
        <w:widowControl/>
        <w:numPr>
          <w:ilvl w:val="0"/>
          <w:numId w:val="0"/>
        </w:numPr>
        <w:tabs>
          <w:tab w:val="left" w:pos="839"/>
          <w:tab w:val="clear" w:pos="851"/>
        </w:tabs>
        <w:kinsoku/>
        <w:wordWrap/>
        <w:overflowPunct/>
        <w:topLinePunct w:val="0"/>
        <w:bidi w:val="0"/>
        <w:adjustRightInd/>
        <w:snapToGrid/>
        <w:spacing w:beforeAutospacing="0" w:afterAutospacing="0"/>
        <w:ind w:left="425" w:leftChars="0"/>
        <w:textAlignment w:val="auto"/>
      </w:pPr>
      <w:r>
        <w:rPr>
          <w:rFonts w:hint="eastAsia" w:hAnsi="宋体"/>
          <w:lang w:val="en-US" w:eastAsia="zh-CN"/>
        </w:rPr>
        <w:t>e）</w:t>
      </w:r>
      <w:r>
        <w:rPr>
          <w:rFonts w:hint="eastAsia" w:hAnsi="宋体"/>
        </w:rPr>
        <w:t>可行时，定期演练相关程序。</w:t>
      </w:r>
    </w:p>
    <w:bookmarkEnd w:id="22"/>
    <w:p>
      <w:pPr>
        <w:pStyle w:val="56"/>
        <w:ind w:firstLine="420"/>
        <w:sectPr>
          <w:pgSz w:w="11906" w:h="16838"/>
          <w:pgMar w:top="1928" w:right="1134" w:bottom="1134" w:left="1134" w:header="1418" w:footer="1134" w:gutter="284"/>
          <w:pgNumType w:start="1"/>
          <w:cols w:space="425" w:num="1"/>
          <w:formProt w:val="0"/>
          <w:docGrid w:type="lines" w:linePitch="312" w:charSpace="0"/>
        </w:sectPr>
      </w:pPr>
      <w:bookmarkStart w:id="81" w:name="BookMark6"/>
    </w:p>
    <w:p>
      <w:pPr>
        <w:pStyle w:val="63"/>
        <w:spacing w:after="156"/>
      </w:pPr>
      <w:r>
        <w:rPr>
          <w:rFonts w:hint="eastAsia"/>
          <w:spacing w:val="105"/>
        </w:rPr>
        <w:t>参考文</w:t>
      </w:r>
      <w:r>
        <w:rPr>
          <w:rFonts w:hint="eastAsia"/>
        </w:rPr>
        <w:t>献</w:t>
      </w:r>
    </w:p>
    <w:p>
      <w:pPr>
        <w:pStyle w:val="56"/>
        <w:ind w:firstLine="420"/>
      </w:pPr>
    </w:p>
    <w:p>
      <w:pPr>
        <w:pStyle w:val="230"/>
        <w:numPr>
          <w:ilvl w:val="0"/>
          <w:numId w:val="32"/>
        </w:numPr>
        <w:ind w:firstLine="420"/>
        <w:rPr>
          <w:rFonts w:hint="eastAsia" w:ascii="宋体" w:hAnsi="宋体" w:eastAsia="宋体" w:cs="宋体"/>
        </w:rPr>
      </w:pPr>
      <w:r>
        <w:rPr>
          <w:rFonts w:hint="eastAsia" w:ascii="宋体" w:hAnsi="宋体" w:eastAsia="宋体" w:cs="宋体"/>
        </w:rPr>
        <w:t>GB/T  2217-2008  信用 基本术语</w:t>
      </w:r>
    </w:p>
    <w:p>
      <w:pPr>
        <w:pStyle w:val="230"/>
        <w:numPr>
          <w:ilvl w:val="0"/>
          <w:numId w:val="32"/>
        </w:numPr>
        <w:ind w:firstLine="420"/>
      </w:pPr>
      <w:r>
        <w:rPr>
          <w:rFonts w:hint="eastAsia" w:hAnsi="宋体"/>
        </w:rPr>
        <w:t xml:space="preserve">GB/T </w:t>
      </w:r>
      <w:r>
        <w:rPr>
          <w:rFonts w:hint="eastAsia"/>
        </w:rPr>
        <w:t xml:space="preserve"> 22116</w:t>
      </w:r>
      <w:r>
        <w:rPr>
          <w:rFonts w:hint="eastAsia" w:hAnsi="宋体"/>
        </w:rPr>
        <w:t>-2008</w:t>
      </w:r>
      <w:r>
        <w:rPr>
          <w:rFonts w:hint="eastAsia"/>
        </w:rPr>
        <w:t xml:space="preserve"> </w:t>
      </w:r>
      <w:r>
        <w:rPr>
          <w:rFonts w:hint="eastAsia" w:hAnsi="宋体"/>
        </w:rPr>
        <w:t>企业信用等级表示方法</w:t>
      </w:r>
    </w:p>
    <w:p>
      <w:pPr>
        <w:pStyle w:val="230"/>
        <w:numPr>
          <w:ilvl w:val="0"/>
          <w:numId w:val="32"/>
        </w:numPr>
        <w:ind w:firstLine="420"/>
      </w:pPr>
      <w:r>
        <w:rPr>
          <w:rFonts w:hint="eastAsia" w:hAnsi="宋体"/>
        </w:rPr>
        <w:t xml:space="preserve">GB/T </w:t>
      </w:r>
      <w:r>
        <w:rPr>
          <w:rFonts w:hint="eastAsia"/>
        </w:rPr>
        <w:t xml:space="preserve"> 22117-2018 信用 基本术语</w:t>
      </w:r>
    </w:p>
    <w:p>
      <w:pPr>
        <w:pStyle w:val="230"/>
        <w:numPr>
          <w:ilvl w:val="0"/>
          <w:numId w:val="32"/>
        </w:numPr>
        <w:ind w:firstLine="420"/>
      </w:pPr>
      <w:r>
        <w:rPr>
          <w:rFonts w:hint="eastAsia" w:hAnsi="宋体"/>
        </w:rPr>
        <w:t xml:space="preserve">GB/T </w:t>
      </w:r>
      <w:r>
        <w:rPr>
          <w:rFonts w:hint="eastAsia"/>
        </w:rPr>
        <w:t xml:space="preserve"> 22119</w:t>
      </w:r>
      <w:r>
        <w:rPr>
          <w:rFonts w:hint="eastAsia" w:hAnsi="宋体"/>
        </w:rPr>
        <w:t>-2017</w:t>
      </w:r>
      <w:r>
        <w:rPr>
          <w:rFonts w:hint="eastAsia"/>
        </w:rPr>
        <w:t xml:space="preserve"> </w:t>
      </w:r>
      <w:r>
        <w:rPr>
          <w:rFonts w:hint="eastAsia" w:hAnsi="宋体"/>
        </w:rPr>
        <w:t>信用服务机构</w:t>
      </w:r>
      <w:r>
        <w:rPr>
          <w:rFonts w:hint="eastAsia"/>
        </w:rPr>
        <w:t xml:space="preserve"> </w:t>
      </w:r>
      <w:r>
        <w:rPr>
          <w:rFonts w:hint="eastAsia" w:hAnsi="宋体"/>
        </w:rPr>
        <w:t>诚信评价业务规范</w:t>
      </w:r>
    </w:p>
    <w:p>
      <w:pPr>
        <w:pStyle w:val="230"/>
        <w:numPr>
          <w:ilvl w:val="0"/>
          <w:numId w:val="32"/>
        </w:numPr>
        <w:ind w:firstLine="420"/>
      </w:pPr>
      <w:r>
        <w:rPr>
          <w:rFonts w:hint="eastAsia" w:hAnsi="宋体"/>
        </w:rPr>
        <w:t xml:space="preserve">GB/T </w:t>
      </w:r>
      <w:r>
        <w:rPr>
          <w:rFonts w:hint="eastAsia"/>
        </w:rPr>
        <w:t xml:space="preserve"> 23793-2017 合格供应商信用评价规范</w:t>
      </w:r>
    </w:p>
    <w:p>
      <w:pPr>
        <w:pStyle w:val="230"/>
        <w:numPr>
          <w:ilvl w:val="0"/>
          <w:numId w:val="32"/>
        </w:numPr>
        <w:ind w:firstLine="420"/>
      </w:pPr>
      <w:r>
        <w:rPr>
          <w:rFonts w:hint="eastAsia"/>
        </w:rPr>
        <w:t xml:space="preserve">GB/T  23794-2023 </w:t>
      </w:r>
      <w:r>
        <w:rPr>
          <w:rFonts w:hint="eastAsia" w:hAnsi="宋体"/>
        </w:rPr>
        <w:t>企业信用评价指标</w:t>
      </w:r>
    </w:p>
    <w:p>
      <w:pPr>
        <w:pStyle w:val="230"/>
        <w:numPr>
          <w:ilvl w:val="0"/>
          <w:numId w:val="32"/>
        </w:numPr>
        <w:ind w:firstLine="420"/>
      </w:pPr>
      <w:r>
        <w:rPr>
          <w:rFonts w:hint="eastAsia"/>
        </w:rPr>
        <w:t xml:space="preserve">GB/T  31953-2023 </w:t>
      </w:r>
      <w:r>
        <w:rPr>
          <w:rFonts w:hint="eastAsia" w:hAnsi="宋体"/>
        </w:rPr>
        <w:t>企业信用评价报告编制指南</w:t>
      </w:r>
    </w:p>
    <w:p>
      <w:pPr>
        <w:pStyle w:val="230"/>
        <w:numPr>
          <w:ilvl w:val="0"/>
          <w:numId w:val="32"/>
        </w:numPr>
        <w:ind w:firstLine="420"/>
      </w:pPr>
      <w:r>
        <w:rPr>
          <w:rFonts w:hint="eastAsia" w:hAnsi="宋体"/>
        </w:rPr>
        <w:t>DB46/T 661-2024 公共信用信息数据项规范</w:t>
      </w:r>
    </w:p>
    <w:p>
      <w:pPr>
        <w:pStyle w:val="230"/>
        <w:numPr>
          <w:ilvl w:val="0"/>
          <w:numId w:val="32"/>
        </w:numPr>
        <w:ind w:firstLine="420"/>
      </w:pPr>
      <w:r>
        <w:rPr>
          <w:rFonts w:hint="eastAsia" w:hAnsi="宋体"/>
        </w:rPr>
        <w:t>《国务院办公厅关于加快推进社会信用体系建设构建以信用为基础的新型监管机制的指导意见》（国办发〔2019〕35号）</w:t>
      </w:r>
    </w:p>
    <w:p>
      <w:pPr>
        <w:pStyle w:val="230"/>
        <w:numPr>
          <w:ilvl w:val="0"/>
          <w:numId w:val="32"/>
        </w:numPr>
        <w:ind w:firstLine="420"/>
      </w:pPr>
      <w:r>
        <w:rPr>
          <w:rFonts w:hint="eastAsia" w:hAnsi="宋体"/>
        </w:rPr>
        <w:t>《关于健全社会信用体系的意见》，中共中央办公厅、国务院办公厅，2025年3月21日；</w:t>
      </w:r>
    </w:p>
    <w:p>
      <w:pPr>
        <w:pStyle w:val="230"/>
        <w:numPr>
          <w:ilvl w:val="0"/>
          <w:numId w:val="32"/>
        </w:numPr>
        <w:ind w:firstLine="420"/>
      </w:pPr>
      <w:r>
        <w:rPr>
          <w:rFonts w:hint="eastAsia" w:hAnsi="宋体"/>
        </w:rPr>
        <w:t>京民社发[2023] 257号 《北京市社会组织信用监管办法（试行）》</w:t>
      </w:r>
    </w:p>
    <w:p>
      <w:pPr>
        <w:pStyle w:val="230"/>
        <w:numPr>
          <w:ilvl w:val="0"/>
          <w:numId w:val="32"/>
        </w:numPr>
        <w:ind w:firstLine="420"/>
      </w:pPr>
      <w:r>
        <w:rPr>
          <w:rFonts w:hint="eastAsia" w:hAnsi="宋体"/>
        </w:rPr>
        <w:t>海南省社会组织信用分级分类监督管理办法（试行）</w:t>
      </w:r>
    </w:p>
    <w:p>
      <w:pPr>
        <w:pStyle w:val="230"/>
        <w:numPr>
          <w:ilvl w:val="0"/>
          <w:numId w:val="32"/>
        </w:numPr>
        <w:ind w:firstLine="420"/>
      </w:pPr>
      <w:r>
        <w:rPr>
          <w:rFonts w:hint="eastAsia" w:hAnsi="宋体"/>
        </w:rPr>
        <w:t xml:space="preserve">T/HPADCA  002—2024 社会组织信用评价规范  </w:t>
      </w:r>
    </w:p>
    <w:p>
      <w:pPr>
        <w:pStyle w:val="56"/>
        <w:ind w:firstLine="420"/>
      </w:pPr>
      <w:r>
        <w:rPr>
          <w:rFonts w:hint="eastAsia"/>
        </w:rPr>
        <w:t xml:space="preserve"> </w:t>
      </w:r>
    </w:p>
    <w:p>
      <w:pPr>
        <w:pStyle w:val="56"/>
        <w:ind w:firstLine="420"/>
      </w:pPr>
    </w:p>
    <w:p>
      <w:pPr>
        <w:pStyle w:val="56"/>
        <w:ind w:firstLine="420"/>
      </w:pPr>
    </w:p>
    <w:p>
      <w:pPr>
        <w:pStyle w:val="56"/>
        <w:ind w:firstLine="420"/>
      </w:pPr>
    </w:p>
    <w:bookmarkEnd w:id="81"/>
    <w:p>
      <w:pPr>
        <w:pStyle w:val="56"/>
        <w:ind w:firstLine="0" w:firstLineChars="0"/>
        <w:jc w:val="center"/>
      </w:pPr>
      <w:bookmarkStart w:id="82" w:name="BookMark8"/>
      <w: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2"/>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Noto Sans Ethiopic">
    <w:panose1 w:val="020B0502040504020204"/>
    <w:charset w:val="00"/>
    <w:family w:val="auto"/>
    <w:pitch w:val="default"/>
    <w:sig w:usb0="00000000" w:usb1="00000000" w:usb2="00000800" w:usb3="00000000" w:csb0="00000001" w:csb1="00000000"/>
  </w:font>
  <w:font w:name="等线 Light">
    <w:altName w:val="华文中宋"/>
    <w:panose1 w:val="02010600030101010101"/>
    <w:charset w:val="86"/>
    <w:family w:val="auto"/>
    <w:pitch w:val="default"/>
    <w:sig w:usb0="00000000" w:usb1="00000000" w:usb2="00000016" w:usb3="00000000" w:csb0="0004000F" w:csb1="00000000"/>
  </w:font>
  <w:font w:name="DejaVu Math TeX Gyre">
    <w:panose1 w:val="02000503000000000000"/>
    <w:charset w:val="00"/>
    <w:family w:val="auto"/>
    <w:pitch w:val="default"/>
    <w:sig w:usb0="A10000EF" w:usb1="4201F9EE" w:usb2="02000000" w:usb3="00000000" w:csb0="60000193" w:csb1="0DD4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46/T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46/T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284"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779A217B"/>
    <w:multiLevelType w:val="multilevel"/>
    <w:tmpl w:val="779A217B"/>
    <w:lvl w:ilvl="0" w:tentative="0">
      <w:start w:val="1"/>
      <w:numFmt w:val="decimal"/>
      <w:suff w:val="nothing"/>
      <w:lvlText w:val="[%1]  "/>
      <w:lvlJc w:val="left"/>
      <w:pPr>
        <w:ind w:left="0" w:firstLine="363"/>
      </w:pPr>
      <w:rPr>
        <w:rFonts w:hint="eastAsia" w:ascii="黑体" w:hAnsi="黑体" w:eastAsia="黑体"/>
        <w:sz w:val="18"/>
        <w:szCs w:val="18"/>
      </w:rPr>
    </w:lvl>
    <w:lvl w:ilvl="1" w:tentative="0">
      <w:start w:val="1"/>
      <w:numFmt w:val="chineseCounting"/>
      <w:suff w:val="nothing"/>
      <w:lvlText w:val="第%2节　"/>
      <w:lvlJc w:val="left"/>
      <w:pPr>
        <w:ind w:left="0" w:firstLine="402"/>
      </w:pPr>
    </w:lvl>
    <w:lvl w:ilvl="2" w:tentative="0">
      <w:start w:val="1"/>
      <w:numFmt w:val="chineseCounting"/>
      <w:suff w:val="nothing"/>
      <w:lvlText w:val="第%3条　"/>
      <w:lvlJc w:val="left"/>
      <w:pPr>
        <w:ind w:left="0" w:firstLine="402"/>
      </w:pPr>
    </w:lvl>
    <w:lvl w:ilvl="3" w:tentative="0">
      <w:start w:val="1"/>
      <w:numFmt w:val="chineseCounting"/>
      <w:suff w:val="nothing"/>
      <w:lvlText w:val="（%4）"/>
      <w:lvlJc w:val="left"/>
      <w:pPr>
        <w:ind w:left="0" w:firstLine="402"/>
      </w:pPr>
    </w:lvl>
    <w:lvl w:ilvl="4" w:tentative="0">
      <w:start w:val="1"/>
      <w:numFmt w:val="decimal"/>
      <w:suff w:val="nothing"/>
      <w:lvlText w:val="%5．"/>
      <w:lvlJc w:val="left"/>
      <w:pPr>
        <w:ind w:left="0" w:firstLine="402"/>
      </w:pPr>
      <w:rPr>
        <w:rFonts w:hint="eastAsia" w:ascii="宋体" w:hAnsi="宋体" w:eastAsia="宋体"/>
      </w:rPr>
    </w:lvl>
    <w:lvl w:ilvl="5" w:tentative="0">
      <w:start w:val="1"/>
      <w:numFmt w:val="decimal"/>
      <w:suff w:val="nothing"/>
      <w:lvlText w:val="（%6）"/>
      <w:lvlJc w:val="left"/>
      <w:pPr>
        <w:ind w:left="0" w:firstLine="402"/>
      </w:pPr>
      <w:rPr>
        <w:rFonts w:hint="eastAsia" w:ascii="宋体" w:hAnsi="宋体" w:eastAsia="宋体"/>
      </w:rPr>
    </w:lvl>
    <w:lvl w:ilvl="6" w:tentative="0">
      <w:start w:val="1"/>
      <w:numFmt w:val="decimalEnclosedCircleChinese"/>
      <w:suff w:val="nothing"/>
      <w:lvlText w:val="%7 "/>
      <w:lvlJc w:val="left"/>
      <w:pPr>
        <w:ind w:left="0" w:firstLine="402"/>
      </w:pPr>
      <w:rPr>
        <w:rFonts w:hint="eastAsia" w:ascii="宋体" w:hAnsi="宋体" w:eastAsia="宋体"/>
      </w:rPr>
    </w:lvl>
    <w:lvl w:ilvl="7" w:tentative="0">
      <w:start w:val="1"/>
      <w:numFmt w:val="decimal"/>
      <w:suff w:val="nothing"/>
      <w:lvlText w:val="%8）"/>
      <w:lvlJc w:val="left"/>
      <w:pPr>
        <w:ind w:left="0" w:firstLine="402"/>
      </w:pPr>
      <w:rPr>
        <w:rFonts w:hint="eastAsia" w:ascii="宋体" w:hAnsi="宋体" w:eastAsia="宋体"/>
      </w:rPr>
    </w:lvl>
    <w:lvl w:ilvl="8" w:tentative="0">
      <w:start w:val="1"/>
      <w:numFmt w:val="lowerLetter"/>
      <w:suff w:val="nothing"/>
      <w:lvlText w:val="%9．"/>
      <w:lvlJc w:val="left"/>
      <w:pPr>
        <w:ind w:left="0" w:firstLine="402"/>
      </w:pPr>
      <w:rPr>
        <w:rFonts w:hint="eastAsia" w:ascii="宋体" w:hAnsi="宋体" w:eastAsia="宋体"/>
      </w:r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dit="forms" w:enforcement="1" w:cryptProviderType="rsaAES" w:cryptAlgorithmClass="hash" w:cryptAlgorithmType="typeAny" w:cryptAlgorithmSid="14" w:cryptSpinCount="100000" w:hash="yh6bWLAOn3mkBn9/8NIZRwq06bBddVqQ4bsND5oPi+EwJe2ThjV2fGEnKQ62FW34Na1o++mWQGgEySxHHVMzJQ==" w:salt="NjyirUEPJZvMXFQUvpR7uQ=="/>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232"/>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146B"/>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47C47"/>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2E7"/>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BD"/>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232"/>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38ED"/>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4B02"/>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C750856"/>
    <w:rsid w:val="18F552A4"/>
    <w:rsid w:val="1A497C7A"/>
    <w:rsid w:val="37F56F20"/>
    <w:rsid w:val="3AFF99BC"/>
    <w:rsid w:val="3FCF993B"/>
    <w:rsid w:val="3FDA2194"/>
    <w:rsid w:val="611B7490"/>
    <w:rsid w:val="7F6EC824"/>
    <w:rsid w:val="7FFB4542"/>
    <w:rsid w:val="95DFED9D"/>
    <w:rsid w:val="BF7F3D6C"/>
    <w:rsid w:val="D57776CF"/>
    <w:rsid w:val="DF5C9DD0"/>
    <w:rsid w:val="E7F75FC5"/>
    <w:rsid w:val="EBDD4C43"/>
    <w:rsid w:val="F3DD1858"/>
    <w:rsid w:val="F4DF2B66"/>
    <w:rsid w:val="FB57B703"/>
    <w:rsid w:val="FEB94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Char"/>
    <w:link w:val="2"/>
    <w:qFormat/>
    <w:uiPriority w:val="0"/>
    <w:rPr>
      <w:b/>
      <w:bCs/>
      <w:kern w:val="44"/>
      <w:sz w:val="44"/>
      <w:szCs w:val="44"/>
    </w:rPr>
  </w:style>
  <w:style w:type="character" w:customStyle="1" w:styleId="35">
    <w:name w:val="标题 2 Char"/>
    <w:link w:val="3"/>
    <w:qFormat/>
    <w:uiPriority w:val="0"/>
    <w:rPr>
      <w:rFonts w:ascii="Arial" w:hAnsi="Arial" w:eastAsia="黑体"/>
      <w:b/>
      <w:bCs/>
      <w:kern w:val="2"/>
      <w:sz w:val="32"/>
      <w:szCs w:val="32"/>
    </w:rPr>
  </w:style>
  <w:style w:type="character" w:customStyle="1" w:styleId="36">
    <w:name w:val="标题 3 Char"/>
    <w:link w:val="4"/>
    <w:qFormat/>
    <w:uiPriority w:val="0"/>
    <w:rPr>
      <w:b/>
      <w:bCs/>
      <w:kern w:val="2"/>
      <w:sz w:val="32"/>
      <w:szCs w:val="32"/>
    </w:rPr>
  </w:style>
  <w:style w:type="character" w:customStyle="1" w:styleId="37">
    <w:name w:val="标题 4 Char"/>
    <w:link w:val="5"/>
    <w:qFormat/>
    <w:uiPriority w:val="0"/>
    <w:rPr>
      <w:rFonts w:ascii="Arial" w:hAnsi="Arial" w:eastAsia="黑体"/>
      <w:b/>
      <w:bCs/>
      <w:kern w:val="2"/>
      <w:sz w:val="28"/>
      <w:szCs w:val="28"/>
    </w:rPr>
  </w:style>
  <w:style w:type="character" w:customStyle="1" w:styleId="38">
    <w:name w:val="标题 5 Char"/>
    <w:link w:val="6"/>
    <w:qFormat/>
    <w:uiPriority w:val="0"/>
    <w:rPr>
      <w:b/>
      <w:bCs/>
      <w:kern w:val="2"/>
      <w:sz w:val="28"/>
      <w:szCs w:val="28"/>
    </w:rPr>
  </w:style>
  <w:style w:type="character" w:customStyle="1" w:styleId="39">
    <w:name w:val="标题 6 Char"/>
    <w:link w:val="7"/>
    <w:qFormat/>
    <w:uiPriority w:val="0"/>
    <w:rPr>
      <w:rFonts w:ascii="Arial" w:hAnsi="Arial" w:eastAsia="黑体"/>
      <w:b/>
      <w:bCs/>
      <w:kern w:val="2"/>
      <w:sz w:val="24"/>
      <w:szCs w:val="24"/>
    </w:rPr>
  </w:style>
  <w:style w:type="character" w:customStyle="1" w:styleId="40">
    <w:name w:val="标题 7 Char"/>
    <w:link w:val="8"/>
    <w:qFormat/>
    <w:uiPriority w:val="0"/>
    <w:rPr>
      <w:b/>
      <w:bCs/>
      <w:kern w:val="2"/>
      <w:sz w:val="24"/>
      <w:szCs w:val="24"/>
    </w:rPr>
  </w:style>
  <w:style w:type="character" w:customStyle="1" w:styleId="41">
    <w:name w:val="标题 8 Char"/>
    <w:link w:val="9"/>
    <w:qFormat/>
    <w:uiPriority w:val="0"/>
    <w:rPr>
      <w:rFonts w:ascii="Arial" w:hAnsi="Arial" w:eastAsia="黑体"/>
      <w:kern w:val="2"/>
      <w:sz w:val="24"/>
      <w:szCs w:val="24"/>
    </w:rPr>
  </w:style>
  <w:style w:type="character" w:customStyle="1" w:styleId="42">
    <w:name w:val="标题 9 Char"/>
    <w:link w:val="10"/>
    <w:qFormat/>
    <w:uiPriority w:val="0"/>
    <w:rPr>
      <w:rFonts w:ascii="Arial" w:hAnsi="Arial" w:eastAsia="黑体"/>
      <w:kern w:val="2"/>
      <w:sz w:val="21"/>
      <w:szCs w:val="21"/>
    </w:rPr>
  </w:style>
  <w:style w:type="character" w:customStyle="1" w:styleId="43">
    <w:name w:val="页眉 Char"/>
    <w:link w:val="18"/>
    <w:qFormat/>
    <w:uiPriority w:val="99"/>
    <w:rPr>
      <w:kern w:val="2"/>
      <w:sz w:val="18"/>
      <w:szCs w:val="18"/>
    </w:rPr>
  </w:style>
  <w:style w:type="character" w:customStyle="1" w:styleId="44">
    <w:name w:val="页脚 Char"/>
    <w:link w:val="17"/>
    <w:qFormat/>
    <w:uiPriority w:val="99"/>
    <w:rPr>
      <w:rFonts w:ascii="宋体"/>
      <w:kern w:val="2"/>
      <w:sz w:val="18"/>
      <w:szCs w:val="18"/>
    </w:rPr>
  </w:style>
  <w:style w:type="character" w:customStyle="1" w:styleId="45">
    <w:name w:val="批注框文本 Char"/>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Char"/>
    <w:link w:val="46"/>
    <w:qFormat/>
    <w:uiPriority w:val="29"/>
    <w:rPr>
      <w:i/>
      <w:iCs/>
      <w:color w:val="000000"/>
      <w:kern w:val="2"/>
      <w:sz w:val="21"/>
      <w:szCs w:val="21"/>
    </w:rPr>
  </w:style>
  <w:style w:type="character" w:customStyle="1" w:styleId="48">
    <w:name w:val="标题 Char"/>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Char"/>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Char"/>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ind w:left="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标准文件_参考文献编号"/>
    <w:basedOn w:val="56"/>
    <w:qFormat/>
    <w:uiPriority w:val="0"/>
    <w:pPr>
      <w:autoSpaceDE/>
      <w:autoSpaceDN/>
      <w:spacing w:before="100" w:beforeAutospacing="1" w:after="100" w:afterAutospacing="1"/>
      <w:ind w:firstLine="363"/>
    </w:pPr>
    <w:rPr>
      <w:rFonts w:cs="宋体"/>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ylin/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87BD8373E2B421CA57B233FE650B7E3"/>
        <w:style w:val=""/>
        <w:category>
          <w:name w:val="常规"/>
          <w:gallery w:val="placeholder"/>
        </w:category>
        <w:types>
          <w:type w:val="bbPlcHdr"/>
        </w:types>
        <w:behaviors>
          <w:behavior w:val="content"/>
        </w:behaviors>
        <w:description w:val=""/>
        <w:guid w:val="{04B0FC76-2BBB-4827-8ADB-6AAF425C7008}"/>
      </w:docPartPr>
      <w:docPartBody>
        <w:p>
          <w:pPr>
            <w:pStyle w:val="5"/>
          </w:pPr>
          <w:r>
            <w:rPr>
              <w:rStyle w:val="4"/>
              <w:rFonts w:hint="eastAsia"/>
            </w:rPr>
            <w:t>单击或点击此处输入文字。</w:t>
          </w:r>
        </w:p>
      </w:docPartBody>
    </w:docPart>
    <w:docPart>
      <w:docPartPr>
        <w:name w:val="B66748847F184306BB86E853AD0825C2"/>
        <w:style w:val=""/>
        <w:category>
          <w:name w:val="常规"/>
          <w:gallery w:val="placeholder"/>
        </w:category>
        <w:types>
          <w:type w:val="bbPlcHdr"/>
        </w:types>
        <w:behaviors>
          <w:behavior w:val="content"/>
        </w:behaviors>
        <w:description w:val=""/>
        <w:guid w:val="{5B0FD877-943C-4B57-879C-79825B6F5AF4}"/>
      </w:docPartPr>
      <w:docPartBody>
        <w:p>
          <w:pPr>
            <w:pStyle w:val="6"/>
          </w:pPr>
          <w:r>
            <w:rPr>
              <w:rStyle w:val="4"/>
              <w:rFonts w:hint="eastAsia"/>
            </w:rPr>
            <w:t>选择一项。</w:t>
          </w:r>
        </w:p>
      </w:docPartBody>
    </w:docPart>
    <w:docPart>
      <w:docPartPr>
        <w:name w:val="33FB827097064AFD93B2ED2051C67E04"/>
        <w:style w:val=""/>
        <w:category>
          <w:name w:val="常规"/>
          <w:gallery w:val="placeholder"/>
        </w:category>
        <w:types>
          <w:type w:val="bbPlcHdr"/>
        </w:types>
        <w:behaviors>
          <w:behavior w:val="content"/>
        </w:behaviors>
        <w:description w:val=""/>
        <w:guid w:val="{88C59AF0-1CE1-4295-8AB3-B7A081BC2BBB}"/>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等线">
    <w:altName w:val="华文中宋"/>
    <w:panose1 w:val="00000000000000000000"/>
    <w:charset w:val="86"/>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F57"/>
    <w:rsid w:val="00300258"/>
    <w:rsid w:val="00C96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087BD8373E2B421CA57B233FE650B7E3"/>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B66748847F184306BB86E853AD0825C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33FB827097064AFD93B2ED2051C67E0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9</Pages>
  <Words>3438</Words>
  <Characters>3870</Characters>
  <Lines>29</Lines>
  <Paragraphs>8</Paragraphs>
  <TotalTime>4</TotalTime>
  <ScaleCrop>false</ScaleCrop>
  <LinksUpToDate>false</LinksUpToDate>
  <CharactersWithSpaces>3989</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2025-06-29T07:07:00Z</dcterms:created>
  <dc:creator>陈诗帆</dc:creator>
  <dc:description>&lt;config cover="true" show_menu="true" version="1.0.0" doctype="SDKXY"&gt;_x000d_
&lt;/config&gt;</dc:description>
  <cp:lastModifiedBy>kylin</cp:lastModifiedBy>
  <cp:lastPrinted>2025-07-19T17:40:00Z</cp:lastPrinted>
  <dcterms:modified xsi:type="dcterms:W3CDTF">2025-07-28T10:13:28Z</dcterms:modified>
  <dc:title>地方标准</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eyJoZGlkIjoiYTc2ZGZiNzZiNDVlOGViOWVmM2JhOTY0NGJkNjUyYzgiLCJ1c2VySWQiOiIzOTYzNjYyMzgifQ==</vt:lpwstr>
  </property>
  <property fmtid="{D5CDD505-2E9C-101B-9397-08002B2CF9AE}" pid="15" name="KSOProductBuildVer">
    <vt:lpwstr>2052-11.8.2.12313</vt:lpwstr>
  </property>
  <property fmtid="{D5CDD505-2E9C-101B-9397-08002B2CF9AE}" pid="16" name="ICV">
    <vt:lpwstr>EACB7244A3A3CEBFC8DC866830328850</vt:lpwstr>
  </property>
</Properties>
</file>