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D585A3">
      <w:pPr>
        <w:spacing w:line="360" w:lineRule="auto"/>
        <w:rPr>
          <w:rFonts w:ascii="黑体" w:hAnsi="黑体" w:eastAsia="黑体" w:cs="Times New Roman"/>
          <w:sz w:val="32"/>
          <w:szCs w:val="22"/>
        </w:rPr>
      </w:pPr>
      <w:r>
        <w:rPr>
          <w:rFonts w:hint="eastAsia" w:ascii="黑体" w:hAnsi="黑体" w:eastAsia="黑体" w:cs="Times New Roman"/>
          <w:sz w:val="32"/>
        </w:rPr>
        <w:t>附件2</w:t>
      </w:r>
    </w:p>
    <w:p w14:paraId="12411B10">
      <w:pPr>
        <w:pStyle w:val="29"/>
        <w:ind w:firstLine="2811" w:firstLineChars="1000"/>
        <w:rPr>
          <w:rFonts w:cs="Times New Roman"/>
          <w:b/>
        </w:rPr>
      </w:pPr>
    </w:p>
    <w:p w14:paraId="23808D53">
      <w:pPr>
        <w:pStyle w:val="29"/>
        <w:ind w:firstLine="2811" w:firstLineChars="1000"/>
        <w:rPr>
          <w:rFonts w:cs="Times New Roman"/>
          <w:b/>
        </w:rPr>
      </w:pPr>
    </w:p>
    <w:p w14:paraId="6D982596">
      <w:pPr>
        <w:pStyle w:val="29"/>
        <w:ind w:firstLine="2811" w:firstLineChars="1000"/>
        <w:rPr>
          <w:rFonts w:cs="Times New Roman"/>
          <w:b/>
        </w:rPr>
      </w:pPr>
    </w:p>
    <w:p w14:paraId="7F1F05BD">
      <w:pPr>
        <w:pStyle w:val="29"/>
        <w:ind w:firstLine="0" w:firstLineChars="0"/>
        <w:jc w:val="center"/>
        <w:rPr>
          <w:rFonts w:ascii="黑体" w:hAnsi="黑体" w:eastAsia="黑体" w:cs="Times New Roman"/>
          <w:b/>
          <w:sz w:val="36"/>
        </w:rPr>
      </w:pPr>
      <w:r>
        <w:rPr>
          <w:rFonts w:hint="eastAsia" w:ascii="黑体" w:hAnsi="黑体" w:eastAsia="黑体" w:cs="Times New Roman"/>
          <w:b/>
          <w:sz w:val="36"/>
        </w:rPr>
        <w:t>海南省地方标准</w:t>
      </w:r>
    </w:p>
    <w:p w14:paraId="67EDB6B4">
      <w:pPr>
        <w:pStyle w:val="29"/>
        <w:ind w:firstLine="0" w:firstLineChars="0"/>
        <w:jc w:val="center"/>
        <w:rPr>
          <w:rFonts w:ascii="黑体" w:hAnsi="黑体" w:eastAsia="黑体" w:cs="Times New Roman"/>
          <w:b/>
          <w:w w:val="95"/>
          <w:sz w:val="36"/>
        </w:rPr>
      </w:pPr>
      <w:r>
        <w:rPr>
          <w:rFonts w:hint="eastAsia" w:ascii="黑体" w:hAnsi="黑体" w:eastAsia="黑体" w:cs="Times New Roman"/>
          <w:b/>
          <w:w w:val="95"/>
          <w:sz w:val="36"/>
        </w:rPr>
        <w:t>《饮用水水源地新污染物健康风险评估技术规范》</w:t>
      </w:r>
    </w:p>
    <w:p w14:paraId="35F2A177">
      <w:pPr>
        <w:pStyle w:val="29"/>
        <w:ind w:firstLine="0" w:firstLineChars="0"/>
        <w:jc w:val="center"/>
        <w:rPr>
          <w:rFonts w:ascii="黑体" w:hAnsi="黑体" w:eastAsia="黑体" w:cs="Times New Roman"/>
          <w:b/>
          <w:sz w:val="36"/>
        </w:rPr>
      </w:pPr>
      <w:r>
        <w:rPr>
          <w:rFonts w:hint="eastAsia" w:ascii="黑体" w:hAnsi="黑体" w:eastAsia="黑体" w:cs="Times New Roman"/>
          <w:b/>
          <w:sz w:val="36"/>
        </w:rPr>
        <w:t>（征求意见稿）</w:t>
      </w:r>
    </w:p>
    <w:p w14:paraId="6DDBC564">
      <w:pPr>
        <w:pStyle w:val="29"/>
        <w:ind w:firstLine="0" w:firstLineChars="0"/>
        <w:jc w:val="center"/>
        <w:rPr>
          <w:rFonts w:ascii="黑体" w:hAnsi="黑体" w:eastAsia="黑体" w:cs="Times New Roman"/>
          <w:b/>
          <w:sz w:val="36"/>
        </w:rPr>
      </w:pPr>
      <w:r>
        <w:rPr>
          <w:rFonts w:hint="eastAsia" w:ascii="黑体" w:hAnsi="黑体" w:eastAsia="黑体" w:cs="Times New Roman"/>
          <w:b/>
          <w:sz w:val="36"/>
        </w:rPr>
        <w:t>编制说明</w:t>
      </w:r>
    </w:p>
    <w:p w14:paraId="48307078">
      <w:pPr>
        <w:pStyle w:val="29"/>
        <w:ind w:firstLine="3813" w:firstLineChars="1055"/>
        <w:rPr>
          <w:rFonts w:ascii="黑体" w:hAnsi="黑体" w:eastAsia="黑体" w:cs="Times New Roman"/>
          <w:b/>
          <w:sz w:val="36"/>
        </w:rPr>
      </w:pPr>
    </w:p>
    <w:p w14:paraId="563F84B8">
      <w:pPr>
        <w:pStyle w:val="29"/>
        <w:ind w:firstLine="3813" w:firstLineChars="1055"/>
        <w:rPr>
          <w:rFonts w:ascii="黑体" w:hAnsi="黑体" w:eastAsia="黑体" w:cs="Times New Roman"/>
          <w:b/>
          <w:sz w:val="36"/>
        </w:rPr>
      </w:pPr>
    </w:p>
    <w:p w14:paraId="10D83617">
      <w:pPr>
        <w:pStyle w:val="29"/>
        <w:ind w:firstLine="3813" w:firstLineChars="1055"/>
        <w:rPr>
          <w:rFonts w:ascii="黑体" w:hAnsi="黑体" w:eastAsia="黑体" w:cs="Times New Roman"/>
          <w:b/>
          <w:sz w:val="36"/>
        </w:rPr>
      </w:pPr>
    </w:p>
    <w:p w14:paraId="7C688286">
      <w:pPr>
        <w:pStyle w:val="29"/>
        <w:ind w:firstLine="3813" w:firstLineChars="1055"/>
        <w:rPr>
          <w:rFonts w:ascii="黑体" w:hAnsi="黑体" w:eastAsia="黑体" w:cs="Times New Roman"/>
          <w:b/>
          <w:sz w:val="36"/>
        </w:rPr>
      </w:pPr>
    </w:p>
    <w:p w14:paraId="11504AB9">
      <w:pPr>
        <w:pStyle w:val="29"/>
        <w:ind w:firstLine="3813" w:firstLineChars="1055"/>
        <w:rPr>
          <w:rFonts w:ascii="黑体" w:hAnsi="黑体" w:eastAsia="黑体" w:cs="Times New Roman"/>
          <w:b/>
          <w:sz w:val="36"/>
        </w:rPr>
      </w:pPr>
    </w:p>
    <w:p w14:paraId="591290D8">
      <w:pPr>
        <w:pStyle w:val="29"/>
        <w:ind w:firstLine="3813" w:firstLineChars="1055"/>
        <w:rPr>
          <w:rFonts w:ascii="黑体" w:hAnsi="黑体" w:eastAsia="黑体" w:cs="Times New Roman"/>
          <w:b/>
          <w:sz w:val="36"/>
        </w:rPr>
      </w:pPr>
    </w:p>
    <w:p w14:paraId="0C628590">
      <w:pPr>
        <w:pStyle w:val="29"/>
        <w:ind w:firstLine="3813" w:firstLineChars="1055"/>
        <w:rPr>
          <w:rFonts w:ascii="黑体" w:hAnsi="黑体" w:eastAsia="黑体" w:cs="Times New Roman"/>
          <w:b/>
          <w:sz w:val="36"/>
        </w:rPr>
      </w:pPr>
    </w:p>
    <w:p w14:paraId="2C37A086">
      <w:pPr>
        <w:pStyle w:val="29"/>
        <w:ind w:firstLine="3813" w:firstLineChars="1055"/>
        <w:rPr>
          <w:rFonts w:ascii="黑体" w:hAnsi="黑体" w:eastAsia="黑体" w:cs="Times New Roman"/>
          <w:b/>
          <w:sz w:val="36"/>
        </w:rPr>
      </w:pPr>
    </w:p>
    <w:p w14:paraId="192D2FFF">
      <w:pPr>
        <w:pStyle w:val="29"/>
        <w:ind w:firstLine="3813" w:firstLineChars="1055"/>
        <w:rPr>
          <w:rFonts w:ascii="黑体" w:hAnsi="黑体" w:eastAsia="黑体" w:cs="Times New Roman"/>
          <w:b/>
          <w:sz w:val="36"/>
        </w:rPr>
      </w:pPr>
    </w:p>
    <w:p w14:paraId="2694A3C8">
      <w:pPr>
        <w:pStyle w:val="29"/>
        <w:ind w:firstLine="0" w:firstLineChars="0"/>
        <w:jc w:val="center"/>
        <w:rPr>
          <w:rFonts w:ascii="黑体" w:hAnsi="黑体" w:eastAsia="黑体" w:cs="Times New Roman"/>
          <w:b/>
          <w:sz w:val="36"/>
        </w:rPr>
      </w:pPr>
    </w:p>
    <w:p w14:paraId="13F21CAE">
      <w:pPr>
        <w:pStyle w:val="29"/>
        <w:ind w:firstLine="0" w:firstLineChars="0"/>
        <w:jc w:val="center"/>
        <w:rPr>
          <w:rFonts w:ascii="黑体" w:hAnsi="黑体" w:eastAsia="黑体" w:cs="Times New Roman"/>
          <w:b/>
          <w:sz w:val="36"/>
        </w:rPr>
      </w:pPr>
    </w:p>
    <w:p w14:paraId="27C30544">
      <w:pPr>
        <w:pStyle w:val="29"/>
        <w:ind w:firstLine="0" w:firstLineChars="0"/>
        <w:jc w:val="center"/>
        <w:rPr>
          <w:rFonts w:ascii="黑体" w:hAnsi="黑体" w:eastAsia="黑体" w:cs="Times New Roman"/>
          <w:b/>
          <w:sz w:val="32"/>
        </w:rPr>
      </w:pPr>
      <w:r>
        <w:rPr>
          <w:rFonts w:hint="eastAsia" w:ascii="黑体" w:hAnsi="黑体" w:eastAsia="黑体" w:cs="Times New Roman"/>
          <w:b/>
          <w:sz w:val="32"/>
        </w:rPr>
        <w:t>标准编制组</w:t>
      </w:r>
    </w:p>
    <w:p w14:paraId="2D3F4B45">
      <w:pPr>
        <w:pStyle w:val="29"/>
        <w:ind w:firstLine="0" w:firstLineChars="0"/>
        <w:jc w:val="center"/>
        <w:rPr>
          <w:rFonts w:ascii="黑体" w:hAnsi="黑体" w:eastAsia="黑体" w:cs="Times New Roman"/>
          <w:b/>
          <w:sz w:val="32"/>
        </w:rPr>
      </w:pPr>
      <w:r>
        <w:rPr>
          <w:rFonts w:hint="eastAsia" w:ascii="黑体" w:hAnsi="黑体" w:eastAsia="黑体" w:cs="Times New Roman"/>
          <w:b/>
          <w:sz w:val="32"/>
        </w:rPr>
        <w:t>2026年</w:t>
      </w:r>
      <w:r>
        <w:rPr>
          <w:rFonts w:ascii="黑体" w:hAnsi="黑体" w:eastAsia="黑体" w:cs="Times New Roman"/>
          <w:b/>
          <w:sz w:val="32"/>
        </w:rPr>
        <w:t>4</w:t>
      </w:r>
      <w:r>
        <w:rPr>
          <w:rFonts w:hint="eastAsia" w:ascii="黑体" w:hAnsi="黑体" w:eastAsia="黑体" w:cs="Times New Roman"/>
          <w:b/>
          <w:sz w:val="32"/>
        </w:rPr>
        <w:t>月</w:t>
      </w:r>
    </w:p>
    <w:p w14:paraId="53102F55">
      <w:pPr>
        <w:pStyle w:val="29"/>
        <w:ind w:firstLine="0" w:firstLineChars="0"/>
        <w:rPr>
          <w:rFonts w:cs="Times New Roman"/>
          <w:b/>
        </w:rPr>
      </w:pPr>
    </w:p>
    <w:p w14:paraId="40FD886D">
      <w:pPr>
        <w:pStyle w:val="29"/>
        <w:ind w:firstLine="0" w:firstLineChars="0"/>
        <w:rPr>
          <w:rFonts w:cs="Times New Roman"/>
          <w:b/>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121898EC">
      <w:pPr>
        <w:pStyle w:val="29"/>
        <w:ind w:firstLine="0" w:firstLineChars="0"/>
        <w:jc w:val="center"/>
        <w:rPr>
          <w:rFonts w:cs="Times New Roman"/>
          <w:b/>
          <w:sz w:val="32"/>
        </w:rPr>
      </w:pPr>
      <w:r>
        <w:rPr>
          <w:rFonts w:hint="eastAsia" w:cs="Times New Roman"/>
          <w:b/>
          <w:sz w:val="32"/>
        </w:rPr>
        <w:t>目录</w:t>
      </w:r>
    </w:p>
    <w:p w14:paraId="518995E3">
      <w:pPr>
        <w:pStyle w:val="12"/>
        <w:tabs>
          <w:tab w:val="right" w:leader="dot" w:pos="8296"/>
        </w:tabs>
        <w:rPr>
          <w:rFonts w:ascii="Times New Roman" w:hAnsi="Times New Roman" w:eastAsia="仿宋_GB2312" w:cs="Times New Roman"/>
          <w:sz w:val="30"/>
          <w:szCs w:val="30"/>
          <w14:ligatures w14:val="standardContextual"/>
        </w:rPr>
      </w:pPr>
      <w:r>
        <w:rPr>
          <w:rFonts w:ascii="仿宋_GB2312" w:hAnsi="仿宋_GB2312" w:eastAsia="仿宋_GB2312" w:cs="Times New Roman"/>
          <w:b/>
          <w:sz w:val="30"/>
          <w:szCs w:val="30"/>
        </w:rPr>
        <w:fldChar w:fldCharType="begin"/>
      </w:r>
      <w:r>
        <w:rPr>
          <w:rFonts w:ascii="仿宋_GB2312" w:hAnsi="仿宋_GB2312" w:eastAsia="仿宋_GB2312" w:cs="Times New Roman"/>
          <w:b/>
          <w:sz w:val="30"/>
          <w:szCs w:val="30"/>
        </w:rPr>
        <w:instrText xml:space="preserve"> TOC \o "1-3" \h \z \u </w:instrText>
      </w:r>
      <w:r>
        <w:rPr>
          <w:rFonts w:ascii="仿宋_GB2312" w:hAnsi="仿宋_GB2312" w:eastAsia="仿宋_GB2312" w:cs="Times New Roman"/>
          <w:b/>
          <w:sz w:val="30"/>
          <w:szCs w:val="30"/>
        </w:rPr>
        <w:fldChar w:fldCharType="separate"/>
      </w:r>
      <w:r>
        <w:fldChar w:fldCharType="begin"/>
      </w:r>
      <w:r>
        <w:instrText xml:space="preserve"> HYPERLINK \l "_Toc227590325" </w:instrText>
      </w:r>
      <w:r>
        <w:fldChar w:fldCharType="separate"/>
      </w:r>
      <w:r>
        <w:rPr>
          <w:rStyle w:val="20"/>
          <w:rFonts w:ascii="Times New Roman" w:hAnsi="Times New Roman" w:eastAsia="仿宋_GB2312" w:cs="Times New Roman"/>
          <w:sz w:val="30"/>
          <w:szCs w:val="30"/>
        </w:rPr>
        <w:t>一、项目简介</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_Toc227590325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1</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14:paraId="0D07D072">
      <w:pPr>
        <w:pStyle w:val="12"/>
        <w:tabs>
          <w:tab w:val="right" w:leader="dot" w:pos="8296"/>
        </w:tabs>
        <w:rPr>
          <w:rFonts w:ascii="Times New Roman" w:hAnsi="Times New Roman" w:eastAsia="仿宋_GB2312" w:cs="Times New Roman"/>
          <w:sz w:val="30"/>
          <w:szCs w:val="30"/>
          <w14:ligatures w14:val="standardContextual"/>
        </w:rPr>
      </w:pPr>
      <w:r>
        <w:fldChar w:fldCharType="begin"/>
      </w:r>
      <w:r>
        <w:instrText xml:space="preserve"> HYPERLINK \l "_Toc227590326" </w:instrText>
      </w:r>
      <w:r>
        <w:fldChar w:fldCharType="separate"/>
      </w:r>
      <w:r>
        <w:rPr>
          <w:rStyle w:val="20"/>
          <w:rFonts w:ascii="Times New Roman" w:hAnsi="Times New Roman" w:eastAsia="仿宋_GB2312" w:cs="Times New Roman"/>
          <w:sz w:val="30"/>
          <w:szCs w:val="30"/>
        </w:rPr>
        <w:t>二、编制情况</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_Toc227590326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2</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14:paraId="73A3198F">
      <w:pPr>
        <w:pStyle w:val="13"/>
        <w:tabs>
          <w:tab w:val="right" w:leader="dot" w:pos="8296"/>
        </w:tabs>
        <w:ind w:left="400"/>
        <w:rPr>
          <w:rFonts w:ascii="Times New Roman" w:hAnsi="Times New Roman" w:eastAsia="仿宋_GB2312" w:cs="Times New Roman"/>
          <w:sz w:val="30"/>
          <w:szCs w:val="30"/>
          <w14:ligatures w14:val="standardContextual"/>
        </w:rPr>
      </w:pPr>
      <w:r>
        <w:fldChar w:fldCharType="begin"/>
      </w:r>
      <w:r>
        <w:instrText xml:space="preserve"> HYPERLINK \l "_Toc227590327" </w:instrText>
      </w:r>
      <w:r>
        <w:fldChar w:fldCharType="separate"/>
      </w:r>
      <w:r>
        <w:rPr>
          <w:rStyle w:val="20"/>
          <w:rFonts w:ascii="Times New Roman" w:hAnsi="Times New Roman" w:eastAsia="仿宋_GB2312" w:cs="Times New Roman"/>
          <w:sz w:val="30"/>
          <w:szCs w:val="30"/>
        </w:rPr>
        <w:t>（一）编制标准的必要性和意义及背景</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_Toc227590327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2</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14:paraId="5D7A808E">
      <w:pPr>
        <w:pStyle w:val="13"/>
        <w:tabs>
          <w:tab w:val="right" w:leader="dot" w:pos="8296"/>
        </w:tabs>
        <w:ind w:left="400"/>
        <w:rPr>
          <w:rFonts w:ascii="Times New Roman" w:hAnsi="Times New Roman" w:eastAsia="仿宋_GB2312" w:cs="Times New Roman"/>
          <w:sz w:val="30"/>
          <w:szCs w:val="30"/>
          <w14:ligatures w14:val="standardContextual"/>
        </w:rPr>
      </w:pPr>
      <w:r>
        <w:fldChar w:fldCharType="begin"/>
      </w:r>
      <w:r>
        <w:instrText xml:space="preserve"> HYPERLINK \l "_Toc227590328" </w:instrText>
      </w:r>
      <w:r>
        <w:fldChar w:fldCharType="separate"/>
      </w:r>
      <w:r>
        <w:rPr>
          <w:rStyle w:val="20"/>
          <w:rFonts w:ascii="Times New Roman" w:hAnsi="Times New Roman" w:eastAsia="仿宋_GB2312" w:cs="Times New Roman"/>
          <w:sz w:val="30"/>
          <w:szCs w:val="30"/>
        </w:rPr>
        <w:t>（二）编制过程简介</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_Toc227590328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5</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14:paraId="2AA4A1C8">
      <w:pPr>
        <w:pStyle w:val="13"/>
        <w:tabs>
          <w:tab w:val="right" w:leader="dot" w:pos="8296"/>
        </w:tabs>
        <w:ind w:left="400"/>
        <w:rPr>
          <w:rFonts w:ascii="Times New Roman" w:hAnsi="Times New Roman" w:eastAsia="仿宋_GB2312" w:cs="Times New Roman"/>
          <w:sz w:val="30"/>
          <w:szCs w:val="30"/>
          <w14:ligatures w14:val="standardContextual"/>
        </w:rPr>
      </w:pPr>
      <w:r>
        <w:fldChar w:fldCharType="begin"/>
      </w:r>
      <w:r>
        <w:instrText xml:space="preserve"> HYPERLINK \l "_Toc227590329" </w:instrText>
      </w:r>
      <w:r>
        <w:fldChar w:fldCharType="separate"/>
      </w:r>
      <w:r>
        <w:rPr>
          <w:rStyle w:val="20"/>
          <w:rFonts w:ascii="Times New Roman" w:hAnsi="Times New Roman" w:eastAsia="仿宋_GB2312" w:cs="Times New Roman"/>
          <w:sz w:val="30"/>
          <w:szCs w:val="30"/>
        </w:rPr>
        <w:t>（三）制定标准的原则和依据，与现行法律法规、标准的关系</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_Toc227590329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10</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14:paraId="1908AC58">
      <w:pPr>
        <w:pStyle w:val="13"/>
        <w:tabs>
          <w:tab w:val="right" w:leader="dot" w:pos="8296"/>
        </w:tabs>
        <w:ind w:left="400"/>
        <w:rPr>
          <w:rFonts w:ascii="Times New Roman" w:hAnsi="Times New Roman" w:eastAsia="仿宋_GB2312" w:cs="Times New Roman"/>
          <w:sz w:val="30"/>
          <w:szCs w:val="30"/>
          <w14:ligatures w14:val="standardContextual"/>
        </w:rPr>
      </w:pPr>
      <w:r>
        <w:fldChar w:fldCharType="begin"/>
      </w:r>
      <w:r>
        <w:instrText xml:space="preserve"> HYPERLINK \l "_Toc227590330" </w:instrText>
      </w:r>
      <w:r>
        <w:fldChar w:fldCharType="separate"/>
      </w:r>
      <w:r>
        <w:rPr>
          <w:rStyle w:val="20"/>
          <w:rFonts w:ascii="Times New Roman" w:hAnsi="Times New Roman" w:eastAsia="仿宋_GB2312" w:cs="Times New Roman"/>
          <w:sz w:val="30"/>
          <w:szCs w:val="30"/>
        </w:rPr>
        <w:t>（四）主要条款的说明</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_Toc227590330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16</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14:paraId="375D9CCA">
      <w:pPr>
        <w:pStyle w:val="13"/>
        <w:tabs>
          <w:tab w:val="right" w:leader="dot" w:pos="8296"/>
        </w:tabs>
        <w:ind w:left="400"/>
        <w:rPr>
          <w:rFonts w:ascii="Times New Roman" w:hAnsi="Times New Roman" w:eastAsia="仿宋_GB2312" w:cs="Times New Roman"/>
          <w:sz w:val="30"/>
          <w:szCs w:val="30"/>
          <w14:ligatures w14:val="standardContextual"/>
        </w:rPr>
      </w:pPr>
      <w:r>
        <w:fldChar w:fldCharType="begin"/>
      </w:r>
      <w:r>
        <w:instrText xml:space="preserve"> HYPERLINK \l "_Toc227590331" </w:instrText>
      </w:r>
      <w:r>
        <w:fldChar w:fldCharType="separate"/>
      </w:r>
      <w:r>
        <w:rPr>
          <w:rStyle w:val="20"/>
          <w:rFonts w:ascii="Times New Roman" w:hAnsi="Times New Roman" w:eastAsia="仿宋_GB2312" w:cs="Times New Roman"/>
          <w:sz w:val="30"/>
          <w:szCs w:val="30"/>
        </w:rPr>
        <w:t>（五）标准中如果涉及专利，应有明确的知识产权说明</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_Toc227590331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23</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14:paraId="66901B9F">
      <w:pPr>
        <w:pStyle w:val="13"/>
        <w:tabs>
          <w:tab w:val="right" w:leader="dot" w:pos="8296"/>
        </w:tabs>
        <w:ind w:left="400"/>
        <w:rPr>
          <w:rFonts w:ascii="Times New Roman" w:hAnsi="Times New Roman" w:eastAsia="仿宋_GB2312" w:cs="Times New Roman"/>
          <w:sz w:val="30"/>
          <w:szCs w:val="30"/>
          <w14:ligatures w14:val="standardContextual"/>
        </w:rPr>
      </w:pPr>
      <w:r>
        <w:fldChar w:fldCharType="begin"/>
      </w:r>
      <w:r>
        <w:instrText xml:space="preserve"> HYPERLINK \l "_Toc227590332" </w:instrText>
      </w:r>
      <w:r>
        <w:fldChar w:fldCharType="separate"/>
      </w:r>
      <w:r>
        <w:rPr>
          <w:rStyle w:val="20"/>
          <w:rFonts w:ascii="Times New Roman" w:hAnsi="Times New Roman" w:eastAsia="仿宋_GB2312" w:cs="Times New Roman"/>
          <w:sz w:val="30"/>
          <w:szCs w:val="30"/>
        </w:rPr>
        <w:t>（六）采用国家标准或国外先进标准的，说明采标程度，以及国内外同类标准水平的对比情况</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_Toc227590332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24</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14:paraId="664A5311">
      <w:pPr>
        <w:pStyle w:val="13"/>
        <w:tabs>
          <w:tab w:val="right" w:leader="dot" w:pos="8296"/>
        </w:tabs>
        <w:ind w:left="400"/>
        <w:rPr>
          <w:rFonts w:ascii="Times New Roman" w:hAnsi="Times New Roman" w:eastAsia="仿宋_GB2312" w:cs="Times New Roman"/>
          <w:sz w:val="30"/>
          <w:szCs w:val="30"/>
          <w14:ligatures w14:val="standardContextual"/>
        </w:rPr>
      </w:pPr>
      <w:r>
        <w:fldChar w:fldCharType="begin"/>
      </w:r>
      <w:r>
        <w:instrText xml:space="preserve"> HYPERLINK \l "_Toc227590333" </w:instrText>
      </w:r>
      <w:r>
        <w:fldChar w:fldCharType="separate"/>
      </w:r>
      <w:r>
        <w:rPr>
          <w:rStyle w:val="20"/>
          <w:rFonts w:ascii="Times New Roman" w:hAnsi="Times New Roman" w:eastAsia="仿宋_GB2312" w:cs="Times New Roman"/>
          <w:sz w:val="30"/>
          <w:szCs w:val="30"/>
        </w:rPr>
        <w:t>（七）重大分歧意见的处理依据和结果</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_Toc227590333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24</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14:paraId="6E35DDDA">
      <w:pPr>
        <w:pStyle w:val="13"/>
        <w:tabs>
          <w:tab w:val="right" w:leader="dot" w:pos="8296"/>
        </w:tabs>
        <w:ind w:left="400"/>
        <w:rPr>
          <w:rFonts w:ascii="Times New Roman" w:hAnsi="Times New Roman" w:eastAsia="仿宋_GB2312" w:cs="Times New Roman"/>
          <w:sz w:val="30"/>
          <w:szCs w:val="30"/>
          <w14:ligatures w14:val="standardContextual"/>
        </w:rPr>
      </w:pPr>
      <w:r>
        <w:fldChar w:fldCharType="begin"/>
      </w:r>
      <w:r>
        <w:instrText xml:space="preserve"> HYPERLINK \l "_Toc227590334" </w:instrText>
      </w:r>
      <w:r>
        <w:fldChar w:fldCharType="separate"/>
      </w:r>
      <w:r>
        <w:rPr>
          <w:rStyle w:val="20"/>
          <w:rFonts w:ascii="Times New Roman" w:hAnsi="Times New Roman" w:eastAsia="仿宋_GB2312" w:cs="Times New Roman"/>
          <w:sz w:val="30"/>
          <w:szCs w:val="30"/>
        </w:rPr>
        <w:t>（八）贯彻标准的要求和措施建议</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_Toc227590334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24</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14:paraId="4597B225">
      <w:pPr>
        <w:pStyle w:val="13"/>
        <w:tabs>
          <w:tab w:val="right" w:leader="dot" w:pos="8296"/>
        </w:tabs>
        <w:ind w:left="400"/>
        <w:rPr>
          <w:rFonts w:ascii="Times New Roman" w:hAnsi="Times New Roman" w:eastAsia="仿宋_GB2312" w:cs="Times New Roman"/>
          <w:sz w:val="30"/>
          <w:szCs w:val="30"/>
          <w14:ligatures w14:val="standardContextual"/>
        </w:rPr>
      </w:pPr>
      <w:r>
        <w:fldChar w:fldCharType="begin"/>
      </w:r>
      <w:r>
        <w:instrText xml:space="preserve"> HYPERLINK \l "_Toc227590335" </w:instrText>
      </w:r>
      <w:r>
        <w:fldChar w:fldCharType="separate"/>
      </w:r>
      <w:r>
        <w:rPr>
          <w:rStyle w:val="20"/>
          <w:rFonts w:ascii="Times New Roman" w:hAnsi="Times New Roman" w:eastAsia="仿宋_GB2312" w:cs="Times New Roman"/>
          <w:sz w:val="30"/>
          <w:szCs w:val="30"/>
        </w:rPr>
        <w:t>（九）预期效果</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_Toc227590335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24</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14:paraId="4D6A6373">
      <w:pPr>
        <w:pStyle w:val="13"/>
        <w:tabs>
          <w:tab w:val="right" w:leader="dot" w:pos="8296"/>
        </w:tabs>
        <w:ind w:left="400"/>
        <w:rPr>
          <w:rFonts w:ascii="Times New Roman" w:hAnsi="Times New Roman" w:eastAsia="仿宋_GB2312" w:cs="Times New Roman"/>
          <w:sz w:val="30"/>
          <w:szCs w:val="30"/>
          <w14:ligatures w14:val="standardContextual"/>
        </w:rPr>
      </w:pPr>
      <w:r>
        <w:fldChar w:fldCharType="begin"/>
      </w:r>
      <w:r>
        <w:instrText xml:space="preserve"> HYPERLINK \l "_Toc227590336" </w:instrText>
      </w:r>
      <w:r>
        <w:fldChar w:fldCharType="separate"/>
      </w:r>
      <w:r>
        <w:rPr>
          <w:rStyle w:val="20"/>
          <w:rFonts w:ascii="Times New Roman" w:hAnsi="Times New Roman" w:eastAsia="仿宋_GB2312" w:cs="Times New Roman"/>
          <w:sz w:val="30"/>
          <w:szCs w:val="30"/>
        </w:rPr>
        <w:t>（十）其他应予以说明的事项</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_Toc227590336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25</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14:paraId="53346D4C">
      <w:pPr>
        <w:pStyle w:val="12"/>
        <w:tabs>
          <w:tab w:val="right" w:leader="dot" w:pos="8296"/>
        </w:tabs>
        <w:rPr>
          <w:rFonts w:ascii="Times New Roman" w:hAnsi="Times New Roman" w:eastAsia="仿宋_GB2312" w:cs="Times New Roman"/>
          <w:sz w:val="30"/>
          <w:szCs w:val="30"/>
          <w14:ligatures w14:val="standardContextual"/>
        </w:rPr>
      </w:pPr>
      <w:r>
        <w:fldChar w:fldCharType="begin"/>
      </w:r>
      <w:r>
        <w:instrText xml:space="preserve"> HYPERLINK \l "_Toc227590337" </w:instrText>
      </w:r>
      <w:r>
        <w:fldChar w:fldCharType="separate"/>
      </w:r>
      <w:r>
        <w:rPr>
          <w:rStyle w:val="20"/>
          <w:rFonts w:ascii="Times New Roman" w:hAnsi="Times New Roman" w:eastAsia="仿宋_GB2312" w:cs="Times New Roman"/>
          <w:sz w:val="30"/>
          <w:szCs w:val="30"/>
        </w:rPr>
        <w:t>附表</w:t>
      </w:r>
      <w:r>
        <w:rPr>
          <w:rFonts w:ascii="Times New Roman" w:hAnsi="Times New Roman" w:eastAsia="仿宋_GB2312" w:cs="Times New Roman"/>
          <w:sz w:val="30"/>
          <w:szCs w:val="30"/>
        </w:rPr>
        <w:tab/>
      </w:r>
      <w:r>
        <w:rPr>
          <w:rFonts w:ascii="Times New Roman" w:hAnsi="Times New Roman" w:eastAsia="仿宋_GB2312" w:cs="Times New Roman"/>
          <w:sz w:val="30"/>
          <w:szCs w:val="30"/>
        </w:rPr>
        <w:fldChar w:fldCharType="begin"/>
      </w:r>
      <w:r>
        <w:rPr>
          <w:rFonts w:ascii="Times New Roman" w:hAnsi="Times New Roman" w:eastAsia="仿宋_GB2312" w:cs="Times New Roman"/>
          <w:sz w:val="30"/>
          <w:szCs w:val="30"/>
        </w:rPr>
        <w:instrText xml:space="preserve"> PAGEREF _Toc227590337 \h </w:instrText>
      </w:r>
      <w:r>
        <w:rPr>
          <w:rFonts w:ascii="Times New Roman" w:hAnsi="Times New Roman" w:eastAsia="仿宋_GB2312" w:cs="Times New Roman"/>
          <w:sz w:val="30"/>
          <w:szCs w:val="30"/>
        </w:rPr>
        <w:fldChar w:fldCharType="separate"/>
      </w:r>
      <w:r>
        <w:rPr>
          <w:rFonts w:ascii="Times New Roman" w:hAnsi="Times New Roman" w:eastAsia="仿宋_GB2312" w:cs="Times New Roman"/>
          <w:sz w:val="30"/>
          <w:szCs w:val="30"/>
        </w:rPr>
        <w:t>26</w:t>
      </w:r>
      <w:r>
        <w:rPr>
          <w:rFonts w:ascii="Times New Roman" w:hAnsi="Times New Roman" w:eastAsia="仿宋_GB2312" w:cs="Times New Roman"/>
          <w:sz w:val="30"/>
          <w:szCs w:val="30"/>
        </w:rPr>
        <w:fldChar w:fldCharType="end"/>
      </w:r>
      <w:r>
        <w:rPr>
          <w:rFonts w:ascii="Times New Roman" w:hAnsi="Times New Roman" w:eastAsia="仿宋_GB2312" w:cs="Times New Roman"/>
          <w:sz w:val="30"/>
          <w:szCs w:val="30"/>
        </w:rPr>
        <w:fldChar w:fldCharType="end"/>
      </w:r>
    </w:p>
    <w:p w14:paraId="57ADA34C">
      <w:pPr>
        <w:pStyle w:val="29"/>
        <w:ind w:firstLine="0" w:firstLineChars="0"/>
        <w:jc w:val="center"/>
        <w:rPr>
          <w:rFonts w:cs="Times New Roman"/>
          <w:b/>
          <w:sz w:val="32"/>
        </w:rPr>
      </w:pPr>
      <w:r>
        <w:rPr>
          <w:rFonts w:ascii="仿宋_GB2312" w:hAnsi="仿宋_GB2312" w:cs="Times New Roman"/>
          <w:b/>
          <w:sz w:val="30"/>
          <w:szCs w:val="30"/>
        </w:rPr>
        <w:fldChar w:fldCharType="end"/>
      </w:r>
    </w:p>
    <w:p w14:paraId="32A9C739">
      <w:pPr>
        <w:pStyle w:val="29"/>
        <w:ind w:firstLine="0" w:firstLineChars="0"/>
        <w:rPr>
          <w:rFonts w:cs="Times New Roman"/>
          <w:b/>
        </w:rPr>
      </w:pPr>
    </w:p>
    <w:p w14:paraId="7F40BE8F">
      <w:pPr>
        <w:pStyle w:val="29"/>
        <w:ind w:firstLine="0" w:firstLineChars="0"/>
        <w:rPr>
          <w:rFonts w:cs="Times New Roman"/>
          <w:b/>
        </w:rPr>
        <w:sectPr>
          <w:pgSz w:w="11906" w:h="16838"/>
          <w:pgMar w:top="1440" w:right="1800" w:bottom="1440" w:left="1800" w:header="851" w:footer="992" w:gutter="0"/>
          <w:cols w:space="425" w:num="1"/>
          <w:docGrid w:type="lines" w:linePitch="312" w:charSpace="0"/>
        </w:sectPr>
      </w:pPr>
    </w:p>
    <w:p w14:paraId="4B81B7C8">
      <w:pPr>
        <w:pStyle w:val="29"/>
        <w:ind w:firstLine="0" w:firstLineChars="0"/>
        <w:jc w:val="center"/>
        <w:rPr>
          <w:rFonts w:cs="Times New Roman"/>
          <w:b/>
          <w:sz w:val="32"/>
        </w:rPr>
      </w:pPr>
    </w:p>
    <w:p w14:paraId="40A8ECFC">
      <w:pPr>
        <w:pStyle w:val="2"/>
        <w:numPr>
          <w:ilvl w:val="0"/>
          <w:numId w:val="0"/>
        </w:numPr>
      </w:pPr>
      <w:bookmarkStart w:id="0" w:name="_Toc227590325"/>
      <w:r>
        <w:t>一、项目简介</w:t>
      </w:r>
      <w:bookmarkEnd w:id="0"/>
    </w:p>
    <w:p w14:paraId="337EAC72">
      <w:pPr>
        <w:pStyle w:val="29"/>
        <w:ind w:firstLine="562"/>
        <w:rPr>
          <w:rFonts w:cs="Times New Roman"/>
        </w:rPr>
      </w:pPr>
      <w:r>
        <w:rPr>
          <w:rFonts w:cs="Times New Roman"/>
          <w:b/>
        </w:rPr>
        <w:t>（一）标准名称</w:t>
      </w:r>
      <w:r>
        <w:rPr>
          <w:rFonts w:cs="Times New Roman"/>
        </w:rPr>
        <w:t>：</w:t>
      </w:r>
      <w:r>
        <w:rPr>
          <w:rFonts w:hint="eastAsia" w:cs="Times New Roman"/>
        </w:rPr>
        <w:t>饮用水水源地新污染物健康风险评估技术规范</w:t>
      </w:r>
    </w:p>
    <w:p w14:paraId="17B623E3">
      <w:pPr>
        <w:pStyle w:val="29"/>
        <w:ind w:firstLine="562"/>
        <w:rPr>
          <w:rFonts w:cs="Times New Roman"/>
        </w:rPr>
      </w:pPr>
      <w:r>
        <w:rPr>
          <w:rFonts w:cs="Times New Roman"/>
          <w:b/>
        </w:rPr>
        <w:t>（二）任务来源（项目计划号）</w:t>
      </w:r>
      <w:r>
        <w:rPr>
          <w:rFonts w:hint="eastAsia" w:cs="Times New Roman"/>
          <w:b/>
        </w:rPr>
        <w:t>：</w:t>
      </w:r>
      <w:r>
        <w:rPr>
          <w:rFonts w:cs="Times New Roman"/>
          <w:b/>
        </w:rPr>
        <w:t>2025-Z013</w:t>
      </w:r>
    </w:p>
    <w:p w14:paraId="3721BB70">
      <w:pPr>
        <w:pStyle w:val="29"/>
        <w:ind w:firstLine="562"/>
        <w:rPr>
          <w:rFonts w:cs="Times New Roman"/>
        </w:rPr>
      </w:pPr>
      <w:r>
        <w:rPr>
          <w:rFonts w:cs="Times New Roman"/>
          <w:b/>
        </w:rPr>
        <w:t>（三）起草单位</w:t>
      </w:r>
      <w:r>
        <w:rPr>
          <w:rFonts w:cs="Times New Roman"/>
        </w:rPr>
        <w:t>：</w:t>
      </w:r>
      <w:bookmarkStart w:id="1" w:name="OLE_LINK1"/>
      <w:bookmarkStart w:id="2" w:name="OLE_LINK2"/>
      <w:r>
        <w:rPr>
          <w:rFonts w:hint="eastAsia" w:cs="Times New Roman"/>
        </w:rPr>
        <w:t>海南省环境科学研究院</w:t>
      </w:r>
      <w:bookmarkEnd w:id="1"/>
      <w:bookmarkEnd w:id="2"/>
    </w:p>
    <w:p w14:paraId="52B52F38">
      <w:pPr>
        <w:pStyle w:val="29"/>
        <w:ind w:firstLine="562"/>
        <w:rPr>
          <w:rFonts w:cs="Times New Roman"/>
        </w:rPr>
      </w:pPr>
      <w:r>
        <w:rPr>
          <w:rFonts w:cs="Times New Roman"/>
          <w:b/>
        </w:rPr>
        <w:t>（四）单位地址</w:t>
      </w:r>
      <w:r>
        <w:rPr>
          <w:rFonts w:cs="Times New Roman"/>
        </w:rPr>
        <w:t>：</w:t>
      </w:r>
      <w:r>
        <w:rPr>
          <w:rFonts w:hint="eastAsia" w:cs="Times New Roman"/>
        </w:rPr>
        <w:t>海口市龙华区义龙西路28号金华大厦</w:t>
      </w:r>
    </w:p>
    <w:p w14:paraId="11C06E42">
      <w:pPr>
        <w:pStyle w:val="29"/>
        <w:ind w:firstLine="562"/>
        <w:rPr>
          <w:rFonts w:cs="Times New Roman"/>
        </w:rPr>
      </w:pPr>
      <w:r>
        <w:rPr>
          <w:rFonts w:cs="Times New Roman"/>
          <w:b/>
        </w:rPr>
        <w:t>（五）参与起草单位</w:t>
      </w:r>
      <w:r>
        <w:rPr>
          <w:rFonts w:cs="Times New Roman"/>
        </w:rPr>
        <w:t>：</w:t>
      </w:r>
      <w:r>
        <w:rPr>
          <w:rFonts w:hint="eastAsia" w:cs="Times New Roman"/>
        </w:rPr>
        <w:t>中国环境科学研究院</w:t>
      </w:r>
    </w:p>
    <w:p w14:paraId="01771C80">
      <w:pPr>
        <w:pStyle w:val="29"/>
        <w:ind w:firstLine="562"/>
        <w:rPr>
          <w:rFonts w:cs="Times New Roman"/>
        </w:rPr>
      </w:pPr>
      <w:r>
        <w:rPr>
          <w:rFonts w:cs="Times New Roman"/>
          <w:b/>
        </w:rPr>
        <w:t>（六）标准起草人</w:t>
      </w:r>
      <w:r>
        <w:rPr>
          <w:rFonts w:cs="Times New Roman"/>
        </w:rPr>
        <w:t>：</w:t>
      </w:r>
    </w:p>
    <w:p w14:paraId="4AF153FC">
      <w:pPr>
        <w:pStyle w:val="29"/>
        <w:ind w:firstLine="0" w:firstLineChars="0"/>
        <w:jc w:val="center"/>
        <w:rPr>
          <w:rFonts w:cs="Times New Roman"/>
        </w:rPr>
      </w:pPr>
      <w:r>
        <w:rPr>
          <w:rFonts w:cs="Times New Roman"/>
        </w:rPr>
        <w:t>表1 标准起草人</w:t>
      </w:r>
    </w:p>
    <w:tbl>
      <w:tblPr>
        <w:tblStyle w:val="17"/>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0" w:author="莫凌" w:date="2026-04-27T16:21:16Z">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791"/>
        <w:gridCol w:w="1087"/>
        <w:gridCol w:w="1615"/>
        <w:gridCol w:w="1655"/>
        <w:gridCol w:w="1569"/>
        <w:gridCol w:w="2031"/>
        <w:tblGridChange w:id="1">
          <w:tblGrid>
            <w:gridCol w:w="791"/>
            <w:gridCol w:w="1087"/>
            <w:gridCol w:w="1615"/>
            <w:gridCol w:w="1010"/>
            <w:gridCol w:w="1134"/>
            <w:gridCol w:w="1371"/>
          </w:tblGrid>
        </w:tblGridChange>
      </w:tblGrid>
      <w:tr w14:paraId="50A2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 w:author="莫凌" w:date="2026-04-27T16:21: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91" w:type="dxa"/>
            <w:vAlign w:val="center"/>
            <w:tcPrChange w:id="3" w:author="莫凌" w:date="2026-04-27T16:21:16Z">
              <w:tcPr>
                <w:tcW w:w="791" w:type="dxa"/>
                <w:vAlign w:val="center"/>
              </w:tcPr>
            </w:tcPrChange>
          </w:tcPr>
          <w:p w14:paraId="01F5D486">
            <w:pPr>
              <w:pStyle w:val="29"/>
              <w:ind w:firstLine="0" w:firstLineChars="0"/>
              <w:jc w:val="center"/>
              <w:rPr>
                <w:rFonts w:cs="Times New Roman"/>
                <w:sz w:val="21"/>
                <w:szCs w:val="21"/>
              </w:rPr>
            </w:pPr>
            <w:r>
              <w:rPr>
                <w:rFonts w:cs="Times New Roman"/>
                <w:sz w:val="21"/>
                <w:szCs w:val="21"/>
              </w:rPr>
              <w:t>序号</w:t>
            </w:r>
          </w:p>
        </w:tc>
        <w:tc>
          <w:tcPr>
            <w:tcW w:w="1087" w:type="dxa"/>
            <w:vAlign w:val="center"/>
            <w:tcPrChange w:id="4" w:author="莫凌" w:date="2026-04-27T16:21:16Z">
              <w:tcPr>
                <w:tcW w:w="1087" w:type="dxa"/>
                <w:vAlign w:val="center"/>
              </w:tcPr>
            </w:tcPrChange>
          </w:tcPr>
          <w:p w14:paraId="44B00896">
            <w:pPr>
              <w:pStyle w:val="29"/>
              <w:ind w:firstLine="0" w:firstLineChars="0"/>
              <w:jc w:val="center"/>
              <w:rPr>
                <w:rFonts w:cs="Times New Roman"/>
                <w:sz w:val="21"/>
                <w:szCs w:val="21"/>
              </w:rPr>
            </w:pPr>
            <w:r>
              <w:rPr>
                <w:rFonts w:cs="Times New Roman"/>
                <w:sz w:val="21"/>
                <w:szCs w:val="21"/>
              </w:rPr>
              <w:t>姓名</w:t>
            </w:r>
          </w:p>
        </w:tc>
        <w:tc>
          <w:tcPr>
            <w:tcW w:w="1615" w:type="dxa"/>
            <w:vAlign w:val="center"/>
            <w:tcPrChange w:id="5" w:author="莫凌" w:date="2026-04-27T16:21:16Z">
              <w:tcPr>
                <w:tcW w:w="1615" w:type="dxa"/>
                <w:vAlign w:val="center"/>
              </w:tcPr>
            </w:tcPrChange>
          </w:tcPr>
          <w:p w14:paraId="518AF623">
            <w:pPr>
              <w:pStyle w:val="29"/>
              <w:ind w:firstLine="0" w:firstLineChars="0"/>
              <w:jc w:val="center"/>
              <w:rPr>
                <w:rFonts w:cs="Times New Roman"/>
                <w:sz w:val="21"/>
                <w:szCs w:val="21"/>
              </w:rPr>
            </w:pPr>
            <w:r>
              <w:rPr>
                <w:rFonts w:cs="Times New Roman"/>
                <w:sz w:val="21"/>
                <w:szCs w:val="21"/>
              </w:rPr>
              <w:t>单位</w:t>
            </w:r>
          </w:p>
        </w:tc>
        <w:tc>
          <w:tcPr>
            <w:tcW w:w="1655" w:type="dxa"/>
            <w:vAlign w:val="center"/>
            <w:tcPrChange w:id="6" w:author="莫凌" w:date="2026-04-27T16:21:16Z">
              <w:tcPr>
                <w:tcW w:w="1010" w:type="dxa"/>
                <w:vAlign w:val="center"/>
              </w:tcPr>
            </w:tcPrChange>
          </w:tcPr>
          <w:p w14:paraId="68BC559D">
            <w:pPr>
              <w:pStyle w:val="29"/>
              <w:ind w:firstLine="0" w:firstLineChars="0"/>
              <w:jc w:val="center"/>
              <w:rPr>
                <w:rFonts w:cs="Times New Roman"/>
                <w:sz w:val="21"/>
                <w:szCs w:val="21"/>
              </w:rPr>
            </w:pPr>
            <w:r>
              <w:rPr>
                <w:rFonts w:cs="Times New Roman"/>
                <w:sz w:val="21"/>
                <w:szCs w:val="21"/>
              </w:rPr>
              <w:t>职务</w:t>
            </w:r>
          </w:p>
        </w:tc>
        <w:tc>
          <w:tcPr>
            <w:tcW w:w="1569" w:type="dxa"/>
            <w:vAlign w:val="center"/>
            <w:tcPrChange w:id="7" w:author="莫凌" w:date="2026-04-27T16:21:16Z">
              <w:tcPr>
                <w:tcW w:w="1134" w:type="dxa"/>
                <w:vAlign w:val="center"/>
              </w:tcPr>
            </w:tcPrChange>
          </w:tcPr>
          <w:p w14:paraId="0C903773">
            <w:pPr>
              <w:pStyle w:val="29"/>
              <w:ind w:firstLine="0" w:firstLineChars="0"/>
              <w:jc w:val="center"/>
              <w:rPr>
                <w:rFonts w:cs="Times New Roman"/>
                <w:sz w:val="21"/>
                <w:szCs w:val="21"/>
              </w:rPr>
            </w:pPr>
            <w:r>
              <w:rPr>
                <w:rFonts w:cs="Times New Roman"/>
                <w:sz w:val="21"/>
                <w:szCs w:val="21"/>
              </w:rPr>
              <w:t>职称</w:t>
            </w:r>
          </w:p>
        </w:tc>
        <w:tc>
          <w:tcPr>
            <w:tcW w:w="2031" w:type="dxa"/>
            <w:vAlign w:val="center"/>
            <w:tcPrChange w:id="8" w:author="莫凌" w:date="2026-04-27T16:21:16Z">
              <w:tcPr>
                <w:tcW w:w="1371" w:type="dxa"/>
                <w:vAlign w:val="center"/>
              </w:tcPr>
            </w:tcPrChange>
          </w:tcPr>
          <w:p w14:paraId="16CF5136">
            <w:pPr>
              <w:pStyle w:val="29"/>
              <w:ind w:firstLine="0" w:firstLineChars="0"/>
              <w:jc w:val="center"/>
              <w:rPr>
                <w:rFonts w:cs="Times New Roman"/>
                <w:sz w:val="21"/>
                <w:szCs w:val="21"/>
              </w:rPr>
            </w:pPr>
            <w:r>
              <w:rPr>
                <w:rFonts w:cs="Times New Roman"/>
                <w:sz w:val="21"/>
                <w:szCs w:val="21"/>
              </w:rPr>
              <w:t>联系方式</w:t>
            </w:r>
          </w:p>
        </w:tc>
      </w:tr>
      <w:tr w14:paraId="1420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 w:author="莫凌" w:date="2026-04-27T16:21: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91" w:type="dxa"/>
            <w:vAlign w:val="center"/>
            <w:tcPrChange w:id="10" w:author="莫凌" w:date="2026-04-27T16:21:16Z">
              <w:tcPr>
                <w:tcW w:w="791" w:type="dxa"/>
                <w:vAlign w:val="center"/>
              </w:tcPr>
            </w:tcPrChange>
          </w:tcPr>
          <w:p w14:paraId="25368E6E">
            <w:pPr>
              <w:pStyle w:val="29"/>
              <w:snapToGrid w:val="0"/>
              <w:ind w:firstLine="0" w:firstLineChars="0"/>
              <w:jc w:val="center"/>
              <w:rPr>
                <w:rFonts w:cs="Times New Roman"/>
                <w:sz w:val="21"/>
                <w:szCs w:val="21"/>
              </w:rPr>
            </w:pPr>
            <w:r>
              <w:rPr>
                <w:rFonts w:hint="eastAsia" w:cs="Times New Roman"/>
                <w:sz w:val="21"/>
                <w:szCs w:val="21"/>
              </w:rPr>
              <w:t>1</w:t>
            </w:r>
          </w:p>
        </w:tc>
        <w:tc>
          <w:tcPr>
            <w:tcW w:w="1087" w:type="dxa"/>
            <w:vAlign w:val="center"/>
            <w:tcPrChange w:id="11" w:author="莫凌" w:date="2026-04-27T16:21:16Z">
              <w:tcPr>
                <w:tcW w:w="1087" w:type="dxa"/>
                <w:vAlign w:val="center"/>
              </w:tcPr>
            </w:tcPrChange>
          </w:tcPr>
          <w:p w14:paraId="35DC4A79">
            <w:pPr>
              <w:pStyle w:val="29"/>
              <w:snapToGrid w:val="0"/>
              <w:ind w:firstLine="0" w:firstLineChars="0"/>
              <w:jc w:val="center"/>
              <w:rPr>
                <w:rFonts w:cs="Times New Roman"/>
                <w:sz w:val="21"/>
                <w:szCs w:val="21"/>
              </w:rPr>
            </w:pPr>
            <w:r>
              <w:rPr>
                <w:rFonts w:hint="eastAsia" w:cs="Times New Roman"/>
                <w:sz w:val="21"/>
                <w:szCs w:val="21"/>
              </w:rPr>
              <w:t>徐建</w:t>
            </w:r>
          </w:p>
        </w:tc>
        <w:tc>
          <w:tcPr>
            <w:tcW w:w="1615" w:type="dxa"/>
            <w:vAlign w:val="center"/>
            <w:tcPrChange w:id="12" w:author="莫凌" w:date="2026-04-27T16:21:16Z">
              <w:tcPr>
                <w:tcW w:w="1615" w:type="dxa"/>
                <w:vAlign w:val="center"/>
              </w:tcPr>
            </w:tcPrChange>
          </w:tcPr>
          <w:p w14:paraId="1BE96901">
            <w:pPr>
              <w:pStyle w:val="29"/>
              <w:snapToGrid w:val="0"/>
              <w:ind w:firstLine="0" w:firstLineChars="0"/>
              <w:jc w:val="center"/>
              <w:rPr>
                <w:rFonts w:cs="Times New Roman"/>
                <w:sz w:val="21"/>
                <w:szCs w:val="21"/>
              </w:rPr>
            </w:pPr>
            <w:r>
              <w:rPr>
                <w:rFonts w:hint="eastAsia" w:cs="Times New Roman"/>
                <w:sz w:val="21"/>
                <w:szCs w:val="21"/>
              </w:rPr>
              <w:t>中国环境科学研究院</w:t>
            </w:r>
          </w:p>
        </w:tc>
        <w:tc>
          <w:tcPr>
            <w:tcW w:w="1655" w:type="dxa"/>
            <w:vAlign w:val="center"/>
            <w:tcPrChange w:id="13" w:author="莫凌" w:date="2026-04-27T16:21:16Z">
              <w:tcPr>
                <w:tcW w:w="1010" w:type="dxa"/>
                <w:vAlign w:val="center"/>
              </w:tcPr>
            </w:tcPrChange>
          </w:tcPr>
          <w:p w14:paraId="741432A4">
            <w:pPr>
              <w:pStyle w:val="29"/>
              <w:snapToGrid w:val="0"/>
              <w:ind w:firstLine="0" w:firstLineChars="0"/>
              <w:jc w:val="center"/>
              <w:rPr>
                <w:rFonts w:cs="Times New Roman"/>
                <w:sz w:val="21"/>
                <w:szCs w:val="21"/>
              </w:rPr>
            </w:pPr>
            <w:r>
              <w:rPr>
                <w:rFonts w:hint="eastAsia" w:cs="Times New Roman"/>
                <w:sz w:val="21"/>
                <w:szCs w:val="21"/>
              </w:rPr>
              <w:t>所长</w:t>
            </w:r>
          </w:p>
        </w:tc>
        <w:tc>
          <w:tcPr>
            <w:tcW w:w="1569" w:type="dxa"/>
            <w:vAlign w:val="center"/>
            <w:tcPrChange w:id="14" w:author="莫凌" w:date="2026-04-27T16:21:16Z">
              <w:tcPr>
                <w:tcW w:w="1134" w:type="dxa"/>
                <w:vAlign w:val="center"/>
              </w:tcPr>
            </w:tcPrChange>
          </w:tcPr>
          <w:p w14:paraId="6073B9A7">
            <w:pPr>
              <w:pStyle w:val="29"/>
              <w:snapToGrid w:val="0"/>
              <w:ind w:firstLine="0" w:firstLineChars="0"/>
              <w:jc w:val="center"/>
              <w:rPr>
                <w:rFonts w:cs="Times New Roman"/>
                <w:sz w:val="21"/>
                <w:szCs w:val="21"/>
              </w:rPr>
            </w:pPr>
            <w:r>
              <w:rPr>
                <w:rFonts w:hint="eastAsia" w:cs="Times New Roman"/>
                <w:sz w:val="21"/>
                <w:szCs w:val="21"/>
              </w:rPr>
              <w:t>研究员</w:t>
            </w:r>
          </w:p>
        </w:tc>
        <w:tc>
          <w:tcPr>
            <w:tcW w:w="2031" w:type="dxa"/>
            <w:vAlign w:val="center"/>
            <w:tcPrChange w:id="15" w:author="莫凌" w:date="2026-04-27T16:21:16Z">
              <w:tcPr>
                <w:tcW w:w="1371" w:type="dxa"/>
                <w:vAlign w:val="center"/>
              </w:tcPr>
            </w:tcPrChange>
          </w:tcPr>
          <w:p w14:paraId="22FA849D">
            <w:pPr>
              <w:pStyle w:val="29"/>
              <w:snapToGrid w:val="0"/>
              <w:ind w:firstLine="0" w:firstLineChars="0"/>
              <w:jc w:val="center"/>
              <w:rPr>
                <w:rFonts w:cs="Times New Roman"/>
                <w:sz w:val="21"/>
                <w:szCs w:val="21"/>
              </w:rPr>
            </w:pPr>
            <w:r>
              <w:rPr>
                <w:rFonts w:cs="Times New Roman"/>
                <w:sz w:val="21"/>
                <w:szCs w:val="21"/>
              </w:rPr>
              <w:t>18600586598</w:t>
            </w:r>
          </w:p>
        </w:tc>
      </w:tr>
      <w:tr w14:paraId="6649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 w:author="莫凌" w:date="2026-04-27T16:21: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91" w:type="dxa"/>
            <w:vAlign w:val="center"/>
            <w:tcPrChange w:id="17" w:author="莫凌" w:date="2026-04-27T16:21:16Z">
              <w:tcPr>
                <w:tcW w:w="791" w:type="dxa"/>
                <w:vAlign w:val="center"/>
              </w:tcPr>
            </w:tcPrChange>
          </w:tcPr>
          <w:p w14:paraId="2AD7F817">
            <w:pPr>
              <w:pStyle w:val="29"/>
              <w:snapToGrid w:val="0"/>
              <w:ind w:firstLine="0" w:firstLineChars="0"/>
              <w:jc w:val="center"/>
              <w:rPr>
                <w:rFonts w:cs="Times New Roman"/>
                <w:sz w:val="21"/>
                <w:szCs w:val="21"/>
              </w:rPr>
            </w:pPr>
            <w:r>
              <w:rPr>
                <w:rFonts w:hint="eastAsia" w:cs="Times New Roman"/>
                <w:sz w:val="21"/>
                <w:szCs w:val="21"/>
              </w:rPr>
              <w:t>2</w:t>
            </w:r>
          </w:p>
        </w:tc>
        <w:tc>
          <w:tcPr>
            <w:tcW w:w="1087" w:type="dxa"/>
            <w:vAlign w:val="center"/>
            <w:tcPrChange w:id="18" w:author="莫凌" w:date="2026-04-27T16:21:16Z">
              <w:tcPr>
                <w:tcW w:w="1087" w:type="dxa"/>
                <w:vAlign w:val="center"/>
              </w:tcPr>
            </w:tcPrChange>
          </w:tcPr>
          <w:p w14:paraId="74CC5ED0">
            <w:pPr>
              <w:pStyle w:val="29"/>
              <w:snapToGrid w:val="0"/>
              <w:ind w:firstLine="0" w:firstLineChars="0"/>
              <w:jc w:val="center"/>
              <w:rPr>
                <w:rFonts w:cs="Times New Roman"/>
                <w:sz w:val="21"/>
                <w:szCs w:val="21"/>
              </w:rPr>
            </w:pPr>
            <w:r>
              <w:rPr>
                <w:rFonts w:hint="eastAsia" w:cs="Times New Roman"/>
                <w:sz w:val="21"/>
                <w:szCs w:val="21"/>
              </w:rPr>
              <w:t>郭昌胜</w:t>
            </w:r>
          </w:p>
        </w:tc>
        <w:tc>
          <w:tcPr>
            <w:tcW w:w="1615" w:type="dxa"/>
            <w:vAlign w:val="center"/>
            <w:tcPrChange w:id="19" w:author="莫凌" w:date="2026-04-27T16:21:16Z">
              <w:tcPr>
                <w:tcW w:w="1615" w:type="dxa"/>
                <w:vAlign w:val="center"/>
              </w:tcPr>
            </w:tcPrChange>
          </w:tcPr>
          <w:p w14:paraId="211FB13E">
            <w:pPr>
              <w:pStyle w:val="29"/>
              <w:snapToGrid w:val="0"/>
              <w:ind w:firstLine="0" w:firstLineChars="0"/>
              <w:jc w:val="center"/>
              <w:rPr>
                <w:rFonts w:cs="Times New Roman"/>
                <w:sz w:val="21"/>
                <w:szCs w:val="21"/>
              </w:rPr>
            </w:pPr>
            <w:r>
              <w:rPr>
                <w:rFonts w:hint="eastAsia" w:cs="Times New Roman"/>
                <w:sz w:val="21"/>
                <w:szCs w:val="21"/>
              </w:rPr>
              <w:t>中国环境科学研究院</w:t>
            </w:r>
          </w:p>
        </w:tc>
        <w:tc>
          <w:tcPr>
            <w:tcW w:w="1655" w:type="dxa"/>
            <w:vAlign w:val="center"/>
            <w:tcPrChange w:id="20" w:author="莫凌" w:date="2026-04-27T16:21:16Z">
              <w:tcPr>
                <w:tcW w:w="1010" w:type="dxa"/>
                <w:vAlign w:val="center"/>
              </w:tcPr>
            </w:tcPrChange>
          </w:tcPr>
          <w:p w14:paraId="3E87855B">
            <w:pPr>
              <w:pStyle w:val="29"/>
              <w:snapToGrid w:val="0"/>
              <w:ind w:firstLine="0" w:firstLineChars="0"/>
              <w:jc w:val="center"/>
              <w:rPr>
                <w:rFonts w:cs="Times New Roman"/>
                <w:sz w:val="21"/>
                <w:szCs w:val="21"/>
              </w:rPr>
            </w:pPr>
            <w:r>
              <w:rPr>
                <w:rFonts w:hint="eastAsia" w:cs="Times New Roman"/>
                <w:sz w:val="21"/>
                <w:szCs w:val="21"/>
              </w:rPr>
              <w:t>无</w:t>
            </w:r>
          </w:p>
        </w:tc>
        <w:tc>
          <w:tcPr>
            <w:tcW w:w="1569" w:type="dxa"/>
            <w:vAlign w:val="center"/>
            <w:tcPrChange w:id="21" w:author="莫凌" w:date="2026-04-27T16:21:16Z">
              <w:tcPr>
                <w:tcW w:w="1134" w:type="dxa"/>
                <w:vAlign w:val="center"/>
              </w:tcPr>
            </w:tcPrChange>
          </w:tcPr>
          <w:p w14:paraId="762F0A85">
            <w:pPr>
              <w:pStyle w:val="29"/>
              <w:snapToGrid w:val="0"/>
              <w:ind w:firstLine="0" w:firstLineChars="0"/>
              <w:jc w:val="center"/>
              <w:rPr>
                <w:rFonts w:cs="Times New Roman"/>
                <w:sz w:val="21"/>
                <w:szCs w:val="21"/>
              </w:rPr>
            </w:pPr>
            <w:r>
              <w:rPr>
                <w:rFonts w:hint="eastAsia" w:cs="Times New Roman"/>
                <w:sz w:val="21"/>
                <w:szCs w:val="21"/>
              </w:rPr>
              <w:t>研究员</w:t>
            </w:r>
          </w:p>
        </w:tc>
        <w:tc>
          <w:tcPr>
            <w:tcW w:w="2031" w:type="dxa"/>
            <w:vAlign w:val="center"/>
            <w:tcPrChange w:id="22" w:author="莫凌" w:date="2026-04-27T16:21:16Z">
              <w:tcPr>
                <w:tcW w:w="1371" w:type="dxa"/>
                <w:vAlign w:val="center"/>
              </w:tcPr>
            </w:tcPrChange>
          </w:tcPr>
          <w:p w14:paraId="5AA9AC51">
            <w:pPr>
              <w:pStyle w:val="29"/>
              <w:snapToGrid w:val="0"/>
              <w:ind w:firstLine="0" w:firstLineChars="0"/>
              <w:jc w:val="center"/>
              <w:rPr>
                <w:rFonts w:cs="Times New Roman"/>
                <w:sz w:val="21"/>
                <w:szCs w:val="21"/>
              </w:rPr>
            </w:pPr>
            <w:r>
              <w:rPr>
                <w:rFonts w:cs="Times New Roman"/>
                <w:sz w:val="21"/>
                <w:szCs w:val="21"/>
              </w:rPr>
              <w:t>18810522263</w:t>
            </w:r>
          </w:p>
        </w:tc>
      </w:tr>
      <w:tr w14:paraId="5C30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3" w:author="莫凌" w:date="2026-04-27T16:21: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91" w:type="dxa"/>
            <w:vAlign w:val="center"/>
            <w:tcPrChange w:id="24" w:author="莫凌" w:date="2026-04-27T16:21:16Z">
              <w:tcPr>
                <w:tcW w:w="791" w:type="dxa"/>
                <w:vAlign w:val="center"/>
              </w:tcPr>
            </w:tcPrChange>
          </w:tcPr>
          <w:p w14:paraId="46E4357D">
            <w:pPr>
              <w:pStyle w:val="29"/>
              <w:snapToGrid w:val="0"/>
              <w:ind w:firstLine="0" w:firstLineChars="0"/>
              <w:jc w:val="center"/>
              <w:rPr>
                <w:rFonts w:cs="Times New Roman"/>
                <w:sz w:val="21"/>
                <w:szCs w:val="21"/>
              </w:rPr>
            </w:pPr>
            <w:r>
              <w:rPr>
                <w:rFonts w:hint="eastAsia" w:cs="Times New Roman"/>
                <w:sz w:val="21"/>
                <w:szCs w:val="21"/>
              </w:rPr>
              <w:t>3</w:t>
            </w:r>
          </w:p>
        </w:tc>
        <w:tc>
          <w:tcPr>
            <w:tcW w:w="1087" w:type="dxa"/>
            <w:vAlign w:val="center"/>
            <w:tcPrChange w:id="25" w:author="莫凌" w:date="2026-04-27T16:21:16Z">
              <w:tcPr>
                <w:tcW w:w="1087" w:type="dxa"/>
                <w:vAlign w:val="center"/>
              </w:tcPr>
            </w:tcPrChange>
          </w:tcPr>
          <w:p w14:paraId="110F9716">
            <w:pPr>
              <w:pStyle w:val="29"/>
              <w:snapToGrid w:val="0"/>
              <w:ind w:firstLine="0" w:firstLineChars="0"/>
              <w:jc w:val="center"/>
              <w:rPr>
                <w:rFonts w:cs="Times New Roman"/>
                <w:sz w:val="21"/>
                <w:szCs w:val="21"/>
              </w:rPr>
            </w:pPr>
            <w:r>
              <w:rPr>
                <w:rFonts w:hint="eastAsia" w:cs="Times New Roman"/>
                <w:sz w:val="21"/>
                <w:szCs w:val="21"/>
              </w:rPr>
              <w:t>张艳</w:t>
            </w:r>
          </w:p>
        </w:tc>
        <w:tc>
          <w:tcPr>
            <w:tcW w:w="1615" w:type="dxa"/>
            <w:vAlign w:val="center"/>
            <w:tcPrChange w:id="26" w:author="莫凌" w:date="2026-04-27T16:21:16Z">
              <w:tcPr>
                <w:tcW w:w="1615" w:type="dxa"/>
                <w:vAlign w:val="center"/>
              </w:tcPr>
            </w:tcPrChange>
          </w:tcPr>
          <w:p w14:paraId="238100FC">
            <w:pPr>
              <w:pStyle w:val="29"/>
              <w:snapToGrid w:val="0"/>
              <w:ind w:firstLine="0" w:firstLineChars="0"/>
              <w:jc w:val="center"/>
              <w:rPr>
                <w:rFonts w:cs="Times New Roman"/>
                <w:sz w:val="21"/>
                <w:szCs w:val="21"/>
              </w:rPr>
            </w:pPr>
            <w:r>
              <w:rPr>
                <w:rFonts w:hint="eastAsia" w:cs="Times New Roman"/>
                <w:sz w:val="21"/>
                <w:szCs w:val="21"/>
              </w:rPr>
              <w:t>中国环境科学研究院</w:t>
            </w:r>
          </w:p>
        </w:tc>
        <w:tc>
          <w:tcPr>
            <w:tcW w:w="1655" w:type="dxa"/>
            <w:vAlign w:val="center"/>
            <w:tcPrChange w:id="27" w:author="莫凌" w:date="2026-04-27T16:21:16Z">
              <w:tcPr>
                <w:tcW w:w="1010" w:type="dxa"/>
                <w:vAlign w:val="center"/>
              </w:tcPr>
            </w:tcPrChange>
          </w:tcPr>
          <w:p w14:paraId="293E4B6E">
            <w:pPr>
              <w:pStyle w:val="29"/>
              <w:snapToGrid w:val="0"/>
              <w:ind w:firstLine="0" w:firstLineChars="0"/>
              <w:jc w:val="center"/>
              <w:rPr>
                <w:rFonts w:cs="Times New Roman"/>
                <w:sz w:val="21"/>
                <w:szCs w:val="21"/>
              </w:rPr>
            </w:pPr>
            <w:r>
              <w:rPr>
                <w:rFonts w:hint="eastAsia" w:cs="Times New Roman"/>
                <w:sz w:val="21"/>
                <w:szCs w:val="21"/>
              </w:rPr>
              <w:t>无</w:t>
            </w:r>
          </w:p>
        </w:tc>
        <w:tc>
          <w:tcPr>
            <w:tcW w:w="1569" w:type="dxa"/>
            <w:vAlign w:val="center"/>
            <w:tcPrChange w:id="28" w:author="莫凌" w:date="2026-04-27T16:21:16Z">
              <w:tcPr>
                <w:tcW w:w="1134" w:type="dxa"/>
                <w:vAlign w:val="center"/>
              </w:tcPr>
            </w:tcPrChange>
          </w:tcPr>
          <w:p w14:paraId="11EABCC3">
            <w:pPr>
              <w:pStyle w:val="29"/>
              <w:snapToGrid w:val="0"/>
              <w:ind w:firstLine="0" w:firstLineChars="0"/>
              <w:jc w:val="center"/>
              <w:rPr>
                <w:rFonts w:cs="Times New Roman"/>
                <w:sz w:val="21"/>
                <w:szCs w:val="21"/>
              </w:rPr>
            </w:pPr>
            <w:r>
              <w:rPr>
                <w:rFonts w:hint="eastAsia" w:cs="Times New Roman"/>
                <w:sz w:val="21"/>
                <w:szCs w:val="21"/>
              </w:rPr>
              <w:t>助理研究员</w:t>
            </w:r>
          </w:p>
        </w:tc>
        <w:tc>
          <w:tcPr>
            <w:tcW w:w="2031" w:type="dxa"/>
            <w:vAlign w:val="center"/>
            <w:tcPrChange w:id="29" w:author="莫凌" w:date="2026-04-27T16:21:16Z">
              <w:tcPr>
                <w:tcW w:w="1371" w:type="dxa"/>
                <w:vAlign w:val="center"/>
              </w:tcPr>
            </w:tcPrChange>
          </w:tcPr>
          <w:p w14:paraId="1864B425">
            <w:pPr>
              <w:pStyle w:val="29"/>
              <w:snapToGrid w:val="0"/>
              <w:ind w:firstLine="0" w:firstLineChars="0"/>
              <w:jc w:val="center"/>
              <w:rPr>
                <w:rFonts w:cs="Times New Roman"/>
                <w:sz w:val="21"/>
                <w:szCs w:val="21"/>
              </w:rPr>
            </w:pPr>
            <w:r>
              <w:rPr>
                <w:rFonts w:hint="eastAsia" w:cs="Times New Roman"/>
                <w:sz w:val="21"/>
                <w:szCs w:val="21"/>
              </w:rPr>
              <w:t>1</w:t>
            </w:r>
            <w:r>
              <w:rPr>
                <w:rFonts w:cs="Times New Roman"/>
                <w:sz w:val="21"/>
                <w:szCs w:val="21"/>
              </w:rPr>
              <w:t>3051569082</w:t>
            </w:r>
          </w:p>
        </w:tc>
      </w:tr>
      <w:tr w14:paraId="1B03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0" w:author="莫凌" w:date="2026-04-27T16:21: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91" w:type="dxa"/>
            <w:vAlign w:val="center"/>
            <w:tcPrChange w:id="31" w:author="莫凌" w:date="2026-04-27T16:21:16Z">
              <w:tcPr>
                <w:tcW w:w="791" w:type="dxa"/>
                <w:vAlign w:val="center"/>
              </w:tcPr>
            </w:tcPrChange>
          </w:tcPr>
          <w:p w14:paraId="65985FB0">
            <w:pPr>
              <w:pStyle w:val="29"/>
              <w:snapToGrid w:val="0"/>
              <w:ind w:firstLine="0" w:firstLineChars="0"/>
              <w:jc w:val="center"/>
              <w:rPr>
                <w:rFonts w:cs="Times New Roman"/>
                <w:sz w:val="21"/>
                <w:szCs w:val="21"/>
              </w:rPr>
            </w:pPr>
            <w:r>
              <w:rPr>
                <w:rFonts w:hint="eastAsia" w:cs="Times New Roman"/>
                <w:sz w:val="21"/>
                <w:szCs w:val="21"/>
              </w:rPr>
              <w:t>4</w:t>
            </w:r>
          </w:p>
        </w:tc>
        <w:tc>
          <w:tcPr>
            <w:tcW w:w="1087" w:type="dxa"/>
            <w:vAlign w:val="center"/>
            <w:tcPrChange w:id="32" w:author="莫凌" w:date="2026-04-27T16:21:16Z">
              <w:tcPr>
                <w:tcW w:w="1087" w:type="dxa"/>
                <w:vAlign w:val="center"/>
              </w:tcPr>
            </w:tcPrChange>
          </w:tcPr>
          <w:p w14:paraId="1BA48F47">
            <w:pPr>
              <w:pStyle w:val="29"/>
              <w:snapToGrid w:val="0"/>
              <w:ind w:firstLine="0" w:firstLineChars="0"/>
              <w:jc w:val="center"/>
              <w:rPr>
                <w:rFonts w:cs="Times New Roman"/>
                <w:sz w:val="21"/>
                <w:szCs w:val="21"/>
              </w:rPr>
            </w:pPr>
            <w:r>
              <w:rPr>
                <w:rFonts w:hint="eastAsia" w:cs="Times New Roman"/>
                <w:sz w:val="21"/>
                <w:szCs w:val="21"/>
              </w:rPr>
              <w:t>陈力可</w:t>
            </w:r>
          </w:p>
        </w:tc>
        <w:tc>
          <w:tcPr>
            <w:tcW w:w="1615" w:type="dxa"/>
            <w:vAlign w:val="center"/>
            <w:tcPrChange w:id="33" w:author="莫凌" w:date="2026-04-27T16:21:16Z">
              <w:tcPr>
                <w:tcW w:w="1615" w:type="dxa"/>
                <w:vAlign w:val="center"/>
              </w:tcPr>
            </w:tcPrChange>
          </w:tcPr>
          <w:p w14:paraId="292BB66C">
            <w:pPr>
              <w:pStyle w:val="29"/>
              <w:snapToGrid w:val="0"/>
              <w:ind w:firstLine="0" w:firstLineChars="0"/>
              <w:jc w:val="center"/>
              <w:rPr>
                <w:rFonts w:cs="Times New Roman"/>
                <w:sz w:val="21"/>
                <w:szCs w:val="21"/>
              </w:rPr>
            </w:pPr>
            <w:r>
              <w:rPr>
                <w:rFonts w:hint="eastAsia" w:cs="Times New Roman"/>
                <w:sz w:val="21"/>
                <w:szCs w:val="21"/>
              </w:rPr>
              <w:t>海南省环境科学研究院</w:t>
            </w:r>
          </w:p>
        </w:tc>
        <w:tc>
          <w:tcPr>
            <w:tcW w:w="1655" w:type="dxa"/>
            <w:vAlign w:val="center"/>
            <w:tcPrChange w:id="34" w:author="莫凌" w:date="2026-04-27T16:21:16Z">
              <w:tcPr>
                <w:tcW w:w="1010" w:type="dxa"/>
                <w:vAlign w:val="center"/>
              </w:tcPr>
            </w:tcPrChange>
          </w:tcPr>
          <w:p w14:paraId="6F46906A">
            <w:pPr>
              <w:pStyle w:val="29"/>
              <w:snapToGrid w:val="0"/>
              <w:ind w:firstLine="0" w:firstLineChars="0"/>
              <w:jc w:val="center"/>
              <w:rPr>
                <w:rFonts w:cs="Times New Roman"/>
                <w:sz w:val="21"/>
                <w:szCs w:val="21"/>
              </w:rPr>
            </w:pPr>
            <w:r>
              <w:rPr>
                <w:rFonts w:hint="eastAsia" w:cs="Times New Roman"/>
                <w:sz w:val="21"/>
                <w:szCs w:val="21"/>
              </w:rPr>
              <w:t>无</w:t>
            </w:r>
          </w:p>
        </w:tc>
        <w:tc>
          <w:tcPr>
            <w:tcW w:w="1569" w:type="dxa"/>
            <w:vAlign w:val="center"/>
            <w:tcPrChange w:id="35" w:author="莫凌" w:date="2026-04-27T16:21:16Z">
              <w:tcPr>
                <w:tcW w:w="1134" w:type="dxa"/>
                <w:vAlign w:val="center"/>
              </w:tcPr>
            </w:tcPrChange>
          </w:tcPr>
          <w:p w14:paraId="6FE3640C">
            <w:pPr>
              <w:pStyle w:val="29"/>
              <w:snapToGrid w:val="0"/>
              <w:ind w:firstLine="0" w:firstLineChars="0"/>
              <w:jc w:val="center"/>
              <w:rPr>
                <w:rFonts w:cs="Times New Roman"/>
                <w:sz w:val="21"/>
                <w:szCs w:val="21"/>
              </w:rPr>
            </w:pPr>
            <w:r>
              <w:rPr>
                <w:rFonts w:hint="eastAsia" w:cs="Times New Roman"/>
                <w:sz w:val="21"/>
                <w:szCs w:val="21"/>
              </w:rPr>
              <w:t>副研究员</w:t>
            </w:r>
          </w:p>
        </w:tc>
        <w:tc>
          <w:tcPr>
            <w:tcW w:w="2031" w:type="dxa"/>
            <w:vAlign w:val="center"/>
            <w:tcPrChange w:id="36" w:author="莫凌" w:date="2026-04-27T16:21:16Z">
              <w:tcPr>
                <w:tcW w:w="1371" w:type="dxa"/>
                <w:vAlign w:val="center"/>
              </w:tcPr>
            </w:tcPrChange>
          </w:tcPr>
          <w:p w14:paraId="01106F96">
            <w:pPr>
              <w:pStyle w:val="29"/>
              <w:snapToGrid w:val="0"/>
              <w:ind w:firstLine="0" w:firstLineChars="0"/>
              <w:jc w:val="center"/>
              <w:rPr>
                <w:rFonts w:cs="Times New Roman"/>
                <w:sz w:val="21"/>
                <w:szCs w:val="21"/>
              </w:rPr>
            </w:pPr>
            <w:r>
              <w:rPr>
                <w:rFonts w:hint="eastAsia" w:cs="Times New Roman"/>
                <w:sz w:val="21"/>
                <w:szCs w:val="21"/>
              </w:rPr>
              <w:t>18580780024</w:t>
            </w:r>
          </w:p>
        </w:tc>
      </w:tr>
      <w:tr w14:paraId="693A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7" w:author="莫凌" w:date="2026-04-27T16:21: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91" w:type="dxa"/>
            <w:vAlign w:val="center"/>
            <w:tcPrChange w:id="38" w:author="莫凌" w:date="2026-04-27T16:21:16Z">
              <w:tcPr>
                <w:tcW w:w="791" w:type="dxa"/>
                <w:vAlign w:val="center"/>
              </w:tcPr>
            </w:tcPrChange>
          </w:tcPr>
          <w:p w14:paraId="316F801C">
            <w:pPr>
              <w:pStyle w:val="29"/>
              <w:snapToGrid w:val="0"/>
              <w:ind w:firstLine="0" w:firstLineChars="0"/>
              <w:jc w:val="center"/>
              <w:rPr>
                <w:rFonts w:cs="Times New Roman"/>
                <w:sz w:val="21"/>
                <w:szCs w:val="21"/>
              </w:rPr>
            </w:pPr>
            <w:r>
              <w:rPr>
                <w:rFonts w:cs="Times New Roman"/>
                <w:sz w:val="21"/>
                <w:szCs w:val="21"/>
              </w:rPr>
              <w:t>5</w:t>
            </w:r>
          </w:p>
        </w:tc>
        <w:tc>
          <w:tcPr>
            <w:tcW w:w="1087" w:type="dxa"/>
            <w:vAlign w:val="center"/>
            <w:tcPrChange w:id="39" w:author="莫凌" w:date="2026-04-27T16:21:16Z">
              <w:tcPr>
                <w:tcW w:w="1087" w:type="dxa"/>
                <w:vAlign w:val="center"/>
              </w:tcPr>
            </w:tcPrChange>
          </w:tcPr>
          <w:p w14:paraId="6AF4D831">
            <w:pPr>
              <w:pStyle w:val="29"/>
              <w:snapToGrid w:val="0"/>
              <w:ind w:firstLine="0" w:firstLineChars="0"/>
              <w:jc w:val="center"/>
              <w:rPr>
                <w:rFonts w:cs="Times New Roman"/>
                <w:sz w:val="21"/>
                <w:szCs w:val="21"/>
              </w:rPr>
            </w:pPr>
            <w:r>
              <w:rPr>
                <w:rFonts w:cs="Times New Roman"/>
                <w:sz w:val="21"/>
                <w:szCs w:val="21"/>
              </w:rPr>
              <w:t>吴晓晨</w:t>
            </w:r>
          </w:p>
        </w:tc>
        <w:tc>
          <w:tcPr>
            <w:tcW w:w="1615" w:type="dxa"/>
            <w:vAlign w:val="center"/>
            <w:tcPrChange w:id="40" w:author="莫凌" w:date="2026-04-27T16:21:16Z">
              <w:tcPr>
                <w:tcW w:w="1615" w:type="dxa"/>
                <w:vAlign w:val="center"/>
              </w:tcPr>
            </w:tcPrChange>
          </w:tcPr>
          <w:p w14:paraId="7E78BCBE">
            <w:pPr>
              <w:pStyle w:val="29"/>
              <w:snapToGrid w:val="0"/>
              <w:ind w:firstLine="0" w:firstLineChars="0"/>
              <w:jc w:val="center"/>
              <w:rPr>
                <w:rFonts w:cs="Times New Roman"/>
                <w:sz w:val="21"/>
                <w:szCs w:val="21"/>
              </w:rPr>
            </w:pPr>
            <w:r>
              <w:rPr>
                <w:rFonts w:hint="eastAsia" w:cs="Times New Roman"/>
                <w:sz w:val="21"/>
                <w:szCs w:val="21"/>
              </w:rPr>
              <w:t>海南省环境科学研究院</w:t>
            </w:r>
          </w:p>
        </w:tc>
        <w:tc>
          <w:tcPr>
            <w:tcW w:w="1655" w:type="dxa"/>
            <w:vAlign w:val="center"/>
            <w:tcPrChange w:id="41" w:author="莫凌" w:date="2026-04-27T16:21:16Z">
              <w:tcPr>
                <w:tcW w:w="1010" w:type="dxa"/>
                <w:vAlign w:val="center"/>
              </w:tcPr>
            </w:tcPrChange>
          </w:tcPr>
          <w:p w14:paraId="62F001BF">
            <w:pPr>
              <w:pStyle w:val="29"/>
              <w:snapToGrid w:val="0"/>
              <w:ind w:firstLine="0" w:firstLineChars="0"/>
              <w:jc w:val="center"/>
              <w:rPr>
                <w:rFonts w:cs="Times New Roman"/>
                <w:sz w:val="21"/>
                <w:szCs w:val="21"/>
              </w:rPr>
            </w:pPr>
            <w:r>
              <w:rPr>
                <w:rFonts w:cs="Times New Roman"/>
                <w:sz w:val="21"/>
                <w:szCs w:val="21"/>
              </w:rPr>
              <w:t>副院长</w:t>
            </w:r>
          </w:p>
        </w:tc>
        <w:tc>
          <w:tcPr>
            <w:tcW w:w="1569" w:type="dxa"/>
            <w:vAlign w:val="center"/>
            <w:tcPrChange w:id="42" w:author="莫凌" w:date="2026-04-27T16:21:16Z">
              <w:tcPr>
                <w:tcW w:w="1134" w:type="dxa"/>
                <w:vAlign w:val="center"/>
              </w:tcPr>
            </w:tcPrChange>
          </w:tcPr>
          <w:p w14:paraId="1703492E">
            <w:pPr>
              <w:pStyle w:val="29"/>
              <w:snapToGrid w:val="0"/>
              <w:ind w:firstLine="0" w:firstLineChars="0"/>
              <w:jc w:val="center"/>
              <w:rPr>
                <w:rFonts w:cs="Times New Roman"/>
                <w:sz w:val="21"/>
                <w:szCs w:val="21"/>
              </w:rPr>
            </w:pPr>
            <w:r>
              <w:rPr>
                <w:rFonts w:cs="Times New Roman"/>
                <w:sz w:val="21"/>
                <w:szCs w:val="21"/>
              </w:rPr>
              <w:t>正高级工程师</w:t>
            </w:r>
          </w:p>
        </w:tc>
        <w:tc>
          <w:tcPr>
            <w:tcW w:w="2031" w:type="dxa"/>
            <w:vAlign w:val="center"/>
            <w:tcPrChange w:id="43" w:author="莫凌" w:date="2026-04-27T16:21:16Z">
              <w:tcPr>
                <w:tcW w:w="1371" w:type="dxa"/>
                <w:vAlign w:val="center"/>
              </w:tcPr>
            </w:tcPrChange>
          </w:tcPr>
          <w:p w14:paraId="482D5365">
            <w:pPr>
              <w:pStyle w:val="29"/>
              <w:snapToGrid w:val="0"/>
              <w:ind w:firstLine="0" w:firstLineChars="0"/>
              <w:jc w:val="center"/>
              <w:rPr>
                <w:rFonts w:cs="Times New Roman"/>
                <w:sz w:val="21"/>
                <w:szCs w:val="21"/>
              </w:rPr>
            </w:pPr>
            <w:r>
              <w:rPr>
                <w:rFonts w:hint="eastAsia" w:cs="Times New Roman"/>
                <w:sz w:val="21"/>
                <w:szCs w:val="21"/>
              </w:rPr>
              <w:t>18907519760</w:t>
            </w:r>
          </w:p>
        </w:tc>
      </w:tr>
      <w:tr w14:paraId="5D72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4" w:author="莫凌" w:date="2026-04-27T16:21: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91" w:type="dxa"/>
            <w:vAlign w:val="center"/>
            <w:tcPrChange w:id="45" w:author="莫凌" w:date="2026-04-27T16:21:16Z">
              <w:tcPr>
                <w:tcW w:w="791" w:type="dxa"/>
                <w:vAlign w:val="center"/>
              </w:tcPr>
            </w:tcPrChange>
          </w:tcPr>
          <w:p w14:paraId="19AABBA3">
            <w:pPr>
              <w:pStyle w:val="29"/>
              <w:snapToGrid w:val="0"/>
              <w:ind w:firstLine="0" w:firstLineChars="0"/>
              <w:jc w:val="center"/>
              <w:rPr>
                <w:rFonts w:cs="Times New Roman"/>
                <w:sz w:val="21"/>
                <w:szCs w:val="21"/>
              </w:rPr>
            </w:pPr>
            <w:r>
              <w:rPr>
                <w:rFonts w:cs="Times New Roman"/>
                <w:sz w:val="21"/>
                <w:szCs w:val="21"/>
              </w:rPr>
              <w:t>6</w:t>
            </w:r>
          </w:p>
        </w:tc>
        <w:tc>
          <w:tcPr>
            <w:tcW w:w="1087" w:type="dxa"/>
            <w:vAlign w:val="center"/>
            <w:tcPrChange w:id="46" w:author="莫凌" w:date="2026-04-27T16:21:16Z">
              <w:tcPr>
                <w:tcW w:w="1087" w:type="dxa"/>
                <w:vAlign w:val="center"/>
              </w:tcPr>
            </w:tcPrChange>
          </w:tcPr>
          <w:p w14:paraId="2EFEBBBA">
            <w:pPr>
              <w:pStyle w:val="29"/>
              <w:snapToGrid w:val="0"/>
              <w:ind w:firstLine="0" w:firstLineChars="0"/>
              <w:jc w:val="center"/>
              <w:rPr>
                <w:rFonts w:cs="Times New Roman"/>
                <w:sz w:val="21"/>
                <w:szCs w:val="21"/>
              </w:rPr>
            </w:pPr>
            <w:r>
              <w:rPr>
                <w:rFonts w:cs="Times New Roman"/>
                <w:sz w:val="21"/>
                <w:szCs w:val="21"/>
              </w:rPr>
              <w:t>王晨野</w:t>
            </w:r>
          </w:p>
        </w:tc>
        <w:tc>
          <w:tcPr>
            <w:tcW w:w="1615" w:type="dxa"/>
            <w:vAlign w:val="center"/>
            <w:tcPrChange w:id="47" w:author="莫凌" w:date="2026-04-27T16:21:16Z">
              <w:tcPr>
                <w:tcW w:w="1615" w:type="dxa"/>
                <w:vAlign w:val="center"/>
              </w:tcPr>
            </w:tcPrChange>
          </w:tcPr>
          <w:p w14:paraId="41DAFFD6">
            <w:pPr>
              <w:pStyle w:val="29"/>
              <w:snapToGrid w:val="0"/>
              <w:ind w:firstLine="0" w:firstLineChars="0"/>
              <w:jc w:val="center"/>
              <w:rPr>
                <w:rFonts w:cs="Times New Roman"/>
                <w:sz w:val="21"/>
                <w:szCs w:val="21"/>
              </w:rPr>
            </w:pPr>
            <w:r>
              <w:rPr>
                <w:rFonts w:hint="eastAsia" w:cs="Times New Roman"/>
                <w:sz w:val="21"/>
                <w:szCs w:val="21"/>
              </w:rPr>
              <w:t>海南省环境科学研究院</w:t>
            </w:r>
          </w:p>
        </w:tc>
        <w:tc>
          <w:tcPr>
            <w:tcW w:w="1655" w:type="dxa"/>
            <w:vAlign w:val="center"/>
            <w:tcPrChange w:id="48" w:author="莫凌" w:date="2026-04-27T16:21:16Z">
              <w:tcPr>
                <w:tcW w:w="1010" w:type="dxa"/>
                <w:vAlign w:val="center"/>
              </w:tcPr>
            </w:tcPrChange>
          </w:tcPr>
          <w:p w14:paraId="444C72FC">
            <w:pPr>
              <w:pStyle w:val="29"/>
              <w:snapToGrid w:val="0"/>
              <w:ind w:firstLine="0" w:firstLineChars="0"/>
              <w:jc w:val="center"/>
              <w:rPr>
                <w:rFonts w:cs="Times New Roman"/>
                <w:sz w:val="21"/>
                <w:szCs w:val="21"/>
              </w:rPr>
            </w:pPr>
            <w:r>
              <w:rPr>
                <w:rFonts w:hint="eastAsia" w:cs="Times New Roman"/>
                <w:sz w:val="21"/>
                <w:szCs w:val="21"/>
              </w:rPr>
              <w:t>副院长</w:t>
            </w:r>
          </w:p>
        </w:tc>
        <w:tc>
          <w:tcPr>
            <w:tcW w:w="1569" w:type="dxa"/>
            <w:vAlign w:val="center"/>
            <w:tcPrChange w:id="49" w:author="莫凌" w:date="2026-04-27T16:21:16Z">
              <w:tcPr>
                <w:tcW w:w="1134" w:type="dxa"/>
                <w:vAlign w:val="center"/>
              </w:tcPr>
            </w:tcPrChange>
          </w:tcPr>
          <w:p w14:paraId="6590B1C4">
            <w:pPr>
              <w:pStyle w:val="29"/>
              <w:snapToGrid w:val="0"/>
              <w:ind w:firstLine="0" w:firstLineChars="0"/>
              <w:jc w:val="center"/>
              <w:rPr>
                <w:rFonts w:cs="Times New Roman"/>
                <w:sz w:val="21"/>
                <w:szCs w:val="21"/>
              </w:rPr>
            </w:pPr>
            <w:r>
              <w:rPr>
                <w:rFonts w:cs="Times New Roman"/>
                <w:sz w:val="21"/>
                <w:szCs w:val="21"/>
              </w:rPr>
              <w:t>正高级工程师</w:t>
            </w:r>
          </w:p>
        </w:tc>
        <w:tc>
          <w:tcPr>
            <w:tcW w:w="2031" w:type="dxa"/>
            <w:vAlign w:val="center"/>
            <w:tcPrChange w:id="50" w:author="莫凌" w:date="2026-04-27T16:21:16Z">
              <w:tcPr>
                <w:tcW w:w="1371" w:type="dxa"/>
                <w:vAlign w:val="center"/>
              </w:tcPr>
            </w:tcPrChange>
          </w:tcPr>
          <w:p w14:paraId="3A51E956">
            <w:pPr>
              <w:pStyle w:val="29"/>
              <w:snapToGrid w:val="0"/>
              <w:ind w:firstLine="0" w:firstLineChars="0"/>
              <w:jc w:val="center"/>
              <w:rPr>
                <w:rFonts w:cs="Times New Roman"/>
                <w:sz w:val="21"/>
                <w:szCs w:val="21"/>
              </w:rPr>
            </w:pPr>
            <w:r>
              <w:rPr>
                <w:rFonts w:hint="eastAsia" w:cs="Times New Roman"/>
                <w:sz w:val="21"/>
                <w:szCs w:val="21"/>
              </w:rPr>
              <w:t>18976069205</w:t>
            </w:r>
          </w:p>
        </w:tc>
      </w:tr>
      <w:tr w14:paraId="3259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1" w:author="莫凌" w:date="2026-04-27T16:21: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91" w:type="dxa"/>
            <w:vAlign w:val="center"/>
            <w:tcPrChange w:id="52" w:author="莫凌" w:date="2026-04-27T16:21:16Z">
              <w:tcPr>
                <w:tcW w:w="791" w:type="dxa"/>
                <w:vAlign w:val="center"/>
              </w:tcPr>
            </w:tcPrChange>
          </w:tcPr>
          <w:p w14:paraId="4AD9AAA7">
            <w:pPr>
              <w:pStyle w:val="29"/>
              <w:snapToGrid w:val="0"/>
              <w:ind w:firstLine="0" w:firstLineChars="0"/>
              <w:jc w:val="center"/>
              <w:rPr>
                <w:rFonts w:cs="Times New Roman"/>
                <w:sz w:val="21"/>
                <w:szCs w:val="21"/>
              </w:rPr>
            </w:pPr>
            <w:r>
              <w:rPr>
                <w:rFonts w:cs="Times New Roman"/>
                <w:sz w:val="21"/>
                <w:szCs w:val="21"/>
              </w:rPr>
              <w:t>7</w:t>
            </w:r>
          </w:p>
        </w:tc>
        <w:tc>
          <w:tcPr>
            <w:tcW w:w="1087" w:type="dxa"/>
            <w:vAlign w:val="center"/>
            <w:tcPrChange w:id="53" w:author="莫凌" w:date="2026-04-27T16:21:16Z">
              <w:tcPr>
                <w:tcW w:w="1087" w:type="dxa"/>
                <w:vAlign w:val="center"/>
              </w:tcPr>
            </w:tcPrChange>
          </w:tcPr>
          <w:p w14:paraId="3C2E08E6">
            <w:pPr>
              <w:pStyle w:val="29"/>
              <w:snapToGrid w:val="0"/>
              <w:ind w:firstLine="0" w:firstLineChars="0"/>
              <w:jc w:val="center"/>
              <w:rPr>
                <w:rFonts w:cs="Times New Roman"/>
                <w:sz w:val="21"/>
                <w:szCs w:val="21"/>
              </w:rPr>
            </w:pPr>
            <w:r>
              <w:rPr>
                <w:rFonts w:hint="eastAsia" w:cs="Times New Roman"/>
                <w:sz w:val="21"/>
                <w:szCs w:val="21"/>
              </w:rPr>
              <w:t>杨小娴</w:t>
            </w:r>
          </w:p>
        </w:tc>
        <w:tc>
          <w:tcPr>
            <w:tcW w:w="1615" w:type="dxa"/>
            <w:vAlign w:val="center"/>
            <w:tcPrChange w:id="54" w:author="莫凌" w:date="2026-04-27T16:21:16Z">
              <w:tcPr>
                <w:tcW w:w="1615" w:type="dxa"/>
                <w:vAlign w:val="center"/>
              </w:tcPr>
            </w:tcPrChange>
          </w:tcPr>
          <w:p w14:paraId="48E9ABC7">
            <w:pPr>
              <w:pStyle w:val="29"/>
              <w:snapToGrid w:val="0"/>
              <w:ind w:firstLine="0" w:firstLineChars="0"/>
              <w:jc w:val="center"/>
              <w:rPr>
                <w:rFonts w:cs="Times New Roman"/>
                <w:sz w:val="21"/>
                <w:szCs w:val="21"/>
              </w:rPr>
            </w:pPr>
            <w:r>
              <w:rPr>
                <w:rFonts w:hint="eastAsia" w:cs="Times New Roman"/>
                <w:sz w:val="21"/>
                <w:szCs w:val="21"/>
              </w:rPr>
              <w:t>海南省环境科学研究院</w:t>
            </w:r>
          </w:p>
        </w:tc>
        <w:tc>
          <w:tcPr>
            <w:tcW w:w="1655" w:type="dxa"/>
            <w:vAlign w:val="center"/>
            <w:tcPrChange w:id="55" w:author="莫凌" w:date="2026-04-27T16:21:16Z">
              <w:tcPr>
                <w:tcW w:w="1010" w:type="dxa"/>
                <w:vAlign w:val="center"/>
              </w:tcPr>
            </w:tcPrChange>
          </w:tcPr>
          <w:p w14:paraId="3055527B">
            <w:pPr>
              <w:pStyle w:val="29"/>
              <w:snapToGrid w:val="0"/>
              <w:ind w:firstLine="0" w:firstLineChars="0"/>
              <w:jc w:val="center"/>
              <w:rPr>
                <w:rFonts w:cs="Times New Roman"/>
                <w:sz w:val="21"/>
                <w:szCs w:val="21"/>
              </w:rPr>
            </w:pPr>
            <w:r>
              <w:rPr>
                <w:rFonts w:cs="Times New Roman"/>
                <w:sz w:val="21"/>
                <w:szCs w:val="21"/>
              </w:rPr>
              <w:t>无</w:t>
            </w:r>
          </w:p>
        </w:tc>
        <w:tc>
          <w:tcPr>
            <w:tcW w:w="1569" w:type="dxa"/>
            <w:vAlign w:val="center"/>
            <w:tcPrChange w:id="56" w:author="莫凌" w:date="2026-04-27T16:21:16Z">
              <w:tcPr>
                <w:tcW w:w="1134" w:type="dxa"/>
                <w:vAlign w:val="center"/>
              </w:tcPr>
            </w:tcPrChange>
          </w:tcPr>
          <w:p w14:paraId="3F53B2D1">
            <w:pPr>
              <w:pStyle w:val="29"/>
              <w:snapToGrid w:val="0"/>
              <w:ind w:firstLine="0" w:firstLineChars="0"/>
              <w:jc w:val="center"/>
              <w:rPr>
                <w:rFonts w:cs="Times New Roman"/>
                <w:sz w:val="21"/>
                <w:szCs w:val="21"/>
              </w:rPr>
            </w:pPr>
            <w:r>
              <w:rPr>
                <w:rFonts w:hint="eastAsia" w:cs="Times New Roman"/>
                <w:sz w:val="21"/>
                <w:szCs w:val="21"/>
              </w:rPr>
              <w:t>无</w:t>
            </w:r>
          </w:p>
        </w:tc>
        <w:tc>
          <w:tcPr>
            <w:tcW w:w="2031" w:type="dxa"/>
            <w:vAlign w:val="center"/>
            <w:tcPrChange w:id="57" w:author="莫凌" w:date="2026-04-27T16:21:16Z">
              <w:tcPr>
                <w:tcW w:w="1371" w:type="dxa"/>
                <w:vAlign w:val="center"/>
              </w:tcPr>
            </w:tcPrChange>
          </w:tcPr>
          <w:p w14:paraId="3800AC4F">
            <w:pPr>
              <w:pStyle w:val="29"/>
              <w:snapToGrid w:val="0"/>
              <w:ind w:firstLine="0" w:firstLineChars="0"/>
              <w:jc w:val="center"/>
              <w:rPr>
                <w:rFonts w:cs="Times New Roman"/>
                <w:sz w:val="21"/>
                <w:szCs w:val="21"/>
              </w:rPr>
            </w:pPr>
            <w:r>
              <w:rPr>
                <w:rFonts w:hint="eastAsia" w:cs="Times New Roman"/>
                <w:sz w:val="21"/>
                <w:szCs w:val="21"/>
              </w:rPr>
              <w:t>17860721685</w:t>
            </w:r>
          </w:p>
        </w:tc>
      </w:tr>
      <w:tr w14:paraId="0303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8" w:author="莫凌" w:date="2026-04-27T16:21: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91" w:type="dxa"/>
            <w:vAlign w:val="center"/>
            <w:tcPrChange w:id="59" w:author="莫凌" w:date="2026-04-27T16:21:16Z">
              <w:tcPr>
                <w:tcW w:w="791" w:type="dxa"/>
                <w:vAlign w:val="center"/>
              </w:tcPr>
            </w:tcPrChange>
          </w:tcPr>
          <w:p w14:paraId="56F0D69A">
            <w:pPr>
              <w:pStyle w:val="29"/>
              <w:snapToGrid w:val="0"/>
              <w:ind w:firstLine="0" w:firstLineChars="0"/>
              <w:jc w:val="center"/>
              <w:rPr>
                <w:rFonts w:cs="Times New Roman"/>
                <w:sz w:val="21"/>
                <w:szCs w:val="21"/>
              </w:rPr>
            </w:pPr>
            <w:r>
              <w:rPr>
                <w:rFonts w:cs="Times New Roman"/>
                <w:sz w:val="21"/>
                <w:szCs w:val="21"/>
              </w:rPr>
              <w:t>8</w:t>
            </w:r>
          </w:p>
        </w:tc>
        <w:tc>
          <w:tcPr>
            <w:tcW w:w="1087" w:type="dxa"/>
            <w:vAlign w:val="center"/>
            <w:tcPrChange w:id="60" w:author="莫凌" w:date="2026-04-27T16:21:16Z">
              <w:tcPr>
                <w:tcW w:w="1087" w:type="dxa"/>
                <w:vAlign w:val="center"/>
              </w:tcPr>
            </w:tcPrChange>
          </w:tcPr>
          <w:p w14:paraId="0CB42962">
            <w:pPr>
              <w:pStyle w:val="29"/>
              <w:snapToGrid w:val="0"/>
              <w:ind w:firstLine="0" w:firstLineChars="0"/>
              <w:jc w:val="center"/>
              <w:rPr>
                <w:rFonts w:cs="Times New Roman"/>
                <w:sz w:val="21"/>
                <w:szCs w:val="21"/>
              </w:rPr>
            </w:pPr>
            <w:r>
              <w:rPr>
                <w:rFonts w:cs="Times New Roman"/>
                <w:sz w:val="21"/>
                <w:szCs w:val="21"/>
              </w:rPr>
              <w:t>莫凌</w:t>
            </w:r>
          </w:p>
        </w:tc>
        <w:tc>
          <w:tcPr>
            <w:tcW w:w="1615" w:type="dxa"/>
            <w:vAlign w:val="center"/>
            <w:tcPrChange w:id="61" w:author="莫凌" w:date="2026-04-27T16:21:16Z">
              <w:tcPr>
                <w:tcW w:w="1615" w:type="dxa"/>
                <w:vAlign w:val="center"/>
              </w:tcPr>
            </w:tcPrChange>
          </w:tcPr>
          <w:p w14:paraId="3CCCB5F4">
            <w:pPr>
              <w:pStyle w:val="29"/>
              <w:snapToGrid w:val="0"/>
              <w:ind w:firstLine="0" w:firstLineChars="0"/>
              <w:jc w:val="center"/>
              <w:rPr>
                <w:rFonts w:cs="Times New Roman"/>
                <w:sz w:val="21"/>
                <w:szCs w:val="21"/>
              </w:rPr>
            </w:pPr>
            <w:r>
              <w:rPr>
                <w:rFonts w:hint="eastAsia" w:cs="Times New Roman"/>
                <w:sz w:val="21"/>
                <w:szCs w:val="21"/>
              </w:rPr>
              <w:t>海南省环境科学研究院</w:t>
            </w:r>
          </w:p>
        </w:tc>
        <w:tc>
          <w:tcPr>
            <w:tcW w:w="1655" w:type="dxa"/>
            <w:vAlign w:val="center"/>
            <w:tcPrChange w:id="62" w:author="莫凌" w:date="2026-04-27T16:21:16Z">
              <w:tcPr>
                <w:tcW w:w="1010" w:type="dxa"/>
                <w:vAlign w:val="center"/>
              </w:tcPr>
            </w:tcPrChange>
          </w:tcPr>
          <w:p w14:paraId="3360DF0D">
            <w:pPr>
              <w:pStyle w:val="29"/>
              <w:snapToGrid w:val="0"/>
              <w:ind w:firstLine="0" w:firstLineChars="0"/>
              <w:jc w:val="center"/>
              <w:rPr>
                <w:rFonts w:cs="Times New Roman"/>
                <w:sz w:val="21"/>
                <w:szCs w:val="21"/>
              </w:rPr>
            </w:pPr>
            <w:r>
              <w:rPr>
                <w:rFonts w:cs="Times New Roman"/>
                <w:sz w:val="21"/>
                <w:szCs w:val="21"/>
              </w:rPr>
              <w:t>所长</w:t>
            </w:r>
          </w:p>
        </w:tc>
        <w:tc>
          <w:tcPr>
            <w:tcW w:w="1569" w:type="dxa"/>
            <w:vAlign w:val="center"/>
            <w:tcPrChange w:id="63" w:author="莫凌" w:date="2026-04-27T16:21:16Z">
              <w:tcPr>
                <w:tcW w:w="1134" w:type="dxa"/>
                <w:vAlign w:val="center"/>
              </w:tcPr>
            </w:tcPrChange>
          </w:tcPr>
          <w:p w14:paraId="6DA2F8CF">
            <w:pPr>
              <w:pStyle w:val="29"/>
              <w:snapToGrid w:val="0"/>
              <w:ind w:firstLine="0" w:firstLineChars="0"/>
              <w:jc w:val="center"/>
              <w:rPr>
                <w:rFonts w:cs="Times New Roman"/>
                <w:sz w:val="21"/>
                <w:szCs w:val="21"/>
              </w:rPr>
            </w:pPr>
            <w:r>
              <w:rPr>
                <w:rFonts w:cs="Times New Roman"/>
                <w:sz w:val="21"/>
                <w:szCs w:val="21"/>
              </w:rPr>
              <w:t>研究员</w:t>
            </w:r>
          </w:p>
        </w:tc>
        <w:tc>
          <w:tcPr>
            <w:tcW w:w="2031" w:type="dxa"/>
            <w:vAlign w:val="center"/>
            <w:tcPrChange w:id="64" w:author="莫凌" w:date="2026-04-27T16:21:16Z">
              <w:tcPr>
                <w:tcW w:w="1371" w:type="dxa"/>
                <w:vAlign w:val="center"/>
              </w:tcPr>
            </w:tcPrChange>
          </w:tcPr>
          <w:p w14:paraId="0B43EC23">
            <w:pPr>
              <w:pStyle w:val="29"/>
              <w:snapToGrid w:val="0"/>
              <w:ind w:firstLine="0" w:firstLineChars="0"/>
              <w:jc w:val="center"/>
              <w:rPr>
                <w:rFonts w:cs="Times New Roman"/>
                <w:sz w:val="21"/>
                <w:szCs w:val="21"/>
              </w:rPr>
            </w:pPr>
            <w:r>
              <w:rPr>
                <w:rFonts w:hint="eastAsia" w:cs="Times New Roman"/>
                <w:sz w:val="21"/>
                <w:szCs w:val="21"/>
              </w:rPr>
              <w:t>13876316285</w:t>
            </w:r>
          </w:p>
        </w:tc>
      </w:tr>
      <w:tr w14:paraId="55E9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5" w:author="莫凌" w:date="2026-04-27T16:21:1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791" w:type="dxa"/>
            <w:vAlign w:val="center"/>
            <w:tcPrChange w:id="66" w:author="莫凌" w:date="2026-04-27T16:21:16Z">
              <w:tcPr>
                <w:tcW w:w="791" w:type="dxa"/>
                <w:vAlign w:val="center"/>
              </w:tcPr>
            </w:tcPrChange>
          </w:tcPr>
          <w:p w14:paraId="427897BD">
            <w:pPr>
              <w:pStyle w:val="29"/>
              <w:snapToGrid w:val="0"/>
              <w:ind w:firstLine="0" w:firstLineChars="0"/>
              <w:jc w:val="center"/>
              <w:rPr>
                <w:rFonts w:cs="Times New Roman"/>
                <w:sz w:val="21"/>
                <w:szCs w:val="21"/>
              </w:rPr>
            </w:pPr>
            <w:r>
              <w:rPr>
                <w:rFonts w:hint="eastAsia" w:cs="Times New Roman"/>
                <w:sz w:val="21"/>
                <w:szCs w:val="21"/>
              </w:rPr>
              <w:t>9</w:t>
            </w:r>
          </w:p>
        </w:tc>
        <w:tc>
          <w:tcPr>
            <w:tcW w:w="1087" w:type="dxa"/>
            <w:vAlign w:val="center"/>
            <w:tcPrChange w:id="67" w:author="莫凌" w:date="2026-04-27T16:21:16Z">
              <w:tcPr>
                <w:tcW w:w="1087" w:type="dxa"/>
                <w:vAlign w:val="center"/>
              </w:tcPr>
            </w:tcPrChange>
          </w:tcPr>
          <w:p w14:paraId="6100F068">
            <w:pPr>
              <w:pStyle w:val="29"/>
              <w:snapToGrid w:val="0"/>
              <w:ind w:firstLine="0" w:firstLineChars="0"/>
              <w:jc w:val="center"/>
              <w:rPr>
                <w:rFonts w:cs="Times New Roman"/>
                <w:sz w:val="21"/>
                <w:szCs w:val="21"/>
              </w:rPr>
            </w:pPr>
            <w:r>
              <w:rPr>
                <w:rFonts w:hint="eastAsia" w:cs="Times New Roman"/>
                <w:sz w:val="21"/>
                <w:szCs w:val="21"/>
              </w:rPr>
              <w:t>王瑞仙</w:t>
            </w:r>
          </w:p>
        </w:tc>
        <w:tc>
          <w:tcPr>
            <w:tcW w:w="1615" w:type="dxa"/>
            <w:vAlign w:val="center"/>
            <w:tcPrChange w:id="68" w:author="莫凌" w:date="2026-04-27T16:21:16Z">
              <w:tcPr>
                <w:tcW w:w="1615" w:type="dxa"/>
                <w:vAlign w:val="center"/>
              </w:tcPr>
            </w:tcPrChange>
          </w:tcPr>
          <w:p w14:paraId="23DB4BD9">
            <w:pPr>
              <w:pStyle w:val="29"/>
              <w:snapToGrid w:val="0"/>
              <w:ind w:firstLine="0" w:firstLineChars="0"/>
              <w:jc w:val="center"/>
              <w:rPr>
                <w:rFonts w:cs="Times New Roman"/>
                <w:sz w:val="21"/>
                <w:szCs w:val="21"/>
              </w:rPr>
            </w:pPr>
            <w:r>
              <w:rPr>
                <w:rFonts w:hint="eastAsia" w:cs="Times New Roman"/>
                <w:sz w:val="21"/>
                <w:szCs w:val="21"/>
              </w:rPr>
              <w:t>海南省环境科学研究院</w:t>
            </w:r>
          </w:p>
        </w:tc>
        <w:tc>
          <w:tcPr>
            <w:tcW w:w="1655" w:type="dxa"/>
            <w:vAlign w:val="center"/>
            <w:tcPrChange w:id="69" w:author="莫凌" w:date="2026-04-27T16:21:16Z">
              <w:tcPr>
                <w:tcW w:w="1010" w:type="dxa"/>
                <w:vAlign w:val="center"/>
              </w:tcPr>
            </w:tcPrChange>
          </w:tcPr>
          <w:p w14:paraId="0ADE6E80">
            <w:pPr>
              <w:pStyle w:val="29"/>
              <w:snapToGrid w:val="0"/>
              <w:ind w:firstLine="0" w:firstLineChars="0"/>
              <w:jc w:val="center"/>
              <w:rPr>
                <w:rFonts w:cs="Times New Roman"/>
                <w:sz w:val="21"/>
                <w:szCs w:val="21"/>
              </w:rPr>
            </w:pPr>
            <w:r>
              <w:rPr>
                <w:rFonts w:hint="eastAsia" w:cs="Times New Roman"/>
                <w:sz w:val="21"/>
                <w:szCs w:val="21"/>
              </w:rPr>
              <w:t>无</w:t>
            </w:r>
          </w:p>
        </w:tc>
        <w:tc>
          <w:tcPr>
            <w:tcW w:w="1569" w:type="dxa"/>
            <w:vAlign w:val="center"/>
            <w:tcPrChange w:id="70" w:author="莫凌" w:date="2026-04-27T16:21:16Z">
              <w:tcPr>
                <w:tcW w:w="1134" w:type="dxa"/>
                <w:vAlign w:val="center"/>
              </w:tcPr>
            </w:tcPrChange>
          </w:tcPr>
          <w:p w14:paraId="1D9152D3">
            <w:pPr>
              <w:pStyle w:val="29"/>
              <w:snapToGrid w:val="0"/>
              <w:ind w:firstLine="0" w:firstLineChars="0"/>
              <w:jc w:val="center"/>
              <w:rPr>
                <w:rFonts w:cs="Times New Roman"/>
                <w:sz w:val="21"/>
                <w:szCs w:val="21"/>
              </w:rPr>
            </w:pPr>
            <w:r>
              <w:rPr>
                <w:rFonts w:hint="eastAsia" w:cs="Times New Roman"/>
                <w:sz w:val="21"/>
                <w:szCs w:val="21"/>
              </w:rPr>
              <w:t>高级工程师</w:t>
            </w:r>
          </w:p>
        </w:tc>
        <w:tc>
          <w:tcPr>
            <w:tcW w:w="2031" w:type="dxa"/>
            <w:vAlign w:val="center"/>
            <w:tcPrChange w:id="71" w:author="莫凌" w:date="2026-04-27T16:21:16Z">
              <w:tcPr>
                <w:tcW w:w="1371" w:type="dxa"/>
                <w:vAlign w:val="center"/>
              </w:tcPr>
            </w:tcPrChange>
          </w:tcPr>
          <w:p w14:paraId="17292768">
            <w:pPr>
              <w:pStyle w:val="29"/>
              <w:snapToGrid w:val="0"/>
              <w:ind w:firstLine="0" w:firstLineChars="0"/>
              <w:jc w:val="center"/>
              <w:rPr>
                <w:rFonts w:cs="Times New Roman"/>
                <w:sz w:val="21"/>
                <w:szCs w:val="21"/>
              </w:rPr>
            </w:pPr>
            <w:r>
              <w:rPr>
                <w:rFonts w:cs="Times New Roman"/>
                <w:sz w:val="21"/>
                <w:szCs w:val="21"/>
              </w:rPr>
              <w:t>13687503862</w:t>
            </w:r>
          </w:p>
        </w:tc>
      </w:tr>
    </w:tbl>
    <w:p w14:paraId="172E8405">
      <w:pPr>
        <w:pStyle w:val="2"/>
        <w:numPr>
          <w:ilvl w:val="0"/>
          <w:numId w:val="0"/>
        </w:numPr>
      </w:pPr>
      <w:bookmarkStart w:id="3" w:name="_Toc227590326"/>
      <w:r>
        <w:t>二、编制情况</w:t>
      </w:r>
      <w:bookmarkEnd w:id="3"/>
    </w:p>
    <w:p w14:paraId="70FCACBF">
      <w:pPr>
        <w:pStyle w:val="3"/>
        <w:numPr>
          <w:ilvl w:val="0"/>
          <w:numId w:val="0"/>
        </w:numPr>
      </w:pPr>
      <w:bookmarkStart w:id="4" w:name="_Toc227590327"/>
      <w:r>
        <w:t>（一）编制标准的必要性和意义及背景</w:t>
      </w:r>
      <w:bookmarkEnd w:id="4"/>
    </w:p>
    <w:p w14:paraId="78277941">
      <w:pPr>
        <w:pStyle w:val="29"/>
        <w:ind w:firstLine="560"/>
        <w:rPr>
          <w:rFonts w:cs="Times New Roman"/>
        </w:rPr>
      </w:pPr>
      <w:r>
        <w:rPr>
          <w:rFonts w:hint="eastAsia" w:cs="Times New Roman"/>
        </w:rPr>
        <w:t>当前，我国大气、水、土壤环境质量持续改善，“天蓝水清”正在成为现实。与此同时，持久性有机污染物、环境内分泌干扰物、抗生素等新污染物正逐步受到广泛关注。近年来，习近平总书记在全国生态环境保护大会、中央政治局集体学习、中央深改委会议等多个重要场合，反复强调新污染物治理，从“对新的污染物治理开展专项研究”、到“重视新污染物治理”、再到“加强新污染物治理”，对新污染物治理工作的要求逐步深入，力度不断加大，治理工作的紧迫性凸显出来。《中华人民共和国国民经济和社会发展第十四个五年规划和2035年远景目标纲要》也明确将“重视新污染物治理”作为国家未来发展的重大战略需求。</w:t>
      </w:r>
    </w:p>
    <w:p w14:paraId="031FF08B">
      <w:pPr>
        <w:pStyle w:val="29"/>
        <w:ind w:firstLine="560"/>
        <w:rPr>
          <w:rFonts w:cs="Times New Roman"/>
        </w:rPr>
      </w:pPr>
      <w:r>
        <w:rPr>
          <w:rFonts w:hint="eastAsia" w:cs="Times New Roman"/>
        </w:rPr>
        <w:t>新污染物是指新近发现或者被关注，对生态环境或者人体健康存在较大风险，但尚未纳入管理或者现有管理措施不足以有效防控其风险的有毒有害化学物质等。有毒有害化学物质的生产和使用是新污染物的主要来源。生态环境部指出开展新污染物治理需基于问题导向，实施以有效防范新污染物环境与健康风险为核心的治理策略，构建以精准筛查、科学评估和风险管控为主线的防控思路。其中，“筛”和“评”是方法和基础，“控”是目的和手段，前者决定后者的内容。</w:t>
      </w:r>
    </w:p>
    <w:p w14:paraId="794680FF">
      <w:pPr>
        <w:pStyle w:val="29"/>
        <w:ind w:firstLine="560"/>
        <w:rPr>
          <w:rFonts w:cs="Times New Roman"/>
        </w:rPr>
      </w:pPr>
      <w:r>
        <w:t>尽</w:t>
      </w:r>
      <w:r>
        <w:rPr>
          <w:rFonts w:cs="Times New Roman"/>
        </w:rPr>
        <w:t>管我国已建立以《集中式饮用水水源地环境保护状况评估技术规范》（HJ 774-2015）为核心的水源地管理体系，但其评估对象主要聚焦于传统污染物，对新污染物的识别、监测及风险评估缺乏系统性技术指导。当前，水源地新污染物引发的健康风险已引起公众高度关注，亟需通过标准化技术文件填补管理空白，提升风险防控能力。</w:t>
      </w:r>
    </w:p>
    <w:p w14:paraId="5E9CEC74">
      <w:pPr>
        <w:pStyle w:val="29"/>
        <w:ind w:firstLine="560"/>
        <w:rPr>
          <w:rFonts w:cs="Times New Roman"/>
        </w:rPr>
      </w:pPr>
      <w:r>
        <w:rPr>
          <w:rFonts w:cs="Times New Roman"/>
        </w:rPr>
        <w:t>从政策层面看，编制该规范是落实国家生态环境治理战略的重要举措。《中共中央国务院关于深入打好污染防治攻坚战的意见》明确提出加强新污染物治理的总体部署，而《新污染物治理行动方案》（国办发〔2022〕15号）更是将饮用水源地风险评估列为优先领域。现有水质标准（如GB 5749）虽规定了常规污染物的限值，却难以覆盖新污染物的复杂毒性效应。例如，部分新型化学物质在极低浓度下即可通过长期暴露引发癌症或生殖系统损伤，传统水质达标管理模式已无法满足健康防护需求。因此，建立专门针对新污染物的健康风险评估技术体系，已成为实现“从源头保障饮水安全”目标的必然要求。技术层面而言，新污染物的风险评估面临多重挑战。其种类繁多、毒性机制复杂，且在不同环境介质中的迁移转化规律尚未完全明确。</w:t>
      </w:r>
      <w:r>
        <w:rPr>
          <w:rFonts w:hint="eastAsia" w:cs="Times New Roman"/>
        </w:rPr>
        <w:t>国家尚未对水源地中</w:t>
      </w:r>
      <w:r>
        <w:rPr>
          <w:rFonts w:cs="Times New Roman"/>
        </w:rPr>
        <w:t>新污染物</w:t>
      </w:r>
      <w:r>
        <w:rPr>
          <w:rFonts w:hint="eastAsia" w:cs="Times New Roman"/>
        </w:rPr>
        <w:t>的健康风险制定相关评估技术标准，针对其</w:t>
      </w:r>
      <w:r>
        <w:rPr>
          <w:rFonts w:cs="Times New Roman"/>
        </w:rPr>
        <w:t>特有的暴露途径（如多介质迁移、食物链富集）</w:t>
      </w:r>
      <w:r>
        <w:rPr>
          <w:rFonts w:hint="eastAsia" w:cs="Times New Roman"/>
        </w:rPr>
        <w:t>、</w:t>
      </w:r>
      <w:r>
        <w:rPr>
          <w:rFonts w:cs="Times New Roman"/>
        </w:rPr>
        <w:t>暴露参数、剂量-效应关系等</w:t>
      </w:r>
      <w:r>
        <w:rPr>
          <w:rFonts w:hint="eastAsia" w:cs="Times New Roman"/>
        </w:rPr>
        <w:t>关键</w:t>
      </w:r>
      <w:r>
        <w:rPr>
          <w:rFonts w:cs="Times New Roman"/>
        </w:rPr>
        <w:t>技术</w:t>
      </w:r>
      <w:r>
        <w:rPr>
          <w:rFonts w:hint="eastAsia" w:cs="Times New Roman"/>
        </w:rPr>
        <w:t>环节</w:t>
      </w:r>
      <w:r>
        <w:rPr>
          <w:rFonts w:cs="Times New Roman"/>
        </w:rPr>
        <w:t>缺乏量化模型，导致</w:t>
      </w:r>
      <w:r>
        <w:rPr>
          <w:rFonts w:hint="eastAsia" w:cs="Times New Roman"/>
        </w:rPr>
        <w:t>饮用水水源地中新污染物对人体健康</w:t>
      </w:r>
      <w:r>
        <w:rPr>
          <w:rFonts w:cs="Times New Roman"/>
        </w:rPr>
        <w:t>风险</w:t>
      </w:r>
      <w:r>
        <w:rPr>
          <w:rFonts w:hint="eastAsia" w:cs="Times New Roman"/>
        </w:rPr>
        <w:t>掌控</w:t>
      </w:r>
      <w:r>
        <w:rPr>
          <w:rFonts w:cs="Times New Roman"/>
        </w:rPr>
        <w:t>不足。</w:t>
      </w:r>
    </w:p>
    <w:p w14:paraId="575431E5">
      <w:pPr>
        <w:pStyle w:val="29"/>
        <w:ind w:firstLine="560"/>
        <w:rPr>
          <w:rFonts w:cs="Times New Roman"/>
        </w:rPr>
      </w:pPr>
      <w:r>
        <w:rPr>
          <w:rFonts w:hint="eastAsia" w:cs="Times New Roman"/>
          <w:color w:val="000000" w:themeColor="text1"/>
          <w14:textFill>
            <w14:solidFill>
              <w14:schemeClr w14:val="tx1"/>
            </w14:solidFill>
          </w14:textFill>
        </w:rPr>
        <w:t>从区域特征层面看，海南省作为全国唯一的热带岛屿地区（除台湾以外），在开展饮用水水源地新污染物健康风险管控中，直接套用全国通用规范存在显著的“不适用性”，主要体现在以下三种情况：（1）暴露参数与热带气候特征不匹配，易导致风险严重低估。现行的全国通用健康风险评估导则及暴露参数（如《中国人群暴露参数手册》）大多基于我国温带/亚热带的平均气候特征设定。而海南具有典型的高温、高湿、强紫外线等热带季风气候特征。在高温环境下，人群的日均饮水量、通过洗浴或涉水活动造成的皮肤表面积暴露比例及暴露频率均显著高于全国平均水平。若直接套用全国默认的暴露参数计算，将严重低估海南本地人群对新污染物的实际暴露剂量和潜在健康风险；（2）通用污染物评估清单与海岛特色产业场景不契合。全国性的风险评估标准通常聚焦于普遍性的工业制造或常规广谱农业污染。而海南作为热带高效农业基地与旅游大省，其新污染物的来源呈现极强的地域专属性。例如，在槟榔、橡胶、反季节瓜菜等大规模种植中使用的特定农药与植物生长调节剂，以及滨海旅游业引入的高浓度紫外线稳定剂（防晒霜成分）等，均不在常规全国通用评估清单的高优顺位中。套用全国标准会导致本地高风险污染物的“漏评”与“漏管”；（3）流域迁移模拟模型与海岛独立水系的环境归趋不适配。现有的国家评估导则往往基于内陆大型长距离流域的水系特征进行污染物迁移转化与暴露浓度的模拟。海南岛属独立水系，河流普遍呈现流程短、比降大、汇流快的特点，且高频受台风暴雨冲刷。这种水文特征使得污染物从源头向水库或近海扩散的时间极短，叠加极高的紫外辐射导致的光降解效应，其在新污染物水-沉积物界面的分配系数及半衰期与内陆温带地区存在本质差异。若采用通用流域模型进行浓度预测和风险表征，无法准确刻画海岛独特环境下的“最不利暴露场景”。</w:t>
      </w:r>
      <w:r>
        <w:rPr>
          <w:rFonts w:hint="eastAsia" w:cs="Times New Roman"/>
        </w:rPr>
        <w:t>因此。亟需通过标准化技术文件填补本省管理空白，对海南省饮用水“水源地”到“供水终端”的全链条中新污染物的高效识别、污染特征以及健康风险评估方法开展系统研究，构建适配海南省热带区域特征的饮用水中新污染物的环境和健康风险评估标准，为我省特定环境要素中新污染物风险管控提供技术支撑。</w:t>
      </w:r>
    </w:p>
    <w:p w14:paraId="374B2AAE">
      <w:pPr>
        <w:pStyle w:val="29"/>
        <w:ind w:firstLine="560"/>
        <w:rPr>
          <w:rFonts w:cs="Times New Roman"/>
        </w:rPr>
      </w:pPr>
      <w:r>
        <w:rPr>
          <w:rFonts w:hint="eastAsia" w:cs="Times New Roman"/>
        </w:rPr>
        <w:t>本</w:t>
      </w:r>
      <w:r>
        <w:rPr>
          <w:rFonts w:cs="Times New Roman"/>
        </w:rPr>
        <w:t>规范的编制还具有显著的社会效益与战略价值。一方面，通过建立与国际接轨的评估方法（如借鉴美国EPA致癌风险模型、欧盟混合暴露评估框架），可推动我</w:t>
      </w:r>
      <w:r>
        <w:rPr>
          <w:rFonts w:hint="eastAsia" w:cs="Times New Roman"/>
        </w:rPr>
        <w:t>省</w:t>
      </w:r>
      <w:r>
        <w:rPr>
          <w:rFonts w:cs="Times New Roman"/>
        </w:rPr>
        <w:t>环境健康风险管理体系与国际标准协同发展；另一方面，规范的实施将促进</w:t>
      </w:r>
      <w:r>
        <w:rPr>
          <w:rFonts w:hint="eastAsia" w:cs="Times New Roman"/>
        </w:rPr>
        <w:t>我省</w:t>
      </w:r>
      <w:r>
        <w:rPr>
          <w:rFonts w:cs="Times New Roman"/>
        </w:rPr>
        <w:t>水质监测技术革新，带动新型检测设备研发与大数据分析平台建设。从长远来看，技术规范的落地不仅能够强化</w:t>
      </w:r>
      <w:r>
        <w:rPr>
          <w:rFonts w:hint="eastAsia" w:cs="Times New Roman"/>
        </w:rPr>
        <w:t>我省</w:t>
      </w:r>
      <w:r>
        <w:rPr>
          <w:rFonts w:cs="Times New Roman"/>
        </w:rPr>
        <w:t>水源地污染预警能力，更可为《生态环境健康风险评估技术指南》等上位文件的实施提供操作支撑，形成“监测-评估-治理”的完整管理闭环，切实筑牢饮用水安全防线，回应</w:t>
      </w:r>
      <w:r>
        <w:rPr>
          <w:rFonts w:hint="eastAsia" w:cs="Times New Roman"/>
        </w:rPr>
        <w:t>我省</w:t>
      </w:r>
      <w:r>
        <w:rPr>
          <w:rFonts w:cs="Times New Roman"/>
        </w:rPr>
        <w:t>人民群众对优质生态环境的迫切期待。</w:t>
      </w:r>
    </w:p>
    <w:p w14:paraId="3E02E62B">
      <w:pPr>
        <w:pStyle w:val="3"/>
        <w:numPr>
          <w:ilvl w:val="0"/>
          <w:numId w:val="0"/>
        </w:numPr>
      </w:pPr>
      <w:bookmarkStart w:id="5" w:name="_Toc227590328"/>
      <w:r>
        <w:t>（二）编制过程简介</w:t>
      </w:r>
      <w:bookmarkEnd w:id="5"/>
    </w:p>
    <w:p w14:paraId="3F73EE98">
      <w:pPr>
        <w:pStyle w:val="29"/>
        <w:ind w:firstLine="560"/>
        <w:rPr>
          <w:rFonts w:cs="Times New Roman"/>
        </w:rPr>
      </w:pPr>
      <w:r>
        <w:rPr>
          <w:rFonts w:hint="eastAsia" w:cs="Times New Roman"/>
        </w:rPr>
        <w:t>1、前期研究基础</w:t>
      </w:r>
    </w:p>
    <w:p w14:paraId="3EAA452F">
      <w:pPr>
        <w:pStyle w:val="29"/>
        <w:ind w:firstLine="560"/>
        <w:rPr>
          <w:rFonts w:cs="Times New Roman"/>
        </w:rPr>
      </w:pPr>
      <w:r>
        <w:rPr>
          <w:rFonts w:hint="eastAsia" w:cs="Times New Roman"/>
        </w:rPr>
        <w:t>项目编制组在新污染物监测、风险评估和治理方面有良好的工作基础和技术储备。先后承担国家水体污染控制与治理科技重大专项:“十一五”以来的多个项目和课题，长期承担生态环境部环境健康环境监管项目，全面支撑了国家环境健康和流域生态环境保护与修复工作，并在海南省地下和地表饮用水水源地开展了大量研究，积累了大量详实的新污染物监测数据，为该标准的编制大下坚持基础。</w:t>
      </w:r>
    </w:p>
    <w:p w14:paraId="6603DE3B">
      <w:pPr>
        <w:pStyle w:val="29"/>
        <w:ind w:firstLine="560"/>
        <w:rPr>
          <w:rFonts w:cs="Times New Roman"/>
        </w:rPr>
      </w:pPr>
      <w:r>
        <w:rPr>
          <w:rFonts w:hint="eastAsia" w:cs="Times New Roman"/>
        </w:rPr>
        <w:t>（1）“长江二期”项目：长江流域新污染物防控技术研究。构建长江流域饮用水水源地新污染物基础数据库；提出新污染物风险管控对策；开展重点管控新污染物潜在排放源识别评估，绘制潜在排放源热图；筛选有效去除新污染物的工艺路线和处理技术，集成常规污染物和新污染物耦合去除工艺。</w:t>
      </w:r>
    </w:p>
    <w:p w14:paraId="53F1679E">
      <w:pPr>
        <w:pStyle w:val="29"/>
        <w:ind w:firstLine="560"/>
        <w:rPr>
          <w:rFonts w:cs="Times New Roman"/>
        </w:rPr>
      </w:pPr>
      <w:r>
        <w:rPr>
          <w:rFonts w:hint="eastAsia" w:cs="Times New Roman"/>
        </w:rPr>
        <w:t>（2）生态环境部重点管控新污染物试点监测项目：对重点水源地和黄河入海口开展有毒有害新污染物筛查，构建非靶标筛查方法，提出了重点关注新污染物清单。</w:t>
      </w:r>
    </w:p>
    <w:p w14:paraId="0A7B5B68">
      <w:pPr>
        <w:pStyle w:val="29"/>
        <w:ind w:firstLine="560"/>
        <w:rPr>
          <w:rFonts w:cs="Times New Roman"/>
        </w:rPr>
      </w:pPr>
      <w:r>
        <w:rPr>
          <w:rFonts w:hint="eastAsia" w:cs="Times New Roman"/>
        </w:rPr>
        <w:t>（3）海南地下饮用水水源地的新污染物调查和评估：海南琼北自流盆地地质类型相对清晰、地下水型饮用水水源较多，已有取水井能满足新污染物的监测调查，选取琼北自流盆地为地下水型饮用水水源新污染物调查区域，布点采样覆盖30余个地下水饮用水水源地，共采集地下水样品454个。结果表明，海口、乐东地下水中农药检出浓度较高，最大值可达200</w:t>
      </w:r>
      <w:r>
        <w:rPr>
          <w:rFonts w:cs="Times New Roman"/>
        </w:rPr>
        <w:t xml:space="preserve"> </w:t>
      </w:r>
      <w:r>
        <w:rPr>
          <w:rFonts w:hint="eastAsia" w:cs="Times New Roman"/>
        </w:rPr>
        <w:t>ng/L以上，并提出海南省地下水中重点管控新污染物清单。</w:t>
      </w:r>
    </w:p>
    <w:p w14:paraId="12637895">
      <w:pPr>
        <w:pStyle w:val="29"/>
        <w:ind w:firstLine="560"/>
        <w:rPr>
          <w:rFonts w:cs="Times New Roman"/>
        </w:rPr>
      </w:pPr>
      <w:r>
        <w:rPr>
          <w:rFonts w:hint="eastAsia" w:cs="Times New Roman"/>
        </w:rPr>
        <w:t>（4）海南省赤田水库新污染物风险研究：在海南省赤田水库（重要饮用水水源地）和流域共设置包括省控断面、水源保护区在内的14个监测点位，针对农药、内分泌干扰物、抗生素和微塑料等新污染物开展监测，并评估其污染状况及风险，提出优控清单（包含邻苯二甲酸二丁酯、邻苯二甲酸二（2-乙基己基）酯、六六六、虫螨腈等7种）。</w:t>
      </w:r>
    </w:p>
    <w:p w14:paraId="117F8106">
      <w:pPr>
        <w:pStyle w:val="29"/>
        <w:ind w:firstLine="560"/>
        <w:rPr>
          <w:rFonts w:cs="Times New Roman"/>
        </w:rPr>
      </w:pPr>
      <w:r>
        <w:rPr>
          <w:rFonts w:hint="eastAsia" w:cs="Times New Roman"/>
        </w:rPr>
        <w:t>（5）海口市新污染物筛查与健康风险评估：项目组针对海口市重点流域、重点区域开展新污染物环境本底调查与环境风险评估。共布设包括国控和省控监测断面、饮用水水源地、地下水在内的监测点位33个。开展南渡江重点流域等地新污染物本底调查和特征新污染物筛查，初步识别典型新污染物污染特征，提出流域新污染物风险防控建议；根据海口市饮用水水源地中重点关注新污染物调查结果，评估海口市饮用水中新污染物健康风险。</w:t>
      </w:r>
    </w:p>
    <w:p w14:paraId="1BD35873">
      <w:pPr>
        <w:pStyle w:val="29"/>
        <w:ind w:firstLine="0" w:firstLineChars="0"/>
        <w:rPr>
          <w:rFonts w:cs="Times New Roman"/>
        </w:rPr>
      </w:pPr>
      <w:r>
        <w:rPr>
          <w:rFonts w:hint="eastAsia" w:cs="Times New Roman"/>
        </w:rPr>
        <w:drawing>
          <wp:inline distT="0" distB="0" distL="0" distR="0">
            <wp:extent cx="5274310" cy="1843405"/>
            <wp:effectExtent l="0" t="0" r="0" b="0"/>
            <wp:docPr id="882954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54890"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843405"/>
                    </a:xfrm>
                    <a:prstGeom prst="rect">
                      <a:avLst/>
                    </a:prstGeom>
                  </pic:spPr>
                </pic:pic>
              </a:graphicData>
            </a:graphic>
          </wp:inline>
        </w:drawing>
      </w:r>
    </w:p>
    <w:p w14:paraId="0C8942CA">
      <w:pPr>
        <w:pStyle w:val="29"/>
        <w:ind w:firstLine="170" w:firstLineChars="71"/>
        <w:jc w:val="center"/>
        <w:rPr>
          <w:rFonts w:cs="Times New Roman"/>
          <w:sz w:val="24"/>
          <w:szCs w:val="18"/>
        </w:rPr>
      </w:pPr>
      <w:r>
        <w:rPr>
          <w:rFonts w:hint="eastAsia" w:cs="Times New Roman"/>
          <w:sz w:val="24"/>
          <w:szCs w:val="18"/>
        </w:rPr>
        <w:t>图1海口市饮用水水源地中新污染物监测布点示意图</w:t>
      </w:r>
    </w:p>
    <w:p w14:paraId="2A852F32">
      <w:pPr>
        <w:pStyle w:val="29"/>
        <w:ind w:firstLine="560"/>
        <w:rPr>
          <w:rFonts w:cs="Times New Roman"/>
        </w:rPr>
      </w:pPr>
      <w:r>
        <w:rPr>
          <w:rFonts w:hint="eastAsia" w:cs="Times New Roman"/>
        </w:rPr>
        <w:t>（5）琼海市主要水域新污染物健康风险评估：项目组结合实地调研与统计学要求，依托现有国控/省控断面、重要饮用水源地、重点海湾等，确定琼海市境内主要水域监测点位28个，其中包括万泉河流域主要饮用水源地3个，开展了PFASs、OCPs、CUPs、BPs、PAEs、OPEs和ABs7类化合物的新污染物健康风险评价，并形成琼海市优先关注新污染物清单。</w:t>
      </w:r>
    </w:p>
    <w:p w14:paraId="3ECBEF28">
      <w:pPr>
        <w:pStyle w:val="29"/>
        <w:ind w:firstLine="198" w:firstLineChars="71"/>
        <w:jc w:val="center"/>
        <w:rPr>
          <w:rFonts w:cs="Times New Roman"/>
        </w:rPr>
      </w:pPr>
      <w:r>
        <w:rPr>
          <w:szCs w:val="21"/>
        </w:rPr>
        <w:drawing>
          <wp:inline distT="0" distB="0" distL="0" distR="0">
            <wp:extent cx="4199890" cy="2595880"/>
            <wp:effectExtent l="0" t="0" r="3810" b="0"/>
            <wp:docPr id="39" name="图片 21"/>
            <wp:cNvGraphicFramePr/>
            <a:graphic xmlns:a="http://schemas.openxmlformats.org/drawingml/2006/main">
              <a:graphicData uri="http://schemas.openxmlformats.org/drawingml/2006/picture">
                <pic:pic xmlns:pic="http://schemas.openxmlformats.org/drawingml/2006/picture">
                  <pic:nvPicPr>
                    <pic:cNvPr id="39" name="图片 21"/>
                    <pic:cNvPicPr/>
                  </pic:nvPicPr>
                  <pic:blipFill>
                    <a:blip r:embed="rId9" cstate="print"/>
                    <a:srcRect/>
                    <a:stretch>
                      <a:fillRect/>
                    </a:stretch>
                  </pic:blipFill>
                  <pic:spPr>
                    <a:xfrm>
                      <a:off x="0" y="0"/>
                      <a:ext cx="4252145" cy="2628170"/>
                    </a:xfrm>
                    <a:prstGeom prst="rect">
                      <a:avLst/>
                    </a:prstGeom>
                    <a:ln>
                      <a:noFill/>
                    </a:ln>
                  </pic:spPr>
                </pic:pic>
              </a:graphicData>
            </a:graphic>
          </wp:inline>
        </w:drawing>
      </w:r>
    </w:p>
    <w:p w14:paraId="52C20037">
      <w:pPr>
        <w:pStyle w:val="29"/>
        <w:ind w:firstLine="480"/>
        <w:jc w:val="center"/>
        <w:rPr>
          <w:rFonts w:cs="Times New Roman"/>
        </w:rPr>
      </w:pPr>
      <w:r>
        <w:rPr>
          <w:rFonts w:hint="eastAsia" w:cs="Times New Roman"/>
          <w:sz w:val="24"/>
          <w:szCs w:val="18"/>
        </w:rPr>
        <w:t>图2 琼海市新污染物监测点位图</w:t>
      </w:r>
    </w:p>
    <w:p w14:paraId="5143106B">
      <w:pPr>
        <w:pStyle w:val="29"/>
        <w:ind w:firstLine="560"/>
        <w:rPr>
          <w:rFonts w:cs="Times New Roman"/>
        </w:rPr>
      </w:pPr>
      <w:r>
        <w:rPr>
          <w:rFonts w:hint="eastAsia" w:cs="Times New Roman"/>
        </w:rPr>
        <w:t>2、起草小组成立：</w:t>
      </w:r>
    </w:p>
    <w:p w14:paraId="6882D821">
      <w:pPr>
        <w:pStyle w:val="29"/>
        <w:ind w:firstLine="560"/>
        <w:rPr>
          <w:rFonts w:cs="Times New Roman"/>
        </w:rPr>
      </w:pPr>
      <w:r>
        <w:rPr>
          <w:rFonts w:hint="eastAsia" w:cs="Times New Roman"/>
        </w:rPr>
        <w:t>2025年6月26日，海南省环境科学研究院收到《海南省市场监督管理局关于下达海南省2025年第一批地方标准修订项目计划的通知》后（标准计划编号：2025-Z013），迅速召开启动会，成立标准起草小组，由海南省环境科学研究院和中国环境科学研究院相关人员组成联合起草小组，海南省环境科学研究院人员包括：吴晓晨、王晨野、莫凌、陈力可、王瑞仙、杨小娴，中国环境科学研究院人员包括：徐建、郭昌胜、张艳，共同开展标准的制订工作。</w:t>
      </w:r>
    </w:p>
    <w:p w14:paraId="3C48F3A2">
      <w:pPr>
        <w:pStyle w:val="29"/>
        <w:ind w:firstLine="0" w:firstLineChars="0"/>
        <w:jc w:val="center"/>
        <w:rPr>
          <w:rFonts w:cs="Times New Roman"/>
        </w:rPr>
      </w:pPr>
      <w:r>
        <w:rPr>
          <w:rFonts w:hint="eastAsia" w:cs="Times New Roman"/>
        </w:rPr>
        <w:drawing>
          <wp:inline distT="0" distB="0" distL="0" distR="0">
            <wp:extent cx="4672330" cy="2056130"/>
            <wp:effectExtent l="0" t="0" r="1270" b="1270"/>
            <wp:docPr id="13350410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41083"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2952" cy="2074471"/>
                    </a:xfrm>
                    <a:prstGeom prst="rect">
                      <a:avLst/>
                    </a:prstGeom>
                  </pic:spPr>
                </pic:pic>
              </a:graphicData>
            </a:graphic>
          </wp:inline>
        </w:drawing>
      </w:r>
    </w:p>
    <w:p w14:paraId="08DEC934">
      <w:pPr>
        <w:pStyle w:val="29"/>
        <w:ind w:firstLine="170" w:firstLineChars="71"/>
        <w:jc w:val="center"/>
        <w:rPr>
          <w:rFonts w:cs="Times New Roman"/>
          <w:sz w:val="24"/>
          <w:szCs w:val="18"/>
        </w:rPr>
      </w:pPr>
      <w:r>
        <w:rPr>
          <w:rFonts w:hint="eastAsia" w:cs="Times New Roman"/>
          <w:sz w:val="24"/>
          <w:szCs w:val="18"/>
        </w:rPr>
        <w:t>图3 标准立项通知</w:t>
      </w:r>
    </w:p>
    <w:p w14:paraId="28DA5AEE">
      <w:pPr>
        <w:pStyle w:val="29"/>
        <w:ind w:firstLine="560"/>
        <w:rPr>
          <w:rFonts w:cs="Times New Roman"/>
        </w:rPr>
      </w:pPr>
      <w:r>
        <w:rPr>
          <w:rFonts w:hint="eastAsia" w:cs="Times New Roman"/>
        </w:rPr>
        <w:t>3、起草阶段过程</w:t>
      </w:r>
    </w:p>
    <w:p w14:paraId="4F794019">
      <w:pPr>
        <w:pStyle w:val="29"/>
        <w:ind w:firstLine="560"/>
        <w:rPr>
          <w:rFonts w:cs="Times New Roman"/>
        </w:rPr>
      </w:pPr>
      <w:r>
        <w:rPr>
          <w:rFonts w:hint="eastAsia" w:cs="Times New Roman"/>
        </w:rPr>
        <w:t>编制组围绕饮用水中新污染物的健康风险评估领域，系统开展了国内外最新研究成果与发展趋势的资料收集与文献调研工作。在此基础上，初步拟定了本标准方法制订的基本原则与技术路线。随后，编制组进一步查阅了相关的国家标准、行业标准、规范性文件及国内外法律法规，针对新污染物健康风险评估核心问题进行了深入调研与充分论证，从而明确了本标准的框架结构与主要技术内容。依照海南省地方标准的编制要求，编制组起草形成了标准讨论稿，经编制组内部及相关专家多轮研讨与修改完善，最终形成了《饮用水水源地新污染物健康风险评估技术规范（征求意见稿）》和编制说明。</w:t>
      </w:r>
    </w:p>
    <w:p w14:paraId="33D6AA54">
      <w:pPr>
        <w:pStyle w:val="29"/>
        <w:ind w:firstLine="560"/>
        <w:rPr>
          <w:rFonts w:cs="Times New Roman"/>
        </w:rPr>
      </w:pPr>
      <w:r>
        <w:rPr>
          <w:rFonts w:hint="eastAsia" w:cs="Times New Roman"/>
        </w:rPr>
        <w:t>4、会议征求意见</w:t>
      </w:r>
    </w:p>
    <w:p w14:paraId="71832AAE">
      <w:pPr>
        <w:pStyle w:val="29"/>
        <w:ind w:firstLine="560"/>
        <w:rPr>
          <w:rFonts w:cs="Times New Roman"/>
        </w:rPr>
      </w:pPr>
      <w:r>
        <w:rPr>
          <w:rFonts w:hint="eastAsia" w:cs="Times New Roman"/>
        </w:rPr>
        <w:t>2026年3月4日，中国环境科学研究院联合海南省环境科学研究院在海口市以线下线上结合的方式召开《饮用水水源地新污染物健康风险评估技术规范（征求意见稿）》的征求意见会。会议邀请了生态环境部华南环境科学研究所、海南大学环境科学与工程学院、生态环境部南京环境科学研究所、中国热带农业科学院环境与植物保护研究所以及国家环境分析测试中心的5位专家组成专家组，同时邀请生态环境部、海南省生态环境厅、海南省市场监督管理局和海南省检验检测研究院标准与信息所等单位代表参会研讨。专家组和相关代表听取了编制单位中国环境科学研究院和海南省环境科学研究院对《饮用水水源地新污染物健康风险评估技术规范（征求意见稿）》标准文本及编制说明的汇报，并对标准文本和编制说明的内容、撰写格式等提出了详细的修改意见（详见附表）。会议结束后，编制小组针对专家提出的修改意见，对标准文本及其编制说明进行了系统修改和完善。</w:t>
      </w:r>
    </w:p>
    <w:p w14:paraId="3F7A9C1E">
      <w:pPr>
        <w:pStyle w:val="29"/>
        <w:ind w:firstLine="198" w:firstLineChars="71"/>
        <w:jc w:val="center"/>
        <w:rPr>
          <w:rFonts w:cs="Times New Roman"/>
        </w:rPr>
      </w:pPr>
      <w:bookmarkStart w:id="61" w:name="_GoBack"/>
      <w:r>
        <w:rPr>
          <w:rFonts w:hint="eastAsia" w:cs="Times New Roman"/>
          <w:szCs w:val="36"/>
        </w:rPr>
        <w:drawing>
          <wp:inline distT="0" distB="0" distL="0" distR="0">
            <wp:extent cx="3641725" cy="2731770"/>
            <wp:effectExtent l="0" t="0" r="3175" b="0"/>
            <wp:docPr id="1955126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2645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4000" cy="2740720"/>
                    </a:xfrm>
                    <a:prstGeom prst="rect">
                      <a:avLst/>
                    </a:prstGeom>
                  </pic:spPr>
                </pic:pic>
              </a:graphicData>
            </a:graphic>
          </wp:inline>
        </w:drawing>
      </w:r>
      <w:bookmarkEnd w:id="61"/>
    </w:p>
    <w:p w14:paraId="5D55DD52">
      <w:pPr>
        <w:pStyle w:val="29"/>
        <w:ind w:firstLine="170" w:firstLineChars="71"/>
        <w:jc w:val="center"/>
        <w:rPr>
          <w:rFonts w:cs="Times New Roman"/>
          <w:sz w:val="24"/>
          <w:szCs w:val="18"/>
        </w:rPr>
      </w:pPr>
      <w:r>
        <w:rPr>
          <w:rFonts w:hint="eastAsia" w:cs="Times New Roman"/>
          <w:sz w:val="24"/>
          <w:szCs w:val="18"/>
        </w:rPr>
        <w:t>图4 征求意见座谈会现场照片</w:t>
      </w:r>
    </w:p>
    <w:p w14:paraId="64356076">
      <w:pPr>
        <w:pStyle w:val="3"/>
        <w:numPr>
          <w:ilvl w:val="0"/>
          <w:numId w:val="0"/>
        </w:numPr>
      </w:pPr>
      <w:bookmarkStart w:id="6" w:name="_Toc227590329"/>
      <w:r>
        <w:t>（三）制定标准的原则和依据，与现行法律法规、标准的关系</w:t>
      </w:r>
      <w:bookmarkEnd w:id="6"/>
    </w:p>
    <w:p w14:paraId="417B6E50">
      <w:pPr>
        <w:pStyle w:val="29"/>
        <w:ind w:firstLine="560"/>
        <w:rPr>
          <w:rFonts w:cs="Times New Roman"/>
        </w:rPr>
      </w:pPr>
      <w:r>
        <w:rPr>
          <w:rFonts w:hint="eastAsia" w:cs="Times New Roman"/>
        </w:rPr>
        <w:t>1、标准制定的原则</w:t>
      </w:r>
    </w:p>
    <w:p w14:paraId="1072F642">
      <w:pPr>
        <w:pStyle w:val="29"/>
        <w:ind w:firstLine="560"/>
        <w:rPr>
          <w:rFonts w:cs="Times New Roman"/>
        </w:rPr>
      </w:pPr>
      <w:r>
        <w:rPr>
          <w:rFonts w:hint="eastAsia" w:cs="Times New Roman"/>
        </w:rPr>
        <w:t>本标准的编制主要遵循以下原则：</w:t>
      </w:r>
    </w:p>
    <w:p w14:paraId="22F7AAC4">
      <w:pPr>
        <w:pStyle w:val="29"/>
        <w:ind w:firstLine="560"/>
        <w:rPr>
          <w:rFonts w:cs="Times New Roman"/>
        </w:rPr>
      </w:pPr>
      <w:r>
        <w:rPr>
          <w:rFonts w:hint="eastAsia" w:cs="Times New Roman"/>
        </w:rPr>
        <w:t>（1）严格遵守我国相关法律、法规和标准。以《中华人民共和国环境保护法》《中华人民共和国水污染防治法》《水污染防治行动计划》以及我国现行的环境保护法律法规、政策、条例、标准的相关规定和要求为主要依据，体现标准的科学性、规范性和一致性，标准要和国家现有相关规范性文件相协调，避免冲突。</w:t>
      </w:r>
    </w:p>
    <w:p w14:paraId="2DAE9A14">
      <w:pPr>
        <w:pStyle w:val="29"/>
        <w:ind w:firstLine="560"/>
        <w:rPr>
          <w:rFonts w:cs="Times New Roman"/>
        </w:rPr>
      </w:pPr>
      <w:r>
        <w:rPr>
          <w:rFonts w:hint="eastAsia" w:cs="Times New Roman"/>
        </w:rPr>
        <w:t>（2）突出新污染物健康风险评估的适用性和可操作性，应具备充分的理论科学基础和实际应用推广价值。</w:t>
      </w:r>
    </w:p>
    <w:p w14:paraId="1928DDAA">
      <w:pPr>
        <w:pStyle w:val="29"/>
        <w:ind w:firstLine="560"/>
        <w:rPr>
          <w:rFonts w:cs="Times New Roman"/>
        </w:rPr>
      </w:pPr>
      <w:r>
        <w:rPr>
          <w:rFonts w:hint="eastAsia" w:cs="Times New Roman"/>
        </w:rPr>
        <w:t>（3）基于可获得的最新科学证据，开展饮用水水源地健康风险评估，并随着新的科学认识和科学证据的出现，对评估结果进行更新。</w:t>
      </w:r>
    </w:p>
    <w:p w14:paraId="7969D05E">
      <w:pPr>
        <w:pStyle w:val="29"/>
        <w:ind w:firstLine="560"/>
        <w:rPr>
          <w:rFonts w:cs="Times New Roman"/>
        </w:rPr>
      </w:pPr>
      <w:r>
        <w:rPr>
          <w:rFonts w:hint="eastAsia" w:cs="Times New Roman"/>
        </w:rPr>
        <w:t>2、现行标准法规</w:t>
      </w:r>
    </w:p>
    <w:p w14:paraId="3B718440">
      <w:pPr>
        <w:pStyle w:val="29"/>
        <w:ind w:firstLine="560"/>
        <w:rPr>
          <w:rFonts w:cs="Times New Roman"/>
        </w:rPr>
      </w:pPr>
      <w:r>
        <w:rPr>
          <w:rFonts w:hint="eastAsia" w:cs="Times New Roman"/>
        </w:rPr>
        <w:t>（1）我国针对化学物质健康风险评估相关标准</w:t>
      </w:r>
    </w:p>
    <w:p w14:paraId="56CB9B65">
      <w:pPr>
        <w:pStyle w:val="29"/>
        <w:ind w:firstLine="560"/>
        <w:rPr>
          <w:rFonts w:cs="Times New Roman"/>
        </w:rPr>
      </w:pPr>
      <w:r>
        <w:rPr>
          <w:rFonts w:hint="eastAsia" w:cs="Times New Roman"/>
        </w:rPr>
        <w:t>表2列出了《饮用水水源地健康风险评估技术规范》借鉴参考的</w:t>
      </w:r>
      <w:r>
        <w:rPr>
          <w:rFonts w:cs="Times New Roman"/>
        </w:rPr>
        <w:t>5</w:t>
      </w:r>
      <w:r>
        <w:rPr>
          <w:rFonts w:hint="eastAsia" w:cs="Times New Roman"/>
        </w:rPr>
        <w:t>个现行国内鉴定评估规范性文件，其中</w:t>
      </w:r>
      <w:r>
        <w:rPr>
          <w:rFonts w:cs="Times New Roman"/>
        </w:rPr>
        <w:t>3</w:t>
      </w:r>
      <w:r>
        <w:rPr>
          <w:rFonts w:hint="eastAsia" w:cs="Times New Roman"/>
        </w:rPr>
        <w:t>个标准，均为推荐性标准。</w:t>
      </w:r>
    </w:p>
    <w:p w14:paraId="30671D81">
      <w:pPr>
        <w:pStyle w:val="29"/>
        <w:ind w:firstLine="0" w:firstLineChars="0"/>
        <w:jc w:val="center"/>
        <w:rPr>
          <w:rFonts w:cs="Times New Roman"/>
          <w:highlight w:val="yellow"/>
        </w:rPr>
      </w:pPr>
      <w:r>
        <w:rPr>
          <w:rFonts w:hint="eastAsia" w:cs="Times New Roman"/>
        </w:rPr>
        <w:t>表2 相关标准</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694"/>
        <w:gridCol w:w="5153"/>
      </w:tblGrid>
      <w:tr w14:paraId="4FAE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3050044">
            <w:pPr>
              <w:pStyle w:val="29"/>
              <w:ind w:firstLine="0" w:firstLineChars="0"/>
              <w:rPr>
                <w:rFonts w:cs="Times New Roman"/>
                <w:sz w:val="21"/>
                <w:szCs w:val="21"/>
              </w:rPr>
            </w:pPr>
            <w:r>
              <w:rPr>
                <w:rFonts w:hint="eastAsia" w:cs="Times New Roman"/>
                <w:sz w:val="21"/>
                <w:szCs w:val="21"/>
              </w:rPr>
              <w:t>序号</w:t>
            </w:r>
          </w:p>
        </w:tc>
        <w:tc>
          <w:tcPr>
            <w:tcW w:w="2694" w:type="dxa"/>
          </w:tcPr>
          <w:p w14:paraId="5C593241">
            <w:pPr>
              <w:pStyle w:val="29"/>
              <w:ind w:firstLine="0" w:firstLineChars="0"/>
              <w:rPr>
                <w:rFonts w:cs="Times New Roman"/>
                <w:sz w:val="21"/>
                <w:szCs w:val="21"/>
              </w:rPr>
            </w:pPr>
            <w:r>
              <w:rPr>
                <w:rFonts w:hint="eastAsia" w:cs="Times New Roman"/>
                <w:sz w:val="21"/>
                <w:szCs w:val="21"/>
              </w:rPr>
              <w:t>标准编号</w:t>
            </w:r>
          </w:p>
        </w:tc>
        <w:tc>
          <w:tcPr>
            <w:tcW w:w="5153" w:type="dxa"/>
          </w:tcPr>
          <w:p w14:paraId="6BCF4985">
            <w:pPr>
              <w:pStyle w:val="29"/>
              <w:ind w:firstLine="0" w:firstLineChars="0"/>
              <w:rPr>
                <w:rFonts w:cs="Times New Roman"/>
                <w:sz w:val="21"/>
                <w:szCs w:val="21"/>
              </w:rPr>
            </w:pPr>
            <w:r>
              <w:rPr>
                <w:rFonts w:hint="eastAsia" w:cs="Times New Roman"/>
                <w:sz w:val="21"/>
                <w:szCs w:val="21"/>
              </w:rPr>
              <w:t>标准名称</w:t>
            </w:r>
          </w:p>
        </w:tc>
      </w:tr>
      <w:tr w14:paraId="0629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E764110">
            <w:pPr>
              <w:pStyle w:val="29"/>
              <w:ind w:firstLine="0" w:firstLineChars="0"/>
              <w:rPr>
                <w:rFonts w:cs="Times New Roman"/>
                <w:sz w:val="21"/>
                <w:szCs w:val="21"/>
              </w:rPr>
            </w:pPr>
            <w:r>
              <w:rPr>
                <w:rFonts w:cs="Times New Roman"/>
                <w:sz w:val="21"/>
                <w:szCs w:val="21"/>
              </w:rPr>
              <w:fldChar w:fldCharType="begin"/>
            </w:r>
            <w:r>
              <w:rPr>
                <w:rFonts w:cs="Times New Roman"/>
                <w:sz w:val="21"/>
                <w:szCs w:val="21"/>
              </w:rPr>
              <w:instrText xml:space="preserve"> </w:instrText>
            </w:r>
            <w:r>
              <w:rPr>
                <w:rFonts w:hint="eastAsia" w:cs="Times New Roman"/>
                <w:sz w:val="21"/>
                <w:szCs w:val="21"/>
              </w:rPr>
              <w:instrText xml:space="preserve">= 1 \* GB3</w:instrText>
            </w:r>
            <w:r>
              <w:rPr>
                <w:rFonts w:cs="Times New Roman"/>
                <w:sz w:val="21"/>
                <w:szCs w:val="21"/>
              </w:rPr>
              <w:instrText xml:space="preserve"> </w:instrText>
            </w:r>
            <w:r>
              <w:rPr>
                <w:rFonts w:cs="Times New Roman"/>
                <w:sz w:val="21"/>
                <w:szCs w:val="21"/>
              </w:rPr>
              <w:fldChar w:fldCharType="separate"/>
            </w:r>
            <w:r>
              <w:rPr>
                <w:rFonts w:hint="eastAsia" w:cs="Times New Roman"/>
                <w:sz w:val="21"/>
                <w:szCs w:val="21"/>
              </w:rPr>
              <w:t>①</w:t>
            </w:r>
            <w:r>
              <w:rPr>
                <w:rFonts w:cs="Times New Roman"/>
                <w:sz w:val="21"/>
                <w:szCs w:val="21"/>
              </w:rPr>
              <w:fldChar w:fldCharType="end"/>
            </w:r>
          </w:p>
        </w:tc>
        <w:tc>
          <w:tcPr>
            <w:tcW w:w="2694" w:type="dxa"/>
          </w:tcPr>
          <w:p w14:paraId="56FB356F">
            <w:pPr>
              <w:pStyle w:val="29"/>
              <w:ind w:firstLine="0" w:firstLineChars="0"/>
              <w:rPr>
                <w:rFonts w:cs="Times New Roman"/>
                <w:sz w:val="21"/>
                <w:szCs w:val="21"/>
              </w:rPr>
            </w:pPr>
            <w:r>
              <w:rPr>
                <w:sz w:val="21"/>
                <w:szCs w:val="21"/>
              </w:rPr>
              <w:t>HJ 1111（所有部分）</w:t>
            </w:r>
          </w:p>
        </w:tc>
        <w:tc>
          <w:tcPr>
            <w:tcW w:w="5153" w:type="dxa"/>
          </w:tcPr>
          <w:p w14:paraId="04123499">
            <w:pPr>
              <w:pStyle w:val="29"/>
              <w:ind w:firstLine="0" w:firstLineChars="0"/>
              <w:rPr>
                <w:rFonts w:cs="Times New Roman"/>
                <w:sz w:val="21"/>
                <w:szCs w:val="21"/>
              </w:rPr>
            </w:pPr>
            <w:r>
              <w:rPr>
                <w:sz w:val="21"/>
                <w:szCs w:val="21"/>
              </w:rPr>
              <w:t xml:space="preserve">HJ 1111-2020 </w:t>
            </w:r>
            <w:r>
              <w:rPr>
                <w:rFonts w:hint="eastAsia" w:cs="Times New Roman"/>
                <w:sz w:val="21"/>
                <w:szCs w:val="21"/>
              </w:rPr>
              <w:t>生态环境健康风险评估技术指南 总纲</w:t>
            </w:r>
          </w:p>
        </w:tc>
      </w:tr>
      <w:tr w14:paraId="6404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059974F">
            <w:pPr>
              <w:pStyle w:val="29"/>
              <w:ind w:firstLine="0" w:firstLineChars="0"/>
              <w:rPr>
                <w:rFonts w:cs="Times New Roman"/>
                <w:sz w:val="21"/>
                <w:szCs w:val="21"/>
              </w:rPr>
            </w:pPr>
            <w:r>
              <w:rPr>
                <w:rFonts w:cs="Times New Roman"/>
                <w:sz w:val="21"/>
                <w:szCs w:val="21"/>
              </w:rPr>
              <w:fldChar w:fldCharType="begin"/>
            </w:r>
            <w:r>
              <w:rPr>
                <w:rFonts w:cs="Times New Roman"/>
                <w:sz w:val="21"/>
                <w:szCs w:val="21"/>
              </w:rPr>
              <w:instrText xml:space="preserve"> </w:instrText>
            </w:r>
            <w:r>
              <w:rPr>
                <w:rFonts w:hint="eastAsia" w:cs="Times New Roman"/>
                <w:sz w:val="21"/>
                <w:szCs w:val="21"/>
              </w:rPr>
              <w:instrText xml:space="preserve">= 2 \* GB3</w:instrText>
            </w:r>
            <w:r>
              <w:rPr>
                <w:rFonts w:cs="Times New Roman"/>
                <w:sz w:val="21"/>
                <w:szCs w:val="21"/>
              </w:rPr>
              <w:instrText xml:space="preserve"> </w:instrText>
            </w:r>
            <w:r>
              <w:rPr>
                <w:rFonts w:cs="Times New Roman"/>
                <w:sz w:val="21"/>
                <w:szCs w:val="21"/>
              </w:rPr>
              <w:fldChar w:fldCharType="separate"/>
            </w:r>
            <w:r>
              <w:rPr>
                <w:rFonts w:hint="eastAsia" w:cs="Times New Roman"/>
                <w:sz w:val="21"/>
                <w:szCs w:val="21"/>
              </w:rPr>
              <w:t>②</w:t>
            </w:r>
            <w:r>
              <w:rPr>
                <w:rFonts w:cs="Times New Roman"/>
                <w:sz w:val="21"/>
                <w:szCs w:val="21"/>
              </w:rPr>
              <w:fldChar w:fldCharType="end"/>
            </w:r>
          </w:p>
        </w:tc>
        <w:tc>
          <w:tcPr>
            <w:tcW w:w="2694" w:type="dxa"/>
          </w:tcPr>
          <w:p w14:paraId="7680D588">
            <w:pPr>
              <w:pStyle w:val="29"/>
              <w:ind w:firstLine="0" w:firstLineChars="0"/>
              <w:rPr>
                <w:rFonts w:cs="Times New Roman"/>
                <w:sz w:val="21"/>
                <w:szCs w:val="21"/>
              </w:rPr>
            </w:pPr>
            <w:r>
              <w:rPr>
                <w:rFonts w:hint="eastAsia"/>
                <w:sz w:val="21"/>
                <w:szCs w:val="21"/>
              </w:rPr>
              <w:t>HJ/T 154（所有部分</w:t>
            </w:r>
            <w:r>
              <w:rPr>
                <w:rFonts w:hint="eastAsia" w:cs="Times New Roman"/>
                <w:sz w:val="21"/>
                <w:szCs w:val="21"/>
              </w:rPr>
              <w:t>）</w:t>
            </w:r>
          </w:p>
        </w:tc>
        <w:tc>
          <w:tcPr>
            <w:tcW w:w="5153" w:type="dxa"/>
          </w:tcPr>
          <w:p w14:paraId="2D8E7EB7">
            <w:pPr>
              <w:pStyle w:val="29"/>
              <w:ind w:firstLine="0" w:firstLineChars="0"/>
              <w:rPr>
                <w:sz w:val="21"/>
                <w:szCs w:val="21"/>
              </w:rPr>
            </w:pPr>
            <w:r>
              <w:rPr>
                <w:rFonts w:hint="eastAsia"/>
                <w:sz w:val="21"/>
                <w:szCs w:val="21"/>
              </w:rPr>
              <w:t>HJ/T 154</w:t>
            </w:r>
            <w:r>
              <w:rPr>
                <w:sz w:val="21"/>
                <w:szCs w:val="21"/>
              </w:rPr>
              <w:t>-2004</w:t>
            </w:r>
            <w:r>
              <w:rPr>
                <w:rFonts w:hint="eastAsia"/>
                <w:sz w:val="21"/>
                <w:szCs w:val="21"/>
              </w:rPr>
              <w:t xml:space="preserve"> 新化学物质危害评估导则</w:t>
            </w:r>
          </w:p>
        </w:tc>
      </w:tr>
      <w:tr w14:paraId="3634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tcPr>
          <w:p w14:paraId="40BE287C">
            <w:pPr>
              <w:pStyle w:val="29"/>
              <w:ind w:firstLine="0" w:firstLineChars="0"/>
              <w:rPr>
                <w:rFonts w:cs="Times New Roman"/>
                <w:sz w:val="21"/>
                <w:szCs w:val="21"/>
              </w:rPr>
            </w:pPr>
            <w:r>
              <w:rPr>
                <w:rFonts w:cs="Times New Roman"/>
                <w:sz w:val="21"/>
                <w:szCs w:val="21"/>
              </w:rPr>
              <w:fldChar w:fldCharType="begin"/>
            </w:r>
            <w:r>
              <w:rPr>
                <w:rFonts w:cs="Times New Roman"/>
                <w:sz w:val="21"/>
                <w:szCs w:val="21"/>
              </w:rPr>
              <w:instrText xml:space="preserve"> </w:instrText>
            </w:r>
            <w:r>
              <w:rPr>
                <w:rFonts w:hint="eastAsia" w:cs="Times New Roman"/>
                <w:sz w:val="21"/>
                <w:szCs w:val="21"/>
              </w:rPr>
              <w:instrText xml:space="preserve">= 3 \* GB3</w:instrText>
            </w:r>
            <w:r>
              <w:rPr>
                <w:rFonts w:cs="Times New Roman"/>
                <w:sz w:val="21"/>
                <w:szCs w:val="21"/>
              </w:rPr>
              <w:instrText xml:space="preserve"> </w:instrText>
            </w:r>
            <w:r>
              <w:rPr>
                <w:rFonts w:cs="Times New Roman"/>
                <w:sz w:val="21"/>
                <w:szCs w:val="21"/>
              </w:rPr>
              <w:fldChar w:fldCharType="separate"/>
            </w:r>
            <w:r>
              <w:rPr>
                <w:rFonts w:hint="eastAsia" w:cs="Times New Roman"/>
                <w:sz w:val="21"/>
                <w:szCs w:val="21"/>
              </w:rPr>
              <w:t>③</w:t>
            </w:r>
            <w:r>
              <w:rPr>
                <w:rFonts w:cs="Times New Roman"/>
                <w:sz w:val="21"/>
                <w:szCs w:val="21"/>
              </w:rPr>
              <w:fldChar w:fldCharType="end"/>
            </w:r>
          </w:p>
        </w:tc>
        <w:tc>
          <w:tcPr>
            <w:tcW w:w="2694" w:type="dxa"/>
          </w:tcPr>
          <w:p w14:paraId="5C99C20D">
            <w:pPr>
              <w:pStyle w:val="29"/>
              <w:ind w:firstLine="0" w:firstLineChars="0"/>
              <w:rPr>
                <w:rFonts w:cs="Times New Roman"/>
                <w:sz w:val="21"/>
                <w:szCs w:val="21"/>
              </w:rPr>
            </w:pPr>
            <w:r>
              <w:rPr>
                <w:rFonts w:hint="eastAsia"/>
                <w:sz w:val="21"/>
                <w:szCs w:val="21"/>
              </w:rPr>
              <w:t>HJ 875</w:t>
            </w:r>
            <w:r>
              <w:rPr>
                <w:rFonts w:hint="eastAsia" w:cs="Times New Roman"/>
                <w:sz w:val="21"/>
                <w:szCs w:val="21"/>
              </w:rPr>
              <w:t>（所有部分）</w:t>
            </w:r>
          </w:p>
        </w:tc>
        <w:tc>
          <w:tcPr>
            <w:tcW w:w="5153" w:type="dxa"/>
          </w:tcPr>
          <w:p w14:paraId="18254CBD">
            <w:pPr>
              <w:pStyle w:val="29"/>
              <w:ind w:firstLine="0" w:firstLineChars="0"/>
              <w:rPr>
                <w:sz w:val="21"/>
                <w:szCs w:val="21"/>
              </w:rPr>
            </w:pPr>
            <w:r>
              <w:rPr>
                <w:rFonts w:hint="eastAsia"/>
                <w:sz w:val="21"/>
                <w:szCs w:val="21"/>
              </w:rPr>
              <w:t>HJ 875</w:t>
            </w:r>
            <w:r>
              <w:rPr>
                <w:sz w:val="21"/>
                <w:szCs w:val="21"/>
              </w:rPr>
              <w:t>-2017</w:t>
            </w:r>
            <w:r>
              <w:rPr>
                <w:rFonts w:hint="eastAsia"/>
                <w:sz w:val="21"/>
                <w:szCs w:val="21"/>
              </w:rPr>
              <w:t xml:space="preserve"> 环境污染物人群暴露评估技术指南</w:t>
            </w:r>
          </w:p>
        </w:tc>
      </w:tr>
      <w:tr w14:paraId="6B98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D3987B6">
            <w:pPr>
              <w:pStyle w:val="29"/>
              <w:ind w:firstLine="0" w:firstLineChars="0"/>
              <w:rPr>
                <w:rFonts w:cs="Times New Roman"/>
                <w:sz w:val="21"/>
                <w:szCs w:val="21"/>
              </w:rPr>
            </w:pPr>
            <w:r>
              <w:rPr>
                <w:rFonts w:cs="Times New Roman"/>
                <w:sz w:val="21"/>
                <w:szCs w:val="21"/>
              </w:rPr>
              <w:fldChar w:fldCharType="begin"/>
            </w:r>
            <w:r>
              <w:rPr>
                <w:rFonts w:cs="Times New Roman"/>
                <w:sz w:val="21"/>
                <w:szCs w:val="21"/>
              </w:rPr>
              <w:instrText xml:space="preserve"> </w:instrText>
            </w:r>
            <w:r>
              <w:rPr>
                <w:rFonts w:hint="eastAsia" w:cs="Times New Roman"/>
                <w:sz w:val="21"/>
                <w:szCs w:val="21"/>
              </w:rPr>
              <w:instrText xml:space="preserve">= 4 \* GB3</w:instrText>
            </w:r>
            <w:r>
              <w:rPr>
                <w:rFonts w:cs="Times New Roman"/>
                <w:sz w:val="21"/>
                <w:szCs w:val="21"/>
              </w:rPr>
              <w:instrText xml:space="preserve"> </w:instrText>
            </w:r>
            <w:r>
              <w:rPr>
                <w:rFonts w:cs="Times New Roman"/>
                <w:sz w:val="21"/>
                <w:szCs w:val="21"/>
              </w:rPr>
              <w:fldChar w:fldCharType="separate"/>
            </w:r>
            <w:r>
              <w:rPr>
                <w:rFonts w:hint="eastAsia" w:cs="Times New Roman"/>
                <w:sz w:val="21"/>
                <w:szCs w:val="21"/>
              </w:rPr>
              <w:t>④</w:t>
            </w:r>
            <w:r>
              <w:rPr>
                <w:rFonts w:cs="Times New Roman"/>
                <w:sz w:val="21"/>
                <w:szCs w:val="21"/>
              </w:rPr>
              <w:fldChar w:fldCharType="end"/>
            </w:r>
          </w:p>
        </w:tc>
        <w:tc>
          <w:tcPr>
            <w:tcW w:w="2694" w:type="dxa"/>
          </w:tcPr>
          <w:p w14:paraId="37926D89">
            <w:pPr>
              <w:pStyle w:val="29"/>
              <w:ind w:firstLine="0" w:firstLineChars="0"/>
              <w:rPr>
                <w:sz w:val="21"/>
                <w:szCs w:val="21"/>
              </w:rPr>
            </w:pPr>
            <w:r>
              <w:rPr>
                <w:rFonts w:hint="eastAsia"/>
                <w:sz w:val="21"/>
                <w:szCs w:val="21"/>
              </w:rPr>
              <w:t>环办固体〔2019〕54号</w:t>
            </w:r>
          </w:p>
        </w:tc>
        <w:tc>
          <w:tcPr>
            <w:tcW w:w="5153" w:type="dxa"/>
            <w:vAlign w:val="center"/>
          </w:tcPr>
          <w:p w14:paraId="595397B0">
            <w:pPr>
              <w:pStyle w:val="29"/>
              <w:ind w:firstLine="0" w:firstLineChars="0"/>
              <w:rPr>
                <w:sz w:val="21"/>
                <w:szCs w:val="21"/>
              </w:rPr>
            </w:pPr>
            <w:r>
              <w:rPr>
                <w:rFonts w:hint="eastAsia"/>
                <w:sz w:val="21"/>
                <w:szCs w:val="21"/>
              </w:rPr>
              <w:t>化学物质环境风险评估技术方法框架性指南（试行）</w:t>
            </w:r>
          </w:p>
        </w:tc>
      </w:tr>
      <w:tr w14:paraId="2F5C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AABC20C">
            <w:pPr>
              <w:pStyle w:val="29"/>
              <w:ind w:firstLine="0" w:firstLineChars="0"/>
              <w:rPr>
                <w:rFonts w:cs="Times New Roman"/>
                <w:sz w:val="21"/>
                <w:szCs w:val="21"/>
              </w:rPr>
            </w:pPr>
            <w:r>
              <w:rPr>
                <w:rFonts w:cs="Times New Roman"/>
                <w:sz w:val="21"/>
                <w:szCs w:val="21"/>
              </w:rPr>
              <w:fldChar w:fldCharType="begin"/>
            </w:r>
            <w:r>
              <w:rPr>
                <w:rFonts w:cs="Times New Roman"/>
                <w:sz w:val="21"/>
                <w:szCs w:val="21"/>
              </w:rPr>
              <w:instrText xml:space="preserve"> </w:instrText>
            </w:r>
            <w:r>
              <w:rPr>
                <w:rFonts w:hint="eastAsia" w:cs="Times New Roman"/>
                <w:sz w:val="21"/>
                <w:szCs w:val="21"/>
              </w:rPr>
              <w:instrText xml:space="preserve">= 5 \* GB3</w:instrText>
            </w:r>
            <w:r>
              <w:rPr>
                <w:rFonts w:cs="Times New Roman"/>
                <w:sz w:val="21"/>
                <w:szCs w:val="21"/>
              </w:rPr>
              <w:instrText xml:space="preserve"> </w:instrText>
            </w:r>
            <w:r>
              <w:rPr>
                <w:rFonts w:cs="Times New Roman"/>
                <w:sz w:val="21"/>
                <w:szCs w:val="21"/>
              </w:rPr>
              <w:fldChar w:fldCharType="separate"/>
            </w:r>
            <w:r>
              <w:rPr>
                <w:rFonts w:hint="eastAsia" w:cs="Times New Roman"/>
                <w:sz w:val="21"/>
                <w:szCs w:val="21"/>
              </w:rPr>
              <w:t>⑤</w:t>
            </w:r>
            <w:r>
              <w:rPr>
                <w:rFonts w:cs="Times New Roman"/>
                <w:sz w:val="21"/>
                <w:szCs w:val="21"/>
              </w:rPr>
              <w:fldChar w:fldCharType="end"/>
            </w:r>
          </w:p>
        </w:tc>
        <w:tc>
          <w:tcPr>
            <w:tcW w:w="2694" w:type="dxa"/>
          </w:tcPr>
          <w:p w14:paraId="7147366A">
            <w:pPr>
              <w:pStyle w:val="29"/>
              <w:ind w:firstLine="0" w:firstLineChars="0"/>
              <w:rPr>
                <w:sz w:val="21"/>
                <w:szCs w:val="21"/>
              </w:rPr>
            </w:pPr>
            <w:r>
              <w:rPr>
                <w:rFonts w:hint="eastAsia"/>
                <w:sz w:val="21"/>
                <w:szCs w:val="21"/>
              </w:rPr>
              <w:t>生态环境部公告2020年第69号</w:t>
            </w:r>
          </w:p>
        </w:tc>
        <w:tc>
          <w:tcPr>
            <w:tcW w:w="5153" w:type="dxa"/>
          </w:tcPr>
          <w:p w14:paraId="523F20BC">
            <w:pPr>
              <w:pStyle w:val="29"/>
              <w:ind w:firstLine="0" w:firstLineChars="0"/>
              <w:rPr>
                <w:sz w:val="21"/>
                <w:szCs w:val="21"/>
              </w:rPr>
            </w:pPr>
            <w:r>
              <w:rPr>
                <w:rFonts w:hint="eastAsia"/>
                <w:sz w:val="21"/>
                <w:szCs w:val="21"/>
              </w:rPr>
              <w:t>化学物质环境与健康危害评估技术导则（试行）</w:t>
            </w:r>
          </w:p>
          <w:p w14:paraId="567460B2">
            <w:pPr>
              <w:pStyle w:val="29"/>
              <w:ind w:firstLine="0" w:firstLineChars="0"/>
              <w:rPr>
                <w:sz w:val="21"/>
                <w:szCs w:val="21"/>
              </w:rPr>
            </w:pPr>
            <w:r>
              <w:rPr>
                <w:rFonts w:hint="eastAsia"/>
                <w:sz w:val="21"/>
                <w:szCs w:val="21"/>
              </w:rPr>
              <w:t>化学物质环境与健康暴露评估技术导则（试行）</w:t>
            </w:r>
          </w:p>
          <w:p w14:paraId="7C2811C4">
            <w:pPr>
              <w:pStyle w:val="29"/>
              <w:ind w:firstLine="0" w:firstLineChars="0"/>
              <w:rPr>
                <w:sz w:val="21"/>
                <w:szCs w:val="21"/>
              </w:rPr>
            </w:pPr>
            <w:r>
              <w:rPr>
                <w:rFonts w:hint="eastAsia"/>
                <w:sz w:val="21"/>
                <w:szCs w:val="21"/>
              </w:rPr>
              <w:t>化学物质环境与健康风险表征技术导则（试行）</w:t>
            </w:r>
          </w:p>
        </w:tc>
      </w:tr>
    </w:tbl>
    <w:p w14:paraId="2DC53F7B">
      <w:pPr>
        <w:pStyle w:val="29"/>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3、与现行法规、标准的协调性及冲突分析</w:t>
      </w:r>
    </w:p>
    <w:p w14:paraId="24888D5F">
      <w:pPr>
        <w:pStyle w:val="29"/>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本标准在立项、起草与编制的全过程中，全面梳理并严格遵循了我国现行的法律、法规以及生态环境部的相关管理要求。</w:t>
      </w:r>
    </w:p>
    <w:p w14:paraId="1587085D">
      <w:pPr>
        <w:pStyle w:val="29"/>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在协调一致性方面：本文件与《生态环境健康风险评估技术指南 总纲》（HJ 1111）等现行上位技术导则保持高度协同，完全沿用了“危害识别、剂量-反应评估、暴露评估、风险表征”的经典四步法评估框架。</w:t>
      </w:r>
    </w:p>
    <w:p w14:paraId="25E78843">
      <w:pPr>
        <w:pStyle w:val="29"/>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在填补空白与无冲突方面：我国目前尚未出台专门针对“饮用水水源地”这一特定介质中“新污染物”健康风险评估的具体国家或行业标准。本文件是在国家基础评估框架的指导下，针对海南省本土特征进行的专项细化与延伸。本文件的出台是对现有国家标准体系的重要补充。</w:t>
      </w:r>
    </w:p>
    <w:p w14:paraId="296645A0">
      <w:pPr>
        <w:pStyle w:val="29"/>
        <w:ind w:firstLine="56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综上所述，本标准的各项技术指标、参数选取原则和风险评估流程，与国家现行法律法规及相关强制性、推荐性标准协调一致，无任何冲突。</w:t>
      </w:r>
    </w:p>
    <w:p w14:paraId="6BE12910">
      <w:pPr>
        <w:pStyle w:val="29"/>
        <w:ind w:firstLine="560"/>
        <w:rPr>
          <w:rFonts w:cs="Times New Roman"/>
        </w:rPr>
      </w:pPr>
      <w:r>
        <w:rPr>
          <w:rFonts w:cs="Times New Roman"/>
        </w:rPr>
        <w:t>（</w:t>
      </w:r>
      <w:r>
        <w:rPr>
          <w:rFonts w:hint="eastAsia" w:cs="Times New Roman"/>
        </w:rPr>
        <w:t>2</w:t>
      </w:r>
      <w:r>
        <w:rPr>
          <w:rFonts w:cs="Times New Roman"/>
        </w:rPr>
        <w:t>）</w:t>
      </w:r>
      <w:r>
        <w:rPr>
          <w:rFonts w:hint="eastAsia" w:cs="Times New Roman"/>
        </w:rPr>
        <w:t>国外化学品健康风险评估相关标准情况</w:t>
      </w:r>
    </w:p>
    <w:p w14:paraId="5338BCDA">
      <w:pPr>
        <w:pStyle w:val="29"/>
        <w:ind w:firstLine="560"/>
        <w:rPr>
          <w:rFonts w:cs="Times New Roman"/>
        </w:rPr>
      </w:pPr>
      <w:r>
        <w:rPr>
          <w:rFonts w:cs="Times New Roman"/>
        </w:rPr>
        <w:fldChar w:fldCharType="begin"/>
      </w:r>
      <w:r>
        <w:rPr>
          <w:rFonts w:cs="Times New Roman"/>
        </w:rPr>
        <w:instrText xml:space="preserve"> </w:instrText>
      </w:r>
      <w:r>
        <w:rPr>
          <w:rFonts w:hint="eastAsia" w:cs="Times New Roman"/>
        </w:rPr>
        <w:instrText xml:space="preserve">= 1 \* GB3</w:instrText>
      </w:r>
      <w:r>
        <w:rPr>
          <w:rFonts w:cs="Times New Roman"/>
        </w:rPr>
        <w:instrText xml:space="preserve"> </w:instrText>
      </w:r>
      <w:r>
        <w:rPr>
          <w:rFonts w:cs="Times New Roman"/>
        </w:rPr>
        <w:fldChar w:fldCharType="separate"/>
      </w:r>
      <w:r>
        <w:rPr>
          <w:rFonts w:hint="eastAsia" w:cs="Times New Roman"/>
        </w:rPr>
        <w:t>①</w:t>
      </w:r>
      <w:r>
        <w:rPr>
          <w:rFonts w:cs="Times New Roman"/>
        </w:rPr>
        <w:fldChar w:fldCharType="end"/>
      </w:r>
      <w:r>
        <w:rPr>
          <w:rFonts w:hint="eastAsia" w:cs="Times New Roman"/>
        </w:rPr>
        <w:t>美国</w:t>
      </w:r>
    </w:p>
    <w:p w14:paraId="63C71B48">
      <w:pPr>
        <w:pStyle w:val="29"/>
        <w:ind w:firstLine="560"/>
        <w:rPr>
          <w:rFonts w:cs="Times New Roman"/>
        </w:rPr>
      </w:pPr>
      <w:r>
        <w:rPr>
          <w:rFonts w:hint="eastAsia" w:cs="Times New Roman"/>
        </w:rPr>
        <w:t>美国环保局（USEPA）自20世纪70年代起逐步将健康风险评估结果用于环境管理实践，经过40多年的健康风险评估实践，逐步建立完善了人体健康风险评估技术指南体系。2014年，USEPA发布了《支持决策的人体健康风险评估技术框架》，明确了健康风险评估的程序和内容，将USEPA历年发布的健康风险评估技术指南进行有机整合，推动了USEPA内部对健康风险评估各项技术规范的贯彻实施。</w:t>
      </w:r>
    </w:p>
    <w:p w14:paraId="1EA02584">
      <w:pPr>
        <w:pStyle w:val="29"/>
        <w:ind w:firstLine="560"/>
        <w:rPr>
          <w:rFonts w:cs="Times New Roman"/>
        </w:rPr>
      </w:pPr>
      <w:r>
        <w:rPr>
          <w:rFonts w:hint="eastAsia" w:cs="Times New Roman"/>
        </w:rPr>
        <w:t>美国环境保护署（EPA）通过《综合风险信息系统》（IRIS）数据库，提供化学物质的毒性参数（如致癌斜率因子、参考剂量等），支持定量风险评估。其评估流程包括危害识别、剂量-反应关系分析、暴露评估和风险表征四个步骤，尤其注重低剂量长期暴露的致癌与非致癌效应。例如，EPA采用线性无阈值模型（LNT）评估致癌风险，并通过暴露模型（如瞬时暴露模型、累积暴露模型）估算不同途径（如吸入、皮肤接触）的暴露水平。此外，《有毒物质控制法》（TSCA）要求对现有化学品和新化学品进行风险评估，重点关注高风险物质的管控。</w:t>
      </w:r>
    </w:p>
    <w:p w14:paraId="33DF7267">
      <w:pPr>
        <w:pStyle w:val="29"/>
        <w:ind w:firstLine="560"/>
        <w:rPr>
          <w:rFonts w:cs="Times New Roman"/>
        </w:rPr>
      </w:pPr>
      <w:r>
        <w:rPr>
          <w:rFonts w:cs="Times New Roman"/>
        </w:rPr>
        <w:fldChar w:fldCharType="begin"/>
      </w:r>
      <w:r>
        <w:rPr>
          <w:rFonts w:cs="Times New Roman"/>
        </w:rPr>
        <w:instrText xml:space="preserve"> </w:instrText>
      </w:r>
      <w:r>
        <w:rPr>
          <w:rFonts w:hint="eastAsia" w:cs="Times New Roman"/>
        </w:rPr>
        <w:instrText xml:space="preserve">= 2 \* GB3</w:instrText>
      </w:r>
      <w:r>
        <w:rPr>
          <w:rFonts w:cs="Times New Roman"/>
        </w:rPr>
        <w:instrText xml:space="preserve"> </w:instrText>
      </w:r>
      <w:r>
        <w:rPr>
          <w:rFonts w:cs="Times New Roman"/>
        </w:rPr>
        <w:fldChar w:fldCharType="separate"/>
      </w:r>
      <w:r>
        <w:rPr>
          <w:rFonts w:hint="eastAsia" w:cs="Times New Roman"/>
        </w:rPr>
        <w:t>②</w:t>
      </w:r>
      <w:r>
        <w:rPr>
          <w:rFonts w:cs="Times New Roman"/>
        </w:rPr>
        <w:fldChar w:fldCharType="end"/>
      </w:r>
      <w:r>
        <w:rPr>
          <w:rFonts w:hint="eastAsia" w:cs="Times New Roman"/>
        </w:rPr>
        <w:t>欧盟</w:t>
      </w:r>
    </w:p>
    <w:p w14:paraId="69ED874E">
      <w:pPr>
        <w:pStyle w:val="29"/>
        <w:ind w:firstLine="560"/>
        <w:rPr>
          <w:rFonts w:cs="Times New Roman"/>
        </w:rPr>
      </w:pPr>
      <w:r>
        <w:rPr>
          <w:rFonts w:hint="eastAsia" w:cs="Times New Roman"/>
        </w:rPr>
        <w:t>1996 年，欧盟首次发布《风险评估技术指南文件（第一版）》，并于2003年修订后发布《风险评估技术指南文件（第二版）》( TGD 2），详细规定了健康风险评估中的标准方法、数据来源、参数选择与模型应用，是开展化学品健康风险评估的重要技</w:t>
      </w:r>
      <w:r>
        <w:rPr>
          <w:rFonts w:cs="Times New Roman"/>
        </w:rPr>
        <w:t>术指导文件。2007 年《欧盟关于化学品注册、评估、授权与限制的法规》(</w:t>
      </w:r>
      <w:r>
        <w:rPr>
          <w:rFonts w:hint="eastAsia" w:cs="Times New Roman"/>
        </w:rPr>
        <w:t>R</w:t>
      </w:r>
      <w:r>
        <w:rPr>
          <w:rFonts w:cs="Times New Roman"/>
        </w:rPr>
        <w:t>egistration， Evaluation</w:t>
      </w:r>
      <w:r>
        <w:rPr>
          <w:rFonts w:hint="eastAsia" w:cs="Times New Roman"/>
        </w:rPr>
        <w:t>,</w:t>
      </w:r>
      <w:r>
        <w:rPr>
          <w:rFonts w:cs="Times New Roman"/>
        </w:rPr>
        <w:t xml:space="preserve"> and Authorization of Chemicals，</w:t>
      </w:r>
      <w:r>
        <w:rPr>
          <w:rFonts w:hint="eastAsia" w:cs="Times New Roman"/>
        </w:rPr>
        <w:t>R</w:t>
      </w:r>
      <w:r>
        <w:rPr>
          <w:rFonts w:cs="Times New Roman"/>
        </w:rPr>
        <w:t>EACH</w:t>
      </w:r>
      <w:r>
        <w:rPr>
          <w:rFonts w:hint="eastAsia" w:cs="Times New Roman"/>
        </w:rPr>
        <w:t>）实施后，欧洲化学品管理局针对其实施的预注册、注册、数据共享、物质鉴别与分类、信息要求与化学品安全评估、各类卷宗的准备等环节陆续发布技术指南，其中的《信息要求与化学品安全评估指南》在TGD 2 的基础上结合REACH 实施要求对化学品危害评估、暴露场景的建立与暴露估计、风险表征等技术内容进行了更加详细的规定。</w:t>
      </w:r>
    </w:p>
    <w:p w14:paraId="6D11580D">
      <w:pPr>
        <w:pStyle w:val="29"/>
        <w:ind w:firstLine="560"/>
        <w:rPr>
          <w:rFonts w:cs="Times New Roman"/>
        </w:rPr>
      </w:pPr>
      <w:r>
        <w:rPr>
          <w:rFonts w:cs="Times New Roman"/>
        </w:rPr>
        <w:t>欧盟的化学品风险评估以《化学品注册、评估、授权和限制法规》（REACH）为核心，要求所有在欧盟市场流通的化学品必须经过注册和风险评估，确保其对人体健康和环境无害1。该法规强调全生命周期管理，涵盖危害识别、暴露评估和风险表征的全流程。例如，通过建立统一的化学品数据库（如ECHA的注册系统），整合毒性数据、暴露场景和风险管理措施，并要求企业提交化学品安全报告（CSR）1。此外，欧盟还采用“无数据，无市场”原则，强制企业提供化学品安全数据，否则不得上市销售。</w:t>
      </w:r>
    </w:p>
    <w:p w14:paraId="4E8BB5F1">
      <w:pPr>
        <w:pStyle w:val="29"/>
        <w:ind w:firstLine="560"/>
        <w:rPr>
          <w:rFonts w:cs="Times New Roman"/>
        </w:rPr>
      </w:pPr>
      <w:r>
        <w:rPr>
          <w:rFonts w:cs="Times New Roman"/>
        </w:rPr>
        <w:fldChar w:fldCharType="begin"/>
      </w:r>
      <w:r>
        <w:rPr>
          <w:rFonts w:cs="Times New Roman"/>
        </w:rPr>
        <w:instrText xml:space="preserve"> </w:instrText>
      </w:r>
      <w:r>
        <w:rPr>
          <w:rFonts w:hint="eastAsia" w:cs="Times New Roman"/>
        </w:rPr>
        <w:instrText xml:space="preserve">eq \o\ac(</w:instrText>
      </w:r>
      <w:r>
        <w:rPr>
          <w:rFonts w:hint="eastAsia" w:ascii="仿宋_GB2312" w:cs="Times New Roman"/>
          <w:position w:val="-5"/>
          <w:sz w:val="42"/>
        </w:rPr>
        <w:instrText xml:space="preserve">○</w:instrText>
      </w:r>
      <w:r>
        <w:rPr>
          <w:rFonts w:hint="eastAsia" w:cs="Times New Roman"/>
        </w:rPr>
        <w:instrText xml:space="preserve">,3)</w:instrText>
      </w:r>
      <w:r>
        <w:rPr>
          <w:rFonts w:cs="Times New Roman"/>
        </w:rPr>
        <w:fldChar w:fldCharType="end"/>
      </w:r>
      <w:r>
        <w:rPr>
          <w:rFonts w:hint="eastAsia" w:cs="Times New Roman"/>
        </w:rPr>
        <w:t>韩国</w:t>
      </w:r>
    </w:p>
    <w:p w14:paraId="59F0ACA1">
      <w:pPr>
        <w:pStyle w:val="29"/>
        <w:ind w:firstLine="560"/>
        <w:rPr>
          <w:rFonts w:cs="Times New Roman"/>
        </w:rPr>
      </w:pPr>
      <w:r>
        <w:rPr>
          <w:rFonts w:hint="eastAsia" w:cs="Times New Roman"/>
        </w:rPr>
        <w:t>韩国通过《化学物质注册与评估法案》（K-REACH）实施化学品管理，2024年修订的《化学物质风险评估具体方法规定》进一步细化了致癌风险评估方法。例如，新增“致癌潜能值”和“超致癌概率”定义，明确使用致癌斜率因子（CSF）量化单位暴露剂量下的癌症风险，并调整了审查期限至2025年14。该标准还要求企业提交化学品的危害数据、暴露场景及风险管理计划，强调供应链上下游的信息共享与合规协作。韩国的风险评估特别关注混合化学品的协同效应和新型材料（如纳米材料）的毒性机制。</w:t>
      </w:r>
    </w:p>
    <w:p w14:paraId="2666FF43">
      <w:pPr>
        <w:pStyle w:val="29"/>
        <w:ind w:firstLine="560"/>
        <w:rPr>
          <w:rFonts w:cs="Times New Roman"/>
        </w:rPr>
      </w:pPr>
      <w:r>
        <w:rPr>
          <w:rFonts w:cs="Times New Roman"/>
        </w:rPr>
        <w:t>（</w:t>
      </w:r>
      <w:r>
        <w:rPr>
          <w:rFonts w:hint="eastAsia" w:cs="Times New Roman"/>
        </w:rPr>
        <w:t>3</w:t>
      </w:r>
      <w:r>
        <w:rPr>
          <w:rFonts w:cs="Times New Roman"/>
        </w:rPr>
        <w:t>）与</w:t>
      </w:r>
      <w:r>
        <w:rPr>
          <w:rFonts w:hint="eastAsia" w:cs="Times New Roman"/>
        </w:rPr>
        <w:t>现行标准的衔接和存在问题</w:t>
      </w:r>
    </w:p>
    <w:p w14:paraId="69876FB0">
      <w:pPr>
        <w:pStyle w:val="29"/>
        <w:ind w:firstLine="560"/>
        <w:rPr>
          <w:rFonts w:cs="Times New Roman"/>
        </w:rPr>
      </w:pPr>
      <w:r>
        <w:rPr>
          <w:rFonts w:hint="eastAsia" w:cs="Times New Roman"/>
        </w:rPr>
        <w:t>我国化学物质的环境管理相较于欧美起步较晚，最早始于1994年，为执行《关于化学物质国际贸易资料交流的伦敦准则》，原国家环保总局、原外经贸部和海关总署1994年联合颁布《化学物质首次进口及有毒化学物质进出口环境管理规定》，该法规对有毒化学物质进出口环境管理登记类型、登记资料要求和登记收费做出了详细规定，建立了有毒化学物质进出口环境审批制度，迈出了中国化学物质环境管理的第一步。目前我国对有毒化学物质的环境管理是清单式管理，对有毒化学物质管理名单中列出的158种类化学物质进出口进行环境管理，有毒化学物质的风险管理还有待进一步推进。</w:t>
      </w:r>
    </w:p>
    <w:p w14:paraId="1C7F54B5">
      <w:pPr>
        <w:pStyle w:val="29"/>
        <w:ind w:firstLine="560"/>
        <w:rPr>
          <w:rFonts w:cs="Times New Roman"/>
        </w:rPr>
      </w:pPr>
      <w:r>
        <w:rPr>
          <w:rFonts w:hint="eastAsia" w:cs="Times New Roman"/>
        </w:rPr>
        <w:t>我国的新化学物质环境管理始于2003年，原国家环保总局发布了《新化学物质环境管理办法》（国家环保总局第17号令），这是中国第一部关于新化学物质环境管理的部门规章。法规规定了新化学物质在生产和进口前应进行申报登记的基本制度，要求在新化学物质生产上市前对其危害性进行登记识别和监督控制，预防可能造成的环境污染。在《新化学物质环境管理办法》实施7年后，随着新化学物质的生产、研发以及国际贸易增加，对环境的潜在威胁也在不断加大，原《办法》主要偏重基于危害评估的环境管理思路，随着国际社会对化学品风险管理的强调，我国的化学物质风险评估制度尚需进一步的建立完善，强化环境风险的防范。为进一步完善原《办法》，环保部于2010年1月19日发布修订版《新化学物质环境管理办法》，2010年10月15日实施。修订后的《办法》与原《办法》相比，引入了风险评估的管理理念，要求申报量在1吨以上的新化学物质申报企业应提交风险评估报告；完善了专家评审内容，在原来仅对新化学物质固有危害特性评估基础上，增加了对暴露程度、人体健康和环境风险控制措施适当性等风险方面的评估内容；明确了新化学物质环境管理类别分为一般类、危险类和重点环境管理危险类，为后续的分类跟踪和监督管理提供依据。</w:t>
      </w:r>
    </w:p>
    <w:p w14:paraId="023C9DEF">
      <w:pPr>
        <w:pStyle w:val="29"/>
        <w:ind w:firstLine="560"/>
        <w:rPr>
          <w:rFonts w:cs="Times New Roman"/>
        </w:rPr>
      </w:pPr>
      <w:r>
        <w:rPr>
          <w:rFonts w:hint="eastAsia" w:cs="Times New Roman"/>
        </w:rPr>
        <w:t>2019年，建立健全化学物质环境风险评估技术方法体系，规范和指导化学物质环境风险评估工作，生态环境部、卫生健康委组织编制了《化学物质环境风险评估技术方法框架性指南（试行）》（环办固体〔2019〕54号），这是我国印发的第一个化学物质环境风险评估技术指南。该指南规定了化学物质风险评估的基本框架，明确了化学物质环境风险评估的基本要点、技术要求和报告编制要求。其中，对化学物质的危害识别、剂量（浓度）-反应（效应）评估、暴露评估和风险表征，构成了风险评估的核心内容。根据风险评估的结论，未发现存在不合理风险的，将不需要增加采取新的风险防控措施；存在不合理风险或风险无法确定的，将需要增加风险防控措施或补充增加危害性测试信息后，重新进行风险评估。同时，对风险评估中不确定性分析、数据质量评估、暴露评估的空间尺度等要点内容进行了规定。对持久性、生物累积性和毒性物质（PBT）和高持久性和高生物累积性物质（vPvB）类化学物质、金属及其化合物在风险评估中需要重点考虑的因素，也进行了说明。</w:t>
      </w:r>
    </w:p>
    <w:p w14:paraId="4FDC63A8">
      <w:pPr>
        <w:pStyle w:val="29"/>
        <w:ind w:firstLine="560"/>
        <w:rPr>
          <w:rFonts w:cs="Times New Roman"/>
        </w:rPr>
      </w:pPr>
      <w:r>
        <w:rPr>
          <w:rFonts w:hint="eastAsia" w:cs="Times New Roman"/>
        </w:rPr>
        <w:t>2020年，生态环境部印发《化学物质环境与健康危害评估技术导则（试行）》《化学物质环境与健康暴露评估技术导则（试行）》《化学物质环境与健康风险表征技术导则（试行）》（生态环境部公告2020年第69号）系列文件，对化学物质的环境健康风险评估的一般性程序、内容、方法和技术要求等进行了进一步规定。</w:t>
      </w:r>
    </w:p>
    <w:p w14:paraId="5DF6C143">
      <w:pPr>
        <w:pStyle w:val="29"/>
        <w:ind w:firstLine="560"/>
        <w:rPr>
          <w:rFonts w:cs="Times New Roman"/>
        </w:rPr>
      </w:pPr>
      <w:r>
        <w:rPr>
          <w:rFonts w:hint="eastAsia" w:cs="Times New Roman"/>
        </w:rPr>
        <w:t>2020年，生态环境部发布《新化学物质环境管理登记办法》（生态环境部令第12号），同时废止了《新化学物质环境管理办法》，指导相关企业开展新化学物质环境风险评估。该办法聚焦环境风险，突出管控重点。从有效防范环境风险目的出发，明确管控重点为具有持久性、生物累积性、环境和健康危害性大，或在环境中可能长期存在并可能对生态环境和公众健康造成较大风险的新化学物质。</w:t>
      </w:r>
    </w:p>
    <w:p w14:paraId="25CABA30">
      <w:pPr>
        <w:pStyle w:val="3"/>
        <w:numPr>
          <w:ilvl w:val="0"/>
          <w:numId w:val="0"/>
        </w:numPr>
      </w:pPr>
      <w:bookmarkStart w:id="7" w:name="_Toc227590330"/>
      <w:r>
        <w:t>（四）主要条款的说明</w:t>
      </w:r>
      <w:bookmarkEnd w:id="7"/>
    </w:p>
    <w:p w14:paraId="355069BB">
      <w:pPr>
        <w:pStyle w:val="29"/>
        <w:ind w:firstLine="560"/>
        <w:rPr>
          <w:rFonts w:cs="Times New Roman"/>
        </w:rPr>
      </w:pPr>
      <w:bookmarkStart w:id="8" w:name="_Toc118839857"/>
      <w:r>
        <w:rPr>
          <w:rFonts w:hint="eastAsia" w:cs="Times New Roman"/>
        </w:rPr>
        <w:t>1、</w:t>
      </w:r>
      <w:r>
        <w:rPr>
          <w:rFonts w:cs="Times New Roman"/>
        </w:rPr>
        <w:t>范围</w:t>
      </w:r>
      <w:bookmarkEnd w:id="8"/>
    </w:p>
    <w:p w14:paraId="7666A54E">
      <w:pPr>
        <w:pStyle w:val="29"/>
        <w:ind w:firstLine="560"/>
        <w:rPr>
          <w:rFonts w:cs="Times New Roman"/>
          <w:kern w:val="0"/>
          <w:szCs w:val="19"/>
        </w:rPr>
      </w:pPr>
      <w:r>
        <w:rPr>
          <w:rFonts w:hint="eastAsia" w:cs="Times New Roman"/>
          <w:kern w:val="0"/>
          <w:szCs w:val="19"/>
        </w:rPr>
        <w:t>本文件规定了饮用水水源地新污染物健康风险评估的程序、内容、方法及技术要求。</w:t>
      </w:r>
    </w:p>
    <w:p w14:paraId="4BFA2224">
      <w:pPr>
        <w:pStyle w:val="29"/>
        <w:ind w:firstLine="560"/>
        <w:rPr>
          <w:rFonts w:cs="Times New Roman"/>
          <w:kern w:val="0"/>
          <w:szCs w:val="19"/>
        </w:rPr>
      </w:pPr>
      <w:r>
        <w:rPr>
          <w:rFonts w:hint="eastAsia" w:cs="Times New Roman"/>
          <w:kern w:val="0"/>
          <w:szCs w:val="19"/>
        </w:rPr>
        <w:t>本文件适用于饮用水水源地新污染物慢性暴露的健康风险评估。</w:t>
      </w:r>
    </w:p>
    <w:p w14:paraId="242D8D31">
      <w:pPr>
        <w:pStyle w:val="29"/>
        <w:ind w:firstLine="560"/>
        <w:rPr>
          <w:rFonts w:cs="Times New Roman"/>
          <w:kern w:val="0"/>
          <w:szCs w:val="19"/>
        </w:rPr>
      </w:pPr>
      <w:r>
        <w:rPr>
          <w:rFonts w:hint="eastAsia" w:cs="Times New Roman"/>
          <w:kern w:val="0"/>
          <w:szCs w:val="19"/>
        </w:rPr>
        <w:t>本文件适用化学性新污染物的健康风险评估</w:t>
      </w:r>
      <w:r>
        <w:rPr>
          <w:rFonts w:cs="Times New Roman"/>
          <w:kern w:val="0"/>
          <w:szCs w:val="19"/>
        </w:rPr>
        <w:t>。</w:t>
      </w:r>
    </w:p>
    <w:p w14:paraId="11201107">
      <w:pPr>
        <w:pStyle w:val="29"/>
        <w:ind w:firstLine="560"/>
        <w:rPr>
          <w:rFonts w:cs="Times New Roman"/>
        </w:rPr>
      </w:pPr>
      <w:bookmarkStart w:id="9" w:name="_Toc83223492"/>
      <w:bookmarkStart w:id="10" w:name="_Toc116654898"/>
      <w:bookmarkStart w:id="11" w:name="_Toc118839858"/>
      <w:bookmarkStart w:id="12" w:name="_Toc116654381"/>
      <w:bookmarkStart w:id="13" w:name="_Hlk41667757"/>
      <w:r>
        <w:rPr>
          <w:rFonts w:hint="eastAsia" w:cs="Times New Roman"/>
        </w:rPr>
        <w:t>2、</w:t>
      </w:r>
      <w:r>
        <w:rPr>
          <w:rFonts w:cs="Times New Roman"/>
        </w:rPr>
        <w:t>标准结构</w:t>
      </w:r>
      <w:bookmarkEnd w:id="9"/>
      <w:r>
        <w:rPr>
          <w:rFonts w:cs="Times New Roman"/>
        </w:rPr>
        <w:t>框架</w:t>
      </w:r>
      <w:bookmarkEnd w:id="10"/>
      <w:bookmarkEnd w:id="11"/>
      <w:bookmarkEnd w:id="12"/>
    </w:p>
    <w:p w14:paraId="10E5E973">
      <w:pPr>
        <w:pStyle w:val="29"/>
        <w:ind w:firstLine="560"/>
        <w:rPr>
          <w:rFonts w:cs="Times New Roman"/>
          <w:kern w:val="0"/>
          <w:szCs w:val="19"/>
        </w:rPr>
      </w:pPr>
      <w:r>
        <w:rPr>
          <w:rFonts w:cs="Times New Roman"/>
          <w:kern w:val="0"/>
          <w:szCs w:val="19"/>
        </w:rPr>
        <w:t>标准共设11章。主要内容如下：</w:t>
      </w:r>
    </w:p>
    <w:bookmarkEnd w:id="13"/>
    <w:p w14:paraId="032E28D7">
      <w:pPr>
        <w:pStyle w:val="29"/>
        <w:ind w:firstLine="560"/>
        <w:rPr>
          <w:rFonts w:cs="Times New Roman"/>
          <w:kern w:val="0"/>
          <w:szCs w:val="19"/>
        </w:rPr>
      </w:pPr>
      <w:r>
        <w:rPr>
          <w:rFonts w:cs="Times New Roman"/>
          <w:kern w:val="0"/>
          <w:szCs w:val="19"/>
        </w:rPr>
        <w:t>第一章为范围：概述本标准规定的主要内容和范围。</w:t>
      </w:r>
    </w:p>
    <w:p w14:paraId="0E6BCC6B">
      <w:pPr>
        <w:pStyle w:val="29"/>
        <w:ind w:firstLine="560"/>
        <w:rPr>
          <w:rFonts w:cs="Times New Roman"/>
          <w:kern w:val="0"/>
          <w:szCs w:val="19"/>
        </w:rPr>
      </w:pPr>
      <w:r>
        <w:rPr>
          <w:rFonts w:cs="Times New Roman"/>
          <w:kern w:val="0"/>
          <w:szCs w:val="19"/>
        </w:rPr>
        <w:t>第二章为规范性引用文件：列出本标准引用的相关标准文件。</w:t>
      </w:r>
    </w:p>
    <w:p w14:paraId="40A53283">
      <w:pPr>
        <w:pStyle w:val="29"/>
        <w:ind w:firstLine="560"/>
        <w:rPr>
          <w:rFonts w:cs="Times New Roman"/>
          <w:kern w:val="0"/>
          <w:szCs w:val="19"/>
        </w:rPr>
      </w:pPr>
      <w:r>
        <w:rPr>
          <w:rFonts w:cs="Times New Roman"/>
          <w:kern w:val="0"/>
          <w:szCs w:val="19"/>
        </w:rPr>
        <w:t>第三章为术语和定义：给出</w:t>
      </w:r>
      <w:r>
        <w:rPr>
          <w:rFonts w:hint="eastAsia" w:cs="Times New Roman"/>
          <w:kern w:val="0"/>
          <w:szCs w:val="19"/>
        </w:rPr>
        <w:t>饮用水水源地、新污染物、危害识别、危害表征、暴露评估、暴露量、风险表征、不确定性</w:t>
      </w:r>
      <w:r>
        <w:rPr>
          <w:rFonts w:cs="Times New Roman"/>
          <w:kern w:val="0"/>
          <w:szCs w:val="19"/>
        </w:rPr>
        <w:t>共计8个术语及其定义。</w:t>
      </w:r>
    </w:p>
    <w:p w14:paraId="2A0B3C0A">
      <w:pPr>
        <w:pStyle w:val="29"/>
        <w:ind w:firstLine="560"/>
        <w:rPr>
          <w:rFonts w:cs="Times New Roman"/>
          <w:kern w:val="0"/>
          <w:szCs w:val="19"/>
        </w:rPr>
      </w:pPr>
      <w:r>
        <w:rPr>
          <w:rFonts w:cs="Times New Roman"/>
          <w:kern w:val="0"/>
          <w:szCs w:val="19"/>
        </w:rPr>
        <w:t>第四章为基本原则：提出</w:t>
      </w:r>
      <w:r>
        <w:rPr>
          <w:rFonts w:hint="eastAsia" w:cs="Times New Roman"/>
          <w:kern w:val="0"/>
          <w:szCs w:val="19"/>
        </w:rPr>
        <w:t>饮用水水源地新污染物健康风险评估</w:t>
      </w:r>
      <w:r>
        <w:rPr>
          <w:rFonts w:cs="Times New Roman"/>
          <w:kern w:val="0"/>
          <w:szCs w:val="19"/>
        </w:rPr>
        <w:t>应遵循的基本原则。</w:t>
      </w:r>
    </w:p>
    <w:p w14:paraId="70571B07">
      <w:pPr>
        <w:pStyle w:val="29"/>
        <w:ind w:firstLine="560"/>
        <w:rPr>
          <w:rFonts w:cs="Times New Roman"/>
          <w:kern w:val="0"/>
          <w:szCs w:val="19"/>
        </w:rPr>
      </w:pPr>
      <w:r>
        <w:rPr>
          <w:rFonts w:cs="Times New Roman"/>
          <w:kern w:val="0"/>
          <w:szCs w:val="19"/>
        </w:rPr>
        <w:t>第五章为工作程序：规定</w:t>
      </w:r>
      <w:r>
        <w:rPr>
          <w:rFonts w:hint="eastAsia" w:cs="Times New Roman"/>
          <w:kern w:val="0"/>
          <w:szCs w:val="19"/>
        </w:rPr>
        <w:t>饮用水水源地新污染物健康风险评估数据收集与评估</w:t>
      </w:r>
      <w:r>
        <w:rPr>
          <w:rFonts w:cs="Times New Roman"/>
          <w:kern w:val="0"/>
          <w:szCs w:val="19"/>
        </w:rPr>
        <w:t>—</w:t>
      </w:r>
      <w:r>
        <w:rPr>
          <w:rFonts w:hint="eastAsia" w:cs="Times New Roman"/>
          <w:kern w:val="0"/>
          <w:szCs w:val="19"/>
        </w:rPr>
        <w:t>暴露评估</w:t>
      </w:r>
      <w:r>
        <w:rPr>
          <w:rFonts w:cs="Times New Roman"/>
          <w:kern w:val="0"/>
          <w:szCs w:val="19"/>
        </w:rPr>
        <w:t>—</w:t>
      </w:r>
      <w:r>
        <w:rPr>
          <w:rFonts w:hint="eastAsia" w:cs="Times New Roman"/>
          <w:kern w:val="0"/>
          <w:szCs w:val="19"/>
        </w:rPr>
        <w:t>危害评估</w:t>
      </w:r>
      <w:r>
        <w:rPr>
          <w:rFonts w:cs="Times New Roman"/>
          <w:kern w:val="0"/>
          <w:szCs w:val="19"/>
        </w:rPr>
        <w:t>—</w:t>
      </w:r>
      <w:r>
        <w:rPr>
          <w:rFonts w:hint="eastAsia" w:cs="Times New Roman"/>
          <w:kern w:val="0"/>
          <w:szCs w:val="19"/>
        </w:rPr>
        <w:t>风险表征</w:t>
      </w:r>
      <w:r>
        <w:rPr>
          <w:rFonts w:cs="Times New Roman"/>
          <w:kern w:val="0"/>
          <w:szCs w:val="19"/>
        </w:rPr>
        <w:t>—</w:t>
      </w:r>
      <w:r>
        <w:rPr>
          <w:rFonts w:hint="eastAsia" w:cs="Times New Roman"/>
          <w:kern w:val="0"/>
          <w:szCs w:val="19"/>
        </w:rPr>
        <w:t>不确定性分析</w:t>
      </w:r>
      <w:r>
        <w:rPr>
          <w:rFonts w:cs="Times New Roman"/>
          <w:kern w:val="0"/>
          <w:szCs w:val="19"/>
        </w:rPr>
        <w:t>完整的工作程序。</w:t>
      </w:r>
    </w:p>
    <w:p w14:paraId="3D176C2C">
      <w:pPr>
        <w:pStyle w:val="29"/>
        <w:ind w:firstLine="560"/>
        <w:rPr>
          <w:rFonts w:cs="Times New Roman"/>
          <w:kern w:val="0"/>
          <w:szCs w:val="19"/>
        </w:rPr>
      </w:pPr>
      <w:r>
        <w:rPr>
          <w:rFonts w:cs="Times New Roman"/>
          <w:kern w:val="0"/>
          <w:szCs w:val="19"/>
        </w:rPr>
        <w:t>第六章为</w:t>
      </w:r>
      <w:r>
        <w:rPr>
          <w:rFonts w:hint="eastAsia" w:cs="Times New Roman"/>
          <w:kern w:val="0"/>
          <w:szCs w:val="19"/>
        </w:rPr>
        <w:t>数据收集与评估</w:t>
      </w:r>
      <w:r>
        <w:rPr>
          <w:rFonts w:cs="Times New Roman"/>
          <w:kern w:val="0"/>
          <w:szCs w:val="19"/>
        </w:rPr>
        <w:t>。</w:t>
      </w:r>
    </w:p>
    <w:p w14:paraId="1643D855">
      <w:pPr>
        <w:pStyle w:val="29"/>
        <w:ind w:firstLine="560"/>
        <w:rPr>
          <w:rFonts w:cs="Times New Roman"/>
          <w:kern w:val="0"/>
          <w:szCs w:val="19"/>
        </w:rPr>
      </w:pPr>
      <w:r>
        <w:rPr>
          <w:rFonts w:cs="Times New Roman"/>
          <w:kern w:val="0"/>
          <w:szCs w:val="19"/>
        </w:rPr>
        <w:t>第七章为</w:t>
      </w:r>
      <w:r>
        <w:rPr>
          <w:rFonts w:hint="eastAsia" w:cs="Times New Roman"/>
          <w:kern w:val="0"/>
          <w:szCs w:val="19"/>
        </w:rPr>
        <w:t>暴露评估</w:t>
      </w:r>
      <w:r>
        <w:rPr>
          <w:rFonts w:cs="Times New Roman"/>
          <w:kern w:val="0"/>
          <w:szCs w:val="19"/>
        </w:rPr>
        <w:t>。</w:t>
      </w:r>
    </w:p>
    <w:p w14:paraId="2D2ADC69">
      <w:pPr>
        <w:pStyle w:val="29"/>
        <w:ind w:firstLine="560"/>
        <w:rPr>
          <w:rFonts w:cs="Times New Roman"/>
          <w:kern w:val="0"/>
          <w:szCs w:val="19"/>
        </w:rPr>
      </w:pPr>
      <w:r>
        <w:rPr>
          <w:rFonts w:cs="Times New Roman"/>
          <w:kern w:val="0"/>
          <w:szCs w:val="19"/>
        </w:rPr>
        <w:t>第八章为</w:t>
      </w:r>
      <w:r>
        <w:rPr>
          <w:rFonts w:hint="eastAsia" w:cs="Times New Roman"/>
          <w:kern w:val="0"/>
          <w:szCs w:val="19"/>
        </w:rPr>
        <w:t>危害评估</w:t>
      </w:r>
      <w:r>
        <w:rPr>
          <w:rFonts w:cs="Times New Roman"/>
          <w:kern w:val="0"/>
          <w:szCs w:val="19"/>
        </w:rPr>
        <w:t>。</w:t>
      </w:r>
    </w:p>
    <w:p w14:paraId="55106C0B">
      <w:pPr>
        <w:pStyle w:val="29"/>
        <w:ind w:firstLine="560"/>
        <w:rPr>
          <w:rFonts w:cs="Times New Roman"/>
          <w:kern w:val="0"/>
          <w:szCs w:val="19"/>
        </w:rPr>
      </w:pPr>
      <w:r>
        <w:rPr>
          <w:rFonts w:cs="Times New Roman"/>
          <w:kern w:val="0"/>
          <w:szCs w:val="19"/>
        </w:rPr>
        <w:t>第九章为</w:t>
      </w:r>
      <w:r>
        <w:rPr>
          <w:rFonts w:hint="eastAsia" w:cs="Times New Roman"/>
          <w:kern w:val="0"/>
          <w:szCs w:val="19"/>
        </w:rPr>
        <w:t>风险表征</w:t>
      </w:r>
      <w:r>
        <w:rPr>
          <w:rFonts w:cs="Times New Roman"/>
          <w:kern w:val="0"/>
          <w:szCs w:val="19"/>
        </w:rPr>
        <w:t>。</w:t>
      </w:r>
    </w:p>
    <w:p w14:paraId="4A647CB1">
      <w:pPr>
        <w:pStyle w:val="29"/>
        <w:ind w:firstLine="560"/>
        <w:rPr>
          <w:rFonts w:cs="Times New Roman"/>
          <w:kern w:val="0"/>
          <w:szCs w:val="19"/>
        </w:rPr>
      </w:pPr>
      <w:r>
        <w:rPr>
          <w:rFonts w:cs="Times New Roman"/>
          <w:kern w:val="0"/>
          <w:szCs w:val="19"/>
        </w:rPr>
        <w:t>第十章为</w:t>
      </w:r>
      <w:r>
        <w:rPr>
          <w:rFonts w:hint="eastAsia" w:cs="Times New Roman"/>
          <w:kern w:val="0"/>
          <w:szCs w:val="19"/>
        </w:rPr>
        <w:t>不确定性分析</w:t>
      </w:r>
      <w:r>
        <w:rPr>
          <w:rFonts w:cs="Times New Roman"/>
          <w:kern w:val="0"/>
          <w:szCs w:val="19"/>
        </w:rPr>
        <w:t>。</w:t>
      </w:r>
    </w:p>
    <w:p w14:paraId="0865EF6E">
      <w:pPr>
        <w:pStyle w:val="29"/>
        <w:ind w:firstLine="560"/>
        <w:rPr>
          <w:rFonts w:cs="Times New Roman"/>
          <w:kern w:val="0"/>
          <w:szCs w:val="19"/>
        </w:rPr>
      </w:pPr>
      <w:r>
        <w:rPr>
          <w:rFonts w:cs="Times New Roman"/>
          <w:kern w:val="0"/>
          <w:szCs w:val="19"/>
        </w:rPr>
        <w:t>第十一章为</w:t>
      </w:r>
      <w:r>
        <w:rPr>
          <w:rFonts w:hint="eastAsia" w:cs="Times New Roman"/>
          <w:kern w:val="0"/>
          <w:szCs w:val="19"/>
        </w:rPr>
        <w:t>评估报告编制</w:t>
      </w:r>
      <w:r>
        <w:rPr>
          <w:rFonts w:cs="Times New Roman"/>
          <w:kern w:val="0"/>
          <w:szCs w:val="19"/>
        </w:rPr>
        <w:t>。</w:t>
      </w:r>
    </w:p>
    <w:p w14:paraId="2043BB03">
      <w:pPr>
        <w:pStyle w:val="29"/>
        <w:ind w:firstLine="560"/>
        <w:rPr>
          <w:rFonts w:cs="Times New Roman"/>
          <w:kern w:val="0"/>
          <w:szCs w:val="19"/>
        </w:rPr>
      </w:pPr>
      <w:bookmarkStart w:id="14" w:name="_Toc118839859"/>
      <w:bookmarkStart w:id="15" w:name="_Toc116654899"/>
      <w:bookmarkStart w:id="16" w:name="_Toc116654382"/>
      <w:r>
        <w:rPr>
          <w:rFonts w:hint="eastAsia" w:cs="Times New Roman"/>
          <w:kern w:val="0"/>
          <w:szCs w:val="19"/>
        </w:rPr>
        <w:t>3、</w:t>
      </w:r>
      <w:r>
        <w:rPr>
          <w:rFonts w:cs="Times New Roman"/>
          <w:kern w:val="0"/>
          <w:szCs w:val="19"/>
        </w:rPr>
        <w:t>规范性引用文件</w:t>
      </w:r>
      <w:bookmarkEnd w:id="14"/>
      <w:bookmarkEnd w:id="15"/>
      <w:bookmarkEnd w:id="16"/>
    </w:p>
    <w:p w14:paraId="0CEBDC97">
      <w:pPr>
        <w:pStyle w:val="29"/>
        <w:ind w:firstLine="560"/>
        <w:rPr>
          <w:rFonts w:cs="Times New Roman"/>
          <w:kern w:val="0"/>
          <w:szCs w:val="19"/>
        </w:rPr>
      </w:pPr>
      <w:bookmarkStart w:id="17" w:name="_Toc505697407"/>
      <w:bookmarkStart w:id="18" w:name="_Toc30915"/>
      <w:bookmarkStart w:id="19" w:name="_Toc480316892"/>
      <w:bookmarkStart w:id="20" w:name="_Toc31828"/>
      <w:bookmarkStart w:id="21" w:name="_Toc9404"/>
      <w:bookmarkStart w:id="22" w:name="_Toc477336968"/>
      <w:bookmarkStart w:id="23" w:name="_Toc6488"/>
      <w:bookmarkStart w:id="24" w:name="_Toc480316790"/>
      <w:r>
        <w:rPr>
          <w:rFonts w:cs="Times New Roman"/>
          <w:kern w:val="0"/>
          <w:szCs w:val="19"/>
        </w:rPr>
        <w:t>规定了在标准制订中被引用的文件，与本标准具有同等效力，凡是未注日期的引用文件，其最新版本（包括所有的修改单）适用于本标准。即当被引用文件修订或替换时，该标准也相应引用其最新版本。</w:t>
      </w:r>
    </w:p>
    <w:p w14:paraId="5BE18745">
      <w:pPr>
        <w:pStyle w:val="29"/>
        <w:ind w:firstLine="560"/>
        <w:rPr>
          <w:rFonts w:cs="Times New Roman"/>
          <w:kern w:val="0"/>
          <w:szCs w:val="19"/>
        </w:rPr>
      </w:pPr>
      <w:r>
        <w:rPr>
          <w:rFonts w:cs="Times New Roman"/>
          <w:kern w:val="0"/>
          <w:szCs w:val="19"/>
        </w:rPr>
        <w:t>本标准引用</w:t>
      </w:r>
      <w:r>
        <w:rPr>
          <w:rFonts w:hint="eastAsia" w:cs="Times New Roman"/>
          <w:kern w:val="0"/>
          <w:szCs w:val="19"/>
        </w:rPr>
        <w:t>《生活饮用水标准检验方法》（</w:t>
      </w:r>
      <w:r>
        <w:rPr>
          <w:kern w:val="0"/>
        </w:rPr>
        <w:t>GB 5750</w:t>
      </w:r>
      <w:r>
        <w:rPr>
          <w:rFonts w:hint="eastAsia"/>
          <w:kern w:val="0"/>
        </w:rPr>
        <w:t>所有部分</w:t>
      </w:r>
      <w:r>
        <w:rPr>
          <w:rFonts w:hint="eastAsia" w:cs="Times New Roman"/>
          <w:kern w:val="0"/>
          <w:szCs w:val="19"/>
        </w:rPr>
        <w:t>）、《生态环境健康风险评估技术指南 总纲》（</w:t>
      </w:r>
      <w:r>
        <w:rPr>
          <w:rFonts w:cs="Times New Roman"/>
          <w:kern w:val="0"/>
          <w:szCs w:val="19"/>
        </w:rPr>
        <w:t>HJ 1111</w:t>
      </w:r>
      <w:r>
        <w:rPr>
          <w:rFonts w:hint="eastAsia" w:cs="Times New Roman"/>
          <w:kern w:val="0"/>
          <w:szCs w:val="19"/>
        </w:rPr>
        <w:t>所有部分）、《环境影响评价技术导则 地表水环境》（</w:t>
      </w:r>
      <w:r>
        <w:rPr>
          <w:rFonts w:cs="Times New Roman"/>
          <w:kern w:val="0"/>
          <w:szCs w:val="19"/>
        </w:rPr>
        <w:t>HJ 2.3</w:t>
      </w:r>
      <w:r>
        <w:rPr>
          <w:rFonts w:hint="eastAsia" w:cs="Times New Roman"/>
          <w:kern w:val="0"/>
          <w:szCs w:val="19"/>
        </w:rPr>
        <w:t>所有部分）、《环境影响评价技术导则</w:t>
      </w:r>
      <w:r>
        <w:rPr>
          <w:rFonts w:cs="Times New Roman"/>
          <w:kern w:val="0"/>
          <w:szCs w:val="19"/>
        </w:rPr>
        <w:t xml:space="preserve"> </w:t>
      </w:r>
      <w:r>
        <w:rPr>
          <w:rFonts w:hint="eastAsia" w:cs="Times New Roman"/>
          <w:kern w:val="0"/>
          <w:szCs w:val="19"/>
        </w:rPr>
        <w:t>地下水环境》（</w:t>
      </w:r>
      <w:r>
        <w:rPr>
          <w:rFonts w:cs="Times New Roman"/>
          <w:kern w:val="0"/>
          <w:szCs w:val="19"/>
        </w:rPr>
        <w:t>HJ 610</w:t>
      </w:r>
      <w:r>
        <w:rPr>
          <w:rFonts w:hint="eastAsia" w:cs="Times New Roman"/>
          <w:kern w:val="0"/>
          <w:szCs w:val="19"/>
        </w:rPr>
        <w:t>所有部分）、《环境污染物人群暴露评估技术指南》（</w:t>
      </w:r>
      <w:r>
        <w:rPr>
          <w:rFonts w:cs="Times New Roman"/>
          <w:kern w:val="0"/>
          <w:szCs w:val="19"/>
        </w:rPr>
        <w:t>HJ 875</w:t>
      </w:r>
      <w:r>
        <w:rPr>
          <w:rFonts w:hint="eastAsia" w:cs="Times New Roman"/>
          <w:kern w:val="0"/>
          <w:szCs w:val="19"/>
        </w:rPr>
        <w:t>所有部分）、《暴露参数调查技术规范》（</w:t>
      </w:r>
      <w:r>
        <w:rPr>
          <w:rFonts w:cs="Times New Roman"/>
          <w:kern w:val="0"/>
          <w:szCs w:val="19"/>
        </w:rPr>
        <w:t>HJ 877</w:t>
      </w:r>
      <w:r>
        <w:rPr>
          <w:rFonts w:hint="eastAsia" w:cs="Times New Roman"/>
          <w:kern w:val="0"/>
          <w:szCs w:val="19"/>
        </w:rPr>
        <w:t>所有部分）、《环境化学污染物参考剂量推导技术指南》（</w:t>
      </w:r>
      <w:r>
        <w:rPr>
          <w:rFonts w:cs="Times New Roman"/>
          <w:kern w:val="0"/>
          <w:szCs w:val="19"/>
        </w:rPr>
        <w:t>WS/T 10006</w:t>
      </w:r>
      <w:r>
        <w:rPr>
          <w:rFonts w:hint="eastAsia" w:cs="Times New Roman"/>
          <w:kern w:val="0"/>
          <w:szCs w:val="19"/>
        </w:rPr>
        <w:t>所有部分）、《环境与健康监测技术规范》（</w:t>
      </w:r>
      <w:r>
        <w:rPr>
          <w:rFonts w:cs="Times New Roman"/>
          <w:kern w:val="0"/>
          <w:szCs w:val="19"/>
        </w:rPr>
        <w:t>DB 32/T 4260</w:t>
      </w:r>
      <w:r>
        <w:rPr>
          <w:rFonts w:hint="eastAsia" w:cs="Times New Roman"/>
          <w:kern w:val="0"/>
          <w:szCs w:val="19"/>
        </w:rPr>
        <w:t>所有部分）、《新污染物环境监测作业指导书（</w:t>
      </w:r>
      <w:r>
        <w:rPr>
          <w:rFonts w:cs="Times New Roman"/>
          <w:kern w:val="0"/>
          <w:szCs w:val="19"/>
        </w:rPr>
        <w:t>2023</w:t>
      </w:r>
      <w:r>
        <w:rPr>
          <w:rFonts w:hint="eastAsia" w:cs="Times New Roman"/>
          <w:kern w:val="0"/>
          <w:szCs w:val="19"/>
        </w:rPr>
        <w:t>年版）（试行）》（总站分析字</w:t>
      </w:r>
      <w:r>
        <w:rPr>
          <w:rFonts w:hint="eastAsia" w:cs="Times New Roman"/>
        </w:rPr>
        <w:t>〔2023〕</w:t>
      </w:r>
      <w:r>
        <w:rPr>
          <w:rFonts w:cs="Times New Roman"/>
          <w:kern w:val="0"/>
          <w:szCs w:val="19"/>
        </w:rPr>
        <w:t>261</w:t>
      </w:r>
      <w:r>
        <w:rPr>
          <w:rFonts w:hint="eastAsia" w:cs="Times New Roman"/>
          <w:kern w:val="0"/>
          <w:szCs w:val="19"/>
        </w:rPr>
        <w:t>号）共计</w:t>
      </w:r>
      <w:r>
        <w:rPr>
          <w:rFonts w:cs="Times New Roman"/>
          <w:kern w:val="0"/>
          <w:szCs w:val="19"/>
        </w:rPr>
        <w:t>9个规范性文件。</w:t>
      </w:r>
    </w:p>
    <w:p w14:paraId="5F368497">
      <w:pPr>
        <w:pStyle w:val="29"/>
        <w:ind w:firstLine="560"/>
        <w:rPr>
          <w:rFonts w:cs="Times New Roman"/>
        </w:rPr>
      </w:pPr>
      <w:bookmarkStart w:id="25" w:name="_Toc118839860"/>
      <w:bookmarkStart w:id="26" w:name="_Toc116654900"/>
      <w:bookmarkStart w:id="27" w:name="_Toc116654383"/>
      <w:r>
        <w:rPr>
          <w:rFonts w:hint="eastAsia" w:cs="Times New Roman"/>
        </w:rPr>
        <w:t>4、</w:t>
      </w:r>
      <w:r>
        <w:rPr>
          <w:rFonts w:cs="Times New Roman"/>
        </w:rPr>
        <w:t>术语和定义</w:t>
      </w:r>
      <w:bookmarkEnd w:id="25"/>
      <w:bookmarkEnd w:id="26"/>
      <w:bookmarkEnd w:id="27"/>
    </w:p>
    <w:p w14:paraId="5FE30333">
      <w:pPr>
        <w:pStyle w:val="29"/>
        <w:ind w:firstLine="560"/>
        <w:rPr>
          <w:rFonts w:cs="Times New Roman"/>
          <w:kern w:val="0"/>
          <w:szCs w:val="19"/>
        </w:rPr>
      </w:pPr>
      <w:r>
        <w:rPr>
          <w:rFonts w:cs="Times New Roman"/>
          <w:kern w:val="0"/>
          <w:szCs w:val="19"/>
        </w:rPr>
        <w:t>本标准对8个关键术语进行了定义。</w:t>
      </w:r>
    </w:p>
    <w:p w14:paraId="6C899D51">
      <w:pPr>
        <w:pStyle w:val="29"/>
        <w:ind w:firstLine="560"/>
        <w:rPr>
          <w:rFonts w:cs="Times New Roman"/>
          <w:kern w:val="0"/>
          <w:szCs w:val="19"/>
        </w:rPr>
      </w:pPr>
      <w:r>
        <w:rPr>
          <w:rFonts w:hint="eastAsia" w:cs="Times New Roman"/>
          <w:kern w:val="0"/>
          <w:szCs w:val="19"/>
        </w:rPr>
        <w:t>饮用水水源地（</w:t>
      </w:r>
      <w:r>
        <w:rPr>
          <w:rFonts w:cs="Times New Roman"/>
          <w:kern w:val="0"/>
          <w:szCs w:val="19"/>
        </w:rPr>
        <w:t>HJ773</w:t>
      </w:r>
      <w:r>
        <w:rPr>
          <w:rFonts w:hint="eastAsia" w:cs="Times New Roman"/>
          <w:kern w:val="0"/>
          <w:szCs w:val="19"/>
        </w:rPr>
        <w:t>-</w:t>
      </w:r>
      <w:r>
        <w:rPr>
          <w:rFonts w:cs="Times New Roman"/>
          <w:kern w:val="0"/>
          <w:szCs w:val="19"/>
        </w:rPr>
        <w:t>2015</w:t>
      </w:r>
      <w:r>
        <w:rPr>
          <w:rFonts w:hint="eastAsia" w:cs="Times New Roman"/>
          <w:kern w:val="0"/>
          <w:szCs w:val="19"/>
        </w:rPr>
        <w:t>，无修改）、新污染物（江苏省地方标准《地表水新污染物监测技术规范》（征求意见稿），无修改）、危害识别（</w:t>
      </w:r>
      <w:r>
        <w:rPr>
          <w:rFonts w:cs="Times New Roman"/>
          <w:kern w:val="0"/>
          <w:szCs w:val="19"/>
        </w:rPr>
        <w:t>WS/T 777-2021</w:t>
      </w:r>
      <w:r>
        <w:rPr>
          <w:rFonts w:hint="eastAsia" w:cs="Times New Roman"/>
          <w:kern w:val="0"/>
          <w:szCs w:val="19"/>
        </w:rPr>
        <w:t>，有修改）、危害表征（</w:t>
      </w:r>
      <w:r>
        <w:rPr>
          <w:rFonts w:cs="Times New Roman"/>
          <w:kern w:val="0"/>
          <w:szCs w:val="19"/>
        </w:rPr>
        <w:t>HJ1111</w:t>
      </w:r>
      <w:r>
        <w:rPr>
          <w:rFonts w:hint="eastAsia" w:cs="Times New Roman"/>
          <w:kern w:val="0"/>
          <w:szCs w:val="19"/>
        </w:rPr>
        <w:t>-</w:t>
      </w:r>
      <w:r>
        <w:rPr>
          <w:rFonts w:cs="Times New Roman"/>
          <w:kern w:val="0"/>
          <w:szCs w:val="19"/>
        </w:rPr>
        <w:t>2020</w:t>
      </w:r>
      <w:r>
        <w:rPr>
          <w:rFonts w:hint="eastAsia" w:cs="Times New Roman"/>
          <w:kern w:val="0"/>
          <w:szCs w:val="19"/>
        </w:rPr>
        <w:t>，有修改）、暴露评估（</w:t>
      </w:r>
      <w:r>
        <w:rPr>
          <w:rFonts w:cs="Times New Roman"/>
          <w:kern w:val="0"/>
          <w:szCs w:val="19"/>
        </w:rPr>
        <w:t>HJ1111</w:t>
      </w:r>
      <w:r>
        <w:rPr>
          <w:rFonts w:hint="eastAsia" w:cs="Times New Roman"/>
          <w:kern w:val="0"/>
          <w:szCs w:val="19"/>
        </w:rPr>
        <w:t>-</w:t>
      </w:r>
      <w:r>
        <w:rPr>
          <w:rFonts w:cs="Times New Roman"/>
          <w:kern w:val="0"/>
          <w:szCs w:val="19"/>
        </w:rPr>
        <w:t>2020</w:t>
      </w:r>
      <w:r>
        <w:rPr>
          <w:rFonts w:hint="eastAsia" w:cs="Times New Roman"/>
          <w:kern w:val="0"/>
          <w:szCs w:val="19"/>
        </w:rPr>
        <w:t>，有修改）、暴露量（</w:t>
      </w:r>
      <w:r>
        <w:rPr>
          <w:rFonts w:cs="Times New Roman"/>
          <w:kern w:val="0"/>
          <w:szCs w:val="19"/>
        </w:rPr>
        <w:t>WS/T 777-2021</w:t>
      </w:r>
      <w:r>
        <w:rPr>
          <w:rFonts w:hint="eastAsia" w:cs="Times New Roman"/>
          <w:kern w:val="0"/>
          <w:szCs w:val="19"/>
        </w:rPr>
        <w:t>，有修改）、风险表征（</w:t>
      </w:r>
      <w:r>
        <w:rPr>
          <w:rFonts w:cs="Times New Roman"/>
          <w:kern w:val="0"/>
          <w:szCs w:val="19"/>
        </w:rPr>
        <w:t>HJ1111</w:t>
      </w:r>
      <w:r>
        <w:rPr>
          <w:rFonts w:hint="eastAsia" w:cs="Times New Roman"/>
          <w:kern w:val="0"/>
          <w:szCs w:val="19"/>
        </w:rPr>
        <w:t>-</w:t>
      </w:r>
      <w:r>
        <w:rPr>
          <w:rFonts w:cs="Times New Roman"/>
          <w:kern w:val="0"/>
          <w:szCs w:val="19"/>
        </w:rPr>
        <w:t>2020</w:t>
      </w:r>
      <w:r>
        <w:rPr>
          <w:rFonts w:hint="eastAsia" w:cs="Times New Roman"/>
          <w:kern w:val="0"/>
          <w:szCs w:val="19"/>
        </w:rPr>
        <w:t>，有修改）、不确定性（</w:t>
      </w:r>
      <w:r>
        <w:rPr>
          <w:rFonts w:cs="Times New Roman"/>
          <w:kern w:val="0"/>
          <w:szCs w:val="19"/>
        </w:rPr>
        <w:t>HJ1111</w:t>
      </w:r>
      <w:r>
        <w:rPr>
          <w:rFonts w:hint="eastAsia" w:cs="Times New Roman"/>
          <w:kern w:val="0"/>
          <w:szCs w:val="19"/>
        </w:rPr>
        <w:t>-</w:t>
      </w:r>
      <w:r>
        <w:rPr>
          <w:rFonts w:cs="Times New Roman"/>
          <w:kern w:val="0"/>
          <w:szCs w:val="19"/>
        </w:rPr>
        <w:t>2020</w:t>
      </w:r>
      <w:r>
        <w:rPr>
          <w:rFonts w:hint="eastAsia" w:cs="Times New Roman"/>
          <w:kern w:val="0"/>
          <w:szCs w:val="19"/>
        </w:rPr>
        <w:t>，有修改）</w:t>
      </w:r>
      <w:r>
        <w:rPr>
          <w:rFonts w:cs="Times New Roman"/>
          <w:kern w:val="0"/>
          <w:szCs w:val="19"/>
        </w:rPr>
        <w:t>。</w:t>
      </w:r>
    </w:p>
    <w:p w14:paraId="119EDA4D">
      <w:pPr>
        <w:pStyle w:val="29"/>
        <w:ind w:firstLine="560"/>
        <w:rPr>
          <w:rFonts w:cs="Times New Roman"/>
        </w:rPr>
      </w:pPr>
      <w:bookmarkStart w:id="28" w:name="_Toc116654901"/>
      <w:bookmarkStart w:id="29" w:name="_Toc118839861"/>
      <w:bookmarkStart w:id="30" w:name="_Toc116654384"/>
      <w:r>
        <w:rPr>
          <w:rFonts w:hint="eastAsia" w:cs="Times New Roman"/>
        </w:rPr>
        <w:t>5、</w:t>
      </w:r>
      <w:r>
        <w:rPr>
          <w:rFonts w:cs="Times New Roman"/>
        </w:rPr>
        <w:t>基本原则</w:t>
      </w:r>
      <w:bookmarkEnd w:id="28"/>
      <w:bookmarkEnd w:id="29"/>
      <w:bookmarkEnd w:id="30"/>
    </w:p>
    <w:p w14:paraId="20627038">
      <w:pPr>
        <w:pStyle w:val="29"/>
        <w:ind w:firstLine="560"/>
        <w:rPr>
          <w:rFonts w:cs="Times New Roman"/>
          <w:kern w:val="0"/>
          <w:szCs w:val="19"/>
        </w:rPr>
      </w:pPr>
      <w:r>
        <w:rPr>
          <w:rFonts w:cs="Times New Roman"/>
          <w:kern w:val="0"/>
          <w:szCs w:val="19"/>
        </w:rPr>
        <w:t>本标准“基本原则”</w:t>
      </w:r>
      <w:r>
        <w:rPr>
          <w:rFonts w:hint="eastAsia" w:cs="Times New Roman"/>
          <w:kern w:val="0"/>
          <w:szCs w:val="19"/>
        </w:rPr>
        <w:t>包括三条，分别是</w:t>
      </w:r>
      <w:r>
        <w:rPr>
          <w:rFonts w:cs="Times New Roman"/>
          <w:kern w:val="0"/>
          <w:szCs w:val="19"/>
        </w:rPr>
        <w:fldChar w:fldCharType="begin"/>
      </w:r>
      <w:r>
        <w:rPr>
          <w:rFonts w:cs="Times New Roman"/>
          <w:kern w:val="0"/>
          <w:szCs w:val="19"/>
        </w:rPr>
        <w:instrText xml:space="preserve"> </w:instrText>
      </w:r>
      <w:r>
        <w:rPr>
          <w:rFonts w:hint="eastAsia" w:cs="Times New Roman"/>
          <w:kern w:val="0"/>
          <w:szCs w:val="19"/>
        </w:rPr>
        <w:instrText xml:space="preserve">eq \o\ac(○,</w:instrText>
      </w:r>
      <w:r>
        <w:rPr>
          <w:rFonts w:hint="eastAsia" w:cs="Times New Roman"/>
          <w:kern w:val="0"/>
          <w:position w:val="3"/>
          <w:sz w:val="19"/>
          <w:szCs w:val="19"/>
        </w:rPr>
        <w:instrText xml:space="preserve">1</w:instrText>
      </w:r>
      <w:r>
        <w:rPr>
          <w:rFonts w:hint="eastAsia" w:cs="Times New Roman"/>
          <w:kern w:val="0"/>
          <w:szCs w:val="19"/>
        </w:rPr>
        <w:instrText xml:space="preserve">)</w:instrText>
      </w:r>
      <w:r>
        <w:rPr>
          <w:rFonts w:cs="Times New Roman"/>
          <w:kern w:val="0"/>
          <w:szCs w:val="19"/>
        </w:rPr>
        <w:fldChar w:fldCharType="end"/>
      </w:r>
      <w:r>
        <w:rPr>
          <w:rFonts w:hint="eastAsia" w:cs="Times New Roman"/>
          <w:kern w:val="0"/>
          <w:szCs w:val="19"/>
        </w:rPr>
        <w:t>科学性。基于现有数据资料和科学手段，根据环境管理需求、评估目的、数据可及性和有效性，科学合理地制定评估目标和评估方案，开展评估分析，确保评估过程的系统性、完整性和评估结论的客观性。</w:t>
      </w:r>
      <w:r>
        <w:rPr>
          <w:rFonts w:cs="Times New Roman"/>
          <w:kern w:val="0"/>
          <w:szCs w:val="19"/>
        </w:rPr>
        <w:fldChar w:fldCharType="begin"/>
      </w:r>
      <w:r>
        <w:rPr>
          <w:rFonts w:cs="Times New Roman"/>
          <w:kern w:val="0"/>
          <w:szCs w:val="19"/>
        </w:rPr>
        <w:instrText xml:space="preserve"> </w:instrText>
      </w:r>
      <w:r>
        <w:rPr>
          <w:rFonts w:hint="eastAsia" w:cs="Times New Roman"/>
          <w:kern w:val="0"/>
          <w:szCs w:val="19"/>
        </w:rPr>
        <w:instrText xml:space="preserve">eq \o\ac(○,</w:instrText>
      </w:r>
      <w:r>
        <w:rPr>
          <w:rFonts w:hint="eastAsia" w:cs="Times New Roman"/>
          <w:kern w:val="0"/>
          <w:position w:val="3"/>
          <w:sz w:val="19"/>
          <w:szCs w:val="19"/>
        </w:rPr>
        <w:instrText xml:space="preserve">2</w:instrText>
      </w:r>
      <w:r>
        <w:rPr>
          <w:rFonts w:hint="eastAsia" w:cs="Times New Roman"/>
          <w:kern w:val="0"/>
          <w:szCs w:val="19"/>
        </w:rPr>
        <w:instrText xml:space="preserve">)</w:instrText>
      </w:r>
      <w:r>
        <w:rPr>
          <w:rFonts w:cs="Times New Roman"/>
          <w:kern w:val="0"/>
          <w:szCs w:val="19"/>
        </w:rPr>
        <w:fldChar w:fldCharType="end"/>
      </w:r>
      <w:r>
        <w:rPr>
          <w:rFonts w:hint="eastAsia" w:cs="Times New Roman"/>
          <w:kern w:val="0"/>
          <w:szCs w:val="19"/>
        </w:rPr>
        <w:t>透明性。评估过程中保持开放沟通，对整个评估过程进行系统记录，撰写材料清晰、完整、易于理解。应特别对评估目标、不确定性分析及其处理方法进行描述与阐释。</w:t>
      </w:r>
      <w:r>
        <w:rPr>
          <w:rFonts w:cs="Times New Roman"/>
          <w:kern w:val="0"/>
          <w:szCs w:val="19"/>
        </w:rPr>
        <w:fldChar w:fldCharType="begin"/>
      </w:r>
      <w:r>
        <w:rPr>
          <w:rFonts w:cs="Times New Roman"/>
          <w:kern w:val="0"/>
          <w:szCs w:val="19"/>
        </w:rPr>
        <w:instrText xml:space="preserve"> </w:instrText>
      </w:r>
      <w:r>
        <w:rPr>
          <w:rFonts w:hint="eastAsia" w:cs="Times New Roman"/>
          <w:kern w:val="0"/>
          <w:szCs w:val="19"/>
        </w:rPr>
        <w:instrText xml:space="preserve">eq \o\ac(○,</w:instrText>
      </w:r>
      <w:r>
        <w:rPr>
          <w:rFonts w:hint="eastAsia" w:cs="Times New Roman"/>
          <w:kern w:val="0"/>
          <w:position w:val="3"/>
          <w:sz w:val="19"/>
          <w:szCs w:val="19"/>
        </w:rPr>
        <w:instrText xml:space="preserve">3</w:instrText>
      </w:r>
      <w:r>
        <w:rPr>
          <w:rFonts w:hint="eastAsia" w:cs="Times New Roman"/>
          <w:kern w:val="0"/>
          <w:szCs w:val="19"/>
        </w:rPr>
        <w:instrText xml:space="preserve">)</w:instrText>
      </w:r>
      <w:r>
        <w:rPr>
          <w:rFonts w:cs="Times New Roman"/>
          <w:kern w:val="0"/>
          <w:szCs w:val="19"/>
        </w:rPr>
        <w:fldChar w:fldCharType="end"/>
      </w:r>
      <w:r>
        <w:rPr>
          <w:rFonts w:hint="eastAsia" w:cs="Times New Roman"/>
          <w:kern w:val="0"/>
          <w:szCs w:val="19"/>
        </w:rPr>
        <w:t>时效性。应基于可及的最新科学证据开展评价，并随着新的科学认识和科学证据的出现，对评估结果及时进行更新。</w:t>
      </w:r>
    </w:p>
    <w:p w14:paraId="608B91CD">
      <w:pPr>
        <w:pStyle w:val="29"/>
        <w:ind w:firstLine="560"/>
        <w:rPr>
          <w:rFonts w:cs="Times New Roman"/>
        </w:rPr>
      </w:pPr>
      <w:bookmarkStart w:id="31" w:name="_Toc118839862"/>
      <w:bookmarkStart w:id="32" w:name="_Toc116654385"/>
      <w:bookmarkStart w:id="33" w:name="_Toc116654902"/>
      <w:r>
        <w:rPr>
          <w:rFonts w:hint="eastAsia" w:cs="Times New Roman"/>
        </w:rPr>
        <w:t>6、工作程序</w:t>
      </w:r>
      <w:bookmarkEnd w:id="31"/>
      <w:bookmarkEnd w:id="32"/>
      <w:bookmarkEnd w:id="33"/>
    </w:p>
    <w:p w14:paraId="573CA26E">
      <w:pPr>
        <w:pStyle w:val="29"/>
        <w:ind w:firstLine="560"/>
        <w:rPr>
          <w:rFonts w:cs="Times New Roman"/>
          <w:kern w:val="0"/>
          <w:szCs w:val="19"/>
        </w:rPr>
      </w:pPr>
      <w:r>
        <w:rPr>
          <w:rFonts w:hint="eastAsia" w:cs="Times New Roman"/>
          <w:kern w:val="0"/>
          <w:szCs w:val="19"/>
        </w:rPr>
        <w:t>提出饮用水水源地新污染物健康风险评估工作程序</w:t>
      </w:r>
      <w:r>
        <w:rPr>
          <w:rFonts w:cs="Times New Roman"/>
          <w:kern w:val="0"/>
          <w:szCs w:val="19"/>
        </w:rPr>
        <w:t>。</w:t>
      </w:r>
    </w:p>
    <w:p w14:paraId="18CBFDA4">
      <w:pPr>
        <w:pStyle w:val="29"/>
        <w:ind w:firstLine="560"/>
        <w:rPr>
          <w:rFonts w:cs="Times New Roman"/>
        </w:rPr>
      </w:pPr>
      <w:bookmarkStart w:id="34" w:name="_Toc118839863"/>
      <w:bookmarkStart w:id="35" w:name="_Toc116654903"/>
      <w:bookmarkStart w:id="36" w:name="_Toc116654386"/>
      <w:r>
        <w:rPr>
          <w:rFonts w:hint="eastAsia" w:cs="Times New Roman"/>
        </w:rPr>
        <w:t>7、数据收集与评估</w:t>
      </w:r>
      <w:bookmarkEnd w:id="34"/>
      <w:bookmarkEnd w:id="35"/>
      <w:bookmarkEnd w:id="36"/>
    </w:p>
    <w:p w14:paraId="178178B5">
      <w:pPr>
        <w:pStyle w:val="29"/>
        <w:ind w:firstLine="560"/>
        <w:rPr>
          <w:rFonts w:cs="Times New Roman"/>
          <w:kern w:val="0"/>
          <w:szCs w:val="19"/>
        </w:rPr>
      </w:pPr>
      <w:r>
        <w:rPr>
          <w:rFonts w:hint="eastAsia" w:cs="Times New Roman"/>
          <w:kern w:val="0"/>
          <w:szCs w:val="19"/>
        </w:rPr>
        <w:t>数据收集与评估的工作内容包括资料收集与分析、数据评估及健康风险特征污染物筛选</w:t>
      </w:r>
      <w:r>
        <w:rPr>
          <w:rFonts w:cs="Times New Roman"/>
          <w:kern w:val="0"/>
          <w:szCs w:val="19"/>
        </w:rPr>
        <w:t>。</w:t>
      </w:r>
      <w:r>
        <w:rPr>
          <w:rFonts w:hint="eastAsia" w:cs="Times New Roman"/>
          <w:kern w:val="0"/>
          <w:szCs w:val="19"/>
        </w:rPr>
        <w:t>结合海南省热带季风气候特点，应针对枯水期、丰水期、极端降雨及台风等特殊水文气象时期，动态调整监测频次与布点策略。</w:t>
      </w:r>
    </w:p>
    <w:p w14:paraId="52ECA7FD">
      <w:pPr>
        <w:pStyle w:val="29"/>
        <w:ind w:firstLine="560"/>
        <w:rPr>
          <w:rFonts w:cs="Times New Roman"/>
        </w:rPr>
      </w:pPr>
      <w:bookmarkStart w:id="37" w:name="_Toc116654387"/>
      <w:bookmarkStart w:id="38" w:name="_Toc116654904"/>
      <w:bookmarkStart w:id="39" w:name="_Toc118839864"/>
      <w:r>
        <w:rPr>
          <w:rFonts w:hint="eastAsia" w:cs="Times New Roman"/>
        </w:rPr>
        <w:t>8、暴露评估</w:t>
      </w:r>
    </w:p>
    <w:p w14:paraId="2A5BBDF0">
      <w:pPr>
        <w:pStyle w:val="29"/>
        <w:ind w:firstLine="560"/>
        <w:rPr>
          <w:rFonts w:cs="Times New Roman"/>
        </w:rPr>
      </w:pPr>
      <w:r>
        <w:rPr>
          <w:rFonts w:hint="eastAsia" w:cs="Times New Roman"/>
        </w:rPr>
        <w:t>暴露评估是风险评估的重要组成部分，它描述了人体或人群如何接触目标环境因素。暴露评估的关键是对潜在的易感人群、高暴露人群以及生命阶段等进行充分的考虑。人群对目标环境因素的暴露主要通过暴露途径、暴露路径、暴露频率、持续时间、暴露人群以及生命阶段等特征进行定性或定量地表征。因此，确定暴露情景、建立暴露模型，是暴露评估的核心，应明确目标环境因素及其来源、暴露路径、暴露途径、暴露受体、评估终点等条件和假设，并对这些条件和假设的合理性和完整性进行评价，在获取暴露特征以及暴露途径等相关资料时，应</w:t>
      </w:r>
      <w:r>
        <w:rPr>
          <w:rFonts w:ascii="Segoe UI" w:hAnsi="Segoe UI" w:cs="Segoe UI"/>
          <w:color w:val="0F1115"/>
        </w:rPr>
        <w:t>结合海南省本地暴露参数与实际情况予以本地化修正</w:t>
      </w:r>
      <w:r>
        <w:rPr>
          <w:rFonts w:hint="eastAsia" w:cs="Times New Roman"/>
        </w:rPr>
        <w:t>。基于建立的暴露模型，选择适宜的评估方法，获得对人群暴露剂量的估计。暴露评估包括内暴露评估和外暴露评估两种。内暴露评估通常是暴露发生以后，抽样选取一定数量的代表性人群，采集和分析该人群的人体生物样本（如血样、尿样、头发、指甲等）中的生物标志物，通过生物标志物的浓度水平来估算环境污染物的人体内的暴露量，内暴露评估基于的是内暴露剂量-反应关系。但是由于人体生物样本较难获得、其采样和分析成本太高，该方法不适合于大规模人群的暴露评估。此外，内暴露不能反映长期慢性效应的真实暴露量、无法实现不同暴露途径分别产生的暴露量的分割计算、确认生物标志物浓度与环境污染物浓度的相关性、效应特异性较为困难等，因此，本标准中暴露评估的主要是获取外暴露剂量，基于外暴露剂量开展风险评估。结合本标准的具体应用场景，在计算外暴露剂量时，所涉及的饮水量参数统一采用总饮水摄入量，不再对直接饮水与间接饮水摄入量进行区分。</w:t>
      </w:r>
    </w:p>
    <w:p w14:paraId="6A55DA3B">
      <w:pPr>
        <w:pStyle w:val="29"/>
        <w:ind w:firstLine="560"/>
        <w:rPr>
          <w:rFonts w:cs="Times New Roman"/>
        </w:rPr>
      </w:pPr>
      <w:r>
        <w:rPr>
          <w:rFonts w:hint="eastAsia" w:cs="Times New Roman"/>
        </w:rPr>
        <w:t>9、危害评估</w:t>
      </w:r>
    </w:p>
    <w:p w14:paraId="4160645A">
      <w:pPr>
        <w:pStyle w:val="29"/>
        <w:ind w:firstLine="560"/>
        <w:rPr>
          <w:rFonts w:cs="Times New Roman"/>
        </w:rPr>
      </w:pPr>
      <w:r>
        <w:rPr>
          <w:rFonts w:hint="eastAsia" w:cs="Times New Roman"/>
        </w:rPr>
        <w:t>参考美国环保局《支持决策的人体健康风险评估框架》、澳大利亚《环境健康风险评估：环境危害的人体健康风险评估指南》和世界卫生组织《化学物质暴露致人体健康风险评估原则》等技术文件，危害识别阶段的主要内容是定性评价目标环境因素对人体健康的危害，确定目标环境因素的毒作用、靶器官、健康结局和作用模式等。</w:t>
      </w:r>
    </w:p>
    <w:p w14:paraId="74E6C958">
      <w:pPr>
        <w:pStyle w:val="29"/>
        <w:ind w:firstLine="560"/>
        <w:rPr>
          <w:rFonts w:cs="Times New Roman"/>
        </w:rPr>
      </w:pPr>
      <w:r>
        <w:rPr>
          <w:rFonts w:hint="eastAsia" w:cs="Times New Roman"/>
        </w:rPr>
        <w:t>危害识别是环境健康风险评估的第一步，也是至关重要的一步。目前，危害识别和剂量- 反应评估是制约我国生态环境主管部门开展健康风险评估工作的重要瓶颈。在危害识别和剂量-反应评估方面，主要引用国内外政府机构或国际组织发布的相关毒性参数，如美国环保局综合风险信息系统（IRIS）、国际化学品安全规划署（IPCS）等发布的相关毒性参数，如污染场地风险评估技术导则；对于未发布相关毒性参数的化学物质或污染物，由于缺乏相关技术文件的指导，实践中难以开展危害识别和剂量-反应评估工作，制约了健康风险评估在环境管理中的决策支撑作用。此外，对于国内外政府机构或国际组织发布的毒性参数，在直接引用时也存在不少问题，如仅仅引用参考剂量、参考浓度、致癌斜率系数等参数，对于这些毒性参数对应的毒作用、靶器官、作用模式等信息则很少关注，不利于科学客观的开展风险评估，并为环境管理决策提供科学依据。</w:t>
      </w:r>
    </w:p>
    <w:p w14:paraId="4FCE2323">
      <w:pPr>
        <w:pStyle w:val="29"/>
        <w:ind w:firstLine="560"/>
        <w:rPr>
          <w:rFonts w:cs="Times New Roman"/>
        </w:rPr>
      </w:pPr>
      <w:r>
        <w:rPr>
          <w:rFonts w:hint="eastAsia" w:cs="Times New Roman"/>
        </w:rPr>
        <w:t>针对目前环境健康风险评估存在的上述问题，参考国内外危害识别的工作流程，设计了危害识别的工作程序。强调对国内外政府或国际组织报告应进行适用性、时效性和可靠性评估。经论证认为适用的，可以直接引用，以减少危害识别工作的资源投入。对于未发布或不适用的情形，则进入基于文献综述方法的危害识别阶段，主要内容包括文献的收集、筛选和整理，文献质量评价，目标环境因素的毒作用识别，作用模式或机制识别，以及证据的充分性评价。</w:t>
      </w:r>
    </w:p>
    <w:p w14:paraId="69B63CCC">
      <w:pPr>
        <w:pStyle w:val="29"/>
        <w:ind w:firstLine="560"/>
        <w:rPr>
          <w:rFonts w:cs="Times New Roman"/>
        </w:rPr>
      </w:pPr>
      <w:r>
        <w:rPr>
          <w:rFonts w:hint="eastAsia" w:cs="Times New Roman"/>
        </w:rPr>
        <w:t>基于总纲的定位，既可能面对新化学物质的健康风险评估，也应适用于现有化学物质或污染物的风险评估，因此，在评估程序中，增加文献缺乏或证据不足时通过补充模型、试验、调查数据开展危害识别的程序。但需特别指出，新污染物（如持久性有机污染物、内分泌干扰物、抗生素等）的毒性效应往往具有低剂量非线性、混合暴露、长潜伏期等特征，其毒性数据的不确定性显著高于传统污染物。</w:t>
      </w:r>
    </w:p>
    <w:p w14:paraId="0E81A67E">
      <w:pPr>
        <w:pStyle w:val="29"/>
        <w:ind w:firstLine="560"/>
        <w:rPr>
          <w:rFonts w:cs="Times New Roman"/>
        </w:rPr>
      </w:pPr>
      <w:r>
        <w:rPr>
          <w:rFonts w:hint="eastAsia" w:cs="Times New Roman"/>
        </w:rPr>
        <w:t>1</w:t>
      </w:r>
      <w:r>
        <w:rPr>
          <w:rFonts w:cs="Times New Roman"/>
        </w:rPr>
        <w:t>0</w:t>
      </w:r>
      <w:r>
        <w:rPr>
          <w:rFonts w:hint="eastAsia" w:cs="Times New Roman"/>
        </w:rPr>
        <w:t>、风险表征</w:t>
      </w:r>
    </w:p>
    <w:p w14:paraId="2534E9B4">
      <w:pPr>
        <w:pStyle w:val="29"/>
        <w:ind w:firstLine="560"/>
      </w:pPr>
      <w:r>
        <w:t>风险表征是环境健康风险评估的最后一步，有序利用前述各阶段所获可靠、恰当信息并得出结论，为风险管理提供科学的基础数据支撑，是进行风险管理的基础。美国国家环保局（US Environmental Protection Agency，US EPA）定义风险特征（risk assessment）是综合危害</w:t>
      </w:r>
      <w:r>
        <w:rPr>
          <w:rFonts w:hint="eastAsia"/>
        </w:rPr>
        <w:t>识别、暴露评估、剂量-反应关系评估（本导则称之为危害表征）的结果，结合风险评估过程中的定量和定性信息，遵循风险表征的透明性、清晰性、一致性和合理性的原则，定量、定性地描述健康风险，以评估各种暴露情况下可能对人体健康产生的危害性，并最终提出具有指导性的完整结论，为政策的制定提供可靠科学依据。</w:t>
      </w:r>
    </w:p>
    <w:p w14:paraId="5A1FADC8">
      <w:pPr>
        <w:pStyle w:val="29"/>
        <w:ind w:firstLine="560"/>
        <w:rPr>
          <w:rFonts w:cs="Times New Roman"/>
        </w:rPr>
      </w:pPr>
      <w:r>
        <w:rPr>
          <w:rFonts w:hint="eastAsia"/>
        </w:rPr>
        <w:t>风险表征的任务包括：整合危害识别、暴露评估、危害表征中获得的定性、定量信息，准确、清晰的给出人群所可能受到危害的性质、范围、程度等的估计；结合不确定性分析，描述风险评估过程和结论的可信度。风险表征的内容包括：定性和定量的风险结果、评估过程的不确定性，以及各种可用信息。</w:t>
      </w:r>
      <w:bookmarkEnd w:id="17"/>
      <w:bookmarkEnd w:id="18"/>
      <w:bookmarkEnd w:id="19"/>
      <w:bookmarkEnd w:id="20"/>
      <w:bookmarkEnd w:id="21"/>
      <w:bookmarkEnd w:id="22"/>
      <w:bookmarkEnd w:id="23"/>
      <w:bookmarkEnd w:id="24"/>
      <w:bookmarkEnd w:id="37"/>
      <w:bookmarkEnd w:id="38"/>
      <w:bookmarkEnd w:id="39"/>
      <w:bookmarkStart w:id="40" w:name="_Toc21093"/>
      <w:bookmarkStart w:id="41" w:name="_Toc8188"/>
      <w:bookmarkStart w:id="42" w:name="_Toc505697418"/>
      <w:bookmarkStart w:id="43" w:name="_Toc30235"/>
      <w:bookmarkStart w:id="44" w:name="_Toc480316898"/>
      <w:bookmarkStart w:id="45" w:name="_Toc480316796"/>
      <w:bookmarkStart w:id="46" w:name="_Toc477336974"/>
      <w:bookmarkStart w:id="47" w:name="_Toc1229"/>
    </w:p>
    <w:p w14:paraId="4FB06594">
      <w:pPr>
        <w:pStyle w:val="29"/>
        <w:ind w:firstLine="478" w:firstLineChars="171"/>
        <w:rPr>
          <w:rFonts w:cs="Times New Roman"/>
        </w:rPr>
      </w:pPr>
      <w:bookmarkStart w:id="48" w:name="_Toc116654916"/>
      <w:bookmarkStart w:id="49" w:name="_Toc116654399"/>
      <w:bookmarkStart w:id="50" w:name="_Toc118839876"/>
      <w:r>
        <w:rPr>
          <w:rFonts w:hint="eastAsia" w:cs="Times New Roman"/>
        </w:rPr>
        <w:t>1</w:t>
      </w:r>
      <w:r>
        <w:rPr>
          <w:rFonts w:cs="Times New Roman"/>
        </w:rPr>
        <w:t>1</w:t>
      </w:r>
      <w:r>
        <w:rPr>
          <w:rFonts w:hint="eastAsia" w:cs="Times New Roman"/>
        </w:rPr>
        <w:t>、不确定性分析</w:t>
      </w:r>
      <w:bookmarkEnd w:id="48"/>
      <w:bookmarkEnd w:id="49"/>
      <w:bookmarkEnd w:id="50"/>
    </w:p>
    <w:p w14:paraId="7424B918">
      <w:pPr>
        <w:pStyle w:val="29"/>
        <w:ind w:firstLine="560"/>
        <w:rPr>
          <w:rFonts w:cs="Times New Roman"/>
        </w:rPr>
      </w:pPr>
      <w:r>
        <w:rPr>
          <w:rFonts w:hint="eastAsia" w:cs="Times New Roman"/>
        </w:rPr>
        <w:t>由于知识的不足、数据的不完整或者信息的不一致等，造成的评估结果偏性称为不确定性。它贯穿于评估整个过程，主要由客观存在的差异性（如人群内部各个体本身的异质性或多样性）、已有认知的不完全性（如现有科学知识的不足）、评估方法本身（如模型的有效性）以及</w:t>
      </w:r>
      <w:r>
        <w:rPr>
          <w:rStyle w:val="19"/>
          <w:rFonts w:ascii="Segoe UI" w:hAnsi="Segoe UI" w:cs="Segoe UI"/>
          <w:b w:val="0"/>
          <w:bCs w:val="0"/>
          <w:color w:val="0F1115"/>
        </w:rPr>
        <w:t>评估范围</w:t>
      </w:r>
      <w:r>
        <w:rPr>
          <w:rStyle w:val="19"/>
          <w:rFonts w:hint="eastAsia" w:ascii="Segoe UI" w:hAnsi="Segoe UI" w:cs="Segoe UI"/>
          <w:b w:val="0"/>
          <w:bCs w:val="0"/>
          <w:color w:val="0F1115"/>
        </w:rPr>
        <w:t>选择</w:t>
      </w:r>
      <w:r>
        <w:rPr>
          <w:rStyle w:val="19"/>
          <w:rFonts w:ascii="Segoe UI" w:hAnsi="Segoe UI" w:cs="Segoe UI"/>
          <w:b w:val="0"/>
          <w:bCs w:val="0"/>
          <w:color w:val="0F1115"/>
        </w:rPr>
        <w:t>（如本规定中的暴露途径仅限于</w:t>
      </w:r>
      <w:r>
        <w:rPr>
          <w:rStyle w:val="19"/>
          <w:rFonts w:hint="eastAsia" w:ascii="Segoe UI" w:hAnsi="Segoe UI" w:cs="Segoe UI"/>
          <w:b w:val="0"/>
          <w:bCs w:val="0"/>
          <w:color w:val="0F1115"/>
        </w:rPr>
        <w:t>经口饮水摄入</w:t>
      </w:r>
      <w:r>
        <w:rPr>
          <w:rStyle w:val="19"/>
          <w:rFonts w:ascii="Segoe UI" w:hAnsi="Segoe UI" w:cs="Segoe UI"/>
          <w:b w:val="0"/>
          <w:bCs w:val="0"/>
          <w:color w:val="0F1115"/>
        </w:rPr>
        <w:t>与沐浴</w:t>
      </w:r>
      <w:r>
        <w:rPr>
          <w:rStyle w:val="19"/>
          <w:rFonts w:hint="eastAsia" w:ascii="Segoe UI" w:hAnsi="Segoe UI" w:cs="Segoe UI"/>
          <w:b w:val="0"/>
          <w:bCs w:val="0"/>
          <w:color w:val="0F1115"/>
        </w:rPr>
        <w:t>、盥洗等皮肤接触日常用水</w:t>
      </w:r>
      <w:r>
        <w:rPr>
          <w:rStyle w:val="19"/>
          <w:rFonts w:ascii="Segoe UI" w:hAnsi="Segoe UI" w:cs="Segoe UI"/>
          <w:b w:val="0"/>
          <w:bCs w:val="0"/>
          <w:color w:val="0F1115"/>
        </w:rPr>
        <w:t>两类场景，</w:t>
      </w:r>
      <w:r>
        <w:rPr>
          <w:rStyle w:val="19"/>
          <w:rFonts w:hint="eastAsia" w:ascii="Segoe UI" w:hAnsi="Segoe UI" w:cs="Segoe UI"/>
          <w:b w:val="0"/>
          <w:bCs w:val="0"/>
          <w:color w:val="0F1115"/>
        </w:rPr>
        <w:t>本文</w:t>
      </w:r>
      <w:r>
        <w:rPr>
          <w:rStyle w:val="19"/>
          <w:rFonts w:ascii="Segoe UI" w:hAnsi="Segoe UI" w:cs="Segoe UI"/>
          <w:b w:val="0"/>
          <w:bCs w:val="0"/>
          <w:color w:val="0F1115"/>
        </w:rPr>
        <w:t>的资料收集范围及暴露情景设定等内容不涉及</w:t>
      </w:r>
      <w:r>
        <w:rPr>
          <w:rStyle w:val="19"/>
          <w:rFonts w:hint="eastAsia" w:ascii="Segoe UI" w:hAnsi="Segoe UI" w:cs="Segoe UI"/>
          <w:b w:val="0"/>
          <w:bCs w:val="0"/>
          <w:color w:val="0F1115"/>
        </w:rPr>
        <w:t>呼吸暴露等</w:t>
      </w:r>
      <w:r>
        <w:rPr>
          <w:rStyle w:val="19"/>
          <w:rFonts w:ascii="Segoe UI" w:hAnsi="Segoe UI" w:cs="Segoe UI"/>
          <w:b w:val="0"/>
          <w:bCs w:val="0"/>
          <w:color w:val="0F1115"/>
        </w:rPr>
        <w:t>相关情形）</w:t>
      </w:r>
      <w:r>
        <w:rPr>
          <w:rFonts w:hint="eastAsia" w:cs="Times New Roman"/>
        </w:rPr>
        <w:t>的误差等导致，将直接或间接引起评估结果的模糊与不稳定性问题。对环境健康风险评估全过程的不确定性因素进行综合分析，说明评估过程的哪些方面有充分依据、哪些方面由于可利用资料有限或对毒性机理了解不多而存在不足之处，对风险评估各个阶段的判断和总的结论的可信度予以评价，并作为评估报告书的正式内容记录在案，称为不确定性分析。进行不确定性进行分析，一方面是为了更好的应对或降低风险评估中的不确定性，使评估结果更加科学；另一方面是为了提供风险评估的全面信息，提供给环境管理者或决策者相对准确的信息，从而更容易被风险管理者和公众接受。目前，对风险评估中不确定性的描述并没有统一模式，但是在进行风险评估的过程中，必须对可能存在的不确定性进行分析，包含：评估过程存在哪些不确定性，这些不确定性是如何产生的，对评估结果造成何种影响（US EPA . Superfund public health evaluation manual［R］.Washington DC，2000）。</w:t>
      </w:r>
    </w:p>
    <w:p w14:paraId="49554AB0">
      <w:pPr>
        <w:pStyle w:val="29"/>
        <w:ind w:firstLine="560"/>
        <w:rPr>
          <w:rFonts w:cs="Times New Roman"/>
        </w:rPr>
      </w:pPr>
      <w:bookmarkStart w:id="51" w:name="_Toc118839877"/>
      <w:bookmarkStart w:id="52" w:name="_Toc116654917"/>
      <w:bookmarkStart w:id="53" w:name="_Toc116654400"/>
      <w:r>
        <w:rPr>
          <w:rFonts w:hint="eastAsia" w:cs="Times New Roman"/>
        </w:rPr>
        <w:t>15、</w:t>
      </w:r>
      <w:r>
        <w:rPr>
          <w:rFonts w:cs="Times New Roman"/>
        </w:rPr>
        <w:t>附录</w:t>
      </w:r>
      <w:bookmarkEnd w:id="40"/>
      <w:bookmarkEnd w:id="41"/>
      <w:bookmarkEnd w:id="42"/>
      <w:bookmarkEnd w:id="43"/>
      <w:bookmarkEnd w:id="44"/>
      <w:bookmarkEnd w:id="45"/>
      <w:bookmarkEnd w:id="46"/>
      <w:bookmarkEnd w:id="47"/>
      <w:bookmarkEnd w:id="51"/>
      <w:bookmarkEnd w:id="52"/>
      <w:bookmarkEnd w:id="53"/>
    </w:p>
    <w:p w14:paraId="545980BF">
      <w:pPr>
        <w:pStyle w:val="29"/>
        <w:ind w:firstLine="560"/>
        <w:rPr>
          <w:rFonts w:cs="Times New Roman"/>
        </w:rPr>
      </w:pPr>
      <w:r>
        <w:rPr>
          <w:rFonts w:cs="Times New Roman"/>
        </w:rPr>
        <w:t>本标准设</w:t>
      </w:r>
      <w:r>
        <w:rPr>
          <w:rFonts w:hint="eastAsia" w:cs="Times New Roman"/>
        </w:rPr>
        <w:t>5</w:t>
      </w:r>
      <w:r>
        <w:rPr>
          <w:rFonts w:cs="Times New Roman"/>
        </w:rPr>
        <w:t>个附录，</w:t>
      </w:r>
      <w:r>
        <w:rPr>
          <w:rFonts w:hint="eastAsia" w:cs="Times New Roman"/>
        </w:rPr>
        <w:t>分为1个规范性附录和4个</w:t>
      </w:r>
      <w:r>
        <w:rPr>
          <w:rFonts w:cs="Times New Roman"/>
        </w:rPr>
        <w:t>资料性附录，分别为</w:t>
      </w:r>
      <w:r>
        <w:rPr>
          <w:rFonts w:hint="eastAsia" w:cs="Times New Roman"/>
        </w:rPr>
        <w:t>推荐暴露评估模型及参数赋值</w:t>
      </w:r>
      <w:r>
        <w:rPr>
          <w:rFonts w:cs="Times New Roman"/>
        </w:rPr>
        <w:t>、</w:t>
      </w:r>
      <w:r>
        <w:rPr>
          <w:rFonts w:hint="eastAsia" w:cs="Times New Roman"/>
        </w:rPr>
        <w:t>推荐暴露参数手册、推荐毒性数据库暴露评估模型和报告编制大纲。</w:t>
      </w:r>
    </w:p>
    <w:p w14:paraId="5B66DD00">
      <w:pPr>
        <w:pStyle w:val="3"/>
        <w:numPr>
          <w:ilvl w:val="0"/>
          <w:numId w:val="0"/>
        </w:numPr>
      </w:pPr>
      <w:bookmarkStart w:id="54" w:name="_Toc227590331"/>
      <w:r>
        <w:t>（五）标准中如果涉及专利，应有明确的知识产权说明</w:t>
      </w:r>
      <w:bookmarkEnd w:id="54"/>
    </w:p>
    <w:p w14:paraId="03981BB5">
      <w:pPr>
        <w:pStyle w:val="29"/>
        <w:ind w:firstLine="560"/>
        <w:rPr>
          <w:rFonts w:cs="Times New Roman"/>
        </w:rPr>
      </w:pPr>
      <w:r>
        <w:rPr>
          <w:rFonts w:hint="eastAsia" w:cs="Times New Roman"/>
        </w:rPr>
        <w:t>无。</w:t>
      </w:r>
    </w:p>
    <w:p w14:paraId="7A490699">
      <w:pPr>
        <w:pStyle w:val="3"/>
        <w:numPr>
          <w:ilvl w:val="0"/>
          <w:numId w:val="0"/>
        </w:numPr>
      </w:pPr>
      <w:bookmarkStart w:id="55" w:name="_Toc227590332"/>
      <w:r>
        <w:t>（六）采用国家标准或国外先进标准的，说明采标程度，以及国内外同类标准水平的对比情况</w:t>
      </w:r>
      <w:bookmarkEnd w:id="55"/>
    </w:p>
    <w:p w14:paraId="7F6B5261">
      <w:pPr>
        <w:pStyle w:val="29"/>
        <w:ind w:firstLine="560"/>
        <w:rPr>
          <w:rFonts w:cs="Times New Roman"/>
        </w:rPr>
      </w:pPr>
      <w:r>
        <w:rPr>
          <w:rFonts w:hint="eastAsia" w:cs="Times New Roman"/>
        </w:rPr>
        <w:t>详见“（四）主要条款的说明”相关内容。</w:t>
      </w:r>
    </w:p>
    <w:p w14:paraId="11B610EF">
      <w:pPr>
        <w:pStyle w:val="3"/>
        <w:numPr>
          <w:ilvl w:val="0"/>
          <w:numId w:val="0"/>
        </w:numPr>
      </w:pPr>
      <w:bookmarkStart w:id="56" w:name="_Toc227590333"/>
      <w:r>
        <w:rPr>
          <w:rFonts w:hint="eastAsia"/>
        </w:rPr>
        <w:t>（七）重大分歧意见的处理依据和结果</w:t>
      </w:r>
      <w:bookmarkEnd w:id="56"/>
    </w:p>
    <w:p w14:paraId="3405CF6E">
      <w:pPr>
        <w:pStyle w:val="29"/>
        <w:ind w:firstLine="560"/>
      </w:pPr>
      <w:r>
        <w:rPr>
          <w:rFonts w:hint="eastAsia"/>
        </w:rPr>
        <w:t>无</w:t>
      </w:r>
    </w:p>
    <w:p w14:paraId="2CCCE68C">
      <w:pPr>
        <w:pStyle w:val="3"/>
        <w:numPr>
          <w:ilvl w:val="0"/>
          <w:numId w:val="0"/>
        </w:numPr>
      </w:pPr>
      <w:bookmarkStart w:id="57" w:name="_Toc227590334"/>
      <w:r>
        <w:rPr>
          <w:rFonts w:hint="eastAsia"/>
        </w:rPr>
        <w:t>（八）贯彻标准的要求和措施建议</w:t>
      </w:r>
      <w:bookmarkEnd w:id="57"/>
    </w:p>
    <w:p w14:paraId="5ADED87C">
      <w:pPr>
        <w:pStyle w:val="29"/>
        <w:ind w:firstLine="560"/>
      </w:pPr>
      <w:r>
        <w:rPr>
          <w:rFonts w:hint="eastAsia"/>
        </w:rPr>
        <w:t>本标准为首次制订，在编制过程中，有关条款直接引用了现有国家标准或行业标准的内容，尽量避免重复，力求简化。内容上力求突出饮用水水源地新污染物健康风险评估的技术要求，层次上尽量体现与各标准之间的衔接。建议在本标准实施过程中，继续广泛听取和收集各方面的意见与建议，并根据我省实际应用情况，对本标准进行不断地修订与完善，使其实用性和可操作性与时俱进，为规范化我省开展饮用水水源地新污染物健康风险评估工作提供依据。</w:t>
      </w:r>
    </w:p>
    <w:p w14:paraId="0EFF3F68">
      <w:pPr>
        <w:pStyle w:val="3"/>
        <w:numPr>
          <w:ilvl w:val="0"/>
          <w:numId w:val="0"/>
        </w:numPr>
      </w:pPr>
      <w:bookmarkStart w:id="58" w:name="_Toc227590335"/>
      <w:r>
        <w:rPr>
          <w:rFonts w:hint="eastAsia"/>
        </w:rPr>
        <w:t>（九）预期效果</w:t>
      </w:r>
      <w:bookmarkEnd w:id="58"/>
    </w:p>
    <w:p w14:paraId="579DBE90">
      <w:pPr>
        <w:pStyle w:val="29"/>
        <w:ind w:firstLine="560"/>
      </w:pPr>
      <w:r>
        <w:rPr>
          <w:rFonts w:hint="eastAsia"/>
        </w:rPr>
        <w:t>本标准的实施，预期将在多个层面产生显著成效，为我省饮用水安全保障提供系统性技术支撑。通过构建科学、统一的适配我省实际情况的饮用水中新污染物健康风险评估方法体系，解决因海南独特的热带海岛气候、地质水文条件、特色农业模式及旅游消费习惯所导致的饮用水源地新污染物种类、环境行为及人群暴露途径的区域特性问题。首先，规范将填补我省以及我国饮用水水源地新污染物健康风险评估技术标准的空白，明确抗生素、内分泌干扰物等典型新污染物的筛选清单、暴露评估模型及风险表征流程，指导我省生态环境部门、水务部门和卫生健康部门等开展针对性监测与风险评估，降低因技术方法不统一导致的结果不确定性，为新时期我省水源地分级管控和风险阈值划定提供科学依据。其次，规范的实施将推动我省新污染物风险防控由被动应对向主动预警转型，通过整合国际前沿评估方法（如低剂量长期暴露效应模型、多介质迁移模拟技术）与本土化数据资源，提升对复合污染、累积性风险的量化分析能力，助力精准识别高风险区域并制定差异化管控策略。此外，规范的落地应用还将促进水质监测技术革新与数据平台建设，带动高灵敏度检测设备、毒性数据库及智能风险评估工具的研发，形成“监测-评估-治理”的全链条技术支撑体系。长远来看，该规范通过衔接《生态环境健康风险评估技术指南》等上位文件，将进一步健全我省环境健康风险管理框架，强化水源地污染早期预警能力，切实降低新污染物对人体健康的潜在威胁，为落实国家和我省新污染物治理行动、回应公众对饮水安全的迫切需求提供可操作的技术路径。</w:t>
      </w:r>
    </w:p>
    <w:p w14:paraId="6CBCD504">
      <w:pPr>
        <w:pStyle w:val="3"/>
        <w:numPr>
          <w:ilvl w:val="0"/>
          <w:numId w:val="0"/>
        </w:numPr>
      </w:pPr>
      <w:bookmarkStart w:id="59" w:name="_Toc227590336"/>
      <w:r>
        <w:rPr>
          <w:rFonts w:hint="eastAsia"/>
        </w:rPr>
        <w:t>（十）其他应予以说明的事项</w:t>
      </w:r>
      <w:bookmarkEnd w:id="59"/>
    </w:p>
    <w:p w14:paraId="2CA174CE">
      <w:pPr>
        <w:pStyle w:val="29"/>
        <w:ind w:firstLine="560"/>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r>
        <w:rPr>
          <w:rFonts w:hint="eastAsia"/>
        </w:rPr>
        <w:t>无。</w:t>
      </w:r>
    </w:p>
    <w:p w14:paraId="416C6923">
      <w:pPr>
        <w:pStyle w:val="2"/>
        <w:numPr>
          <w:ilvl w:val="0"/>
          <w:numId w:val="0"/>
        </w:numPr>
      </w:pPr>
      <w:bookmarkStart w:id="60" w:name="_Toc227590337"/>
      <w:r>
        <w:rPr>
          <w:rFonts w:hint="eastAsia"/>
        </w:rPr>
        <w:t>附表</w:t>
      </w:r>
      <w:bookmarkEnd w:id="60"/>
    </w:p>
    <w:p w14:paraId="393E3B7B">
      <w:pPr>
        <w:pStyle w:val="8"/>
        <w:spacing w:before="180" w:line="219" w:lineRule="auto"/>
        <w:jc w:val="center"/>
        <w:rPr>
          <w:sz w:val="21"/>
          <w:szCs w:val="21"/>
          <w:lang w:eastAsia="zh-CN"/>
        </w:rPr>
      </w:pPr>
      <w:r>
        <w:rPr>
          <w:rFonts w:hint="eastAsia" w:ascii="方正小标宋简体" w:hAnsi="方正小标宋简体" w:eastAsia="方正小标宋简体" w:cs="方正小标宋简体"/>
          <w:spacing w:val="-1"/>
          <w:sz w:val="32"/>
          <w:szCs w:val="32"/>
          <w:lang w:eastAsia="zh-CN"/>
        </w:rPr>
        <w:t>海南省地方标准征求意见汇总处理表</w:t>
      </w:r>
    </w:p>
    <w:p w14:paraId="0C9ED70A">
      <w:pPr>
        <w:spacing w:before="203" w:line="221" w:lineRule="auto"/>
        <w:ind w:left="18"/>
        <w:rPr>
          <w:rFonts w:ascii="宋体" w:hAnsi="宋体" w:eastAsia="宋体" w:cs="宋体"/>
          <w:spacing w:val="-7"/>
          <w:sz w:val="28"/>
          <w:szCs w:val="28"/>
        </w:rPr>
      </w:pPr>
      <w:r>
        <w:rPr>
          <w:rFonts w:ascii="宋体" w:hAnsi="宋体" w:eastAsia="宋体" w:cs="宋体"/>
          <w:spacing w:val="-7"/>
          <w:sz w:val="28"/>
          <w:szCs w:val="28"/>
        </w:rPr>
        <w:t>标准名称：</w:t>
      </w:r>
      <w:r>
        <w:rPr>
          <w:rFonts w:hint="eastAsia" w:ascii="宋体" w:hAnsi="宋体" w:eastAsia="宋体" w:cs="宋体"/>
          <w:spacing w:val="-7"/>
          <w:sz w:val="28"/>
          <w:szCs w:val="28"/>
        </w:rPr>
        <w:t>《饮用水水源地新污染物健康风险评估技术规范（征求意见稿）》</w:t>
      </w:r>
    </w:p>
    <w:tbl>
      <w:tblPr>
        <w:tblStyle w:val="16"/>
        <w:tblW w:w="12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081"/>
        <w:gridCol w:w="2888"/>
        <w:gridCol w:w="3260"/>
        <w:gridCol w:w="1609"/>
        <w:gridCol w:w="3067"/>
      </w:tblGrid>
      <w:tr w14:paraId="3A6F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blHeader/>
          <w:jc w:val="center"/>
        </w:trPr>
        <w:tc>
          <w:tcPr>
            <w:tcW w:w="681" w:type="dxa"/>
            <w:vAlign w:val="center"/>
          </w:tcPr>
          <w:p w14:paraId="6C055C3E">
            <w:pPr>
              <w:jc w:val="center"/>
              <w:rPr>
                <w:rFonts w:ascii="Times New Roman" w:hAnsi="Times New Roman" w:eastAsia="黑体" w:cs="Times New Roman"/>
                <w:szCs w:val="21"/>
              </w:rPr>
            </w:pPr>
            <w:r>
              <w:rPr>
                <w:rFonts w:ascii="Times New Roman" w:hAnsi="Times New Roman" w:eastAsia="黑体" w:cs="Times New Roman"/>
                <w:szCs w:val="21"/>
              </w:rPr>
              <w:t>序号</w:t>
            </w:r>
          </w:p>
        </w:tc>
        <w:tc>
          <w:tcPr>
            <w:tcW w:w="1081" w:type="dxa"/>
            <w:vAlign w:val="center"/>
          </w:tcPr>
          <w:p w14:paraId="09AD3A4D">
            <w:pPr>
              <w:jc w:val="center"/>
              <w:rPr>
                <w:rFonts w:ascii="Times New Roman" w:hAnsi="Times New Roman" w:eastAsia="黑体" w:cs="Times New Roman"/>
                <w:szCs w:val="21"/>
              </w:rPr>
            </w:pPr>
            <w:r>
              <w:rPr>
                <w:rFonts w:ascii="Times New Roman" w:hAnsi="Times New Roman" w:eastAsia="黑体" w:cs="Times New Roman"/>
                <w:szCs w:val="21"/>
              </w:rPr>
              <w:t>章条编号</w:t>
            </w:r>
          </w:p>
        </w:tc>
        <w:tc>
          <w:tcPr>
            <w:tcW w:w="2888" w:type="dxa"/>
            <w:vAlign w:val="center"/>
          </w:tcPr>
          <w:p w14:paraId="1BCD533F">
            <w:pPr>
              <w:jc w:val="center"/>
              <w:rPr>
                <w:rFonts w:ascii="Times New Roman" w:hAnsi="Times New Roman" w:eastAsia="黑体" w:cs="Times New Roman"/>
                <w:szCs w:val="21"/>
              </w:rPr>
            </w:pPr>
            <w:r>
              <w:rPr>
                <w:rFonts w:ascii="Times New Roman" w:hAnsi="Times New Roman" w:eastAsia="黑体" w:cs="Times New Roman"/>
                <w:szCs w:val="21"/>
              </w:rPr>
              <w:t>修改意见</w:t>
            </w:r>
          </w:p>
        </w:tc>
        <w:tc>
          <w:tcPr>
            <w:tcW w:w="3260" w:type="dxa"/>
            <w:vAlign w:val="center"/>
          </w:tcPr>
          <w:p w14:paraId="5F5A5D0A">
            <w:pPr>
              <w:jc w:val="center"/>
              <w:rPr>
                <w:rFonts w:ascii="Times New Roman" w:hAnsi="Times New Roman" w:eastAsia="黑体" w:cs="Times New Roman"/>
                <w:szCs w:val="21"/>
              </w:rPr>
            </w:pPr>
            <w:r>
              <w:rPr>
                <w:rFonts w:ascii="Times New Roman" w:hAnsi="Times New Roman" w:eastAsia="黑体" w:cs="Times New Roman"/>
                <w:szCs w:val="21"/>
              </w:rPr>
              <w:t>理由或依据</w:t>
            </w:r>
          </w:p>
        </w:tc>
        <w:tc>
          <w:tcPr>
            <w:tcW w:w="1609" w:type="dxa"/>
            <w:vAlign w:val="center"/>
          </w:tcPr>
          <w:p w14:paraId="0196577C">
            <w:pPr>
              <w:jc w:val="center"/>
              <w:rPr>
                <w:rFonts w:ascii="Times New Roman" w:hAnsi="Times New Roman" w:eastAsia="黑体" w:cs="Times New Roman"/>
                <w:szCs w:val="21"/>
              </w:rPr>
            </w:pPr>
            <w:r>
              <w:rPr>
                <w:rFonts w:ascii="Times New Roman" w:hAnsi="Times New Roman" w:eastAsia="黑体" w:cs="Times New Roman"/>
                <w:szCs w:val="21"/>
              </w:rPr>
              <w:t>提出单位/个人</w:t>
            </w:r>
          </w:p>
        </w:tc>
        <w:tc>
          <w:tcPr>
            <w:tcW w:w="3067" w:type="dxa"/>
            <w:vAlign w:val="center"/>
          </w:tcPr>
          <w:p w14:paraId="09F8EF1B">
            <w:pPr>
              <w:jc w:val="center"/>
              <w:rPr>
                <w:rFonts w:ascii="Times New Roman" w:hAnsi="Times New Roman" w:eastAsia="黑体" w:cs="Times New Roman"/>
                <w:szCs w:val="21"/>
              </w:rPr>
            </w:pPr>
            <w:r>
              <w:rPr>
                <w:rFonts w:ascii="Times New Roman" w:hAnsi="Times New Roman" w:eastAsia="黑体" w:cs="Times New Roman"/>
                <w:szCs w:val="21"/>
              </w:rPr>
              <w:t>处理意见</w:t>
            </w:r>
            <w:r>
              <w:rPr>
                <w:rFonts w:ascii="Times New Roman" w:hAnsi="Times New Roman" w:eastAsia="黑体" w:cs="Times New Roman"/>
                <w:szCs w:val="21"/>
              </w:rPr>
              <w:br w:type="textWrapping"/>
            </w:r>
            <w:r>
              <w:rPr>
                <w:rFonts w:ascii="Times New Roman" w:hAnsi="Times New Roman" w:eastAsia="黑体" w:cs="Times New Roman"/>
                <w:szCs w:val="21"/>
              </w:rPr>
              <w:t>（采纳/部分采纳，理由/不采纳，理由）</w:t>
            </w:r>
          </w:p>
        </w:tc>
      </w:tr>
      <w:tr w14:paraId="3012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681" w:type="dxa"/>
            <w:vAlign w:val="center"/>
          </w:tcPr>
          <w:p w14:paraId="5CC59BE5">
            <w:pPr>
              <w:jc w:val="center"/>
              <w:rPr>
                <w:rFonts w:ascii="Times New Roman" w:hAnsi="Times New Roman" w:eastAsia="宋体" w:cs="Times New Roman"/>
                <w:szCs w:val="21"/>
              </w:rPr>
            </w:pPr>
            <w:r>
              <w:rPr>
                <w:rFonts w:ascii="Times New Roman" w:hAnsi="Times New Roman" w:cs="Times New Roman"/>
                <w:szCs w:val="21"/>
              </w:rPr>
              <w:t>1</w:t>
            </w:r>
          </w:p>
        </w:tc>
        <w:tc>
          <w:tcPr>
            <w:tcW w:w="1081" w:type="dxa"/>
            <w:vAlign w:val="center"/>
          </w:tcPr>
          <w:p w14:paraId="1BC02FE1">
            <w:pPr>
              <w:jc w:val="center"/>
              <w:rPr>
                <w:rFonts w:ascii="Times New Roman" w:hAnsi="Times New Roman" w:eastAsia="宋体" w:cs="Times New Roman"/>
                <w:szCs w:val="21"/>
              </w:rPr>
            </w:pPr>
            <w:r>
              <w:rPr>
                <w:rFonts w:ascii="Times New Roman" w:hAnsi="Times New Roman" w:eastAsia="宋体" w:cs="Times New Roman"/>
                <w:szCs w:val="21"/>
              </w:rPr>
              <w:t>3.2 新污染物</w:t>
            </w:r>
          </w:p>
        </w:tc>
        <w:tc>
          <w:tcPr>
            <w:tcW w:w="2888" w:type="dxa"/>
            <w:vAlign w:val="center"/>
          </w:tcPr>
          <w:p w14:paraId="31515AF7">
            <w:pPr>
              <w:rPr>
                <w:rFonts w:ascii="Times New Roman" w:hAnsi="Times New Roman" w:eastAsia="宋体" w:cs="Times New Roman"/>
                <w:szCs w:val="21"/>
              </w:rPr>
            </w:pPr>
            <w:r>
              <w:rPr>
                <w:rFonts w:ascii="Times New Roman" w:hAnsi="Times New Roman" w:eastAsia="宋体" w:cs="Times New Roman"/>
                <w:szCs w:val="21"/>
              </w:rPr>
              <w:t>新污染物英文名称建议修改为emerging contaminants‌，定义和适用范围建议进一步界定一下</w:t>
            </w:r>
          </w:p>
        </w:tc>
        <w:tc>
          <w:tcPr>
            <w:tcW w:w="3260" w:type="dxa"/>
            <w:vAlign w:val="center"/>
          </w:tcPr>
          <w:p w14:paraId="7A4A002B">
            <w:pPr>
              <w:rPr>
                <w:rFonts w:ascii="Times New Roman" w:hAnsi="Times New Roman" w:eastAsia="宋体" w:cs="Times New Roman"/>
                <w:szCs w:val="21"/>
              </w:rPr>
            </w:pPr>
            <w:r>
              <w:rPr>
                <w:rFonts w:ascii="Times New Roman" w:hAnsi="Times New Roman" w:eastAsia="宋体" w:cs="Times New Roman"/>
                <w:szCs w:val="21"/>
              </w:rPr>
              <w:t>新污染物英文名称与官方文件保持一致；界定定义和范围便于后期致癌和非致癌风险评估。</w:t>
            </w:r>
          </w:p>
        </w:tc>
        <w:tc>
          <w:tcPr>
            <w:tcW w:w="1609" w:type="dxa"/>
            <w:vAlign w:val="center"/>
          </w:tcPr>
          <w:p w14:paraId="365794D1">
            <w:pPr>
              <w:jc w:val="center"/>
              <w:rPr>
                <w:rFonts w:ascii="Times New Roman" w:hAnsi="Times New Roman" w:eastAsia="宋体" w:cs="Times New Roman"/>
                <w:szCs w:val="21"/>
              </w:rPr>
            </w:pPr>
            <w:r>
              <w:rPr>
                <w:rFonts w:ascii="Times New Roman" w:hAnsi="Times New Roman" w:eastAsia="宋体" w:cs="Times New Roman"/>
                <w:szCs w:val="21"/>
              </w:rPr>
              <w:t>胡国成</w:t>
            </w:r>
          </w:p>
        </w:tc>
        <w:tc>
          <w:tcPr>
            <w:tcW w:w="3067" w:type="dxa"/>
            <w:vAlign w:val="center"/>
          </w:tcPr>
          <w:p w14:paraId="20BC4B35">
            <w:pPr>
              <w:jc w:val="center"/>
              <w:rPr>
                <w:rFonts w:ascii="Times New Roman" w:hAnsi="Times New Roman" w:eastAsia="宋体" w:cs="Times New Roman"/>
                <w:szCs w:val="21"/>
              </w:rPr>
            </w:pPr>
            <w:r>
              <w:rPr>
                <w:rFonts w:ascii="Times New Roman" w:hAnsi="Times New Roman" w:eastAsia="宋体" w:cs="Times New Roman"/>
                <w:szCs w:val="21"/>
              </w:rPr>
              <w:t>采纳，结合现行新污染物标准表述，已将英文名称改为emerging contaminants，并对新污染物范围进行界定，修改为“化学性新污染物”‌。</w:t>
            </w:r>
          </w:p>
        </w:tc>
      </w:tr>
      <w:tr w14:paraId="719C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681" w:type="dxa"/>
            <w:vAlign w:val="center"/>
          </w:tcPr>
          <w:p w14:paraId="45435BE2">
            <w:pPr>
              <w:jc w:val="center"/>
              <w:rPr>
                <w:rFonts w:ascii="Times New Roman" w:hAnsi="Times New Roman" w:eastAsia="宋体" w:cs="Times New Roman"/>
                <w:szCs w:val="21"/>
              </w:rPr>
            </w:pPr>
            <w:r>
              <w:rPr>
                <w:rFonts w:ascii="Times New Roman" w:hAnsi="Times New Roman" w:cs="Times New Roman"/>
                <w:szCs w:val="21"/>
              </w:rPr>
              <w:t>2</w:t>
            </w:r>
          </w:p>
        </w:tc>
        <w:tc>
          <w:tcPr>
            <w:tcW w:w="1081" w:type="dxa"/>
            <w:vAlign w:val="center"/>
          </w:tcPr>
          <w:p w14:paraId="6D28866F">
            <w:pPr>
              <w:jc w:val="center"/>
              <w:rPr>
                <w:rFonts w:ascii="Times New Roman" w:hAnsi="Times New Roman" w:eastAsia="宋体" w:cs="Times New Roman"/>
                <w:szCs w:val="21"/>
              </w:rPr>
            </w:pPr>
            <w:r>
              <w:rPr>
                <w:rFonts w:ascii="Times New Roman" w:hAnsi="Times New Roman" w:eastAsia="宋体" w:cs="Times New Roman"/>
                <w:szCs w:val="21"/>
              </w:rPr>
              <w:t>全文</w:t>
            </w:r>
          </w:p>
        </w:tc>
        <w:tc>
          <w:tcPr>
            <w:tcW w:w="2888" w:type="dxa"/>
            <w:vAlign w:val="center"/>
          </w:tcPr>
          <w:p w14:paraId="04E56B20">
            <w:pPr>
              <w:rPr>
                <w:rFonts w:ascii="Times New Roman" w:hAnsi="Times New Roman" w:cs="Times New Roman"/>
                <w:szCs w:val="21"/>
              </w:rPr>
            </w:pPr>
            <w:r>
              <w:rPr>
                <w:rFonts w:ascii="Times New Roman" w:hAnsi="Times New Roman" w:cs="Times New Roman"/>
                <w:szCs w:val="21"/>
              </w:rPr>
              <w:t>“饮用水水源地”“饮用水水源地水体中”“饮用水水源地中”描述不统一，建议全文统一一下相关说法，推荐使用“饮用水水源地水体中”描述。</w:t>
            </w:r>
          </w:p>
        </w:tc>
        <w:tc>
          <w:tcPr>
            <w:tcW w:w="3260" w:type="dxa"/>
            <w:vAlign w:val="center"/>
          </w:tcPr>
          <w:p w14:paraId="3127AD03">
            <w:pPr>
              <w:rPr>
                <w:rFonts w:ascii="Times New Roman" w:hAnsi="Times New Roman" w:cs="Times New Roman"/>
                <w:szCs w:val="21"/>
              </w:rPr>
            </w:pPr>
            <w:r>
              <w:rPr>
                <w:rFonts w:ascii="Times New Roman" w:hAnsi="Times New Roman" w:cs="Times New Roman"/>
                <w:szCs w:val="21"/>
              </w:rPr>
              <w:t>GB/T 1.1—2020中“5.4 文本的表述原则 5.4.1 一致性原则”。</w:t>
            </w:r>
          </w:p>
        </w:tc>
        <w:tc>
          <w:tcPr>
            <w:tcW w:w="1609" w:type="dxa"/>
            <w:vAlign w:val="center"/>
          </w:tcPr>
          <w:p w14:paraId="30512CC4">
            <w:pPr>
              <w:jc w:val="center"/>
              <w:rPr>
                <w:rFonts w:ascii="Times New Roman" w:hAnsi="Times New Roman" w:cs="Times New Roman"/>
                <w:szCs w:val="21"/>
              </w:rPr>
            </w:pPr>
            <w:r>
              <w:rPr>
                <w:rFonts w:ascii="Times New Roman" w:hAnsi="Times New Roman" w:eastAsia="宋体" w:cs="Times New Roman"/>
                <w:szCs w:val="21"/>
              </w:rPr>
              <w:t>胡国成</w:t>
            </w:r>
          </w:p>
        </w:tc>
        <w:tc>
          <w:tcPr>
            <w:tcW w:w="3067" w:type="dxa"/>
            <w:vAlign w:val="center"/>
          </w:tcPr>
          <w:p w14:paraId="0C3F657B">
            <w:pPr>
              <w:jc w:val="center"/>
              <w:rPr>
                <w:rFonts w:ascii="Times New Roman" w:hAnsi="Times New Roman" w:cs="Times New Roman"/>
              </w:rPr>
            </w:pPr>
            <w:r>
              <w:rPr>
                <w:rFonts w:ascii="Times New Roman" w:hAnsi="Times New Roman" w:eastAsia="宋体" w:cs="Times New Roman"/>
                <w:szCs w:val="21"/>
              </w:rPr>
              <w:t>采纳，除“饮用水水源地新污染物健康风险评估”描述保留，其余均改为“饮用水水源地水体中新污染物”</w:t>
            </w:r>
          </w:p>
        </w:tc>
      </w:tr>
      <w:tr w14:paraId="688C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681" w:type="dxa"/>
            <w:vAlign w:val="center"/>
          </w:tcPr>
          <w:p w14:paraId="4DF20FA9">
            <w:pPr>
              <w:jc w:val="center"/>
              <w:rPr>
                <w:rFonts w:ascii="Times New Roman" w:hAnsi="Times New Roman" w:eastAsia="宋体" w:cs="Times New Roman"/>
                <w:szCs w:val="21"/>
              </w:rPr>
            </w:pPr>
            <w:r>
              <w:rPr>
                <w:rFonts w:ascii="Times New Roman" w:hAnsi="Times New Roman" w:cs="Times New Roman"/>
                <w:szCs w:val="21"/>
              </w:rPr>
              <w:t>3</w:t>
            </w:r>
          </w:p>
        </w:tc>
        <w:tc>
          <w:tcPr>
            <w:tcW w:w="1081" w:type="dxa"/>
            <w:vAlign w:val="center"/>
          </w:tcPr>
          <w:p w14:paraId="29B539DC">
            <w:pPr>
              <w:jc w:val="center"/>
              <w:rPr>
                <w:rFonts w:ascii="Times New Roman" w:hAnsi="Times New Roman" w:eastAsia="宋体" w:cs="Times New Roman"/>
                <w:szCs w:val="21"/>
              </w:rPr>
            </w:pPr>
            <w:r>
              <w:rPr>
                <w:rFonts w:ascii="Times New Roman" w:hAnsi="Times New Roman" w:eastAsia="宋体" w:cs="Times New Roman"/>
                <w:szCs w:val="21"/>
              </w:rPr>
              <w:t>附录</w:t>
            </w:r>
          </w:p>
        </w:tc>
        <w:tc>
          <w:tcPr>
            <w:tcW w:w="2888" w:type="dxa"/>
            <w:vAlign w:val="center"/>
          </w:tcPr>
          <w:p w14:paraId="48532163">
            <w:pPr>
              <w:rPr>
                <w:rFonts w:ascii="Times New Roman" w:hAnsi="Times New Roman" w:cs="Times New Roman"/>
                <w:szCs w:val="21"/>
              </w:rPr>
            </w:pPr>
            <w:r>
              <w:rPr>
                <w:rFonts w:ascii="Times New Roman" w:hAnsi="Times New Roman" w:cs="Times New Roman"/>
                <w:szCs w:val="21"/>
              </w:rPr>
              <w:t>建议增加暴露参数附录</w:t>
            </w:r>
          </w:p>
        </w:tc>
        <w:tc>
          <w:tcPr>
            <w:tcW w:w="3260" w:type="dxa"/>
            <w:vAlign w:val="center"/>
          </w:tcPr>
          <w:p w14:paraId="3E52E0EC">
            <w:pPr>
              <w:rPr>
                <w:rFonts w:ascii="Times New Roman" w:hAnsi="Times New Roman" w:cs="Times New Roman"/>
                <w:szCs w:val="21"/>
              </w:rPr>
            </w:pPr>
            <w:r>
              <w:rPr>
                <w:rFonts w:ascii="Times New Roman" w:hAnsi="Times New Roman" w:cs="Times New Roman"/>
                <w:szCs w:val="21"/>
              </w:rPr>
              <w:t>GB/T 1.1—2020中“5.4.3 易用性原则”。</w:t>
            </w:r>
          </w:p>
        </w:tc>
        <w:tc>
          <w:tcPr>
            <w:tcW w:w="1609" w:type="dxa"/>
            <w:vAlign w:val="center"/>
          </w:tcPr>
          <w:p w14:paraId="3DE2286B">
            <w:pPr>
              <w:jc w:val="center"/>
              <w:rPr>
                <w:rFonts w:ascii="Times New Roman" w:hAnsi="Times New Roman" w:cs="Times New Roman"/>
                <w:szCs w:val="21"/>
              </w:rPr>
            </w:pPr>
            <w:r>
              <w:rPr>
                <w:rFonts w:ascii="Times New Roman" w:hAnsi="Times New Roman" w:eastAsia="宋体" w:cs="Times New Roman"/>
                <w:szCs w:val="21"/>
              </w:rPr>
              <w:t>胡国成</w:t>
            </w:r>
          </w:p>
        </w:tc>
        <w:tc>
          <w:tcPr>
            <w:tcW w:w="3067" w:type="dxa"/>
            <w:vAlign w:val="center"/>
          </w:tcPr>
          <w:p w14:paraId="65AD3689">
            <w:pPr>
              <w:jc w:val="center"/>
              <w:rPr>
                <w:rFonts w:ascii="Times New Roman" w:hAnsi="Times New Roman" w:cs="Times New Roman"/>
                <w:szCs w:val="21"/>
                <w:highlight w:val="yellow"/>
              </w:rPr>
            </w:pPr>
            <w:r>
              <w:rPr>
                <w:rFonts w:ascii="Times New Roman" w:hAnsi="Times New Roman" w:cs="Times New Roman"/>
                <w:szCs w:val="21"/>
              </w:rPr>
              <w:t>采纳。已按专家意见补充，详见“附录D暴露评估模型主要参数及推荐值（海南省）”。</w:t>
            </w:r>
          </w:p>
        </w:tc>
      </w:tr>
      <w:tr w14:paraId="091B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681" w:type="dxa"/>
            <w:vAlign w:val="center"/>
          </w:tcPr>
          <w:p w14:paraId="7C1A7B90">
            <w:pPr>
              <w:jc w:val="center"/>
              <w:rPr>
                <w:rFonts w:ascii="Times New Roman" w:hAnsi="Times New Roman" w:eastAsia="宋体" w:cs="Times New Roman"/>
                <w:szCs w:val="21"/>
              </w:rPr>
            </w:pPr>
            <w:r>
              <w:rPr>
                <w:rFonts w:ascii="Times New Roman" w:hAnsi="Times New Roman" w:cs="Times New Roman"/>
                <w:szCs w:val="21"/>
              </w:rPr>
              <w:t>4</w:t>
            </w:r>
          </w:p>
        </w:tc>
        <w:tc>
          <w:tcPr>
            <w:tcW w:w="1081" w:type="dxa"/>
            <w:vAlign w:val="center"/>
          </w:tcPr>
          <w:p w14:paraId="2E9F4193">
            <w:pPr>
              <w:jc w:val="center"/>
              <w:rPr>
                <w:rFonts w:ascii="Times New Roman" w:hAnsi="Times New Roman" w:cs="Times New Roman"/>
                <w:szCs w:val="21"/>
              </w:rPr>
            </w:pPr>
            <w:r>
              <w:rPr>
                <w:rFonts w:ascii="Times New Roman" w:hAnsi="Times New Roman" w:cs="Times New Roman"/>
                <w:szCs w:val="21"/>
              </w:rPr>
              <w:t>5 工作程序</w:t>
            </w:r>
          </w:p>
        </w:tc>
        <w:tc>
          <w:tcPr>
            <w:tcW w:w="2888" w:type="dxa"/>
            <w:vAlign w:val="center"/>
          </w:tcPr>
          <w:p w14:paraId="39A91C6F">
            <w:pPr>
              <w:rPr>
                <w:rFonts w:ascii="Times New Roman" w:hAnsi="Times New Roman" w:cs="Times New Roman"/>
                <w:szCs w:val="21"/>
              </w:rPr>
            </w:pPr>
            <w:r>
              <w:rPr>
                <w:rFonts w:ascii="Times New Roman" w:hAnsi="Times New Roman" w:cs="Times New Roman"/>
                <w:szCs w:val="21"/>
              </w:rPr>
              <w:t>建议分为“数据预处理”“数据质量评价”“统计描述”“统计推断”四个框图，且四部分应标明逻辑关系。</w:t>
            </w:r>
          </w:p>
        </w:tc>
        <w:tc>
          <w:tcPr>
            <w:tcW w:w="3260" w:type="dxa"/>
            <w:vAlign w:val="center"/>
          </w:tcPr>
          <w:p w14:paraId="25678854">
            <w:pPr>
              <w:rPr>
                <w:rFonts w:ascii="Times New Roman" w:hAnsi="Times New Roman" w:cs="Times New Roman"/>
                <w:szCs w:val="21"/>
              </w:rPr>
            </w:pPr>
            <w:r>
              <w:rPr>
                <w:rFonts w:ascii="Times New Roman" w:hAnsi="Times New Roman" w:cs="Times New Roman"/>
                <w:szCs w:val="21"/>
              </w:rPr>
              <w:t>提高技术路线的科学性和可理解性。</w:t>
            </w:r>
          </w:p>
        </w:tc>
        <w:tc>
          <w:tcPr>
            <w:tcW w:w="1609" w:type="dxa"/>
            <w:vAlign w:val="center"/>
          </w:tcPr>
          <w:p w14:paraId="1ABAF0C2">
            <w:pPr>
              <w:jc w:val="center"/>
              <w:rPr>
                <w:rFonts w:ascii="Times New Roman" w:hAnsi="Times New Roman" w:cs="Times New Roman"/>
                <w:szCs w:val="21"/>
              </w:rPr>
            </w:pPr>
            <w:r>
              <w:rPr>
                <w:rFonts w:ascii="Times New Roman" w:hAnsi="Times New Roman" w:eastAsia="宋体" w:cs="Times New Roman"/>
                <w:szCs w:val="21"/>
              </w:rPr>
              <w:t>胡国成</w:t>
            </w:r>
          </w:p>
        </w:tc>
        <w:tc>
          <w:tcPr>
            <w:tcW w:w="3067" w:type="dxa"/>
            <w:vAlign w:val="center"/>
          </w:tcPr>
          <w:p w14:paraId="053835B3">
            <w:pPr>
              <w:jc w:val="center"/>
              <w:rPr>
                <w:rFonts w:ascii="Times New Roman" w:hAnsi="Times New Roman" w:cs="Times New Roman"/>
                <w:szCs w:val="21"/>
                <w:highlight w:val="yellow"/>
              </w:rPr>
            </w:pPr>
            <w:r>
              <w:rPr>
                <w:rFonts w:ascii="Times New Roman" w:hAnsi="Times New Roman" w:cs="Times New Roman"/>
                <w:szCs w:val="21"/>
              </w:rPr>
              <w:t>采纳。已按照专家意见进行修改，详见图1</w:t>
            </w:r>
          </w:p>
        </w:tc>
      </w:tr>
      <w:tr w14:paraId="2CF5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12D2FAA7">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081" w:type="dxa"/>
            <w:vAlign w:val="center"/>
          </w:tcPr>
          <w:p w14:paraId="0A4B92E8">
            <w:pPr>
              <w:jc w:val="center"/>
              <w:rPr>
                <w:rFonts w:ascii="Times New Roman" w:hAnsi="Times New Roman" w:eastAsia="宋体" w:cs="Times New Roman"/>
                <w:szCs w:val="21"/>
              </w:rPr>
            </w:pPr>
            <w:r>
              <w:rPr>
                <w:rFonts w:ascii="Times New Roman" w:hAnsi="Times New Roman" w:cs="Times New Roman"/>
                <w:szCs w:val="21"/>
              </w:rPr>
              <w:t>6.2.1基本资料</w:t>
            </w:r>
          </w:p>
        </w:tc>
        <w:tc>
          <w:tcPr>
            <w:tcW w:w="2888" w:type="dxa"/>
            <w:vAlign w:val="center"/>
          </w:tcPr>
          <w:p w14:paraId="6419BCB9">
            <w:pPr>
              <w:rPr>
                <w:rFonts w:ascii="Times New Roman" w:hAnsi="Times New Roman" w:cs="Times New Roman"/>
                <w:szCs w:val="21"/>
              </w:rPr>
            </w:pPr>
            <w:r>
              <w:rPr>
                <w:rFonts w:ascii="Times New Roman" w:hAnsi="Times New Roman" w:cs="Times New Roman"/>
                <w:szCs w:val="21"/>
              </w:rPr>
              <w:t>C）环境资料搜集里，建议增加排污许可的内容；d)健康资料的搜集里，建议增加卫生部门的慢性病及危险因素检测报告数据资料。</w:t>
            </w:r>
          </w:p>
        </w:tc>
        <w:tc>
          <w:tcPr>
            <w:tcW w:w="3260" w:type="dxa"/>
            <w:vAlign w:val="center"/>
          </w:tcPr>
          <w:p w14:paraId="08E1DF3F">
            <w:pPr>
              <w:rPr>
                <w:rFonts w:ascii="Times New Roman" w:hAnsi="Times New Roman" w:cs="Times New Roman"/>
                <w:szCs w:val="21"/>
              </w:rPr>
            </w:pPr>
            <w:r>
              <w:rPr>
                <w:rFonts w:ascii="Times New Roman" w:hAnsi="Times New Roman" w:cs="Times New Roman"/>
                <w:szCs w:val="21"/>
              </w:rPr>
              <w:t>提高风险评估结果的完整性和科学性。</w:t>
            </w:r>
          </w:p>
        </w:tc>
        <w:tc>
          <w:tcPr>
            <w:tcW w:w="1609" w:type="dxa"/>
            <w:vAlign w:val="center"/>
          </w:tcPr>
          <w:p w14:paraId="7CE9ABD5">
            <w:pPr>
              <w:jc w:val="center"/>
              <w:rPr>
                <w:rFonts w:ascii="Times New Roman" w:hAnsi="Times New Roman" w:cs="Times New Roman"/>
                <w:szCs w:val="21"/>
              </w:rPr>
            </w:pPr>
            <w:r>
              <w:rPr>
                <w:rFonts w:ascii="Times New Roman" w:hAnsi="Times New Roman" w:eastAsia="宋体" w:cs="Times New Roman"/>
                <w:szCs w:val="21"/>
              </w:rPr>
              <w:t>胡国成</w:t>
            </w:r>
          </w:p>
        </w:tc>
        <w:tc>
          <w:tcPr>
            <w:tcW w:w="3067" w:type="dxa"/>
            <w:vAlign w:val="center"/>
          </w:tcPr>
          <w:p w14:paraId="2A1F08DD">
            <w:pPr>
              <w:jc w:val="center"/>
              <w:rPr>
                <w:rFonts w:ascii="Times New Roman" w:hAnsi="Times New Roman" w:cs="Times New Roman"/>
                <w:szCs w:val="21"/>
              </w:rPr>
            </w:pPr>
            <w:r>
              <w:rPr>
                <w:rFonts w:ascii="Times New Roman" w:hAnsi="Times New Roman" w:cs="Times New Roman"/>
                <w:szCs w:val="21"/>
              </w:rPr>
              <w:t>部分采纳，排污许可中不涉及新污染物，且排污许可是环境资料搜集中的一个具体途径，有必要时可参考。已在文本中“基本资料”添加两种资料搜集途径。</w:t>
            </w:r>
          </w:p>
        </w:tc>
      </w:tr>
      <w:tr w14:paraId="30FB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718DCE2C">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081" w:type="dxa"/>
            <w:vAlign w:val="center"/>
          </w:tcPr>
          <w:p w14:paraId="2D7C5BAB">
            <w:pPr>
              <w:jc w:val="center"/>
              <w:rPr>
                <w:rFonts w:ascii="Times New Roman" w:hAnsi="Times New Roman" w:cs="Times New Roman"/>
                <w:szCs w:val="21"/>
              </w:rPr>
            </w:pPr>
            <w:r>
              <w:rPr>
                <w:rFonts w:ascii="Times New Roman" w:hAnsi="Times New Roman" w:cs="Times New Roman"/>
                <w:szCs w:val="21"/>
              </w:rPr>
              <w:t>附录</w:t>
            </w:r>
          </w:p>
        </w:tc>
        <w:tc>
          <w:tcPr>
            <w:tcW w:w="2888" w:type="dxa"/>
            <w:vAlign w:val="center"/>
          </w:tcPr>
          <w:p w14:paraId="1FDE2D05">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建议将季节性和极端事件的设计加入附录，如枯水丰水可分别一次测，增加重点污染源影响区、取水口、保护区边界等点位，增加极端降雨和台风后监测频率。</w:t>
            </w:r>
          </w:p>
        </w:tc>
        <w:tc>
          <w:tcPr>
            <w:tcW w:w="3260" w:type="dxa"/>
            <w:vAlign w:val="center"/>
          </w:tcPr>
          <w:p w14:paraId="3D77B14F">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全面反映水质变化特征。</w:t>
            </w:r>
          </w:p>
        </w:tc>
        <w:tc>
          <w:tcPr>
            <w:tcW w:w="1609" w:type="dxa"/>
            <w:vAlign w:val="center"/>
          </w:tcPr>
          <w:p w14:paraId="6A900053">
            <w:pPr>
              <w:jc w:val="center"/>
              <w:rPr>
                <w:rFonts w:ascii="Times New Roman" w:hAnsi="Times New Roman" w:eastAsia="宋体" w:cs="Times New Roman"/>
                <w:szCs w:val="21"/>
              </w:rPr>
            </w:pPr>
            <w:r>
              <w:rPr>
                <w:rFonts w:ascii="Times New Roman" w:hAnsi="Times New Roman" w:eastAsia="宋体" w:cs="Times New Roman"/>
                <w:szCs w:val="21"/>
              </w:rPr>
              <w:t>孙轶斐</w:t>
            </w:r>
          </w:p>
        </w:tc>
        <w:tc>
          <w:tcPr>
            <w:tcW w:w="3067" w:type="dxa"/>
            <w:vAlign w:val="center"/>
          </w:tcPr>
          <w:p w14:paraId="70BEB95F">
            <w:pPr>
              <w:jc w:val="center"/>
              <w:rPr>
                <w:rFonts w:ascii="Times New Roman" w:hAnsi="Times New Roman" w:cs="Times New Roman"/>
                <w:szCs w:val="21"/>
              </w:rPr>
            </w:pPr>
            <w:r>
              <w:rPr>
                <w:rFonts w:ascii="Times New Roman" w:hAnsi="Times New Roman" w:cs="Times New Roman"/>
                <w:szCs w:val="21"/>
              </w:rPr>
              <w:t>采纳，已根据专家建议，在编制说明中增加“针对海南气候特色调整监测频次”描述，并在文本6.2.1中增加“e）</w:t>
            </w:r>
            <w:r>
              <w:rPr>
                <w:rFonts w:ascii="Times New Roman" w:hAnsi="Times New Roman" w:cs="Times New Roman"/>
                <w:color w:val="000000" w:themeColor="text1"/>
                <w14:textFill>
                  <w14:solidFill>
                    <w14:schemeClr w14:val="tx1"/>
                  </w14:solidFill>
                </w14:textFill>
              </w:rPr>
              <w:t>重点收集主要污染源影响区、取水口、保护区边界等点位基本资料。”</w:t>
            </w:r>
          </w:p>
        </w:tc>
      </w:tr>
      <w:tr w14:paraId="4DF4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681" w:type="dxa"/>
            <w:vAlign w:val="center"/>
          </w:tcPr>
          <w:p w14:paraId="789AFB0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w:t>
            </w:r>
          </w:p>
        </w:tc>
        <w:tc>
          <w:tcPr>
            <w:tcW w:w="1081" w:type="dxa"/>
            <w:vAlign w:val="center"/>
          </w:tcPr>
          <w:p w14:paraId="58CF45F8">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7暴露评估</w:t>
            </w:r>
          </w:p>
        </w:tc>
        <w:tc>
          <w:tcPr>
            <w:tcW w:w="2888" w:type="dxa"/>
            <w:vAlign w:val="center"/>
          </w:tcPr>
          <w:p w14:paraId="66EAE6F3">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文件中规定为进口摄入以及皮肤接触，建议结合海南热带农业，考虑加入热带农业、渔业养殖导致的暴露，即水产摄入、灌溉农产品摄入（食物链暴露）。</w:t>
            </w:r>
          </w:p>
        </w:tc>
        <w:tc>
          <w:tcPr>
            <w:tcW w:w="3260" w:type="dxa"/>
            <w:vAlign w:val="center"/>
          </w:tcPr>
          <w:p w14:paraId="70E978A3">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全面反映人群实际暴露情况。</w:t>
            </w:r>
          </w:p>
        </w:tc>
        <w:tc>
          <w:tcPr>
            <w:tcW w:w="1609" w:type="dxa"/>
            <w:vAlign w:val="center"/>
          </w:tcPr>
          <w:p w14:paraId="5AC9208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孙轶斐</w:t>
            </w:r>
          </w:p>
        </w:tc>
        <w:tc>
          <w:tcPr>
            <w:tcW w:w="3067" w:type="dxa"/>
            <w:vAlign w:val="center"/>
          </w:tcPr>
          <w:p w14:paraId="7242E6C4">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部分采纳，本规定主要准对水源地中新污染物的饮水暴露和沐浴暴露，不涉及饮食暴露，因此未考虑食物链。已按照专家意见针对海南省特点在编制说明“（四）主要条款”中明确采用总饮水摄入量。附录D也已列出海南省饮水暴露量参数推荐值。</w:t>
            </w:r>
          </w:p>
        </w:tc>
      </w:tr>
      <w:tr w14:paraId="4E74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6E3803B6">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1081" w:type="dxa"/>
            <w:vAlign w:val="center"/>
          </w:tcPr>
          <w:p w14:paraId="146B6041">
            <w:pPr>
              <w:jc w:val="center"/>
              <w:rPr>
                <w:rFonts w:ascii="Times New Roman" w:hAnsi="Times New Roman" w:cs="Times New Roman"/>
                <w:szCs w:val="21"/>
              </w:rPr>
            </w:pPr>
            <w:r>
              <w:rPr>
                <w:rFonts w:ascii="Times New Roman" w:hAnsi="Times New Roman" w:cs="Times New Roman"/>
                <w:szCs w:val="21"/>
              </w:rPr>
              <w:t>附录</w:t>
            </w:r>
          </w:p>
        </w:tc>
        <w:tc>
          <w:tcPr>
            <w:tcW w:w="2888" w:type="dxa"/>
            <w:vAlign w:val="center"/>
          </w:tcPr>
          <w:p w14:paraId="0BE29FF3">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若没有本地的暴露参数，建议附录加入推荐值。</w:t>
            </w:r>
          </w:p>
        </w:tc>
        <w:tc>
          <w:tcPr>
            <w:tcW w:w="3260" w:type="dxa"/>
            <w:vAlign w:val="center"/>
          </w:tcPr>
          <w:p w14:paraId="613838DA">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1.1—2020中“5.4.3 易用性原则”。</w:t>
            </w:r>
          </w:p>
        </w:tc>
        <w:tc>
          <w:tcPr>
            <w:tcW w:w="1609" w:type="dxa"/>
            <w:vAlign w:val="center"/>
          </w:tcPr>
          <w:p w14:paraId="093EE08B">
            <w:pPr>
              <w:jc w:val="center"/>
              <w:rPr>
                <w:rFonts w:ascii="Times New Roman" w:hAnsi="Times New Roman" w:eastAsia="宋体" w:cs="Times New Roman"/>
                <w:szCs w:val="21"/>
              </w:rPr>
            </w:pPr>
            <w:r>
              <w:rPr>
                <w:rFonts w:ascii="Times New Roman" w:hAnsi="Times New Roman" w:eastAsia="宋体" w:cs="Times New Roman"/>
                <w:szCs w:val="21"/>
              </w:rPr>
              <w:t>孙轶斐</w:t>
            </w:r>
          </w:p>
        </w:tc>
        <w:tc>
          <w:tcPr>
            <w:tcW w:w="3067" w:type="dxa"/>
            <w:vAlign w:val="center"/>
          </w:tcPr>
          <w:p w14:paraId="133855EE">
            <w:pPr>
              <w:jc w:val="center"/>
              <w:rPr>
                <w:rFonts w:ascii="Times New Roman" w:hAnsi="Times New Roman" w:cs="Times New Roman"/>
                <w:szCs w:val="21"/>
                <w:highlight w:val="yellow"/>
              </w:rPr>
            </w:pPr>
            <w:r>
              <w:rPr>
                <w:rFonts w:ascii="Times New Roman" w:hAnsi="Times New Roman" w:cs="Times New Roman"/>
                <w:szCs w:val="21"/>
              </w:rPr>
              <w:t>采纳。已按专家意见补充，详见“附录D暴露评估模型主要参数及推荐值（海南省）”。</w:t>
            </w:r>
          </w:p>
        </w:tc>
      </w:tr>
      <w:tr w14:paraId="6B96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48D6A949">
            <w:pPr>
              <w:jc w:val="center"/>
              <w:rPr>
                <w:rFonts w:ascii="Times New Roman" w:hAnsi="Times New Roman" w:eastAsia="宋体" w:cs="Times New Roman"/>
                <w:szCs w:val="21"/>
              </w:rPr>
            </w:pPr>
            <w:r>
              <w:rPr>
                <w:rFonts w:ascii="Times New Roman" w:hAnsi="Times New Roman" w:eastAsia="宋体" w:cs="Times New Roman"/>
                <w:szCs w:val="21"/>
              </w:rPr>
              <w:t>9</w:t>
            </w:r>
          </w:p>
        </w:tc>
        <w:tc>
          <w:tcPr>
            <w:tcW w:w="1081" w:type="dxa"/>
            <w:vAlign w:val="center"/>
          </w:tcPr>
          <w:p w14:paraId="2CDC7691">
            <w:pPr>
              <w:jc w:val="center"/>
              <w:rPr>
                <w:rFonts w:ascii="Times New Roman" w:hAnsi="Times New Roman" w:cs="Times New Roman"/>
                <w:szCs w:val="21"/>
              </w:rPr>
            </w:pPr>
            <w:r>
              <w:rPr>
                <w:rFonts w:ascii="Times New Roman" w:hAnsi="Times New Roman" w:cs="Times New Roman"/>
                <w:szCs w:val="21"/>
              </w:rPr>
              <w:t>10不确定性分析</w:t>
            </w:r>
          </w:p>
        </w:tc>
        <w:tc>
          <w:tcPr>
            <w:tcW w:w="2888" w:type="dxa"/>
            <w:vAlign w:val="center"/>
          </w:tcPr>
          <w:p w14:paraId="56330E83">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建议分级表述</w:t>
            </w:r>
          </w:p>
        </w:tc>
        <w:tc>
          <w:tcPr>
            <w:tcW w:w="3260" w:type="dxa"/>
            <w:vAlign w:val="center"/>
          </w:tcPr>
          <w:p w14:paraId="145488FE">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1.1—2020中“5.4.3 易用性原则”。</w:t>
            </w:r>
          </w:p>
        </w:tc>
        <w:tc>
          <w:tcPr>
            <w:tcW w:w="1609" w:type="dxa"/>
            <w:vAlign w:val="center"/>
          </w:tcPr>
          <w:p w14:paraId="7548D097">
            <w:pPr>
              <w:jc w:val="center"/>
              <w:rPr>
                <w:rFonts w:ascii="Times New Roman" w:hAnsi="Times New Roman" w:eastAsia="宋体" w:cs="Times New Roman"/>
                <w:szCs w:val="21"/>
              </w:rPr>
            </w:pPr>
            <w:r>
              <w:rPr>
                <w:rFonts w:ascii="Times New Roman" w:hAnsi="Times New Roman" w:eastAsia="宋体" w:cs="Times New Roman"/>
                <w:szCs w:val="21"/>
              </w:rPr>
              <w:t>孙轶斐</w:t>
            </w:r>
          </w:p>
        </w:tc>
        <w:tc>
          <w:tcPr>
            <w:tcW w:w="3067" w:type="dxa"/>
            <w:vAlign w:val="center"/>
          </w:tcPr>
          <w:p w14:paraId="4B455A7F">
            <w:pPr>
              <w:jc w:val="center"/>
              <w:rPr>
                <w:rFonts w:ascii="Times New Roman" w:hAnsi="Times New Roman" w:cs="Times New Roman"/>
                <w:szCs w:val="21"/>
              </w:rPr>
            </w:pPr>
            <w:r>
              <w:rPr>
                <w:rFonts w:ascii="Times New Roman" w:hAnsi="Times New Roman" w:cs="Times New Roman"/>
                <w:szCs w:val="21"/>
              </w:rPr>
              <w:t>不采纳。本次评估导则/报告侧重于基础通用性和实际应用的可操作性。不确定性分析的分级表述虽在理论上更为严密，但会大幅增加基层技术人员的实操难度与主观判断空间。为保证不同项目间评估结果的标准化与横向可比性，本次编制仍保持统一的不确定性分析框架，暂不引入复杂的层级划分。</w:t>
            </w:r>
          </w:p>
        </w:tc>
      </w:tr>
      <w:tr w14:paraId="13E0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4FB2BC38">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1081" w:type="dxa"/>
            <w:vAlign w:val="center"/>
          </w:tcPr>
          <w:p w14:paraId="1F93CAE7">
            <w:pPr>
              <w:jc w:val="center"/>
              <w:rPr>
                <w:rFonts w:ascii="Times New Roman" w:hAnsi="Times New Roman" w:cs="Times New Roman"/>
                <w:szCs w:val="21"/>
              </w:rPr>
            </w:pPr>
            <w:r>
              <w:rPr>
                <w:rFonts w:ascii="Times New Roman" w:hAnsi="Times New Roman" w:cs="Times New Roman"/>
                <w:szCs w:val="21"/>
              </w:rPr>
              <w:t>目次、附录</w:t>
            </w:r>
          </w:p>
        </w:tc>
        <w:tc>
          <w:tcPr>
            <w:tcW w:w="2888" w:type="dxa"/>
            <w:vAlign w:val="center"/>
          </w:tcPr>
          <w:p w14:paraId="5344721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目录和附录顺序核实：附录B和附录D</w:t>
            </w:r>
          </w:p>
        </w:tc>
        <w:tc>
          <w:tcPr>
            <w:tcW w:w="3260" w:type="dxa"/>
            <w:vAlign w:val="center"/>
          </w:tcPr>
          <w:p w14:paraId="3CE54499">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1.1—2020中“8.2 目次”，目次用来呈现文件的结构，确保目录与附录编号及顺序一致。</w:t>
            </w:r>
          </w:p>
        </w:tc>
        <w:tc>
          <w:tcPr>
            <w:tcW w:w="1609" w:type="dxa"/>
            <w:vAlign w:val="center"/>
          </w:tcPr>
          <w:p w14:paraId="7EF2C800">
            <w:pPr>
              <w:jc w:val="center"/>
              <w:rPr>
                <w:rFonts w:ascii="Times New Roman" w:hAnsi="Times New Roman" w:eastAsia="宋体" w:cs="Times New Roman"/>
                <w:szCs w:val="21"/>
              </w:rPr>
            </w:pPr>
            <w:r>
              <w:rPr>
                <w:rFonts w:ascii="Times New Roman" w:hAnsi="Times New Roman" w:eastAsia="宋体" w:cs="Times New Roman"/>
                <w:szCs w:val="21"/>
              </w:rPr>
              <w:t>孙轶斐</w:t>
            </w:r>
          </w:p>
        </w:tc>
        <w:tc>
          <w:tcPr>
            <w:tcW w:w="3067" w:type="dxa"/>
            <w:vAlign w:val="center"/>
          </w:tcPr>
          <w:p w14:paraId="78BB04E3">
            <w:pPr>
              <w:jc w:val="center"/>
              <w:rPr>
                <w:rFonts w:ascii="Times New Roman" w:hAnsi="Times New Roman" w:cs="Times New Roman"/>
                <w:szCs w:val="21"/>
              </w:rPr>
            </w:pPr>
            <w:r>
              <w:rPr>
                <w:rFonts w:ascii="Times New Roman" w:hAnsi="Times New Roman" w:cs="Times New Roman"/>
                <w:szCs w:val="21"/>
              </w:rPr>
              <w:t>采纳，已按目录核实文本中附录顺序。</w:t>
            </w:r>
          </w:p>
        </w:tc>
      </w:tr>
      <w:tr w14:paraId="16DE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35377F45">
            <w:pPr>
              <w:jc w:val="center"/>
              <w:rPr>
                <w:rFonts w:ascii="Times New Roman" w:hAnsi="Times New Roman" w:eastAsia="宋体" w:cs="Times New Roman"/>
                <w:szCs w:val="21"/>
              </w:rPr>
            </w:pPr>
            <w:r>
              <w:rPr>
                <w:rFonts w:ascii="Times New Roman" w:hAnsi="Times New Roman" w:eastAsia="宋体" w:cs="Times New Roman"/>
                <w:szCs w:val="21"/>
              </w:rPr>
              <w:t>11</w:t>
            </w:r>
          </w:p>
        </w:tc>
        <w:tc>
          <w:tcPr>
            <w:tcW w:w="1081" w:type="dxa"/>
            <w:vAlign w:val="center"/>
          </w:tcPr>
          <w:p w14:paraId="6537881C">
            <w:pPr>
              <w:jc w:val="center"/>
              <w:rPr>
                <w:rFonts w:ascii="Times New Roman" w:hAnsi="Times New Roman" w:cs="Times New Roman"/>
                <w:szCs w:val="21"/>
              </w:rPr>
            </w:pPr>
            <w:r>
              <w:rPr>
                <w:rFonts w:ascii="Times New Roman" w:hAnsi="Times New Roman" w:cs="Times New Roman"/>
                <w:szCs w:val="21"/>
              </w:rPr>
              <w:t>标题</w:t>
            </w:r>
          </w:p>
        </w:tc>
        <w:tc>
          <w:tcPr>
            <w:tcW w:w="2888" w:type="dxa"/>
            <w:vAlign w:val="center"/>
          </w:tcPr>
          <w:p w14:paraId="7838DBAB">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标准不局限于新污染物，一些常规污染物也适用于该标准；建议对新污染物进行一下界定，如微塑料和抗生素不适合常规评估，题目考虑一下。</w:t>
            </w:r>
          </w:p>
        </w:tc>
        <w:tc>
          <w:tcPr>
            <w:tcW w:w="3260" w:type="dxa"/>
            <w:vAlign w:val="center"/>
          </w:tcPr>
          <w:p w14:paraId="0C7920F0">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明确新污染物界定有利于界定标准适用范围。</w:t>
            </w:r>
          </w:p>
        </w:tc>
        <w:tc>
          <w:tcPr>
            <w:tcW w:w="1609" w:type="dxa"/>
            <w:vAlign w:val="center"/>
          </w:tcPr>
          <w:p w14:paraId="55051513">
            <w:pPr>
              <w:jc w:val="center"/>
              <w:rPr>
                <w:rFonts w:ascii="Times New Roman" w:hAnsi="Times New Roman" w:eastAsia="宋体" w:cs="Times New Roman"/>
                <w:szCs w:val="21"/>
              </w:rPr>
            </w:pPr>
            <w:r>
              <w:rPr>
                <w:rFonts w:ascii="Times New Roman" w:hAnsi="Times New Roman" w:eastAsia="宋体" w:cs="Times New Roman"/>
                <w:szCs w:val="21"/>
              </w:rPr>
              <w:t>吉贵祥</w:t>
            </w:r>
          </w:p>
        </w:tc>
        <w:tc>
          <w:tcPr>
            <w:tcW w:w="3067" w:type="dxa"/>
            <w:vAlign w:val="center"/>
          </w:tcPr>
          <w:p w14:paraId="27C6DAE1">
            <w:pPr>
              <w:jc w:val="center"/>
              <w:rPr>
                <w:rFonts w:ascii="Times New Roman" w:hAnsi="Times New Roman" w:cs="Times New Roman"/>
                <w:szCs w:val="21"/>
              </w:rPr>
            </w:pPr>
            <w:r>
              <w:rPr>
                <w:rFonts w:ascii="Times New Roman" w:hAnsi="Times New Roman" w:cs="Times New Roman"/>
                <w:szCs w:val="21"/>
              </w:rPr>
              <w:t>部分采纳，常规污染物质量标准制定时已考虑其健康风险，本文不再针对常规污染物健康风险进行讨论；文本中已对新污染物范围进行界定，为“化学性新污染物”。</w:t>
            </w:r>
          </w:p>
        </w:tc>
      </w:tr>
      <w:tr w14:paraId="52E8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5980E5B0">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1081" w:type="dxa"/>
            <w:vAlign w:val="center"/>
          </w:tcPr>
          <w:p w14:paraId="1E67B8CF">
            <w:pPr>
              <w:jc w:val="center"/>
              <w:rPr>
                <w:rFonts w:ascii="Times New Roman" w:hAnsi="Times New Roman" w:cs="Times New Roman"/>
                <w:szCs w:val="21"/>
              </w:rPr>
            </w:pPr>
            <w:r>
              <w:rPr>
                <w:rFonts w:ascii="Times New Roman" w:hAnsi="Times New Roman" w:cs="Times New Roman"/>
                <w:szCs w:val="21"/>
              </w:rPr>
              <w:t>6.2.2环境监测或调查数据</w:t>
            </w:r>
          </w:p>
        </w:tc>
        <w:tc>
          <w:tcPr>
            <w:tcW w:w="2888" w:type="dxa"/>
            <w:vAlign w:val="center"/>
          </w:tcPr>
          <w:p w14:paraId="11585C3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水源地调查监测数据获取方式部分建议展开论述，如监测布点、采样频次，如何获得具有代表性的健康数据，建议描述再详细一点。</w:t>
            </w:r>
          </w:p>
        </w:tc>
        <w:tc>
          <w:tcPr>
            <w:tcW w:w="3260" w:type="dxa"/>
            <w:vAlign w:val="center"/>
          </w:tcPr>
          <w:p w14:paraId="112F1509">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1.1—2020中“5.4.3 易用性原则”。</w:t>
            </w:r>
          </w:p>
        </w:tc>
        <w:tc>
          <w:tcPr>
            <w:tcW w:w="1609" w:type="dxa"/>
            <w:vAlign w:val="center"/>
          </w:tcPr>
          <w:p w14:paraId="027CAA65">
            <w:pPr>
              <w:jc w:val="center"/>
              <w:rPr>
                <w:rFonts w:ascii="Times New Roman" w:hAnsi="Times New Roman" w:eastAsia="宋体" w:cs="Times New Roman"/>
                <w:szCs w:val="21"/>
              </w:rPr>
            </w:pPr>
            <w:r>
              <w:rPr>
                <w:rFonts w:ascii="Times New Roman" w:hAnsi="Times New Roman" w:eastAsia="宋体" w:cs="Times New Roman"/>
                <w:szCs w:val="21"/>
              </w:rPr>
              <w:t>吉贵祥</w:t>
            </w:r>
          </w:p>
        </w:tc>
        <w:tc>
          <w:tcPr>
            <w:tcW w:w="3067" w:type="dxa"/>
            <w:vAlign w:val="center"/>
          </w:tcPr>
          <w:p w14:paraId="3812AFE0">
            <w:pPr>
              <w:jc w:val="center"/>
              <w:rPr>
                <w:rFonts w:ascii="Times New Roman" w:hAnsi="Times New Roman" w:cs="Times New Roman"/>
                <w:szCs w:val="21"/>
              </w:rPr>
            </w:pPr>
            <w:r>
              <w:rPr>
                <w:rFonts w:ascii="Times New Roman" w:hAnsi="Times New Roman" w:cs="Times New Roman"/>
                <w:szCs w:val="21"/>
              </w:rPr>
              <w:t>采纳。6.2.2.节“当现有环境监测数据不足以支持评估时，则开展环境健康现场调查或监测。重点关注区域应根据区域主要排放源及其可能的影响范围、暴露人群分布等确定。具体要求可按照DB 32/T 4260 执行。” 有代表性的健康数据则主要由健康资料包括海南居民健康档案、疾病监测、卫生统计年鉴及环境污染健康影响调查报告等获取。</w:t>
            </w:r>
          </w:p>
        </w:tc>
      </w:tr>
      <w:tr w14:paraId="309B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2854B908">
            <w:pPr>
              <w:jc w:val="center"/>
              <w:rPr>
                <w:rFonts w:ascii="Times New Roman" w:hAnsi="Times New Roman" w:eastAsia="宋体" w:cs="Times New Roman"/>
                <w:szCs w:val="21"/>
              </w:rPr>
            </w:pPr>
            <w:r>
              <w:rPr>
                <w:rFonts w:ascii="Times New Roman" w:hAnsi="Times New Roman" w:eastAsia="宋体" w:cs="Times New Roman"/>
                <w:szCs w:val="21"/>
              </w:rPr>
              <w:t>13</w:t>
            </w:r>
          </w:p>
        </w:tc>
        <w:tc>
          <w:tcPr>
            <w:tcW w:w="1081" w:type="dxa"/>
            <w:vAlign w:val="center"/>
          </w:tcPr>
          <w:p w14:paraId="108F36F6">
            <w:pPr>
              <w:jc w:val="center"/>
              <w:rPr>
                <w:rFonts w:ascii="Times New Roman" w:hAnsi="Times New Roman" w:cs="Times New Roman"/>
                <w:szCs w:val="21"/>
              </w:rPr>
            </w:pPr>
            <w:r>
              <w:rPr>
                <w:rFonts w:ascii="Times New Roman" w:hAnsi="Times New Roman" w:cs="Times New Roman"/>
                <w:szCs w:val="21"/>
              </w:rPr>
              <w:t>7.3暴露模型选择</w:t>
            </w:r>
          </w:p>
        </w:tc>
        <w:tc>
          <w:tcPr>
            <w:tcW w:w="2888" w:type="dxa"/>
            <w:vAlign w:val="center"/>
          </w:tcPr>
          <w:p w14:paraId="76449E38">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建议写清暴露接触为皮肤接触是游泳还是沐浴，可能更多是沐浴途径。</w:t>
            </w:r>
          </w:p>
        </w:tc>
        <w:tc>
          <w:tcPr>
            <w:tcW w:w="3260" w:type="dxa"/>
            <w:vAlign w:val="center"/>
          </w:tcPr>
          <w:p w14:paraId="747EA310">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暴露途径涉及后面暴露参数的确定。</w:t>
            </w:r>
          </w:p>
        </w:tc>
        <w:tc>
          <w:tcPr>
            <w:tcW w:w="1609" w:type="dxa"/>
            <w:vAlign w:val="center"/>
          </w:tcPr>
          <w:p w14:paraId="226F8195">
            <w:pPr>
              <w:jc w:val="center"/>
              <w:rPr>
                <w:rFonts w:ascii="Times New Roman" w:hAnsi="Times New Roman" w:eastAsia="宋体" w:cs="Times New Roman"/>
                <w:szCs w:val="21"/>
              </w:rPr>
            </w:pPr>
            <w:r>
              <w:rPr>
                <w:rFonts w:ascii="Times New Roman" w:hAnsi="Times New Roman" w:eastAsia="宋体" w:cs="Times New Roman"/>
                <w:szCs w:val="21"/>
              </w:rPr>
              <w:t>吉贵祥</w:t>
            </w:r>
          </w:p>
        </w:tc>
        <w:tc>
          <w:tcPr>
            <w:tcW w:w="3067" w:type="dxa"/>
            <w:vAlign w:val="center"/>
          </w:tcPr>
          <w:p w14:paraId="00714D9B">
            <w:pPr>
              <w:jc w:val="center"/>
              <w:rPr>
                <w:rFonts w:ascii="Times New Roman" w:hAnsi="Times New Roman" w:cs="Times New Roman"/>
                <w:szCs w:val="21"/>
              </w:rPr>
            </w:pPr>
            <w:r>
              <w:rPr>
                <w:rFonts w:ascii="Times New Roman" w:hAnsi="Times New Roman" w:cs="Times New Roman"/>
                <w:szCs w:val="21"/>
              </w:rPr>
              <w:t>采纳，已根据专家意见，在“7.2.1”中标明皮肤接触主要针对洗澡、盥洗。</w:t>
            </w:r>
          </w:p>
        </w:tc>
      </w:tr>
      <w:tr w14:paraId="7692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573FC4F5">
            <w:pPr>
              <w:jc w:val="center"/>
              <w:rPr>
                <w:rFonts w:ascii="Times New Roman" w:hAnsi="Times New Roman" w:eastAsia="宋体" w:cs="Times New Roman"/>
                <w:szCs w:val="21"/>
              </w:rPr>
            </w:pPr>
            <w:r>
              <w:rPr>
                <w:rFonts w:ascii="Times New Roman" w:hAnsi="Times New Roman" w:eastAsia="宋体" w:cs="Times New Roman"/>
                <w:szCs w:val="21"/>
              </w:rPr>
              <w:t>14</w:t>
            </w:r>
          </w:p>
        </w:tc>
        <w:tc>
          <w:tcPr>
            <w:tcW w:w="1081" w:type="dxa"/>
            <w:vAlign w:val="center"/>
          </w:tcPr>
          <w:p w14:paraId="01A05E7D">
            <w:pPr>
              <w:jc w:val="center"/>
              <w:rPr>
                <w:rFonts w:ascii="Times New Roman" w:hAnsi="Times New Roman" w:cs="Times New Roman"/>
                <w:szCs w:val="21"/>
              </w:rPr>
            </w:pPr>
            <w:r>
              <w:rPr>
                <w:rFonts w:ascii="Times New Roman" w:hAnsi="Times New Roman" w:cs="Times New Roman"/>
                <w:szCs w:val="21"/>
              </w:rPr>
              <w:t>10不确定性分析</w:t>
            </w:r>
          </w:p>
        </w:tc>
        <w:tc>
          <w:tcPr>
            <w:tcW w:w="2888" w:type="dxa"/>
            <w:vAlign w:val="center"/>
          </w:tcPr>
          <w:p w14:paraId="0D232337">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现暴露评估部分采用的污染物浓度为饮用水源地污染物浓度，但饮用水通过处理（处理厂、家庭净水器）可能会导致暴露浓度有削减。</w:t>
            </w:r>
          </w:p>
        </w:tc>
        <w:tc>
          <w:tcPr>
            <w:tcW w:w="3260" w:type="dxa"/>
            <w:vAlign w:val="center"/>
          </w:tcPr>
          <w:p w14:paraId="74842416">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更准确反映实际暴露水平。</w:t>
            </w:r>
          </w:p>
        </w:tc>
        <w:tc>
          <w:tcPr>
            <w:tcW w:w="1609" w:type="dxa"/>
            <w:vAlign w:val="center"/>
          </w:tcPr>
          <w:p w14:paraId="653CE5C8">
            <w:pPr>
              <w:jc w:val="center"/>
              <w:rPr>
                <w:rFonts w:ascii="Times New Roman" w:hAnsi="Times New Roman" w:eastAsia="宋体" w:cs="Times New Roman"/>
                <w:szCs w:val="21"/>
              </w:rPr>
            </w:pPr>
            <w:r>
              <w:rPr>
                <w:rFonts w:ascii="Times New Roman" w:hAnsi="Times New Roman" w:eastAsia="宋体" w:cs="Times New Roman"/>
                <w:szCs w:val="21"/>
              </w:rPr>
              <w:t>吉贵祥</w:t>
            </w:r>
          </w:p>
        </w:tc>
        <w:tc>
          <w:tcPr>
            <w:tcW w:w="3067" w:type="dxa"/>
            <w:vAlign w:val="center"/>
          </w:tcPr>
          <w:p w14:paraId="02177D66">
            <w:pPr>
              <w:jc w:val="center"/>
              <w:rPr>
                <w:rFonts w:ascii="Times New Roman" w:hAnsi="Times New Roman" w:cs="Times New Roman"/>
                <w:szCs w:val="21"/>
                <w:highlight w:val="yellow"/>
              </w:rPr>
            </w:pPr>
            <w:r>
              <w:rPr>
                <w:rFonts w:ascii="Times New Roman" w:hAnsi="Times New Roman" w:cs="Times New Roman"/>
                <w:szCs w:val="21"/>
              </w:rPr>
              <w:t>采纳。已按照专家意见补充完善不确定性分析。详见第10章。</w:t>
            </w:r>
          </w:p>
        </w:tc>
      </w:tr>
      <w:tr w14:paraId="0BA7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3F24C057">
            <w:pPr>
              <w:jc w:val="center"/>
              <w:rPr>
                <w:rFonts w:ascii="Times New Roman" w:hAnsi="Times New Roman" w:eastAsia="宋体" w:cs="Times New Roman"/>
                <w:szCs w:val="21"/>
              </w:rPr>
            </w:pPr>
            <w:r>
              <w:rPr>
                <w:rFonts w:ascii="Times New Roman" w:hAnsi="Times New Roman" w:eastAsia="宋体" w:cs="Times New Roman"/>
                <w:szCs w:val="21"/>
              </w:rPr>
              <w:t>15</w:t>
            </w:r>
          </w:p>
        </w:tc>
        <w:tc>
          <w:tcPr>
            <w:tcW w:w="1081" w:type="dxa"/>
            <w:vAlign w:val="center"/>
          </w:tcPr>
          <w:p w14:paraId="5AA1FB5C">
            <w:pPr>
              <w:jc w:val="center"/>
              <w:rPr>
                <w:rFonts w:ascii="Times New Roman" w:hAnsi="Times New Roman" w:cs="Times New Roman"/>
                <w:szCs w:val="21"/>
              </w:rPr>
            </w:pPr>
            <w:r>
              <w:rPr>
                <w:rFonts w:ascii="Times New Roman" w:hAnsi="Times New Roman" w:cs="Times New Roman"/>
                <w:szCs w:val="21"/>
              </w:rPr>
              <w:t>附录</w:t>
            </w:r>
          </w:p>
        </w:tc>
        <w:tc>
          <w:tcPr>
            <w:tcW w:w="2888" w:type="dxa"/>
            <w:vAlign w:val="center"/>
          </w:tcPr>
          <w:p w14:paraId="07C5BE54">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建议细化本地的暴露参数并给出推荐值，婴儿、青少年、成人相关暴露参数做表格放附录。表格中可以包括摄水量、暴露年纪、暴露时间、暴露频率等相关信息。</w:t>
            </w:r>
          </w:p>
        </w:tc>
        <w:tc>
          <w:tcPr>
            <w:tcW w:w="3260" w:type="dxa"/>
            <w:vAlign w:val="center"/>
          </w:tcPr>
          <w:p w14:paraId="37040773">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1.1—2020中“5.4.3 易用性原则”。</w:t>
            </w:r>
          </w:p>
        </w:tc>
        <w:tc>
          <w:tcPr>
            <w:tcW w:w="1609" w:type="dxa"/>
            <w:vAlign w:val="center"/>
          </w:tcPr>
          <w:p w14:paraId="72381E4D">
            <w:pPr>
              <w:jc w:val="center"/>
              <w:rPr>
                <w:rFonts w:ascii="Times New Roman" w:hAnsi="Times New Roman" w:eastAsia="宋体" w:cs="Times New Roman"/>
                <w:szCs w:val="21"/>
              </w:rPr>
            </w:pPr>
            <w:r>
              <w:rPr>
                <w:rFonts w:ascii="Times New Roman" w:hAnsi="Times New Roman" w:eastAsia="宋体" w:cs="Times New Roman"/>
                <w:szCs w:val="21"/>
              </w:rPr>
              <w:t>吉贵祥</w:t>
            </w:r>
          </w:p>
        </w:tc>
        <w:tc>
          <w:tcPr>
            <w:tcW w:w="3067" w:type="dxa"/>
            <w:vAlign w:val="center"/>
          </w:tcPr>
          <w:p w14:paraId="7D1E1CFA">
            <w:pPr>
              <w:jc w:val="center"/>
              <w:rPr>
                <w:rFonts w:ascii="Times New Roman" w:hAnsi="Times New Roman" w:cs="Times New Roman"/>
                <w:szCs w:val="21"/>
                <w:highlight w:val="yellow"/>
              </w:rPr>
            </w:pPr>
            <w:r>
              <w:rPr>
                <w:rFonts w:ascii="Times New Roman" w:hAnsi="Times New Roman" w:cs="Times New Roman"/>
                <w:szCs w:val="21"/>
              </w:rPr>
              <w:t>采纳。已按专家意见补充，详见“附录D暴露评估模型主要参数及推荐值（海南省）”。</w:t>
            </w:r>
          </w:p>
        </w:tc>
      </w:tr>
      <w:tr w14:paraId="4782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38A7223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w:t>
            </w:r>
          </w:p>
        </w:tc>
        <w:tc>
          <w:tcPr>
            <w:tcW w:w="1081" w:type="dxa"/>
            <w:vAlign w:val="center"/>
          </w:tcPr>
          <w:p w14:paraId="3AD63174">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7.3暴露模型选择、7.4暴露参数选择等</w:t>
            </w:r>
          </w:p>
        </w:tc>
        <w:tc>
          <w:tcPr>
            <w:tcW w:w="2888" w:type="dxa"/>
            <w:vAlign w:val="center"/>
          </w:tcPr>
          <w:p w14:paraId="509E9A95">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饮水分为直接饮水和间接饮水，建议明确摄水率是指直接饮水还是同时考虑直接饮水和间接饮水。</w:t>
            </w:r>
          </w:p>
        </w:tc>
        <w:tc>
          <w:tcPr>
            <w:tcW w:w="3260" w:type="dxa"/>
            <w:vAlign w:val="center"/>
          </w:tcPr>
          <w:p w14:paraId="68402FC9">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明确摄水率是否包含直接饮水和间接饮水，有利于统一参数取值口径。</w:t>
            </w:r>
          </w:p>
        </w:tc>
        <w:tc>
          <w:tcPr>
            <w:tcW w:w="1609" w:type="dxa"/>
            <w:vAlign w:val="center"/>
          </w:tcPr>
          <w:p w14:paraId="4F94BA5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吉贵祥</w:t>
            </w:r>
          </w:p>
        </w:tc>
        <w:tc>
          <w:tcPr>
            <w:tcW w:w="3067" w:type="dxa"/>
            <w:vAlign w:val="center"/>
          </w:tcPr>
          <w:p w14:paraId="53BA76DD">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采纳。已按照专家意见在编制说明“（四）主要条款”中明确采用总饮水摄入量，不再区分直接饮水和间接饮水。附录D也已列出海南省饮水暴露量参数推荐值。</w:t>
            </w:r>
          </w:p>
        </w:tc>
      </w:tr>
      <w:tr w14:paraId="2F92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49FC93E8">
            <w:pPr>
              <w:jc w:val="center"/>
              <w:rPr>
                <w:rFonts w:ascii="Times New Roman" w:hAnsi="Times New Roman" w:eastAsia="宋体" w:cs="Times New Roman"/>
                <w:szCs w:val="21"/>
              </w:rPr>
            </w:pPr>
            <w:r>
              <w:rPr>
                <w:rFonts w:ascii="Times New Roman" w:hAnsi="Times New Roman" w:eastAsia="宋体" w:cs="Times New Roman"/>
                <w:szCs w:val="21"/>
              </w:rPr>
              <w:t>17</w:t>
            </w:r>
          </w:p>
        </w:tc>
        <w:tc>
          <w:tcPr>
            <w:tcW w:w="1081" w:type="dxa"/>
            <w:vAlign w:val="center"/>
          </w:tcPr>
          <w:p w14:paraId="61E88564">
            <w:pPr>
              <w:jc w:val="center"/>
              <w:rPr>
                <w:rFonts w:ascii="Times New Roman" w:hAnsi="Times New Roman" w:cs="Times New Roman"/>
                <w:szCs w:val="21"/>
              </w:rPr>
            </w:pPr>
            <w:r>
              <w:rPr>
                <w:rFonts w:ascii="Times New Roman" w:hAnsi="Times New Roman" w:cs="Times New Roman"/>
                <w:szCs w:val="21"/>
              </w:rPr>
              <w:t>附录D</w:t>
            </w:r>
          </w:p>
        </w:tc>
        <w:tc>
          <w:tcPr>
            <w:tcW w:w="2888" w:type="dxa"/>
            <w:vAlign w:val="center"/>
          </w:tcPr>
          <w:p w14:paraId="0E5B1ED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毒性参数推导方法，2021年《化学物质环境健康风险评估技术指南》（WS/T 777-2021）中的方法，建议直接引用。</w:t>
            </w:r>
          </w:p>
        </w:tc>
        <w:tc>
          <w:tcPr>
            <w:tcW w:w="3260" w:type="dxa"/>
            <w:vAlign w:val="center"/>
          </w:tcPr>
          <w:p w14:paraId="43E2DFBD">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与现行技术指南保持一致性。</w:t>
            </w:r>
          </w:p>
        </w:tc>
        <w:tc>
          <w:tcPr>
            <w:tcW w:w="1609" w:type="dxa"/>
            <w:vAlign w:val="center"/>
          </w:tcPr>
          <w:p w14:paraId="18D3F444">
            <w:pPr>
              <w:jc w:val="center"/>
              <w:rPr>
                <w:rFonts w:ascii="Times New Roman" w:hAnsi="Times New Roman" w:eastAsia="宋体" w:cs="Times New Roman"/>
                <w:szCs w:val="21"/>
              </w:rPr>
            </w:pPr>
            <w:r>
              <w:rPr>
                <w:rFonts w:ascii="Times New Roman" w:hAnsi="Times New Roman" w:eastAsia="宋体" w:cs="Times New Roman"/>
                <w:szCs w:val="21"/>
              </w:rPr>
              <w:t>吉贵祥</w:t>
            </w:r>
          </w:p>
        </w:tc>
        <w:tc>
          <w:tcPr>
            <w:tcW w:w="3067" w:type="dxa"/>
            <w:vAlign w:val="center"/>
          </w:tcPr>
          <w:p w14:paraId="2D6FB4CD">
            <w:pPr>
              <w:jc w:val="center"/>
              <w:rPr>
                <w:rFonts w:ascii="Times New Roman" w:hAnsi="Times New Roman" w:cs="Times New Roman"/>
                <w:szCs w:val="21"/>
              </w:rPr>
            </w:pPr>
            <w:r>
              <w:rPr>
                <w:rFonts w:ascii="Times New Roman" w:hAnsi="Times New Roman" w:cs="Times New Roman"/>
                <w:szCs w:val="21"/>
              </w:rPr>
              <w:t>采纳。在8.2.3节进行修改，改为直接引用。删除附录D。</w:t>
            </w:r>
          </w:p>
        </w:tc>
      </w:tr>
      <w:tr w14:paraId="15F6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760A8692">
            <w:pPr>
              <w:jc w:val="center"/>
              <w:rPr>
                <w:rFonts w:ascii="Times New Roman" w:hAnsi="Times New Roman" w:eastAsia="宋体" w:cs="Times New Roman"/>
                <w:szCs w:val="21"/>
              </w:rPr>
            </w:pPr>
            <w:r>
              <w:rPr>
                <w:rFonts w:ascii="Times New Roman" w:hAnsi="Times New Roman" w:eastAsia="宋体" w:cs="Times New Roman"/>
                <w:szCs w:val="21"/>
              </w:rPr>
              <w:t>18</w:t>
            </w:r>
          </w:p>
        </w:tc>
        <w:tc>
          <w:tcPr>
            <w:tcW w:w="1081" w:type="dxa"/>
            <w:vAlign w:val="center"/>
          </w:tcPr>
          <w:p w14:paraId="75331711">
            <w:pPr>
              <w:jc w:val="center"/>
              <w:rPr>
                <w:rFonts w:ascii="Times New Roman" w:hAnsi="Times New Roman" w:cs="Times New Roman"/>
                <w:szCs w:val="21"/>
              </w:rPr>
            </w:pPr>
            <w:r>
              <w:rPr>
                <w:rFonts w:ascii="Times New Roman" w:hAnsi="Times New Roman" w:cs="Times New Roman"/>
                <w:szCs w:val="21"/>
              </w:rPr>
              <w:t>目次</w:t>
            </w:r>
          </w:p>
        </w:tc>
        <w:tc>
          <w:tcPr>
            <w:tcW w:w="2888" w:type="dxa"/>
            <w:vAlign w:val="center"/>
          </w:tcPr>
          <w:p w14:paraId="79E69E20">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需更新，附录B在目次中为附录D；而附录D在目次中为附录B。</w:t>
            </w:r>
          </w:p>
        </w:tc>
        <w:tc>
          <w:tcPr>
            <w:tcW w:w="3260" w:type="dxa"/>
            <w:vAlign w:val="center"/>
          </w:tcPr>
          <w:p w14:paraId="70497EC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1.1—2020中“8.2 目次”，目次用来呈现文件的结构，确保目录与附录编号及顺序一致。</w:t>
            </w:r>
          </w:p>
        </w:tc>
        <w:tc>
          <w:tcPr>
            <w:tcW w:w="1609" w:type="dxa"/>
            <w:vAlign w:val="center"/>
          </w:tcPr>
          <w:p w14:paraId="56590B50">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3CBDFD17">
            <w:pPr>
              <w:jc w:val="center"/>
              <w:rPr>
                <w:rFonts w:ascii="Times New Roman" w:hAnsi="Times New Roman" w:cs="Times New Roman"/>
                <w:szCs w:val="21"/>
              </w:rPr>
            </w:pPr>
            <w:r>
              <w:rPr>
                <w:rFonts w:ascii="Times New Roman" w:hAnsi="Times New Roman" w:cs="Times New Roman"/>
                <w:szCs w:val="21"/>
              </w:rPr>
              <w:t>采纳，已按目录核实文本中附录顺序。</w:t>
            </w:r>
          </w:p>
        </w:tc>
      </w:tr>
      <w:tr w14:paraId="1493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524A5E2B">
            <w:pPr>
              <w:jc w:val="center"/>
              <w:rPr>
                <w:rFonts w:ascii="Times New Roman" w:hAnsi="Times New Roman" w:eastAsia="宋体" w:cs="Times New Roman"/>
                <w:szCs w:val="21"/>
              </w:rPr>
            </w:pPr>
            <w:r>
              <w:rPr>
                <w:rFonts w:ascii="Times New Roman" w:hAnsi="Times New Roman" w:eastAsia="宋体" w:cs="Times New Roman"/>
                <w:szCs w:val="21"/>
              </w:rPr>
              <w:t>19</w:t>
            </w:r>
          </w:p>
        </w:tc>
        <w:tc>
          <w:tcPr>
            <w:tcW w:w="1081" w:type="dxa"/>
            <w:vAlign w:val="center"/>
          </w:tcPr>
          <w:p w14:paraId="2246BC3F">
            <w:pPr>
              <w:jc w:val="center"/>
              <w:rPr>
                <w:rFonts w:ascii="Times New Roman" w:hAnsi="Times New Roman" w:cs="Times New Roman"/>
                <w:szCs w:val="21"/>
              </w:rPr>
            </w:pPr>
            <w:r>
              <w:rPr>
                <w:rFonts w:ascii="Times New Roman" w:hAnsi="Times New Roman" w:cs="Times New Roman"/>
                <w:szCs w:val="21"/>
              </w:rPr>
              <w:t>2 规范性引用文件</w:t>
            </w:r>
          </w:p>
        </w:tc>
        <w:tc>
          <w:tcPr>
            <w:tcW w:w="2888" w:type="dxa"/>
            <w:vAlign w:val="center"/>
          </w:tcPr>
          <w:p w14:paraId="31B0CA48">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国家环境监测总站分析字后面的括号应用规范的六角括号(〔〕)</w:t>
            </w:r>
          </w:p>
        </w:tc>
        <w:tc>
          <w:tcPr>
            <w:tcW w:w="3260" w:type="dxa"/>
            <w:vAlign w:val="center"/>
          </w:tcPr>
          <w:p w14:paraId="15A8CE37">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表述形式应规范统一。</w:t>
            </w:r>
          </w:p>
        </w:tc>
        <w:tc>
          <w:tcPr>
            <w:tcW w:w="1609" w:type="dxa"/>
            <w:vAlign w:val="center"/>
          </w:tcPr>
          <w:p w14:paraId="40AAA640">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06C1C766">
            <w:pPr>
              <w:jc w:val="center"/>
              <w:rPr>
                <w:rFonts w:ascii="Times New Roman" w:hAnsi="Times New Roman" w:cs="Times New Roman"/>
                <w:szCs w:val="21"/>
              </w:rPr>
            </w:pPr>
            <w:r>
              <w:rPr>
                <w:rFonts w:ascii="Times New Roman" w:hAnsi="Times New Roman" w:cs="Times New Roman"/>
                <w:szCs w:val="21"/>
              </w:rPr>
              <w:t>采纳，已将文本中中括号规范为六角括号。</w:t>
            </w:r>
          </w:p>
        </w:tc>
      </w:tr>
      <w:tr w14:paraId="075B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12B9F879">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1081" w:type="dxa"/>
            <w:vAlign w:val="center"/>
          </w:tcPr>
          <w:p w14:paraId="7B9CA79F">
            <w:pPr>
              <w:jc w:val="center"/>
              <w:rPr>
                <w:rFonts w:ascii="Times New Roman" w:hAnsi="Times New Roman" w:cs="Times New Roman"/>
                <w:szCs w:val="21"/>
              </w:rPr>
            </w:pPr>
            <w:r>
              <w:rPr>
                <w:rFonts w:ascii="Times New Roman" w:hAnsi="Times New Roman" w:cs="Times New Roman"/>
                <w:szCs w:val="21"/>
              </w:rPr>
              <w:t>3 术语和定义</w:t>
            </w:r>
          </w:p>
        </w:tc>
        <w:tc>
          <w:tcPr>
            <w:tcW w:w="2888" w:type="dxa"/>
            <w:vAlign w:val="center"/>
          </w:tcPr>
          <w:p w14:paraId="71319402">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建议给出术语来源（如引用已有标准，需注明标标准号），或者基于已有标准术语的修改（需注明标注号，并且说明“有修改”）；没有术语来源的，建议给出“自定义”的说明。</w:t>
            </w:r>
          </w:p>
        </w:tc>
        <w:tc>
          <w:tcPr>
            <w:tcW w:w="3260" w:type="dxa"/>
            <w:vAlign w:val="center"/>
          </w:tcPr>
          <w:p w14:paraId="2DCABC6E">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1.1—2020“8.7术语和定义”。</w:t>
            </w:r>
          </w:p>
        </w:tc>
        <w:tc>
          <w:tcPr>
            <w:tcW w:w="1609" w:type="dxa"/>
            <w:vAlign w:val="center"/>
          </w:tcPr>
          <w:p w14:paraId="45F43FE2">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2318358F">
            <w:pPr>
              <w:jc w:val="center"/>
              <w:rPr>
                <w:rFonts w:ascii="Times New Roman" w:hAnsi="Times New Roman" w:cs="Times New Roman"/>
                <w:szCs w:val="21"/>
              </w:rPr>
            </w:pPr>
            <w:r>
              <w:rPr>
                <w:rFonts w:ascii="Times New Roman" w:hAnsi="Times New Roman" w:cs="Times New Roman"/>
                <w:szCs w:val="21"/>
              </w:rPr>
              <w:t>采纳，已按照专家意见标注术语来源，具体见编制指南。</w:t>
            </w:r>
          </w:p>
        </w:tc>
      </w:tr>
      <w:tr w14:paraId="3C44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66DCE9D5">
            <w:pPr>
              <w:jc w:val="center"/>
              <w:rPr>
                <w:rFonts w:ascii="Times New Roman" w:hAnsi="Times New Roman" w:eastAsia="宋体" w:cs="Times New Roman"/>
                <w:szCs w:val="21"/>
              </w:rPr>
            </w:pPr>
            <w:r>
              <w:rPr>
                <w:rFonts w:ascii="Times New Roman" w:hAnsi="Times New Roman" w:eastAsia="宋体" w:cs="Times New Roman"/>
                <w:szCs w:val="21"/>
              </w:rPr>
              <w:t>21</w:t>
            </w:r>
          </w:p>
        </w:tc>
        <w:tc>
          <w:tcPr>
            <w:tcW w:w="1081" w:type="dxa"/>
            <w:vAlign w:val="center"/>
          </w:tcPr>
          <w:p w14:paraId="360FCAF4">
            <w:pPr>
              <w:jc w:val="center"/>
              <w:rPr>
                <w:rFonts w:ascii="Times New Roman" w:hAnsi="Times New Roman" w:cs="Times New Roman"/>
                <w:szCs w:val="21"/>
              </w:rPr>
            </w:pPr>
            <w:r>
              <w:rPr>
                <w:rFonts w:ascii="Times New Roman" w:hAnsi="Times New Roman" w:cs="Times New Roman"/>
                <w:szCs w:val="21"/>
              </w:rPr>
              <w:t>3.7 风险表征</w:t>
            </w:r>
          </w:p>
        </w:tc>
        <w:tc>
          <w:tcPr>
            <w:tcW w:w="2888" w:type="dxa"/>
            <w:vAlign w:val="center"/>
          </w:tcPr>
          <w:p w14:paraId="4017F7C0">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“……可能其不确定性的过程。”是否遗漏了“及”字？</w:t>
            </w:r>
          </w:p>
        </w:tc>
        <w:tc>
          <w:tcPr>
            <w:tcW w:w="3260" w:type="dxa"/>
            <w:vAlign w:val="center"/>
          </w:tcPr>
          <w:p w14:paraId="718375F0">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语义更完整，表述更清晰。</w:t>
            </w:r>
          </w:p>
        </w:tc>
        <w:tc>
          <w:tcPr>
            <w:tcW w:w="1609" w:type="dxa"/>
            <w:vAlign w:val="center"/>
          </w:tcPr>
          <w:p w14:paraId="1FD7778E">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463BCEE4">
            <w:pPr>
              <w:jc w:val="center"/>
              <w:rPr>
                <w:rFonts w:ascii="Times New Roman" w:hAnsi="Times New Roman" w:cs="Times New Roman"/>
                <w:szCs w:val="21"/>
              </w:rPr>
            </w:pPr>
            <w:r>
              <w:rPr>
                <w:rFonts w:ascii="Times New Roman" w:hAnsi="Times New Roman" w:cs="Times New Roman"/>
                <w:szCs w:val="21"/>
              </w:rPr>
              <w:t>采纳，对文本规范性进行核对，已按专家意见修改。</w:t>
            </w:r>
          </w:p>
        </w:tc>
      </w:tr>
      <w:tr w14:paraId="1A58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717BE95A">
            <w:pPr>
              <w:jc w:val="center"/>
              <w:rPr>
                <w:rFonts w:ascii="Times New Roman" w:hAnsi="Times New Roman" w:eastAsia="宋体" w:cs="Times New Roman"/>
                <w:szCs w:val="21"/>
              </w:rPr>
            </w:pPr>
            <w:r>
              <w:rPr>
                <w:rFonts w:ascii="Times New Roman" w:hAnsi="Times New Roman" w:eastAsia="宋体" w:cs="Times New Roman"/>
                <w:szCs w:val="21"/>
              </w:rPr>
              <w:t>22</w:t>
            </w:r>
          </w:p>
        </w:tc>
        <w:tc>
          <w:tcPr>
            <w:tcW w:w="1081" w:type="dxa"/>
            <w:vAlign w:val="center"/>
          </w:tcPr>
          <w:p w14:paraId="41527F50">
            <w:pPr>
              <w:jc w:val="center"/>
              <w:rPr>
                <w:rFonts w:ascii="Times New Roman" w:hAnsi="Times New Roman" w:cs="Times New Roman"/>
                <w:szCs w:val="21"/>
              </w:rPr>
            </w:pPr>
            <w:r>
              <w:rPr>
                <w:rFonts w:ascii="Times New Roman" w:hAnsi="Times New Roman" w:cs="Times New Roman"/>
                <w:szCs w:val="21"/>
              </w:rPr>
              <w:t>4.1 审慎性</w:t>
            </w:r>
          </w:p>
        </w:tc>
        <w:tc>
          <w:tcPr>
            <w:tcW w:w="2888" w:type="dxa"/>
            <w:vAlign w:val="center"/>
          </w:tcPr>
          <w:p w14:paraId="63707828">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“在存在科学不确定性或……”，这里的“科学不确定性”概念模糊，需阐明。</w:t>
            </w:r>
          </w:p>
        </w:tc>
        <w:tc>
          <w:tcPr>
            <w:tcW w:w="3260" w:type="dxa"/>
            <w:vAlign w:val="center"/>
          </w:tcPr>
          <w:p w14:paraId="7AC8748D">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1.1—2020中“5.4.3 易用性原则”，</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该概念表述较为笼统，适当阐明有利于提高文本表述的明确性和易用性。</w:t>
            </w:r>
          </w:p>
        </w:tc>
        <w:tc>
          <w:tcPr>
            <w:tcW w:w="1609" w:type="dxa"/>
            <w:vAlign w:val="center"/>
          </w:tcPr>
          <w:p w14:paraId="04252DFF">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19AD81D6">
            <w:pPr>
              <w:jc w:val="center"/>
              <w:rPr>
                <w:rFonts w:ascii="Times New Roman" w:hAnsi="Times New Roman" w:cs="Times New Roman"/>
                <w:szCs w:val="21"/>
              </w:rPr>
            </w:pPr>
            <w:r>
              <w:rPr>
                <w:rFonts w:ascii="Times New Roman" w:hAnsi="Times New Roman" w:cs="Times New Roman"/>
                <w:szCs w:val="21"/>
              </w:rPr>
              <w:t>采纳，对文本规范性进行核对，已对“存在科学不确定性”明确为“数据存在科学不确定性”。</w:t>
            </w:r>
          </w:p>
        </w:tc>
      </w:tr>
      <w:tr w14:paraId="60A5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40F61E9A">
            <w:pPr>
              <w:jc w:val="center"/>
              <w:rPr>
                <w:rFonts w:ascii="Times New Roman" w:hAnsi="Times New Roman" w:eastAsia="宋体" w:cs="Times New Roman"/>
                <w:szCs w:val="21"/>
              </w:rPr>
            </w:pPr>
            <w:r>
              <w:rPr>
                <w:rFonts w:ascii="Times New Roman" w:hAnsi="Times New Roman" w:eastAsia="宋体" w:cs="Times New Roman"/>
                <w:szCs w:val="21"/>
              </w:rPr>
              <w:t>23</w:t>
            </w:r>
          </w:p>
        </w:tc>
        <w:tc>
          <w:tcPr>
            <w:tcW w:w="1081" w:type="dxa"/>
            <w:vAlign w:val="center"/>
          </w:tcPr>
          <w:p w14:paraId="6BB9ED0F">
            <w:pPr>
              <w:jc w:val="center"/>
              <w:rPr>
                <w:rFonts w:ascii="Times New Roman" w:hAnsi="Times New Roman" w:cs="Times New Roman"/>
                <w:szCs w:val="21"/>
              </w:rPr>
            </w:pPr>
            <w:r>
              <w:rPr>
                <w:rFonts w:ascii="Times New Roman" w:hAnsi="Times New Roman" w:cs="Times New Roman"/>
                <w:szCs w:val="21"/>
              </w:rPr>
              <w:t>4.3 透明性</w:t>
            </w:r>
          </w:p>
        </w:tc>
        <w:tc>
          <w:tcPr>
            <w:tcW w:w="2888" w:type="dxa"/>
            <w:vAlign w:val="center"/>
          </w:tcPr>
          <w:p w14:paraId="756CEC98">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“……撰写清晰、完整、易于理解……”，这句话在“撰写”之后是否补充“材料”两字？</w:t>
            </w:r>
          </w:p>
        </w:tc>
        <w:tc>
          <w:tcPr>
            <w:tcW w:w="3260" w:type="dxa"/>
            <w:vAlign w:val="center"/>
          </w:tcPr>
          <w:p w14:paraId="01D09522">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语义更完整，表述更清晰。</w:t>
            </w:r>
          </w:p>
        </w:tc>
        <w:tc>
          <w:tcPr>
            <w:tcW w:w="1609" w:type="dxa"/>
            <w:vAlign w:val="center"/>
          </w:tcPr>
          <w:p w14:paraId="0CB9260D">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42BD18AD">
            <w:pPr>
              <w:jc w:val="center"/>
              <w:rPr>
                <w:rFonts w:ascii="Times New Roman" w:hAnsi="Times New Roman" w:cs="Times New Roman"/>
                <w:szCs w:val="21"/>
              </w:rPr>
            </w:pPr>
            <w:r>
              <w:rPr>
                <w:rFonts w:ascii="Times New Roman" w:hAnsi="Times New Roman" w:cs="Times New Roman"/>
                <w:szCs w:val="21"/>
              </w:rPr>
              <w:t>采纳，对文本规范性进行核对，已按专家意见进行补充。</w:t>
            </w:r>
          </w:p>
        </w:tc>
      </w:tr>
      <w:tr w14:paraId="2F7D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0445ADDE">
            <w:pPr>
              <w:jc w:val="center"/>
              <w:rPr>
                <w:rFonts w:ascii="Times New Roman" w:hAnsi="Times New Roman" w:eastAsia="宋体" w:cs="Times New Roman"/>
                <w:szCs w:val="21"/>
              </w:rPr>
            </w:pPr>
            <w:r>
              <w:rPr>
                <w:rFonts w:ascii="Times New Roman" w:hAnsi="Times New Roman" w:eastAsia="宋体" w:cs="Times New Roman"/>
                <w:szCs w:val="21"/>
              </w:rPr>
              <w:t>24</w:t>
            </w:r>
          </w:p>
        </w:tc>
        <w:tc>
          <w:tcPr>
            <w:tcW w:w="1081" w:type="dxa"/>
            <w:vAlign w:val="center"/>
          </w:tcPr>
          <w:p w14:paraId="3D984664">
            <w:pPr>
              <w:jc w:val="center"/>
              <w:rPr>
                <w:rFonts w:ascii="Times New Roman" w:hAnsi="Times New Roman" w:cs="Times New Roman"/>
                <w:szCs w:val="21"/>
              </w:rPr>
            </w:pPr>
            <w:r>
              <w:rPr>
                <w:rFonts w:ascii="Times New Roman" w:hAnsi="Times New Roman" w:cs="Times New Roman"/>
                <w:szCs w:val="21"/>
              </w:rPr>
              <w:t>5 工作程序</w:t>
            </w:r>
          </w:p>
        </w:tc>
        <w:tc>
          <w:tcPr>
            <w:tcW w:w="2888" w:type="dxa"/>
            <w:vAlign w:val="center"/>
          </w:tcPr>
          <w:p w14:paraId="39887B1B">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外框不完整；中间右侧方框内“毒性参数确定确定”，多了个“确定”</w:t>
            </w:r>
          </w:p>
        </w:tc>
        <w:tc>
          <w:tcPr>
            <w:tcW w:w="3260" w:type="dxa"/>
            <w:vAlign w:val="center"/>
          </w:tcPr>
          <w:p w14:paraId="7E818A2A">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1.1—2020中“5.4.3 易用性原则”；存在文字重复，修改后可保证文本表述准确、规范。</w:t>
            </w:r>
          </w:p>
        </w:tc>
        <w:tc>
          <w:tcPr>
            <w:tcW w:w="1609" w:type="dxa"/>
            <w:vAlign w:val="center"/>
          </w:tcPr>
          <w:p w14:paraId="2875E772">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7B9E9F4C">
            <w:pPr>
              <w:jc w:val="center"/>
              <w:rPr>
                <w:rFonts w:ascii="Times New Roman" w:hAnsi="Times New Roman" w:cs="Times New Roman"/>
                <w:szCs w:val="21"/>
              </w:rPr>
            </w:pPr>
            <w:r>
              <w:rPr>
                <w:rFonts w:ascii="Times New Roman" w:hAnsi="Times New Roman" w:cs="Times New Roman"/>
                <w:szCs w:val="21"/>
              </w:rPr>
              <w:t>采纳，已对工作程序图进行修改，详见图1。</w:t>
            </w:r>
          </w:p>
        </w:tc>
      </w:tr>
      <w:tr w14:paraId="6971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258FF0B8">
            <w:pPr>
              <w:jc w:val="center"/>
              <w:rPr>
                <w:rFonts w:ascii="Times New Roman" w:hAnsi="Times New Roman" w:eastAsia="宋体" w:cs="Times New Roman"/>
                <w:szCs w:val="21"/>
              </w:rPr>
            </w:pPr>
            <w:r>
              <w:rPr>
                <w:rFonts w:ascii="Times New Roman" w:hAnsi="Times New Roman" w:eastAsia="宋体" w:cs="Times New Roman"/>
                <w:szCs w:val="21"/>
              </w:rPr>
              <w:t>25</w:t>
            </w:r>
          </w:p>
        </w:tc>
        <w:tc>
          <w:tcPr>
            <w:tcW w:w="1081" w:type="dxa"/>
            <w:vAlign w:val="center"/>
          </w:tcPr>
          <w:p w14:paraId="6EA7AB1B">
            <w:pPr>
              <w:jc w:val="center"/>
              <w:rPr>
                <w:rFonts w:ascii="Times New Roman" w:hAnsi="Times New Roman" w:cs="Times New Roman"/>
                <w:szCs w:val="21"/>
              </w:rPr>
            </w:pPr>
            <w:r>
              <w:rPr>
                <w:rFonts w:ascii="Times New Roman" w:hAnsi="Times New Roman" w:cs="Times New Roman"/>
                <w:szCs w:val="21"/>
              </w:rPr>
              <w:t>6.2.2 环境监测或调查数据</w:t>
            </w:r>
          </w:p>
        </w:tc>
        <w:tc>
          <w:tcPr>
            <w:tcW w:w="2888" w:type="dxa"/>
            <w:vAlign w:val="center"/>
          </w:tcPr>
          <w:p w14:paraId="52D6663F">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第b条，该句子缺少标点符号“。”；新污染物的测定方法：对于同一种污染物，如果两种方法都适用，则应对环境监测总站的作业指导书和GB 5750的优先级，做出明确的规定。此处，只写文件号（标准号）即可。</w:t>
            </w:r>
          </w:p>
        </w:tc>
        <w:tc>
          <w:tcPr>
            <w:tcW w:w="3260" w:type="dxa"/>
            <w:vAlign w:val="center"/>
          </w:tcPr>
          <w:p w14:paraId="5C1B4C68">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1.1—2020中“5.4.3 易用性原则”；保证文本表述准确、规范。</w:t>
            </w:r>
          </w:p>
        </w:tc>
        <w:tc>
          <w:tcPr>
            <w:tcW w:w="1609" w:type="dxa"/>
            <w:vAlign w:val="center"/>
          </w:tcPr>
          <w:p w14:paraId="6DC869E5">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21269C46">
            <w:pPr>
              <w:jc w:val="center"/>
              <w:rPr>
                <w:rFonts w:ascii="Times New Roman" w:hAnsi="Times New Roman" w:cs="Times New Roman"/>
                <w:szCs w:val="21"/>
              </w:rPr>
            </w:pPr>
            <w:r>
              <w:rPr>
                <w:rFonts w:ascii="Times New Roman" w:hAnsi="Times New Roman" w:cs="Times New Roman"/>
                <w:szCs w:val="21"/>
              </w:rPr>
              <w:t>采纳，对文本规范性进行核对；由于新污染物监测方法种类繁多，已结合其他专家意见用“现行的国标/行标……”概括新污染物测定方法。</w:t>
            </w:r>
          </w:p>
        </w:tc>
      </w:tr>
      <w:tr w14:paraId="756D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2223A7F8">
            <w:pPr>
              <w:jc w:val="center"/>
              <w:rPr>
                <w:rFonts w:ascii="Times New Roman" w:hAnsi="Times New Roman" w:eastAsia="宋体" w:cs="Times New Roman"/>
                <w:szCs w:val="21"/>
              </w:rPr>
            </w:pPr>
            <w:r>
              <w:rPr>
                <w:rFonts w:ascii="Times New Roman" w:hAnsi="Times New Roman" w:eastAsia="宋体" w:cs="Times New Roman"/>
                <w:szCs w:val="21"/>
              </w:rPr>
              <w:t>26</w:t>
            </w:r>
          </w:p>
        </w:tc>
        <w:tc>
          <w:tcPr>
            <w:tcW w:w="1081" w:type="dxa"/>
            <w:vAlign w:val="center"/>
          </w:tcPr>
          <w:p w14:paraId="45AC5153">
            <w:pPr>
              <w:jc w:val="center"/>
              <w:rPr>
                <w:rFonts w:ascii="Times New Roman" w:hAnsi="Times New Roman" w:cs="Times New Roman"/>
                <w:szCs w:val="21"/>
              </w:rPr>
            </w:pPr>
            <w:r>
              <w:rPr>
                <w:rFonts w:ascii="Times New Roman" w:hAnsi="Times New Roman" w:cs="Times New Roman"/>
                <w:szCs w:val="21"/>
              </w:rPr>
              <w:t>6.2.5</w:t>
            </w:r>
          </w:p>
        </w:tc>
        <w:tc>
          <w:tcPr>
            <w:tcW w:w="2888" w:type="dxa"/>
            <w:vAlign w:val="center"/>
          </w:tcPr>
          <w:p w14:paraId="46F72EBE">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涉及“技术指南”的引用，应在“2 规范性引用文件”中引用。此处，只写文件号（标准号）即可。注：《环境与健康横断面调查数据统计分析技术指南》（生态环境部（原环境保护部），2017.11），不是《环境与健康现场调查技术规范 横断面调查》（HJ 839—2017）</w:t>
            </w:r>
          </w:p>
        </w:tc>
        <w:tc>
          <w:tcPr>
            <w:tcW w:w="3260" w:type="dxa"/>
            <w:vAlign w:val="center"/>
          </w:tcPr>
          <w:p w14:paraId="5473287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1.1—2020中“8.6.3.1”:文件清单中应列出该文件中规范性引用的每个文件。</w:t>
            </w:r>
          </w:p>
        </w:tc>
        <w:tc>
          <w:tcPr>
            <w:tcW w:w="1609" w:type="dxa"/>
            <w:vAlign w:val="center"/>
          </w:tcPr>
          <w:p w14:paraId="1E3293FA">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0AEE60D2">
            <w:pPr>
              <w:jc w:val="center"/>
              <w:rPr>
                <w:rFonts w:ascii="Times New Roman" w:hAnsi="Times New Roman" w:cs="Times New Roman"/>
                <w:szCs w:val="21"/>
              </w:rPr>
            </w:pPr>
            <w:r>
              <w:rPr>
                <w:rFonts w:ascii="Times New Roman" w:hAnsi="Times New Roman" w:cs="Times New Roman"/>
                <w:szCs w:val="21"/>
              </w:rPr>
              <w:t>采纳，按照专家意见及GB/T 1.1—2020相关规定，在“2规范性引用文件”中补充，并同时按照其他专家意见将“技术指南”等文件放至参考文献中。</w:t>
            </w:r>
          </w:p>
        </w:tc>
      </w:tr>
      <w:tr w14:paraId="3EC2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386926A0">
            <w:pPr>
              <w:jc w:val="center"/>
              <w:rPr>
                <w:rFonts w:ascii="Times New Roman" w:hAnsi="Times New Roman" w:eastAsia="宋体" w:cs="Times New Roman"/>
                <w:szCs w:val="21"/>
              </w:rPr>
            </w:pPr>
            <w:r>
              <w:rPr>
                <w:rFonts w:ascii="Times New Roman" w:hAnsi="Times New Roman" w:eastAsia="宋体" w:cs="Times New Roman"/>
                <w:szCs w:val="21"/>
              </w:rPr>
              <w:t>27</w:t>
            </w:r>
          </w:p>
        </w:tc>
        <w:tc>
          <w:tcPr>
            <w:tcW w:w="1081" w:type="dxa"/>
            <w:vAlign w:val="center"/>
          </w:tcPr>
          <w:p w14:paraId="603CC8A2">
            <w:pPr>
              <w:jc w:val="center"/>
              <w:rPr>
                <w:rFonts w:ascii="Times New Roman" w:hAnsi="Times New Roman" w:cs="Times New Roman"/>
                <w:szCs w:val="21"/>
              </w:rPr>
            </w:pPr>
            <w:r>
              <w:rPr>
                <w:rFonts w:ascii="Times New Roman" w:hAnsi="Times New Roman" w:cs="Times New Roman"/>
                <w:szCs w:val="21"/>
              </w:rPr>
              <w:t>6.2.资料收集与调查</w:t>
            </w:r>
          </w:p>
        </w:tc>
        <w:tc>
          <w:tcPr>
            <w:tcW w:w="2888" w:type="dxa"/>
            <w:vAlign w:val="center"/>
          </w:tcPr>
          <w:p w14:paraId="6DCE2BCE">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6.2.5小节（数据评估）和6.2.6小节（主要污染物筛选），应为二级标题。</w:t>
            </w:r>
          </w:p>
        </w:tc>
        <w:tc>
          <w:tcPr>
            <w:tcW w:w="3260" w:type="dxa"/>
            <w:vAlign w:val="center"/>
          </w:tcPr>
          <w:p w14:paraId="733D3E05">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保证章节结构的逻辑性和规范性。</w:t>
            </w:r>
          </w:p>
        </w:tc>
        <w:tc>
          <w:tcPr>
            <w:tcW w:w="1609" w:type="dxa"/>
            <w:vAlign w:val="center"/>
          </w:tcPr>
          <w:p w14:paraId="67E82A94">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06E4735F">
            <w:pPr>
              <w:jc w:val="center"/>
              <w:rPr>
                <w:rFonts w:ascii="Times New Roman" w:hAnsi="Times New Roman" w:cs="Times New Roman"/>
                <w:szCs w:val="21"/>
              </w:rPr>
            </w:pPr>
            <w:r>
              <w:rPr>
                <w:rFonts w:ascii="Times New Roman" w:hAnsi="Times New Roman" w:cs="Times New Roman"/>
                <w:szCs w:val="21"/>
              </w:rPr>
              <w:t>采纳，已按专家意见将6.2.5、6.2.6分别修改为6.3和6.4。</w:t>
            </w:r>
          </w:p>
        </w:tc>
      </w:tr>
      <w:tr w14:paraId="3B7D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797D7732">
            <w:pPr>
              <w:jc w:val="center"/>
              <w:rPr>
                <w:rFonts w:ascii="Times New Roman" w:hAnsi="Times New Roman" w:eastAsia="宋体" w:cs="Times New Roman"/>
                <w:szCs w:val="21"/>
              </w:rPr>
            </w:pPr>
            <w:r>
              <w:rPr>
                <w:rFonts w:ascii="Times New Roman" w:hAnsi="Times New Roman" w:eastAsia="宋体" w:cs="Times New Roman"/>
                <w:szCs w:val="21"/>
              </w:rPr>
              <w:t>28</w:t>
            </w:r>
          </w:p>
        </w:tc>
        <w:tc>
          <w:tcPr>
            <w:tcW w:w="1081" w:type="dxa"/>
            <w:vAlign w:val="center"/>
          </w:tcPr>
          <w:p w14:paraId="3CC9BE87">
            <w:pPr>
              <w:jc w:val="center"/>
              <w:rPr>
                <w:rFonts w:ascii="Times New Roman" w:hAnsi="Times New Roman" w:cs="Times New Roman"/>
                <w:szCs w:val="21"/>
              </w:rPr>
            </w:pPr>
            <w:r>
              <w:rPr>
                <w:rFonts w:ascii="Times New Roman" w:hAnsi="Times New Roman" w:cs="Times New Roman"/>
                <w:szCs w:val="21"/>
              </w:rPr>
              <w:t>7 暴露评估</w:t>
            </w:r>
          </w:p>
        </w:tc>
        <w:tc>
          <w:tcPr>
            <w:tcW w:w="2888" w:type="dxa"/>
            <w:vAlign w:val="center"/>
          </w:tcPr>
          <w:p w14:paraId="75334064">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暴露场景确定（或者说“明确暴露场景”）：明确暴露评估的介质，如饮用水源地水、水龙头末梢水、煮沸水等；新污染物：明确是仅限于母体化合物，还是综合考虑其降解转化产物。</w:t>
            </w:r>
          </w:p>
        </w:tc>
        <w:tc>
          <w:tcPr>
            <w:tcW w:w="3260" w:type="dxa"/>
            <w:vAlign w:val="center"/>
          </w:tcPr>
          <w:p w14:paraId="1718DF50">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有利于界定评估对象范围，避免理解歧义。</w:t>
            </w:r>
          </w:p>
        </w:tc>
        <w:tc>
          <w:tcPr>
            <w:tcW w:w="1609" w:type="dxa"/>
            <w:vAlign w:val="center"/>
          </w:tcPr>
          <w:p w14:paraId="63C52761">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263EC980">
            <w:pPr>
              <w:jc w:val="center"/>
              <w:rPr>
                <w:rFonts w:ascii="Times New Roman" w:hAnsi="Times New Roman" w:cs="Times New Roman"/>
                <w:szCs w:val="21"/>
              </w:rPr>
            </w:pPr>
            <w:r>
              <w:rPr>
                <w:rFonts w:ascii="Times New Roman" w:hAnsi="Times New Roman" w:cs="Times New Roman"/>
                <w:szCs w:val="21"/>
              </w:rPr>
              <w:t>采纳。已按照专家意见明确暴露场景以及新污染物评估形态，详见7.2节。</w:t>
            </w:r>
          </w:p>
        </w:tc>
      </w:tr>
      <w:tr w14:paraId="4FF8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6A623DBB">
            <w:pPr>
              <w:jc w:val="center"/>
              <w:rPr>
                <w:rFonts w:ascii="Times New Roman" w:hAnsi="Times New Roman" w:eastAsia="宋体" w:cs="Times New Roman"/>
                <w:szCs w:val="21"/>
              </w:rPr>
            </w:pPr>
            <w:r>
              <w:rPr>
                <w:rFonts w:ascii="Times New Roman" w:hAnsi="Times New Roman" w:eastAsia="宋体" w:cs="Times New Roman"/>
                <w:szCs w:val="21"/>
              </w:rPr>
              <w:t>29</w:t>
            </w:r>
          </w:p>
        </w:tc>
        <w:tc>
          <w:tcPr>
            <w:tcW w:w="1081" w:type="dxa"/>
            <w:vAlign w:val="center"/>
          </w:tcPr>
          <w:p w14:paraId="5A859061">
            <w:pPr>
              <w:jc w:val="center"/>
              <w:rPr>
                <w:rFonts w:ascii="Times New Roman" w:hAnsi="Times New Roman" w:cs="Times New Roman"/>
                <w:szCs w:val="21"/>
              </w:rPr>
            </w:pPr>
            <w:r>
              <w:rPr>
                <w:rFonts w:ascii="Times New Roman" w:hAnsi="Times New Roman" w:cs="Times New Roman"/>
                <w:szCs w:val="21"/>
              </w:rPr>
              <w:t>7.2暴露人群与暴露途径确定</w:t>
            </w:r>
          </w:p>
        </w:tc>
        <w:tc>
          <w:tcPr>
            <w:tcW w:w="2888" w:type="dxa"/>
            <w:vAlign w:val="center"/>
          </w:tcPr>
          <w:p w14:paraId="770BE297">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“本文件规定了经口摄入及皮肤暴露接触两种暴露途径”部分是否要考虑通过呼吸暴露途径进行暴露（如VOC或SVOC）。</w:t>
            </w:r>
          </w:p>
        </w:tc>
        <w:tc>
          <w:tcPr>
            <w:tcW w:w="3260" w:type="dxa"/>
            <w:vAlign w:val="center"/>
          </w:tcPr>
          <w:p w14:paraId="6B9F06BF">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提高暴露评估的完整性。</w:t>
            </w:r>
          </w:p>
        </w:tc>
        <w:tc>
          <w:tcPr>
            <w:tcW w:w="1609" w:type="dxa"/>
            <w:vAlign w:val="center"/>
          </w:tcPr>
          <w:p w14:paraId="575291A4">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60B75A95">
            <w:pPr>
              <w:jc w:val="center"/>
              <w:rPr>
                <w:rFonts w:ascii="Times New Roman" w:hAnsi="Times New Roman" w:cs="Times New Roman"/>
                <w:szCs w:val="21"/>
              </w:rPr>
            </w:pPr>
            <w:r>
              <w:rPr>
                <w:rFonts w:ascii="Times New Roman" w:hAnsi="Times New Roman" w:cs="Times New Roman"/>
                <w:szCs w:val="21"/>
              </w:rPr>
              <w:t>不采纳，</w:t>
            </w:r>
            <w:r>
              <w:rPr>
                <w:rFonts w:ascii="Times New Roman" w:hAnsi="Times New Roman" w:cs="Times New Roman"/>
              </w:rPr>
              <w:t>水体中新污染物的挥发性较弱，已在编制说明“不确定性分析”中说明。</w:t>
            </w:r>
          </w:p>
        </w:tc>
      </w:tr>
      <w:tr w14:paraId="24FA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21B8F25C">
            <w:pPr>
              <w:jc w:val="center"/>
              <w:rPr>
                <w:rFonts w:ascii="Times New Roman" w:hAnsi="Times New Roman" w:eastAsia="宋体" w:cs="Times New Roman"/>
                <w:szCs w:val="21"/>
              </w:rPr>
            </w:pPr>
            <w:r>
              <w:rPr>
                <w:rFonts w:ascii="Times New Roman" w:hAnsi="Times New Roman" w:eastAsia="宋体" w:cs="Times New Roman"/>
                <w:szCs w:val="21"/>
              </w:rPr>
              <w:t>30</w:t>
            </w:r>
          </w:p>
        </w:tc>
        <w:tc>
          <w:tcPr>
            <w:tcW w:w="1081" w:type="dxa"/>
            <w:vAlign w:val="center"/>
          </w:tcPr>
          <w:p w14:paraId="7F268F0E">
            <w:pPr>
              <w:jc w:val="center"/>
              <w:rPr>
                <w:rFonts w:ascii="Times New Roman" w:hAnsi="Times New Roman" w:cs="Times New Roman"/>
                <w:szCs w:val="21"/>
              </w:rPr>
            </w:pPr>
            <w:r>
              <w:rPr>
                <w:rFonts w:ascii="Times New Roman" w:hAnsi="Times New Roman" w:cs="Times New Roman"/>
                <w:szCs w:val="21"/>
              </w:rPr>
              <w:t>8.3.3</w:t>
            </w:r>
          </w:p>
        </w:tc>
        <w:tc>
          <w:tcPr>
            <w:tcW w:w="2888" w:type="dxa"/>
            <w:vAlign w:val="center"/>
          </w:tcPr>
          <w:p w14:paraId="3CFBBE6A">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“NOAEL/LOAEL”，首次出现缩写，建议先写全称，再缩写。</w:t>
            </w:r>
          </w:p>
        </w:tc>
        <w:tc>
          <w:tcPr>
            <w:tcW w:w="3260" w:type="dxa"/>
            <w:vAlign w:val="center"/>
          </w:tcPr>
          <w:p w14:paraId="086134E7">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1.1—2020“9.4.3全称、简称和缩略语”。</w:t>
            </w:r>
          </w:p>
        </w:tc>
        <w:tc>
          <w:tcPr>
            <w:tcW w:w="1609" w:type="dxa"/>
            <w:vAlign w:val="center"/>
          </w:tcPr>
          <w:p w14:paraId="50FAA0E7">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5053C096">
            <w:pPr>
              <w:jc w:val="center"/>
              <w:rPr>
                <w:rFonts w:ascii="Times New Roman" w:hAnsi="Times New Roman" w:cs="Times New Roman"/>
                <w:szCs w:val="21"/>
              </w:rPr>
            </w:pPr>
            <w:r>
              <w:rPr>
                <w:rFonts w:ascii="Times New Roman" w:hAnsi="Times New Roman" w:cs="Times New Roman"/>
                <w:szCs w:val="21"/>
              </w:rPr>
              <w:t>采纳，已根据专家意见及GB/T 1.1—2020相关规定，在8.3.3处补充中文全称。</w:t>
            </w:r>
          </w:p>
        </w:tc>
      </w:tr>
      <w:tr w14:paraId="5D5F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3EBA4644">
            <w:pPr>
              <w:jc w:val="center"/>
              <w:rPr>
                <w:rFonts w:ascii="Times New Roman" w:hAnsi="Times New Roman" w:eastAsia="宋体" w:cs="Times New Roman"/>
                <w:szCs w:val="21"/>
              </w:rPr>
            </w:pPr>
            <w:r>
              <w:rPr>
                <w:rFonts w:ascii="Times New Roman" w:hAnsi="Times New Roman" w:eastAsia="宋体" w:cs="Times New Roman"/>
                <w:szCs w:val="21"/>
              </w:rPr>
              <w:t>31</w:t>
            </w:r>
          </w:p>
        </w:tc>
        <w:tc>
          <w:tcPr>
            <w:tcW w:w="1081" w:type="dxa"/>
            <w:vAlign w:val="center"/>
          </w:tcPr>
          <w:p w14:paraId="47E4D7E5">
            <w:pPr>
              <w:jc w:val="center"/>
              <w:rPr>
                <w:rFonts w:ascii="Times New Roman" w:hAnsi="Times New Roman" w:cs="Times New Roman"/>
                <w:szCs w:val="21"/>
              </w:rPr>
            </w:pPr>
            <w:r>
              <w:rPr>
                <w:rFonts w:ascii="Times New Roman" w:hAnsi="Times New Roman" w:cs="Times New Roman"/>
                <w:szCs w:val="21"/>
              </w:rPr>
              <w:t>9.5 评估结论</w:t>
            </w:r>
          </w:p>
        </w:tc>
        <w:tc>
          <w:tcPr>
            <w:tcW w:w="2888" w:type="dxa"/>
            <w:vAlign w:val="center"/>
          </w:tcPr>
          <w:p w14:paraId="7459F9AF">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对于致癌风险，仅给出了10e-6，是否考虑预警阈值&lt;=10e-4。</w:t>
            </w:r>
          </w:p>
        </w:tc>
        <w:tc>
          <w:tcPr>
            <w:tcW w:w="3260" w:type="dxa"/>
            <w:vAlign w:val="center"/>
          </w:tcPr>
          <w:p w14:paraId="2AFF06BB">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增加该阈值可增强风险防控的依据。</w:t>
            </w:r>
          </w:p>
        </w:tc>
        <w:tc>
          <w:tcPr>
            <w:tcW w:w="1609" w:type="dxa"/>
            <w:vAlign w:val="center"/>
          </w:tcPr>
          <w:p w14:paraId="53AEA137">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621F872C">
            <w:pPr>
              <w:jc w:val="center"/>
              <w:rPr>
                <w:rFonts w:ascii="Times New Roman" w:hAnsi="Times New Roman" w:cs="Times New Roman"/>
                <w:szCs w:val="21"/>
              </w:rPr>
            </w:pPr>
            <w:r>
              <w:rPr>
                <w:rFonts w:ascii="Times New Roman" w:hAnsi="Times New Roman" w:cs="Times New Roman"/>
                <w:szCs w:val="21"/>
              </w:rPr>
              <w:t>采纳。已按照专家意见增加预警阈值，详见9.5节。</w:t>
            </w:r>
          </w:p>
        </w:tc>
      </w:tr>
      <w:tr w14:paraId="52E7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11EFE55E">
            <w:pPr>
              <w:jc w:val="center"/>
              <w:rPr>
                <w:rFonts w:ascii="Times New Roman" w:hAnsi="Times New Roman" w:eastAsia="宋体" w:cs="Times New Roman"/>
                <w:szCs w:val="21"/>
              </w:rPr>
            </w:pPr>
            <w:r>
              <w:rPr>
                <w:rFonts w:ascii="Times New Roman" w:hAnsi="Times New Roman" w:eastAsia="宋体" w:cs="Times New Roman"/>
                <w:szCs w:val="21"/>
              </w:rPr>
              <w:t>32</w:t>
            </w:r>
          </w:p>
        </w:tc>
        <w:tc>
          <w:tcPr>
            <w:tcW w:w="1081" w:type="dxa"/>
            <w:vAlign w:val="center"/>
          </w:tcPr>
          <w:p w14:paraId="27E981DB">
            <w:pPr>
              <w:jc w:val="center"/>
              <w:rPr>
                <w:rFonts w:ascii="Times New Roman" w:hAnsi="Times New Roman" w:cs="Times New Roman"/>
                <w:szCs w:val="21"/>
              </w:rPr>
            </w:pPr>
            <w:r>
              <w:rPr>
                <w:rFonts w:ascii="Times New Roman" w:hAnsi="Times New Roman" w:cs="Times New Roman"/>
                <w:szCs w:val="21"/>
              </w:rPr>
              <w:t>10 不确定性分析</w:t>
            </w:r>
          </w:p>
        </w:tc>
        <w:tc>
          <w:tcPr>
            <w:tcW w:w="2888" w:type="dxa"/>
            <w:vAlign w:val="center"/>
          </w:tcPr>
          <w:p w14:paraId="2EA275A0">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对于评估结果的不确定性，目前的概率风险分析方法相对成熟，是否可以考虑采用概率风险分析方法，对评估数据的不确定性进行定量分析，同时还可提供参数敏感性分析。</w:t>
            </w:r>
          </w:p>
        </w:tc>
        <w:tc>
          <w:tcPr>
            <w:tcW w:w="3260" w:type="dxa"/>
            <w:vAlign w:val="center"/>
          </w:tcPr>
          <w:p w14:paraId="52F08006">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提高评估结果的科学性。</w:t>
            </w:r>
          </w:p>
        </w:tc>
        <w:tc>
          <w:tcPr>
            <w:tcW w:w="1609" w:type="dxa"/>
            <w:vAlign w:val="center"/>
          </w:tcPr>
          <w:p w14:paraId="4E6EFFD4">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284B159B">
            <w:pPr>
              <w:jc w:val="center"/>
              <w:rPr>
                <w:rFonts w:ascii="Times New Roman" w:hAnsi="Times New Roman" w:cs="Times New Roman"/>
                <w:szCs w:val="21"/>
              </w:rPr>
            </w:pPr>
            <w:r>
              <w:rPr>
                <w:rFonts w:ascii="Times New Roman" w:hAnsi="Times New Roman" w:cs="Times New Roman"/>
                <w:szCs w:val="21"/>
              </w:rPr>
              <w:t>原则采纳，详见第10章。</w:t>
            </w:r>
          </w:p>
        </w:tc>
      </w:tr>
      <w:tr w14:paraId="235B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328193F0">
            <w:pPr>
              <w:jc w:val="center"/>
              <w:rPr>
                <w:rFonts w:ascii="Times New Roman" w:hAnsi="Times New Roman" w:eastAsia="宋体" w:cs="Times New Roman"/>
                <w:szCs w:val="21"/>
              </w:rPr>
            </w:pPr>
            <w:r>
              <w:rPr>
                <w:rFonts w:ascii="Times New Roman" w:hAnsi="Times New Roman" w:eastAsia="宋体" w:cs="Times New Roman"/>
                <w:szCs w:val="21"/>
              </w:rPr>
              <w:t>33</w:t>
            </w:r>
          </w:p>
        </w:tc>
        <w:tc>
          <w:tcPr>
            <w:tcW w:w="1081" w:type="dxa"/>
            <w:vAlign w:val="center"/>
          </w:tcPr>
          <w:p w14:paraId="6EF2CA17">
            <w:pPr>
              <w:jc w:val="center"/>
              <w:rPr>
                <w:rFonts w:ascii="Times New Roman" w:hAnsi="Times New Roman" w:cs="Times New Roman"/>
                <w:szCs w:val="21"/>
              </w:rPr>
            </w:pPr>
            <w:r>
              <w:rPr>
                <w:rFonts w:ascii="Times New Roman" w:hAnsi="Times New Roman" w:cs="Times New Roman"/>
                <w:szCs w:val="21"/>
              </w:rPr>
              <w:t>附录B</w:t>
            </w:r>
          </w:p>
        </w:tc>
        <w:tc>
          <w:tcPr>
            <w:tcW w:w="2888" w:type="dxa"/>
            <w:vAlign w:val="center"/>
          </w:tcPr>
          <w:p w14:paraId="59C8CDA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“推荐暴露参数数据库”，其具体的内容为3本《手册》，故此处的标题是否直接用“……手册”？</w:t>
            </w:r>
          </w:p>
        </w:tc>
        <w:tc>
          <w:tcPr>
            <w:tcW w:w="3260" w:type="dxa"/>
            <w:vAlign w:val="center"/>
          </w:tcPr>
          <w:p w14:paraId="1578A97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附录标题与具体内容保持一致，有利于提高标准文本表述的准确性。</w:t>
            </w:r>
          </w:p>
        </w:tc>
        <w:tc>
          <w:tcPr>
            <w:tcW w:w="1609" w:type="dxa"/>
            <w:vAlign w:val="center"/>
          </w:tcPr>
          <w:p w14:paraId="00C79FA1">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7FAC8DB2">
            <w:pPr>
              <w:jc w:val="center"/>
              <w:rPr>
                <w:rFonts w:ascii="Times New Roman" w:hAnsi="Times New Roman" w:cs="Times New Roman"/>
                <w:szCs w:val="21"/>
              </w:rPr>
            </w:pPr>
            <w:r>
              <w:rPr>
                <w:rFonts w:ascii="Times New Roman" w:hAnsi="Times New Roman" w:cs="Times New Roman"/>
                <w:szCs w:val="21"/>
              </w:rPr>
              <w:t>采纳，已根据专家意见，将附录B修改为“推荐暴露参数手册”。</w:t>
            </w:r>
          </w:p>
        </w:tc>
      </w:tr>
      <w:tr w14:paraId="4B9B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2C02C26D">
            <w:pPr>
              <w:jc w:val="center"/>
              <w:rPr>
                <w:rFonts w:ascii="Times New Roman" w:hAnsi="Times New Roman" w:eastAsia="宋体" w:cs="Times New Roman"/>
                <w:szCs w:val="21"/>
              </w:rPr>
            </w:pPr>
            <w:r>
              <w:rPr>
                <w:rFonts w:ascii="Times New Roman" w:hAnsi="Times New Roman" w:eastAsia="宋体" w:cs="Times New Roman"/>
                <w:szCs w:val="21"/>
              </w:rPr>
              <w:t>34</w:t>
            </w:r>
          </w:p>
        </w:tc>
        <w:tc>
          <w:tcPr>
            <w:tcW w:w="1081" w:type="dxa"/>
            <w:vAlign w:val="center"/>
          </w:tcPr>
          <w:p w14:paraId="718CFAC3">
            <w:pPr>
              <w:jc w:val="center"/>
              <w:rPr>
                <w:rFonts w:ascii="Times New Roman" w:hAnsi="Times New Roman" w:cs="Times New Roman"/>
                <w:szCs w:val="21"/>
              </w:rPr>
            </w:pPr>
            <w:r>
              <w:rPr>
                <w:rFonts w:ascii="Times New Roman" w:hAnsi="Times New Roman" w:cs="Times New Roman"/>
                <w:szCs w:val="21"/>
              </w:rPr>
              <w:t>附录</w:t>
            </w:r>
          </w:p>
        </w:tc>
        <w:tc>
          <w:tcPr>
            <w:tcW w:w="2888" w:type="dxa"/>
            <w:vAlign w:val="center"/>
          </w:tcPr>
          <w:p w14:paraId="27BC3657">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建议增加“评估报告编制大纲”，给出评估报告的大纲即“基本目录”。</w:t>
            </w:r>
          </w:p>
        </w:tc>
        <w:tc>
          <w:tcPr>
            <w:tcW w:w="3260" w:type="dxa"/>
            <w:vAlign w:val="center"/>
          </w:tcPr>
          <w:p w14:paraId="2C0725C7">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1.1—2020中“5.4.3 易用性原则”。</w:t>
            </w:r>
          </w:p>
        </w:tc>
        <w:tc>
          <w:tcPr>
            <w:tcW w:w="1609" w:type="dxa"/>
            <w:vAlign w:val="center"/>
          </w:tcPr>
          <w:p w14:paraId="1F5960CC">
            <w:pPr>
              <w:jc w:val="center"/>
              <w:rPr>
                <w:rFonts w:ascii="Times New Roman" w:hAnsi="Times New Roman" w:eastAsia="宋体" w:cs="Times New Roman"/>
                <w:szCs w:val="21"/>
              </w:rPr>
            </w:pPr>
            <w:r>
              <w:rPr>
                <w:rFonts w:ascii="Times New Roman" w:hAnsi="Times New Roman" w:eastAsia="宋体" w:cs="Times New Roman"/>
                <w:szCs w:val="21"/>
              </w:rPr>
              <w:t>林必桂</w:t>
            </w:r>
          </w:p>
        </w:tc>
        <w:tc>
          <w:tcPr>
            <w:tcW w:w="3067" w:type="dxa"/>
            <w:vAlign w:val="center"/>
          </w:tcPr>
          <w:p w14:paraId="42662189">
            <w:pPr>
              <w:jc w:val="center"/>
              <w:rPr>
                <w:rFonts w:ascii="Times New Roman" w:hAnsi="Times New Roman" w:cs="Times New Roman"/>
                <w:szCs w:val="21"/>
                <w:highlight w:val="yellow"/>
              </w:rPr>
            </w:pPr>
            <w:r>
              <w:rPr>
                <w:rFonts w:ascii="Times New Roman" w:hAnsi="Times New Roman" w:cs="Times New Roman"/>
                <w:szCs w:val="21"/>
              </w:rPr>
              <w:t>采纳。详见附录E。</w:t>
            </w:r>
          </w:p>
        </w:tc>
      </w:tr>
      <w:tr w14:paraId="723D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162D8FA9">
            <w:pPr>
              <w:jc w:val="center"/>
              <w:rPr>
                <w:rFonts w:ascii="Times New Roman" w:hAnsi="Times New Roman" w:eastAsia="宋体" w:cs="Times New Roman"/>
                <w:szCs w:val="21"/>
              </w:rPr>
            </w:pPr>
            <w:r>
              <w:rPr>
                <w:rFonts w:ascii="Times New Roman" w:hAnsi="Times New Roman" w:eastAsia="宋体" w:cs="Times New Roman"/>
                <w:szCs w:val="21"/>
              </w:rPr>
              <w:t>35</w:t>
            </w:r>
          </w:p>
        </w:tc>
        <w:tc>
          <w:tcPr>
            <w:tcW w:w="1081" w:type="dxa"/>
            <w:vAlign w:val="center"/>
          </w:tcPr>
          <w:p w14:paraId="3572194D">
            <w:pPr>
              <w:jc w:val="center"/>
              <w:rPr>
                <w:rFonts w:ascii="Times New Roman" w:hAnsi="Times New Roman" w:cs="Times New Roman"/>
                <w:szCs w:val="21"/>
              </w:rPr>
            </w:pPr>
            <w:r>
              <w:rPr>
                <w:rFonts w:ascii="Times New Roman" w:hAnsi="Times New Roman" w:cs="Times New Roman"/>
                <w:szCs w:val="21"/>
              </w:rPr>
              <w:t>2 规范性引用文件</w:t>
            </w:r>
          </w:p>
        </w:tc>
        <w:tc>
          <w:tcPr>
            <w:tcW w:w="2888" w:type="dxa"/>
            <w:vAlign w:val="center"/>
          </w:tcPr>
          <w:p w14:paraId="41E31C1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注意文件更新，现有标准其实很多已经有了，分析方法标准尽量补充，也可以用一句话概括“用现行的国标/行标……”</w:t>
            </w:r>
          </w:p>
        </w:tc>
        <w:tc>
          <w:tcPr>
            <w:tcW w:w="3260" w:type="dxa"/>
            <w:vAlign w:val="center"/>
          </w:tcPr>
          <w:p w14:paraId="408C292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1.1—2020“9.5.4.4.2”起草文件时不应引用已被代替或废止的文件。</w:t>
            </w:r>
          </w:p>
        </w:tc>
        <w:tc>
          <w:tcPr>
            <w:tcW w:w="1609" w:type="dxa"/>
            <w:vAlign w:val="center"/>
          </w:tcPr>
          <w:p w14:paraId="1BCB1997">
            <w:pPr>
              <w:jc w:val="center"/>
              <w:rPr>
                <w:rFonts w:ascii="Times New Roman" w:hAnsi="Times New Roman" w:eastAsia="宋体" w:cs="Times New Roman"/>
                <w:szCs w:val="21"/>
              </w:rPr>
            </w:pPr>
            <w:r>
              <w:rPr>
                <w:rFonts w:ascii="Times New Roman" w:hAnsi="Times New Roman" w:eastAsia="宋体" w:cs="Times New Roman"/>
                <w:szCs w:val="21"/>
              </w:rPr>
              <w:t>杨文龙</w:t>
            </w:r>
          </w:p>
        </w:tc>
        <w:tc>
          <w:tcPr>
            <w:tcW w:w="3067" w:type="dxa"/>
            <w:vAlign w:val="center"/>
          </w:tcPr>
          <w:p w14:paraId="18EE3EE7">
            <w:pPr>
              <w:jc w:val="center"/>
              <w:rPr>
                <w:rFonts w:ascii="Times New Roman" w:hAnsi="Times New Roman" w:cs="Times New Roman"/>
                <w:szCs w:val="21"/>
              </w:rPr>
            </w:pPr>
            <w:r>
              <w:rPr>
                <w:rFonts w:ascii="Times New Roman" w:hAnsi="Times New Roman" w:cs="Times New Roman"/>
                <w:szCs w:val="21"/>
              </w:rPr>
              <w:t>采纳，已按专家意见对引用文件进行更新；由于新污染物监测方法种类繁多，已按专家意见用“现行的国标/行标……”概括。</w:t>
            </w:r>
          </w:p>
        </w:tc>
      </w:tr>
      <w:tr w14:paraId="6A0F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53F9EBA0">
            <w:pPr>
              <w:jc w:val="center"/>
              <w:rPr>
                <w:rFonts w:ascii="Times New Roman" w:hAnsi="Times New Roman" w:eastAsia="宋体" w:cs="Times New Roman"/>
                <w:szCs w:val="21"/>
              </w:rPr>
            </w:pPr>
            <w:r>
              <w:rPr>
                <w:rFonts w:ascii="Times New Roman" w:hAnsi="Times New Roman" w:eastAsia="宋体" w:cs="Times New Roman"/>
                <w:szCs w:val="21"/>
              </w:rPr>
              <w:t>36</w:t>
            </w:r>
          </w:p>
        </w:tc>
        <w:tc>
          <w:tcPr>
            <w:tcW w:w="1081" w:type="dxa"/>
            <w:vAlign w:val="center"/>
          </w:tcPr>
          <w:p w14:paraId="2819E514">
            <w:pPr>
              <w:jc w:val="center"/>
              <w:rPr>
                <w:rFonts w:ascii="Times New Roman" w:hAnsi="Times New Roman" w:cs="Times New Roman"/>
                <w:szCs w:val="21"/>
              </w:rPr>
            </w:pPr>
            <w:r>
              <w:rPr>
                <w:rFonts w:ascii="Times New Roman" w:hAnsi="Times New Roman" w:cs="Times New Roman"/>
                <w:szCs w:val="21"/>
              </w:rPr>
              <w:t>3.2新污染物</w:t>
            </w:r>
          </w:p>
        </w:tc>
        <w:tc>
          <w:tcPr>
            <w:tcW w:w="2888" w:type="dxa"/>
            <w:vAlign w:val="center"/>
          </w:tcPr>
          <w:p w14:paraId="081AFD55">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新污染物术语定义，对新污染物做一个限定。</w:t>
            </w:r>
          </w:p>
        </w:tc>
        <w:tc>
          <w:tcPr>
            <w:tcW w:w="3260" w:type="dxa"/>
            <w:vAlign w:val="center"/>
          </w:tcPr>
          <w:p w14:paraId="79209F8B">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避免过于宽泛，定义更加准确。</w:t>
            </w:r>
          </w:p>
        </w:tc>
        <w:tc>
          <w:tcPr>
            <w:tcW w:w="1609" w:type="dxa"/>
            <w:vAlign w:val="center"/>
          </w:tcPr>
          <w:p w14:paraId="44B6CCCB">
            <w:pPr>
              <w:jc w:val="center"/>
              <w:rPr>
                <w:rFonts w:ascii="Times New Roman" w:hAnsi="Times New Roman" w:eastAsia="宋体" w:cs="Times New Roman"/>
                <w:szCs w:val="21"/>
              </w:rPr>
            </w:pPr>
            <w:r>
              <w:rPr>
                <w:rFonts w:ascii="Times New Roman" w:hAnsi="Times New Roman" w:eastAsia="宋体" w:cs="Times New Roman"/>
                <w:szCs w:val="21"/>
              </w:rPr>
              <w:t>杨文龙</w:t>
            </w:r>
          </w:p>
        </w:tc>
        <w:tc>
          <w:tcPr>
            <w:tcW w:w="3067" w:type="dxa"/>
            <w:vAlign w:val="center"/>
          </w:tcPr>
          <w:p w14:paraId="38B53D11">
            <w:pPr>
              <w:jc w:val="center"/>
              <w:rPr>
                <w:rFonts w:ascii="Times New Roman" w:hAnsi="Times New Roman" w:cs="Times New Roman"/>
                <w:szCs w:val="21"/>
              </w:rPr>
            </w:pPr>
            <w:r>
              <w:rPr>
                <w:rFonts w:ascii="Times New Roman" w:hAnsi="Times New Roman" w:cs="Times New Roman"/>
                <w:szCs w:val="21"/>
              </w:rPr>
              <w:t>采纳，已在“范围”部分将新污染物界定为“化学性新污染物”。</w:t>
            </w:r>
          </w:p>
        </w:tc>
      </w:tr>
      <w:tr w14:paraId="662C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3CB482D8">
            <w:pPr>
              <w:jc w:val="center"/>
              <w:rPr>
                <w:rFonts w:ascii="Times New Roman" w:hAnsi="Times New Roman" w:eastAsia="宋体" w:cs="Times New Roman"/>
                <w:szCs w:val="21"/>
              </w:rPr>
            </w:pPr>
            <w:r>
              <w:rPr>
                <w:rFonts w:ascii="Times New Roman" w:hAnsi="Times New Roman" w:eastAsia="宋体" w:cs="Times New Roman"/>
                <w:szCs w:val="21"/>
              </w:rPr>
              <w:t>37</w:t>
            </w:r>
          </w:p>
        </w:tc>
        <w:tc>
          <w:tcPr>
            <w:tcW w:w="1081" w:type="dxa"/>
            <w:vAlign w:val="center"/>
          </w:tcPr>
          <w:p w14:paraId="2B24E96A">
            <w:pPr>
              <w:jc w:val="center"/>
              <w:rPr>
                <w:rFonts w:ascii="Times New Roman" w:hAnsi="Times New Roman" w:cs="Times New Roman"/>
                <w:szCs w:val="21"/>
              </w:rPr>
            </w:pPr>
            <w:r>
              <w:rPr>
                <w:rFonts w:ascii="Times New Roman" w:hAnsi="Times New Roman" w:cs="Times New Roman"/>
                <w:szCs w:val="21"/>
              </w:rPr>
              <w:t>9.3多途径暴露的风险计算</w:t>
            </w:r>
          </w:p>
        </w:tc>
        <w:tc>
          <w:tcPr>
            <w:tcW w:w="2888" w:type="dxa"/>
            <w:vAlign w:val="center"/>
          </w:tcPr>
          <w:p w14:paraId="70F796C3">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多种途径暴露风险评估里只是加和，要限定性条件如：“仅适用于非致癌……”，否则高估或者低估。</w:t>
            </w:r>
          </w:p>
        </w:tc>
        <w:tc>
          <w:tcPr>
            <w:tcW w:w="3260" w:type="dxa"/>
            <w:vAlign w:val="center"/>
          </w:tcPr>
          <w:p w14:paraId="2780DE1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提高评估结果的合理性。</w:t>
            </w:r>
          </w:p>
        </w:tc>
        <w:tc>
          <w:tcPr>
            <w:tcW w:w="1609" w:type="dxa"/>
            <w:vAlign w:val="center"/>
          </w:tcPr>
          <w:p w14:paraId="42007F3C">
            <w:pPr>
              <w:jc w:val="center"/>
              <w:rPr>
                <w:rFonts w:ascii="Times New Roman" w:hAnsi="Times New Roman" w:eastAsia="宋体" w:cs="Times New Roman"/>
                <w:szCs w:val="21"/>
              </w:rPr>
            </w:pPr>
            <w:r>
              <w:rPr>
                <w:rFonts w:ascii="Times New Roman" w:hAnsi="Times New Roman" w:eastAsia="宋体" w:cs="Times New Roman"/>
                <w:szCs w:val="21"/>
              </w:rPr>
              <w:t>杨文龙</w:t>
            </w:r>
          </w:p>
        </w:tc>
        <w:tc>
          <w:tcPr>
            <w:tcW w:w="3067" w:type="dxa"/>
            <w:vAlign w:val="center"/>
          </w:tcPr>
          <w:p w14:paraId="5002D85C">
            <w:pPr>
              <w:jc w:val="center"/>
              <w:rPr>
                <w:rFonts w:ascii="Times New Roman" w:hAnsi="Times New Roman" w:cs="Times New Roman"/>
                <w:szCs w:val="21"/>
              </w:rPr>
            </w:pPr>
            <w:r>
              <w:rPr>
                <w:rFonts w:ascii="Times New Roman" w:hAnsi="Times New Roman" w:cs="Times New Roman"/>
                <w:szCs w:val="21"/>
              </w:rPr>
              <w:t>原则采纳，9.4中已针对该部分进行说明。</w:t>
            </w:r>
          </w:p>
        </w:tc>
      </w:tr>
      <w:tr w14:paraId="745B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75087CF0">
            <w:pPr>
              <w:jc w:val="center"/>
              <w:rPr>
                <w:rFonts w:ascii="Times New Roman" w:hAnsi="Times New Roman" w:eastAsia="宋体" w:cs="Times New Roman"/>
                <w:szCs w:val="21"/>
              </w:rPr>
            </w:pPr>
            <w:r>
              <w:rPr>
                <w:rFonts w:ascii="Times New Roman" w:hAnsi="Times New Roman" w:eastAsia="宋体" w:cs="Times New Roman"/>
                <w:szCs w:val="21"/>
              </w:rPr>
              <w:t>38</w:t>
            </w:r>
          </w:p>
        </w:tc>
        <w:tc>
          <w:tcPr>
            <w:tcW w:w="1081" w:type="dxa"/>
            <w:vAlign w:val="center"/>
          </w:tcPr>
          <w:p w14:paraId="791D0356">
            <w:pPr>
              <w:jc w:val="center"/>
              <w:rPr>
                <w:rFonts w:ascii="Times New Roman" w:hAnsi="Times New Roman" w:cs="Times New Roman"/>
                <w:szCs w:val="21"/>
              </w:rPr>
            </w:pPr>
            <w:r>
              <w:rPr>
                <w:rFonts w:ascii="Times New Roman" w:hAnsi="Times New Roman" w:cs="Times New Roman"/>
                <w:szCs w:val="21"/>
              </w:rPr>
              <w:t>附录D</w:t>
            </w:r>
          </w:p>
        </w:tc>
        <w:tc>
          <w:tcPr>
            <w:tcW w:w="2888" w:type="dxa"/>
            <w:vAlign w:val="center"/>
          </w:tcPr>
          <w:p w14:paraId="08C4C816">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“取值不得大于3000”，编制说明里面是否要说明一下，是否具有普遍适用性，针对于低剂量的活性物质，采用3000是否能保证安全性，应加以限定。</w:t>
            </w:r>
          </w:p>
        </w:tc>
        <w:tc>
          <w:tcPr>
            <w:tcW w:w="3260" w:type="dxa"/>
            <w:vAlign w:val="center"/>
          </w:tcPr>
          <w:p w14:paraId="7431A0C6">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提高评估结果的合理性。</w:t>
            </w:r>
          </w:p>
        </w:tc>
        <w:tc>
          <w:tcPr>
            <w:tcW w:w="1609" w:type="dxa"/>
            <w:vAlign w:val="center"/>
          </w:tcPr>
          <w:p w14:paraId="23638781">
            <w:pPr>
              <w:jc w:val="center"/>
              <w:rPr>
                <w:rFonts w:ascii="Times New Roman" w:hAnsi="Times New Roman" w:eastAsia="宋体" w:cs="Times New Roman"/>
                <w:szCs w:val="21"/>
              </w:rPr>
            </w:pPr>
            <w:r>
              <w:rPr>
                <w:rFonts w:ascii="Times New Roman" w:hAnsi="Times New Roman" w:eastAsia="宋体" w:cs="Times New Roman"/>
                <w:szCs w:val="21"/>
              </w:rPr>
              <w:t>杨文龙</w:t>
            </w:r>
          </w:p>
        </w:tc>
        <w:tc>
          <w:tcPr>
            <w:tcW w:w="3067" w:type="dxa"/>
            <w:vAlign w:val="center"/>
          </w:tcPr>
          <w:p w14:paraId="72150A17">
            <w:pPr>
              <w:jc w:val="center"/>
              <w:rPr>
                <w:rFonts w:ascii="Times New Roman" w:hAnsi="Times New Roman" w:cs="Times New Roman"/>
                <w:szCs w:val="21"/>
              </w:rPr>
            </w:pPr>
            <w:r>
              <w:rPr>
                <w:rFonts w:ascii="Times New Roman" w:hAnsi="Times New Roman" w:cs="Times New Roman"/>
                <w:szCs w:val="21"/>
              </w:rPr>
              <w:t>采纳。已删除原文中附录D 毒性参数推导方法，具体参考附录C，且在编制说明“（四）主要条款说明”中加以说明。</w:t>
            </w:r>
          </w:p>
        </w:tc>
      </w:tr>
      <w:tr w14:paraId="3987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2F795F49">
            <w:pPr>
              <w:jc w:val="center"/>
              <w:rPr>
                <w:rFonts w:ascii="Times New Roman" w:hAnsi="Times New Roman" w:eastAsia="宋体" w:cs="Times New Roman"/>
                <w:szCs w:val="21"/>
              </w:rPr>
            </w:pPr>
            <w:r>
              <w:rPr>
                <w:rFonts w:ascii="Times New Roman" w:hAnsi="Times New Roman" w:eastAsia="宋体" w:cs="Times New Roman"/>
                <w:szCs w:val="21"/>
              </w:rPr>
              <w:t>39</w:t>
            </w:r>
          </w:p>
        </w:tc>
        <w:tc>
          <w:tcPr>
            <w:tcW w:w="1081" w:type="dxa"/>
            <w:vAlign w:val="center"/>
          </w:tcPr>
          <w:p w14:paraId="3466ADAA">
            <w:pPr>
              <w:jc w:val="center"/>
              <w:rPr>
                <w:rFonts w:ascii="Times New Roman" w:hAnsi="Times New Roman" w:cs="Times New Roman"/>
                <w:szCs w:val="21"/>
              </w:rPr>
            </w:pPr>
            <w:r>
              <w:rPr>
                <w:rFonts w:ascii="Times New Roman" w:hAnsi="Times New Roman" w:cs="Times New Roman"/>
                <w:szCs w:val="21"/>
              </w:rPr>
              <w:t>11评估报告编制</w:t>
            </w:r>
          </w:p>
        </w:tc>
        <w:tc>
          <w:tcPr>
            <w:tcW w:w="2888" w:type="dxa"/>
            <w:vAlign w:val="center"/>
          </w:tcPr>
          <w:p w14:paraId="06B0FD88">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数据归档格式要求和时限、权限、管理要求等要明确。</w:t>
            </w:r>
          </w:p>
        </w:tc>
        <w:tc>
          <w:tcPr>
            <w:tcW w:w="3260" w:type="dxa"/>
            <w:vAlign w:val="center"/>
          </w:tcPr>
          <w:p w14:paraId="00E96D20">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有利于规范数据管理并保障数据可追溯性。</w:t>
            </w:r>
          </w:p>
        </w:tc>
        <w:tc>
          <w:tcPr>
            <w:tcW w:w="1609" w:type="dxa"/>
            <w:vAlign w:val="center"/>
          </w:tcPr>
          <w:p w14:paraId="6F1C0AB3">
            <w:pPr>
              <w:jc w:val="center"/>
              <w:rPr>
                <w:rFonts w:ascii="Times New Roman" w:hAnsi="Times New Roman" w:eastAsia="宋体" w:cs="Times New Roman"/>
                <w:szCs w:val="21"/>
              </w:rPr>
            </w:pPr>
            <w:r>
              <w:rPr>
                <w:rFonts w:ascii="Times New Roman" w:hAnsi="Times New Roman" w:eastAsia="宋体" w:cs="Times New Roman"/>
                <w:szCs w:val="21"/>
              </w:rPr>
              <w:t>杨文龙</w:t>
            </w:r>
          </w:p>
        </w:tc>
        <w:tc>
          <w:tcPr>
            <w:tcW w:w="3067" w:type="dxa"/>
            <w:vAlign w:val="center"/>
          </w:tcPr>
          <w:p w14:paraId="13189751">
            <w:pPr>
              <w:jc w:val="center"/>
              <w:rPr>
                <w:rFonts w:ascii="Times New Roman" w:hAnsi="Times New Roman" w:cs="Times New Roman"/>
                <w:szCs w:val="21"/>
              </w:rPr>
            </w:pPr>
            <w:r>
              <w:rPr>
                <w:rFonts w:ascii="Times New Roman" w:hAnsi="Times New Roman" w:cs="Times New Roman"/>
                <w:szCs w:val="21"/>
              </w:rPr>
              <w:t>不采纳。本报告/标准主要聚焦于评估的技术流程、方法学与结果判定。数据归档格式、保存时限及访问权限等，属于项目后期的行政档案与数据安全管理范畴，通常由评估执行单位自身的内部管理制度（或科研平台的数据管理规范）进行统筹约束。为保持本技术报告的专业专注度与精简性，故不在正文中对管理类要求进行专门规定。</w:t>
            </w:r>
          </w:p>
        </w:tc>
      </w:tr>
      <w:tr w14:paraId="1ED8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4A5EE897">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1081" w:type="dxa"/>
            <w:vAlign w:val="center"/>
          </w:tcPr>
          <w:p w14:paraId="0D541985">
            <w:pPr>
              <w:jc w:val="center"/>
              <w:rPr>
                <w:rFonts w:ascii="Times New Roman" w:hAnsi="Times New Roman" w:cs="Times New Roman"/>
                <w:szCs w:val="21"/>
              </w:rPr>
            </w:pPr>
            <w:r>
              <w:rPr>
                <w:rFonts w:ascii="Times New Roman" w:hAnsi="Times New Roman" w:cs="Times New Roman"/>
                <w:szCs w:val="21"/>
              </w:rPr>
              <w:t>标题、术语定义</w:t>
            </w:r>
          </w:p>
        </w:tc>
        <w:tc>
          <w:tcPr>
            <w:tcW w:w="2888" w:type="dxa"/>
            <w:vAlign w:val="center"/>
          </w:tcPr>
          <w:p w14:paraId="54A5CF2F">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第一个首字母大写即可。</w:t>
            </w:r>
          </w:p>
        </w:tc>
        <w:tc>
          <w:tcPr>
            <w:tcW w:w="3260" w:type="dxa"/>
            <w:vAlign w:val="center"/>
          </w:tcPr>
          <w:p w14:paraId="6E65F2E2">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1.1—2020“10.3.5术语和定义”除非原文需要大些，英文对应词的字母均小写。</w:t>
            </w:r>
          </w:p>
        </w:tc>
        <w:tc>
          <w:tcPr>
            <w:tcW w:w="1609" w:type="dxa"/>
            <w:vAlign w:val="center"/>
          </w:tcPr>
          <w:p w14:paraId="686F0EBD">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2F7F8901">
            <w:pPr>
              <w:jc w:val="center"/>
              <w:rPr>
                <w:rFonts w:ascii="Times New Roman" w:hAnsi="Times New Roman" w:cs="Times New Roman"/>
                <w:szCs w:val="21"/>
              </w:rPr>
            </w:pPr>
            <w:r>
              <w:rPr>
                <w:rFonts w:ascii="Times New Roman" w:hAnsi="Times New Roman" w:cs="Times New Roman"/>
                <w:szCs w:val="21"/>
              </w:rPr>
              <w:t>采纳，已按照专家意见及GB/T 1.1—2020相关要求，将除首字母外的大写字母改为小写。</w:t>
            </w:r>
          </w:p>
        </w:tc>
      </w:tr>
      <w:tr w14:paraId="7690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407896D4">
            <w:pPr>
              <w:jc w:val="center"/>
              <w:rPr>
                <w:rFonts w:ascii="Times New Roman" w:hAnsi="Times New Roman" w:eastAsia="宋体" w:cs="Times New Roman"/>
                <w:szCs w:val="21"/>
              </w:rPr>
            </w:pPr>
            <w:r>
              <w:rPr>
                <w:rFonts w:ascii="Times New Roman" w:hAnsi="Times New Roman" w:eastAsia="宋体" w:cs="Times New Roman"/>
                <w:szCs w:val="21"/>
              </w:rPr>
              <w:t>41</w:t>
            </w:r>
          </w:p>
        </w:tc>
        <w:tc>
          <w:tcPr>
            <w:tcW w:w="1081" w:type="dxa"/>
            <w:vAlign w:val="center"/>
          </w:tcPr>
          <w:p w14:paraId="1D172E8D">
            <w:pPr>
              <w:jc w:val="center"/>
              <w:rPr>
                <w:rFonts w:ascii="Times New Roman" w:hAnsi="Times New Roman" w:cs="Times New Roman"/>
                <w:szCs w:val="21"/>
              </w:rPr>
            </w:pPr>
            <w:r>
              <w:rPr>
                <w:rFonts w:ascii="Times New Roman" w:hAnsi="Times New Roman" w:cs="Times New Roman"/>
                <w:szCs w:val="21"/>
              </w:rPr>
              <w:t>前言</w:t>
            </w:r>
          </w:p>
        </w:tc>
        <w:tc>
          <w:tcPr>
            <w:tcW w:w="2888" w:type="dxa"/>
            <w:vAlign w:val="center"/>
          </w:tcPr>
          <w:p w14:paraId="4EEC265E">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建议增加：“请注意本文件的某些内容可能涉及专利。本文件的发布机构不承担识别专利的责任。”</w:t>
            </w:r>
          </w:p>
        </w:tc>
        <w:tc>
          <w:tcPr>
            <w:tcW w:w="3260" w:type="dxa"/>
            <w:vAlign w:val="center"/>
          </w:tcPr>
          <w:p w14:paraId="4DEC48DC">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1.1—2020“8.3前言”e）有关专利的说明。</w:t>
            </w:r>
          </w:p>
        </w:tc>
        <w:tc>
          <w:tcPr>
            <w:tcW w:w="1609" w:type="dxa"/>
            <w:vAlign w:val="center"/>
          </w:tcPr>
          <w:p w14:paraId="3A984231">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23025E19">
            <w:pPr>
              <w:jc w:val="center"/>
              <w:rPr>
                <w:rFonts w:ascii="Times New Roman" w:hAnsi="Times New Roman" w:cs="Times New Roman"/>
                <w:szCs w:val="21"/>
              </w:rPr>
            </w:pPr>
            <w:r>
              <w:rPr>
                <w:rFonts w:ascii="Times New Roman" w:hAnsi="Times New Roman" w:cs="Times New Roman"/>
                <w:szCs w:val="21"/>
              </w:rPr>
              <w:t>采纳，已按照专家意见及GB/T 1.1—2020相关要求，在前言部分增加有关专利的说明。</w:t>
            </w:r>
          </w:p>
        </w:tc>
      </w:tr>
      <w:tr w14:paraId="28F2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619700EF">
            <w:pPr>
              <w:jc w:val="center"/>
              <w:rPr>
                <w:rFonts w:ascii="Times New Roman" w:hAnsi="Times New Roman" w:eastAsia="宋体" w:cs="Times New Roman"/>
                <w:szCs w:val="21"/>
              </w:rPr>
            </w:pPr>
            <w:r>
              <w:rPr>
                <w:rFonts w:ascii="Times New Roman" w:hAnsi="Times New Roman" w:eastAsia="宋体" w:cs="Times New Roman"/>
                <w:szCs w:val="21"/>
              </w:rPr>
              <w:t>42</w:t>
            </w:r>
          </w:p>
        </w:tc>
        <w:tc>
          <w:tcPr>
            <w:tcW w:w="1081" w:type="dxa"/>
            <w:vAlign w:val="center"/>
          </w:tcPr>
          <w:p w14:paraId="6001744C">
            <w:pPr>
              <w:jc w:val="center"/>
              <w:rPr>
                <w:rFonts w:ascii="Times New Roman" w:hAnsi="Times New Roman" w:cs="Times New Roman"/>
                <w:szCs w:val="21"/>
              </w:rPr>
            </w:pPr>
            <w:r>
              <w:rPr>
                <w:rFonts w:ascii="Times New Roman" w:hAnsi="Times New Roman" w:cs="Times New Roman"/>
                <w:szCs w:val="21"/>
              </w:rPr>
              <w:t>1范围部分</w:t>
            </w:r>
          </w:p>
        </w:tc>
        <w:tc>
          <w:tcPr>
            <w:tcW w:w="2888" w:type="dxa"/>
            <w:vAlign w:val="center"/>
          </w:tcPr>
          <w:p w14:paraId="6ADFCE57">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建议删除“本文件不适用于……”。</w:t>
            </w:r>
          </w:p>
        </w:tc>
        <w:tc>
          <w:tcPr>
            <w:tcW w:w="3260" w:type="dxa"/>
            <w:vAlign w:val="center"/>
          </w:tcPr>
          <w:p w14:paraId="22C99EAA">
            <w:pPr>
              <w:rPr>
                <w:rFonts w:ascii="Times New Roman" w:hAnsi="Times New Roman" w:cs="Times New Roman"/>
                <w:color w:val="000000" w:themeColor="text1"/>
                <w:szCs w:val="21"/>
                <w14:textFill>
                  <w14:solidFill>
                    <w14:schemeClr w14:val="tx1"/>
                  </w14:solidFill>
                </w14:textFill>
              </w:rPr>
            </w:pPr>
          </w:p>
        </w:tc>
        <w:tc>
          <w:tcPr>
            <w:tcW w:w="1609" w:type="dxa"/>
            <w:vAlign w:val="center"/>
          </w:tcPr>
          <w:p w14:paraId="49C81BAB">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15EA26FD">
            <w:pPr>
              <w:jc w:val="center"/>
              <w:rPr>
                <w:rFonts w:ascii="Times New Roman" w:hAnsi="Times New Roman" w:cs="Times New Roman"/>
                <w:szCs w:val="21"/>
              </w:rPr>
            </w:pPr>
            <w:r>
              <w:rPr>
                <w:rFonts w:ascii="Times New Roman" w:hAnsi="Times New Roman" w:cs="Times New Roman"/>
                <w:szCs w:val="21"/>
              </w:rPr>
              <w:t>采纳，已按专家意见删除。</w:t>
            </w:r>
          </w:p>
        </w:tc>
      </w:tr>
      <w:tr w14:paraId="6C54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671C4A18">
            <w:pPr>
              <w:jc w:val="center"/>
              <w:rPr>
                <w:rFonts w:ascii="Times New Roman" w:hAnsi="Times New Roman" w:eastAsia="宋体" w:cs="Times New Roman"/>
                <w:szCs w:val="21"/>
              </w:rPr>
            </w:pPr>
            <w:r>
              <w:rPr>
                <w:rFonts w:ascii="Times New Roman" w:hAnsi="Times New Roman" w:eastAsia="宋体" w:cs="Times New Roman"/>
                <w:szCs w:val="21"/>
              </w:rPr>
              <w:t>43</w:t>
            </w:r>
          </w:p>
        </w:tc>
        <w:tc>
          <w:tcPr>
            <w:tcW w:w="1081" w:type="dxa"/>
            <w:vAlign w:val="center"/>
          </w:tcPr>
          <w:p w14:paraId="72D67B87">
            <w:pPr>
              <w:jc w:val="center"/>
              <w:rPr>
                <w:rFonts w:ascii="Times New Roman" w:hAnsi="Times New Roman" w:cs="Times New Roman"/>
                <w:szCs w:val="21"/>
              </w:rPr>
            </w:pPr>
            <w:r>
              <w:rPr>
                <w:rFonts w:ascii="Times New Roman" w:hAnsi="Times New Roman" w:cs="Times New Roman"/>
                <w:szCs w:val="21"/>
              </w:rPr>
              <w:t>2 规范性引用文件</w:t>
            </w:r>
          </w:p>
        </w:tc>
        <w:tc>
          <w:tcPr>
            <w:tcW w:w="2888" w:type="dxa"/>
            <w:vAlign w:val="center"/>
          </w:tcPr>
          <w:p w14:paraId="05931D85">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中行标顺序建议按照序号排序；标准正文文本里引用的需要在该部分进行补充，正文中没有引用的、指南和管理办法等文件建议移到参考文献。</w:t>
            </w:r>
          </w:p>
        </w:tc>
        <w:tc>
          <w:tcPr>
            <w:tcW w:w="3260" w:type="dxa"/>
            <w:vAlign w:val="center"/>
          </w:tcPr>
          <w:p w14:paraId="34C4ED8F">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1.1—2020“8.6.3.1”和“8.6.3.2”中引用、排序相关规定。</w:t>
            </w:r>
          </w:p>
        </w:tc>
        <w:tc>
          <w:tcPr>
            <w:tcW w:w="1609" w:type="dxa"/>
            <w:vAlign w:val="center"/>
          </w:tcPr>
          <w:p w14:paraId="1DCC5161">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43E57B10">
            <w:pPr>
              <w:jc w:val="center"/>
              <w:rPr>
                <w:rFonts w:ascii="Times New Roman" w:hAnsi="Times New Roman" w:cs="Times New Roman"/>
                <w:szCs w:val="21"/>
              </w:rPr>
            </w:pPr>
            <w:r>
              <w:rPr>
                <w:rFonts w:ascii="Times New Roman" w:hAnsi="Times New Roman" w:cs="Times New Roman"/>
                <w:szCs w:val="21"/>
              </w:rPr>
              <w:t>采纳，已按照专家意见及GB/T 1.1—2020相关要求，对“2 规范性引用文件”中的行标进行排序，指南等文件已移至参考文献。</w:t>
            </w:r>
          </w:p>
        </w:tc>
      </w:tr>
      <w:tr w14:paraId="1B88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32168B05">
            <w:pPr>
              <w:jc w:val="center"/>
              <w:rPr>
                <w:rFonts w:ascii="Times New Roman" w:hAnsi="Times New Roman" w:eastAsia="宋体" w:cs="Times New Roman"/>
                <w:szCs w:val="21"/>
              </w:rPr>
            </w:pPr>
            <w:r>
              <w:rPr>
                <w:rFonts w:ascii="Times New Roman" w:hAnsi="Times New Roman" w:eastAsia="宋体" w:cs="Times New Roman"/>
                <w:szCs w:val="21"/>
              </w:rPr>
              <w:t>44</w:t>
            </w:r>
          </w:p>
        </w:tc>
        <w:tc>
          <w:tcPr>
            <w:tcW w:w="1081" w:type="dxa"/>
            <w:vAlign w:val="center"/>
          </w:tcPr>
          <w:p w14:paraId="48D3C1E9">
            <w:pPr>
              <w:jc w:val="center"/>
              <w:rPr>
                <w:rFonts w:ascii="Times New Roman" w:hAnsi="Times New Roman" w:cs="Times New Roman"/>
                <w:szCs w:val="21"/>
              </w:rPr>
            </w:pPr>
            <w:r>
              <w:rPr>
                <w:rFonts w:ascii="Times New Roman" w:hAnsi="Times New Roman" w:cs="Times New Roman"/>
                <w:szCs w:val="21"/>
              </w:rPr>
              <w:t>3.1饮用水水源地</w:t>
            </w:r>
          </w:p>
        </w:tc>
        <w:tc>
          <w:tcPr>
            <w:tcW w:w="2888" w:type="dxa"/>
            <w:vAlign w:val="center"/>
          </w:tcPr>
          <w:p w14:paraId="3A34E3FE">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英文标题不用大写。</w:t>
            </w:r>
          </w:p>
        </w:tc>
        <w:tc>
          <w:tcPr>
            <w:tcW w:w="3260" w:type="dxa"/>
            <w:vAlign w:val="center"/>
          </w:tcPr>
          <w:p w14:paraId="676A113F">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1.1—2020“10.3.5术语和定义”除非原文需要大些，英文对应词的字母均小写。</w:t>
            </w:r>
          </w:p>
        </w:tc>
        <w:tc>
          <w:tcPr>
            <w:tcW w:w="1609" w:type="dxa"/>
            <w:vAlign w:val="center"/>
          </w:tcPr>
          <w:p w14:paraId="4B180D01">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227F079D">
            <w:pPr>
              <w:jc w:val="center"/>
              <w:rPr>
                <w:rFonts w:ascii="Times New Roman" w:hAnsi="Times New Roman" w:cs="Times New Roman"/>
                <w:szCs w:val="21"/>
              </w:rPr>
            </w:pPr>
            <w:r>
              <w:rPr>
                <w:rFonts w:ascii="Times New Roman" w:hAnsi="Times New Roman" w:cs="Times New Roman"/>
                <w:szCs w:val="21"/>
              </w:rPr>
              <w:t>采纳，已按照专家意见及GB/T 1.1—2020相关要求改为小写。</w:t>
            </w:r>
          </w:p>
        </w:tc>
      </w:tr>
      <w:tr w14:paraId="69B7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2F6C0D42">
            <w:pPr>
              <w:jc w:val="center"/>
              <w:rPr>
                <w:rFonts w:ascii="Times New Roman" w:hAnsi="Times New Roman" w:eastAsia="宋体" w:cs="Times New Roman"/>
                <w:szCs w:val="21"/>
              </w:rPr>
            </w:pPr>
            <w:r>
              <w:rPr>
                <w:rFonts w:ascii="Times New Roman" w:hAnsi="Times New Roman" w:eastAsia="宋体" w:cs="Times New Roman"/>
                <w:szCs w:val="21"/>
              </w:rPr>
              <w:t>45</w:t>
            </w:r>
          </w:p>
        </w:tc>
        <w:tc>
          <w:tcPr>
            <w:tcW w:w="1081" w:type="dxa"/>
            <w:vAlign w:val="center"/>
          </w:tcPr>
          <w:p w14:paraId="7B00539C">
            <w:pPr>
              <w:jc w:val="center"/>
              <w:rPr>
                <w:rFonts w:ascii="Times New Roman" w:hAnsi="Times New Roman" w:cs="Times New Roman"/>
                <w:szCs w:val="21"/>
              </w:rPr>
            </w:pPr>
            <w:r>
              <w:rPr>
                <w:rFonts w:ascii="Times New Roman" w:hAnsi="Times New Roman" w:cs="Times New Roman"/>
                <w:szCs w:val="21"/>
              </w:rPr>
              <w:t>4基本原则</w:t>
            </w:r>
          </w:p>
        </w:tc>
        <w:tc>
          <w:tcPr>
            <w:tcW w:w="2888" w:type="dxa"/>
            <w:vAlign w:val="center"/>
          </w:tcPr>
          <w:p w14:paraId="6B892D37">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建议简化，建议只保留规则，不解释理由，如“海南气候”等建议删除。</w:t>
            </w:r>
          </w:p>
        </w:tc>
        <w:tc>
          <w:tcPr>
            <w:tcW w:w="3260" w:type="dxa"/>
            <w:vAlign w:val="center"/>
          </w:tcPr>
          <w:p w14:paraId="02DA53A5">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提高标准文本的规范性和简洁性。</w:t>
            </w:r>
          </w:p>
        </w:tc>
        <w:tc>
          <w:tcPr>
            <w:tcW w:w="1609" w:type="dxa"/>
            <w:vAlign w:val="center"/>
          </w:tcPr>
          <w:p w14:paraId="65C97176">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4CB3B017">
            <w:pPr>
              <w:jc w:val="center"/>
              <w:rPr>
                <w:rFonts w:ascii="Times New Roman" w:hAnsi="Times New Roman" w:cs="Times New Roman"/>
                <w:szCs w:val="21"/>
              </w:rPr>
            </w:pPr>
            <w:r>
              <w:rPr>
                <w:rFonts w:ascii="Times New Roman" w:hAnsi="Times New Roman" w:cs="Times New Roman"/>
                <w:szCs w:val="21"/>
              </w:rPr>
              <w:t>采纳，已按照专家意见</w:t>
            </w:r>
            <w:r>
              <w:rPr>
                <w:rFonts w:ascii="Times New Roman" w:hAnsi="Times New Roman" w:cs="Times New Roman"/>
              </w:rPr>
              <w:t>删除多余的解释，只保留规则。</w:t>
            </w:r>
          </w:p>
        </w:tc>
      </w:tr>
      <w:tr w14:paraId="10F0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01C1C1E0">
            <w:pPr>
              <w:jc w:val="center"/>
              <w:rPr>
                <w:rFonts w:ascii="Times New Roman" w:hAnsi="Times New Roman" w:eastAsia="宋体" w:cs="Times New Roman"/>
                <w:szCs w:val="21"/>
              </w:rPr>
            </w:pPr>
            <w:r>
              <w:rPr>
                <w:rFonts w:ascii="Times New Roman" w:hAnsi="Times New Roman" w:eastAsia="宋体" w:cs="Times New Roman"/>
                <w:szCs w:val="21"/>
              </w:rPr>
              <w:t>46</w:t>
            </w:r>
          </w:p>
        </w:tc>
        <w:tc>
          <w:tcPr>
            <w:tcW w:w="1081" w:type="dxa"/>
            <w:vAlign w:val="center"/>
          </w:tcPr>
          <w:p w14:paraId="46B168B7">
            <w:pPr>
              <w:jc w:val="center"/>
              <w:rPr>
                <w:rFonts w:ascii="Times New Roman" w:hAnsi="Times New Roman" w:cs="Times New Roman"/>
                <w:szCs w:val="21"/>
              </w:rPr>
            </w:pPr>
            <w:r>
              <w:rPr>
                <w:rFonts w:ascii="Times New Roman" w:hAnsi="Times New Roman" w:cs="Times New Roman"/>
                <w:szCs w:val="21"/>
              </w:rPr>
              <w:t>6.2.2环境监测或调查数据和6.2.3模型预测数据</w:t>
            </w:r>
          </w:p>
        </w:tc>
        <w:tc>
          <w:tcPr>
            <w:tcW w:w="2888" w:type="dxa"/>
            <w:vAlign w:val="center"/>
          </w:tcPr>
          <w:p w14:paraId="35EF7526">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“6.2.3”中建议删除“尽量选用”此类表述。</w:t>
            </w:r>
          </w:p>
        </w:tc>
        <w:tc>
          <w:tcPr>
            <w:tcW w:w="3260" w:type="dxa"/>
            <w:vAlign w:val="center"/>
          </w:tcPr>
          <w:p w14:paraId="3A260172">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提高标准文本的规范性。</w:t>
            </w:r>
          </w:p>
        </w:tc>
        <w:tc>
          <w:tcPr>
            <w:tcW w:w="1609" w:type="dxa"/>
            <w:vAlign w:val="center"/>
          </w:tcPr>
          <w:p w14:paraId="05211E25">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2C714306">
            <w:pPr>
              <w:jc w:val="center"/>
              <w:rPr>
                <w:rFonts w:ascii="Times New Roman" w:hAnsi="Times New Roman" w:cs="Times New Roman"/>
                <w:szCs w:val="21"/>
              </w:rPr>
            </w:pPr>
            <w:r>
              <w:rPr>
                <w:rFonts w:ascii="Times New Roman" w:hAnsi="Times New Roman" w:cs="Times New Roman"/>
                <w:szCs w:val="21"/>
              </w:rPr>
              <w:t>采纳，已按专家意见删除“尽量选用”此类表述。</w:t>
            </w:r>
          </w:p>
        </w:tc>
      </w:tr>
      <w:tr w14:paraId="1190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1EB5E58E">
            <w:pPr>
              <w:jc w:val="center"/>
              <w:rPr>
                <w:rFonts w:ascii="Times New Roman" w:hAnsi="Times New Roman" w:eastAsia="宋体" w:cs="Times New Roman"/>
                <w:szCs w:val="21"/>
              </w:rPr>
            </w:pPr>
            <w:r>
              <w:rPr>
                <w:rFonts w:ascii="Times New Roman" w:hAnsi="Times New Roman" w:eastAsia="宋体" w:cs="Times New Roman"/>
                <w:szCs w:val="21"/>
              </w:rPr>
              <w:t>47</w:t>
            </w:r>
          </w:p>
        </w:tc>
        <w:tc>
          <w:tcPr>
            <w:tcW w:w="1081" w:type="dxa"/>
            <w:vAlign w:val="center"/>
          </w:tcPr>
          <w:p w14:paraId="23747452">
            <w:pPr>
              <w:jc w:val="center"/>
              <w:rPr>
                <w:rFonts w:ascii="Times New Roman" w:hAnsi="Times New Roman" w:cs="Times New Roman"/>
                <w:szCs w:val="21"/>
              </w:rPr>
            </w:pPr>
            <w:r>
              <w:rPr>
                <w:rFonts w:ascii="Times New Roman" w:hAnsi="Times New Roman" w:cs="Times New Roman"/>
                <w:szCs w:val="21"/>
              </w:rPr>
              <w:t>8.1危害评估的工作内容</w:t>
            </w:r>
          </w:p>
        </w:tc>
        <w:tc>
          <w:tcPr>
            <w:tcW w:w="2888" w:type="dxa"/>
            <w:vAlign w:val="center"/>
          </w:tcPr>
          <w:p w14:paraId="41E6B322">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与后续描述重复，建议删除。</w:t>
            </w:r>
          </w:p>
        </w:tc>
        <w:tc>
          <w:tcPr>
            <w:tcW w:w="3260" w:type="dxa"/>
            <w:vAlign w:val="center"/>
          </w:tcPr>
          <w:p w14:paraId="38E7DCBA">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提高标准文本的规范性和简洁性。</w:t>
            </w:r>
          </w:p>
        </w:tc>
        <w:tc>
          <w:tcPr>
            <w:tcW w:w="1609" w:type="dxa"/>
            <w:vAlign w:val="center"/>
          </w:tcPr>
          <w:p w14:paraId="379206B2">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425485BF">
            <w:pPr>
              <w:jc w:val="center"/>
              <w:rPr>
                <w:rFonts w:ascii="Times New Roman" w:hAnsi="Times New Roman" w:cs="Times New Roman"/>
                <w:szCs w:val="21"/>
              </w:rPr>
            </w:pPr>
            <w:r>
              <w:rPr>
                <w:rFonts w:ascii="Times New Roman" w:hAnsi="Times New Roman" w:cs="Times New Roman"/>
                <w:szCs w:val="21"/>
              </w:rPr>
              <w:t>采纳，已按专家意见删除“8.1危害评估的工作内容”。</w:t>
            </w:r>
          </w:p>
        </w:tc>
      </w:tr>
      <w:tr w14:paraId="558C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3069D063">
            <w:pPr>
              <w:jc w:val="center"/>
              <w:rPr>
                <w:rFonts w:ascii="Times New Roman" w:hAnsi="Times New Roman" w:eastAsia="宋体" w:cs="Times New Roman"/>
                <w:szCs w:val="21"/>
              </w:rPr>
            </w:pPr>
            <w:r>
              <w:rPr>
                <w:rFonts w:ascii="Times New Roman" w:hAnsi="Times New Roman" w:eastAsia="宋体" w:cs="Times New Roman"/>
                <w:szCs w:val="21"/>
              </w:rPr>
              <w:t>48</w:t>
            </w:r>
          </w:p>
        </w:tc>
        <w:tc>
          <w:tcPr>
            <w:tcW w:w="1081" w:type="dxa"/>
            <w:vAlign w:val="center"/>
          </w:tcPr>
          <w:p w14:paraId="39A6CE08">
            <w:pPr>
              <w:jc w:val="center"/>
              <w:rPr>
                <w:rFonts w:ascii="Times New Roman" w:hAnsi="Times New Roman" w:cs="Times New Roman"/>
                <w:szCs w:val="21"/>
              </w:rPr>
            </w:pPr>
            <w:r>
              <w:rPr>
                <w:rFonts w:ascii="Times New Roman" w:hAnsi="Times New Roman" w:cs="Times New Roman"/>
                <w:szCs w:val="21"/>
              </w:rPr>
              <w:t>11.2</w:t>
            </w:r>
          </w:p>
        </w:tc>
        <w:tc>
          <w:tcPr>
            <w:tcW w:w="2888" w:type="dxa"/>
            <w:vAlign w:val="center"/>
          </w:tcPr>
          <w:p w14:paraId="668EB3B2">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“饮用水水源地新污染健康风险评估报告书”是否缺少“物”字；建议在附录中给出该报告书的相关格式。</w:t>
            </w:r>
          </w:p>
        </w:tc>
        <w:tc>
          <w:tcPr>
            <w:tcW w:w="3260" w:type="dxa"/>
            <w:vAlign w:val="center"/>
          </w:tcPr>
          <w:p w14:paraId="731B4219">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语义更完整，表述更清晰；GB/T 1.1—2020中“5.4.3 易用性原则”</w:t>
            </w:r>
          </w:p>
        </w:tc>
        <w:tc>
          <w:tcPr>
            <w:tcW w:w="1609" w:type="dxa"/>
            <w:vAlign w:val="center"/>
          </w:tcPr>
          <w:p w14:paraId="27E7E3E9">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3291BE39">
            <w:pPr>
              <w:jc w:val="center"/>
              <w:rPr>
                <w:rFonts w:ascii="Times New Roman" w:hAnsi="Times New Roman" w:cs="Times New Roman"/>
                <w:szCs w:val="21"/>
              </w:rPr>
            </w:pPr>
            <w:r>
              <w:rPr>
                <w:rFonts w:ascii="Times New Roman" w:hAnsi="Times New Roman" w:cs="Times New Roman"/>
                <w:szCs w:val="21"/>
              </w:rPr>
              <w:t>采纳，对文本规范性进行核对，对语句补充完整。报告编制大纲详见附录E。</w:t>
            </w:r>
          </w:p>
        </w:tc>
      </w:tr>
      <w:tr w14:paraId="4D89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77CE5457">
            <w:pPr>
              <w:jc w:val="center"/>
              <w:rPr>
                <w:rFonts w:ascii="Times New Roman" w:hAnsi="Times New Roman" w:eastAsia="宋体" w:cs="Times New Roman"/>
                <w:szCs w:val="21"/>
              </w:rPr>
            </w:pPr>
            <w:r>
              <w:rPr>
                <w:rFonts w:ascii="Times New Roman" w:hAnsi="Times New Roman" w:eastAsia="宋体" w:cs="Times New Roman"/>
                <w:szCs w:val="21"/>
              </w:rPr>
              <w:t>49</w:t>
            </w:r>
          </w:p>
        </w:tc>
        <w:tc>
          <w:tcPr>
            <w:tcW w:w="1081" w:type="dxa"/>
            <w:vAlign w:val="center"/>
          </w:tcPr>
          <w:p w14:paraId="3B62ED80">
            <w:pPr>
              <w:jc w:val="center"/>
              <w:rPr>
                <w:rFonts w:ascii="Times New Roman" w:hAnsi="Times New Roman" w:cs="Times New Roman"/>
                <w:szCs w:val="21"/>
              </w:rPr>
            </w:pPr>
            <w:r>
              <w:rPr>
                <w:rFonts w:ascii="Times New Roman" w:hAnsi="Times New Roman" w:cs="Times New Roman"/>
                <w:szCs w:val="21"/>
              </w:rPr>
              <w:t>编制说明</w:t>
            </w:r>
          </w:p>
        </w:tc>
        <w:tc>
          <w:tcPr>
            <w:tcW w:w="2888" w:type="dxa"/>
            <w:vAlign w:val="center"/>
          </w:tcPr>
          <w:p w14:paraId="112F760D">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编制说明里起草时间（2024年）与立项时间（2025）不符，建议按照立项时间；“（二）编制过程简介”中建议增加研讨会、征求意见建议函询征求不少于20家单位或者人意见。</w:t>
            </w:r>
          </w:p>
        </w:tc>
        <w:tc>
          <w:tcPr>
            <w:tcW w:w="3260" w:type="dxa"/>
            <w:vAlign w:val="center"/>
          </w:tcPr>
          <w:p w14:paraId="766E706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提高标准文本的规范性。</w:t>
            </w:r>
          </w:p>
        </w:tc>
        <w:tc>
          <w:tcPr>
            <w:tcW w:w="1609" w:type="dxa"/>
            <w:vAlign w:val="center"/>
          </w:tcPr>
          <w:p w14:paraId="4203593A">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5A060965">
            <w:pPr>
              <w:jc w:val="center"/>
              <w:rPr>
                <w:rFonts w:ascii="Times New Roman" w:hAnsi="Times New Roman" w:cs="Times New Roman"/>
                <w:szCs w:val="21"/>
              </w:rPr>
            </w:pPr>
            <w:r>
              <w:rPr>
                <w:rFonts w:ascii="Times New Roman" w:hAnsi="Times New Roman" w:cs="Times New Roman"/>
                <w:szCs w:val="21"/>
              </w:rPr>
              <w:t>采纳，已按专家意见修改编制说明中标准起草时间。</w:t>
            </w:r>
          </w:p>
        </w:tc>
      </w:tr>
      <w:tr w14:paraId="28BE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650DA66F">
            <w:pPr>
              <w:jc w:val="center"/>
              <w:rPr>
                <w:rFonts w:ascii="Times New Roman" w:hAnsi="Times New Roman" w:eastAsia="宋体" w:cs="Times New Roman"/>
                <w:szCs w:val="21"/>
              </w:rPr>
            </w:pPr>
            <w:r>
              <w:rPr>
                <w:rFonts w:ascii="Times New Roman" w:hAnsi="Times New Roman" w:eastAsia="宋体" w:cs="Times New Roman"/>
                <w:szCs w:val="21"/>
              </w:rPr>
              <w:t>50</w:t>
            </w:r>
          </w:p>
        </w:tc>
        <w:tc>
          <w:tcPr>
            <w:tcW w:w="1081" w:type="dxa"/>
            <w:vAlign w:val="center"/>
          </w:tcPr>
          <w:p w14:paraId="1FF24242">
            <w:pPr>
              <w:jc w:val="center"/>
              <w:rPr>
                <w:rFonts w:ascii="Times New Roman" w:hAnsi="Times New Roman" w:cs="Times New Roman"/>
                <w:szCs w:val="21"/>
              </w:rPr>
            </w:pPr>
            <w:r>
              <w:rPr>
                <w:rFonts w:ascii="Times New Roman" w:hAnsi="Times New Roman" w:cs="Times New Roman"/>
                <w:szCs w:val="21"/>
              </w:rPr>
              <w:t>编制说明</w:t>
            </w:r>
          </w:p>
        </w:tc>
        <w:tc>
          <w:tcPr>
            <w:tcW w:w="2888" w:type="dxa"/>
            <w:vAlign w:val="center"/>
          </w:tcPr>
          <w:p w14:paraId="40496B63">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三）”中标准制定原则应从科学性、统一性、协调性、适用性、一致性和规范性中至少3个方面具体说明；标准制定的依据应为标准制定过程中所依据的技术性文件；“（3）与现行标准的衔接和存在问题”部分应写明本文与现行的法规、标准是否协调一致、有无冲突，而非罗列现行的法律法规及标准。</w:t>
            </w:r>
          </w:p>
        </w:tc>
        <w:tc>
          <w:tcPr>
            <w:tcW w:w="3260" w:type="dxa"/>
            <w:vAlign w:val="center"/>
          </w:tcPr>
          <w:p w14:paraId="29916DCB">
            <w:pPr>
              <w:rPr>
                <w:rFonts w:ascii="Times New Roman" w:hAnsi="Times New Roman" w:cs="Times New Roman"/>
                <w:color w:val="000000" w:themeColor="text1"/>
                <w:szCs w:val="21"/>
                <w14:textFill>
                  <w14:solidFill>
                    <w14:schemeClr w14:val="tx1"/>
                  </w14:solidFill>
                </w14:textFill>
              </w:rPr>
            </w:pPr>
          </w:p>
        </w:tc>
        <w:tc>
          <w:tcPr>
            <w:tcW w:w="1609" w:type="dxa"/>
            <w:vAlign w:val="center"/>
          </w:tcPr>
          <w:p w14:paraId="0AD4950A">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2368C2F0">
            <w:pPr>
              <w:jc w:val="center"/>
              <w:rPr>
                <w:rFonts w:ascii="Times New Roman" w:hAnsi="Times New Roman" w:cs="Times New Roman"/>
                <w:szCs w:val="21"/>
              </w:rPr>
            </w:pPr>
            <w:r>
              <w:rPr>
                <w:rFonts w:ascii="Times New Roman" w:hAnsi="Times New Roman" w:cs="Times New Roman"/>
                <w:szCs w:val="21"/>
              </w:rPr>
              <w:t>采纳。已在编制说明第三章补充与现行法规、标准的协调性及冲突分析。</w:t>
            </w:r>
          </w:p>
        </w:tc>
      </w:tr>
      <w:tr w14:paraId="5389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17AE78EB">
            <w:pPr>
              <w:jc w:val="center"/>
              <w:rPr>
                <w:rFonts w:ascii="Times New Roman" w:hAnsi="Times New Roman" w:eastAsia="宋体" w:cs="Times New Roman"/>
                <w:szCs w:val="21"/>
              </w:rPr>
            </w:pPr>
            <w:r>
              <w:rPr>
                <w:rFonts w:ascii="Times New Roman" w:hAnsi="Times New Roman" w:eastAsia="宋体" w:cs="Times New Roman"/>
                <w:szCs w:val="21"/>
              </w:rPr>
              <w:t>51</w:t>
            </w:r>
          </w:p>
        </w:tc>
        <w:tc>
          <w:tcPr>
            <w:tcW w:w="1081" w:type="dxa"/>
            <w:vAlign w:val="center"/>
          </w:tcPr>
          <w:p w14:paraId="400F0730">
            <w:pPr>
              <w:jc w:val="center"/>
              <w:rPr>
                <w:rFonts w:ascii="Times New Roman" w:hAnsi="Times New Roman" w:cs="Times New Roman"/>
                <w:szCs w:val="21"/>
              </w:rPr>
            </w:pPr>
            <w:r>
              <w:rPr>
                <w:rFonts w:ascii="Times New Roman" w:hAnsi="Times New Roman" w:cs="Times New Roman"/>
                <w:szCs w:val="21"/>
              </w:rPr>
              <w:t>编制说明</w:t>
            </w:r>
          </w:p>
        </w:tc>
        <w:tc>
          <w:tcPr>
            <w:tcW w:w="2888" w:type="dxa"/>
            <w:vAlign w:val="center"/>
          </w:tcPr>
          <w:p w14:paraId="5B1AD018">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第4页全国标准不适用海南的论述部分，建议重点补充说明不适用的原因、情况。</w:t>
            </w:r>
          </w:p>
        </w:tc>
        <w:tc>
          <w:tcPr>
            <w:tcW w:w="3260" w:type="dxa"/>
            <w:vAlign w:val="center"/>
          </w:tcPr>
          <w:p w14:paraId="40B283FE">
            <w:pPr>
              <w:rPr>
                <w:rFonts w:ascii="Times New Roman" w:hAnsi="Times New Roman" w:cs="Times New Roman"/>
                <w:color w:val="000000" w:themeColor="text1"/>
                <w:szCs w:val="21"/>
                <w14:textFill>
                  <w14:solidFill>
                    <w14:schemeClr w14:val="tx1"/>
                  </w14:solidFill>
                </w14:textFill>
              </w:rPr>
            </w:pPr>
          </w:p>
        </w:tc>
        <w:tc>
          <w:tcPr>
            <w:tcW w:w="1609" w:type="dxa"/>
            <w:vAlign w:val="center"/>
          </w:tcPr>
          <w:p w14:paraId="197E668D">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0B3F6E0F">
            <w:pPr>
              <w:jc w:val="center"/>
              <w:rPr>
                <w:rFonts w:ascii="Times New Roman" w:hAnsi="Times New Roman" w:cs="Times New Roman"/>
                <w:szCs w:val="21"/>
              </w:rPr>
            </w:pPr>
            <w:r>
              <w:rPr>
                <w:rFonts w:ascii="Times New Roman" w:hAnsi="Times New Roman" w:cs="Times New Roman"/>
                <w:szCs w:val="21"/>
              </w:rPr>
              <w:t>采纳。修改后的文本重点从“暴露参数与热带气候的不匹配（导致低估风险）”、“通用物质清单与海岛特色产业的不契合（导致漏评）”以及“通用迁移转化模型与短流程独立水系的不适配（导致模拟失真）”三个具体维度，清晰论述了直接套用全国标准的局限性及不适用的具体情况，强化了制定本省地方标准的紧迫性与必要性</w:t>
            </w:r>
          </w:p>
        </w:tc>
      </w:tr>
      <w:tr w14:paraId="0A99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5BA4AEED">
            <w:pPr>
              <w:jc w:val="center"/>
              <w:rPr>
                <w:rFonts w:ascii="Times New Roman" w:hAnsi="Times New Roman" w:eastAsia="宋体" w:cs="Times New Roman"/>
                <w:szCs w:val="21"/>
              </w:rPr>
            </w:pPr>
            <w:r>
              <w:rPr>
                <w:rFonts w:ascii="Times New Roman" w:hAnsi="Times New Roman" w:eastAsia="宋体" w:cs="Times New Roman"/>
                <w:szCs w:val="21"/>
              </w:rPr>
              <w:t>52</w:t>
            </w:r>
          </w:p>
        </w:tc>
        <w:tc>
          <w:tcPr>
            <w:tcW w:w="1081" w:type="dxa"/>
            <w:vAlign w:val="center"/>
          </w:tcPr>
          <w:p w14:paraId="03412F99">
            <w:pPr>
              <w:jc w:val="center"/>
              <w:rPr>
                <w:rFonts w:ascii="Times New Roman" w:hAnsi="Times New Roman" w:cs="Times New Roman"/>
                <w:szCs w:val="21"/>
              </w:rPr>
            </w:pPr>
            <w:r>
              <w:rPr>
                <w:rFonts w:ascii="Times New Roman" w:hAnsi="Times New Roman" w:cs="Times New Roman"/>
                <w:szCs w:val="21"/>
              </w:rPr>
              <w:t>编制说明</w:t>
            </w:r>
          </w:p>
        </w:tc>
        <w:tc>
          <w:tcPr>
            <w:tcW w:w="2888" w:type="dxa"/>
            <w:vAlign w:val="center"/>
          </w:tcPr>
          <w:p w14:paraId="22D8E6EA">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“（二）编制过程”中建议补充前期的基础工作及采样、监测照片，如采样点布设、采样数量等核心工作。</w:t>
            </w:r>
          </w:p>
        </w:tc>
        <w:tc>
          <w:tcPr>
            <w:tcW w:w="3260" w:type="dxa"/>
            <w:vAlign w:val="center"/>
          </w:tcPr>
          <w:p w14:paraId="2166A10A">
            <w:pPr>
              <w:rPr>
                <w:rFonts w:ascii="Times New Roman" w:hAnsi="Times New Roman" w:cs="Times New Roman"/>
                <w:color w:val="000000" w:themeColor="text1"/>
                <w:szCs w:val="21"/>
                <w14:textFill>
                  <w14:solidFill>
                    <w14:schemeClr w14:val="tx1"/>
                  </w14:solidFill>
                </w14:textFill>
              </w:rPr>
            </w:pPr>
          </w:p>
        </w:tc>
        <w:tc>
          <w:tcPr>
            <w:tcW w:w="1609" w:type="dxa"/>
            <w:vAlign w:val="center"/>
          </w:tcPr>
          <w:p w14:paraId="7C6AA4FC">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183A7F21">
            <w:pPr>
              <w:jc w:val="center"/>
              <w:rPr>
                <w:rFonts w:ascii="Times New Roman" w:hAnsi="Times New Roman" w:cs="Times New Roman"/>
                <w:szCs w:val="21"/>
              </w:rPr>
            </w:pPr>
            <w:r>
              <w:rPr>
                <w:rFonts w:ascii="Times New Roman" w:hAnsi="Times New Roman" w:cs="Times New Roman"/>
                <w:szCs w:val="21"/>
              </w:rPr>
              <w:t>采纳，已根据专家意见，补充前期新污染物监测和风险评估的工作基础。</w:t>
            </w:r>
          </w:p>
        </w:tc>
      </w:tr>
      <w:tr w14:paraId="33BF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1BD0B23B">
            <w:pPr>
              <w:jc w:val="center"/>
              <w:rPr>
                <w:rFonts w:ascii="Times New Roman" w:hAnsi="Times New Roman" w:eastAsia="宋体" w:cs="Times New Roman"/>
                <w:szCs w:val="21"/>
              </w:rPr>
            </w:pPr>
            <w:r>
              <w:rPr>
                <w:rFonts w:ascii="Times New Roman" w:hAnsi="Times New Roman" w:eastAsia="宋体" w:cs="Times New Roman"/>
                <w:szCs w:val="21"/>
              </w:rPr>
              <w:t>53</w:t>
            </w:r>
          </w:p>
        </w:tc>
        <w:tc>
          <w:tcPr>
            <w:tcW w:w="1081" w:type="dxa"/>
            <w:vAlign w:val="center"/>
          </w:tcPr>
          <w:p w14:paraId="2D425F4D">
            <w:pPr>
              <w:jc w:val="center"/>
              <w:rPr>
                <w:rFonts w:ascii="Times New Roman" w:hAnsi="Times New Roman" w:cs="Times New Roman"/>
                <w:szCs w:val="21"/>
              </w:rPr>
            </w:pPr>
            <w:r>
              <w:rPr>
                <w:rFonts w:ascii="Times New Roman" w:hAnsi="Times New Roman" w:cs="Times New Roman"/>
                <w:szCs w:val="21"/>
              </w:rPr>
              <w:t>编制说明</w:t>
            </w:r>
          </w:p>
        </w:tc>
        <w:tc>
          <w:tcPr>
            <w:tcW w:w="2888" w:type="dxa"/>
            <w:vAlign w:val="center"/>
          </w:tcPr>
          <w:p w14:paraId="4A0412A9">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“（四）主要条款说明”部分应说明“依据……文件，后期根据海南实际情况进行了……调整”。</w:t>
            </w:r>
          </w:p>
        </w:tc>
        <w:tc>
          <w:tcPr>
            <w:tcW w:w="3260" w:type="dxa"/>
            <w:vAlign w:val="center"/>
          </w:tcPr>
          <w:p w14:paraId="69693CE4">
            <w:pPr>
              <w:rPr>
                <w:rFonts w:ascii="Times New Roman" w:hAnsi="Times New Roman" w:cs="Times New Roman"/>
                <w:color w:val="000000" w:themeColor="text1"/>
                <w:szCs w:val="21"/>
                <w14:textFill>
                  <w14:solidFill>
                    <w14:schemeClr w14:val="tx1"/>
                  </w14:solidFill>
                </w14:textFill>
              </w:rPr>
            </w:pPr>
          </w:p>
        </w:tc>
        <w:tc>
          <w:tcPr>
            <w:tcW w:w="1609" w:type="dxa"/>
            <w:vAlign w:val="center"/>
          </w:tcPr>
          <w:p w14:paraId="5381C41C">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624E1D32">
            <w:pPr>
              <w:jc w:val="center"/>
              <w:rPr>
                <w:rFonts w:ascii="Times New Roman" w:hAnsi="Times New Roman" w:cs="Times New Roman"/>
                <w:szCs w:val="21"/>
              </w:rPr>
            </w:pPr>
            <w:r>
              <w:rPr>
                <w:rFonts w:ascii="Times New Roman" w:hAnsi="Times New Roman" w:cs="Times New Roman"/>
                <w:szCs w:val="21"/>
              </w:rPr>
              <w:t>采纳，已按专家建议，在编制说明“（四）主要条款说明 8暴露评估”部分补充“</w:t>
            </w:r>
            <w:r>
              <w:rPr>
                <w:rFonts w:ascii="Times New Roman" w:hAnsi="Times New Roman" w:cs="Times New Roman"/>
              </w:rPr>
              <w:t>在获取暴露特征以及暴露途径等相关资料时，应</w:t>
            </w:r>
            <w:r>
              <w:rPr>
                <w:rFonts w:ascii="Times New Roman" w:hAnsi="Times New Roman" w:cs="Times New Roman"/>
                <w:color w:val="0F1115"/>
              </w:rPr>
              <w:t>结合海南省本地暴露参数与实际情况予以本地化修正</w:t>
            </w:r>
            <w:r>
              <w:rPr>
                <w:rFonts w:ascii="Times New Roman" w:hAnsi="Times New Roman" w:cs="Times New Roman"/>
                <w:szCs w:val="21"/>
              </w:rPr>
              <w:t>”。</w:t>
            </w:r>
          </w:p>
        </w:tc>
      </w:tr>
      <w:tr w14:paraId="364C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7376C9C4">
            <w:pPr>
              <w:jc w:val="center"/>
              <w:rPr>
                <w:rFonts w:ascii="Times New Roman" w:hAnsi="Times New Roman" w:eastAsia="宋体" w:cs="Times New Roman"/>
                <w:szCs w:val="21"/>
              </w:rPr>
            </w:pPr>
            <w:r>
              <w:rPr>
                <w:rFonts w:ascii="Times New Roman" w:hAnsi="Times New Roman" w:eastAsia="宋体" w:cs="Times New Roman"/>
                <w:szCs w:val="21"/>
              </w:rPr>
              <w:t>54</w:t>
            </w:r>
          </w:p>
        </w:tc>
        <w:tc>
          <w:tcPr>
            <w:tcW w:w="1081" w:type="dxa"/>
            <w:vAlign w:val="center"/>
          </w:tcPr>
          <w:p w14:paraId="5E7D7435">
            <w:pPr>
              <w:jc w:val="center"/>
              <w:rPr>
                <w:rFonts w:ascii="Times New Roman" w:hAnsi="Times New Roman" w:cs="Times New Roman"/>
                <w:szCs w:val="21"/>
              </w:rPr>
            </w:pPr>
            <w:r>
              <w:rPr>
                <w:rFonts w:ascii="Times New Roman" w:hAnsi="Times New Roman" w:cs="Times New Roman"/>
                <w:szCs w:val="21"/>
              </w:rPr>
              <w:t>标准名称</w:t>
            </w:r>
          </w:p>
        </w:tc>
        <w:tc>
          <w:tcPr>
            <w:tcW w:w="2888" w:type="dxa"/>
            <w:vAlign w:val="center"/>
          </w:tcPr>
          <w:p w14:paraId="4296B947">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标准名称为“规范”，但是是“规程”的写法。建议技术审查会改名字为“规程”。</w:t>
            </w:r>
          </w:p>
        </w:tc>
        <w:tc>
          <w:tcPr>
            <w:tcW w:w="3260" w:type="dxa"/>
            <w:vAlign w:val="center"/>
          </w:tcPr>
          <w:p w14:paraId="37897EDC">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本标准更符合“规程”的编写特点。</w:t>
            </w:r>
          </w:p>
        </w:tc>
        <w:tc>
          <w:tcPr>
            <w:tcW w:w="1609" w:type="dxa"/>
            <w:vAlign w:val="center"/>
          </w:tcPr>
          <w:p w14:paraId="70F20933">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487486CF">
            <w:pPr>
              <w:jc w:val="center"/>
              <w:rPr>
                <w:rFonts w:ascii="Times New Roman" w:hAnsi="Times New Roman" w:cs="Times New Roman"/>
                <w:szCs w:val="21"/>
              </w:rPr>
            </w:pPr>
            <w:r>
              <w:rPr>
                <w:rFonts w:ascii="Times New Roman" w:hAnsi="Times New Roman" w:cs="Times New Roman"/>
                <w:szCs w:val="21"/>
              </w:rPr>
              <w:t>采纳，后续根据专家意见进行修改。</w:t>
            </w:r>
          </w:p>
        </w:tc>
      </w:tr>
      <w:tr w14:paraId="607B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49FD4C07">
            <w:pPr>
              <w:jc w:val="center"/>
              <w:rPr>
                <w:rFonts w:ascii="Times New Roman" w:hAnsi="Times New Roman" w:eastAsia="宋体" w:cs="Times New Roman"/>
                <w:szCs w:val="21"/>
              </w:rPr>
            </w:pPr>
            <w:r>
              <w:rPr>
                <w:rFonts w:ascii="Times New Roman" w:hAnsi="Times New Roman" w:eastAsia="宋体" w:cs="Times New Roman"/>
                <w:szCs w:val="21"/>
              </w:rPr>
              <w:t>55</w:t>
            </w:r>
          </w:p>
        </w:tc>
        <w:tc>
          <w:tcPr>
            <w:tcW w:w="1081" w:type="dxa"/>
            <w:vAlign w:val="center"/>
          </w:tcPr>
          <w:p w14:paraId="7623BB4B">
            <w:pPr>
              <w:jc w:val="center"/>
              <w:rPr>
                <w:rFonts w:ascii="Times New Roman" w:hAnsi="Times New Roman" w:cs="Times New Roman"/>
                <w:szCs w:val="21"/>
              </w:rPr>
            </w:pPr>
            <w:r>
              <w:rPr>
                <w:rFonts w:ascii="Times New Roman" w:hAnsi="Times New Roman" w:cs="Times New Roman"/>
                <w:szCs w:val="21"/>
              </w:rPr>
              <w:t>5工作程序</w:t>
            </w:r>
          </w:p>
        </w:tc>
        <w:tc>
          <w:tcPr>
            <w:tcW w:w="2888" w:type="dxa"/>
            <w:vAlign w:val="center"/>
          </w:tcPr>
          <w:p w14:paraId="5A20DA44">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技术路线图建议和内容一一对应，如“不确定分析”不在“风险表征”中，但技术路线图中划为一部分；建议加强技术路线图的逻辑性。</w:t>
            </w:r>
          </w:p>
        </w:tc>
        <w:tc>
          <w:tcPr>
            <w:tcW w:w="3260" w:type="dxa"/>
            <w:vAlign w:val="center"/>
          </w:tcPr>
          <w:p w14:paraId="34AC562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提高标准结构的一致性和可理解性。</w:t>
            </w:r>
          </w:p>
        </w:tc>
        <w:tc>
          <w:tcPr>
            <w:tcW w:w="1609" w:type="dxa"/>
            <w:vAlign w:val="center"/>
          </w:tcPr>
          <w:p w14:paraId="60EEE465">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0F5BF494">
            <w:pPr>
              <w:jc w:val="center"/>
              <w:rPr>
                <w:rFonts w:ascii="Times New Roman" w:hAnsi="Times New Roman" w:cs="Times New Roman"/>
                <w:szCs w:val="21"/>
              </w:rPr>
            </w:pPr>
            <w:r>
              <w:rPr>
                <w:rFonts w:ascii="Times New Roman" w:hAnsi="Times New Roman" w:cs="Times New Roman"/>
                <w:szCs w:val="21"/>
              </w:rPr>
              <w:t>采纳，已按照专家意见进行修改，详见图1。</w:t>
            </w:r>
          </w:p>
        </w:tc>
      </w:tr>
      <w:tr w14:paraId="3C57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3E2B129D">
            <w:pPr>
              <w:jc w:val="center"/>
              <w:rPr>
                <w:rFonts w:ascii="Times New Roman" w:hAnsi="Times New Roman" w:eastAsia="宋体" w:cs="Times New Roman"/>
                <w:szCs w:val="21"/>
              </w:rPr>
            </w:pPr>
            <w:r>
              <w:rPr>
                <w:rFonts w:ascii="Times New Roman" w:hAnsi="Times New Roman" w:eastAsia="宋体" w:cs="Times New Roman"/>
                <w:szCs w:val="21"/>
              </w:rPr>
              <w:t>56</w:t>
            </w:r>
          </w:p>
        </w:tc>
        <w:tc>
          <w:tcPr>
            <w:tcW w:w="1081" w:type="dxa"/>
            <w:vAlign w:val="center"/>
          </w:tcPr>
          <w:p w14:paraId="7EAB4BE6">
            <w:pPr>
              <w:jc w:val="center"/>
              <w:rPr>
                <w:rFonts w:ascii="Times New Roman" w:hAnsi="Times New Roman" w:cs="Times New Roman"/>
                <w:szCs w:val="21"/>
              </w:rPr>
            </w:pPr>
            <w:r>
              <w:rPr>
                <w:rFonts w:ascii="Times New Roman" w:hAnsi="Times New Roman" w:cs="Times New Roman"/>
                <w:szCs w:val="21"/>
              </w:rPr>
              <w:t>封面</w:t>
            </w:r>
          </w:p>
        </w:tc>
        <w:tc>
          <w:tcPr>
            <w:tcW w:w="2888" w:type="dxa"/>
            <w:vAlign w:val="center"/>
          </w:tcPr>
          <w:p w14:paraId="40B34FBF">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封面应该为“海南省市场监督管理局 发布”。</w:t>
            </w:r>
          </w:p>
        </w:tc>
        <w:tc>
          <w:tcPr>
            <w:tcW w:w="3260" w:type="dxa"/>
            <w:vAlign w:val="center"/>
          </w:tcPr>
          <w:p w14:paraId="62B49E6F">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强制性标准为市场监督管理局和生态环境厅联合发布。</w:t>
            </w:r>
          </w:p>
        </w:tc>
        <w:tc>
          <w:tcPr>
            <w:tcW w:w="1609" w:type="dxa"/>
            <w:vAlign w:val="center"/>
          </w:tcPr>
          <w:p w14:paraId="08F280F9">
            <w:pPr>
              <w:jc w:val="center"/>
              <w:rPr>
                <w:rFonts w:ascii="Times New Roman" w:hAnsi="Times New Roman" w:eastAsia="宋体" w:cs="Times New Roman"/>
                <w:szCs w:val="21"/>
              </w:rPr>
            </w:pPr>
            <w:r>
              <w:rPr>
                <w:rFonts w:ascii="Times New Roman" w:hAnsi="Times New Roman" w:eastAsia="宋体" w:cs="Times New Roman"/>
                <w:szCs w:val="21"/>
              </w:rPr>
              <w:t>周玉玲</w:t>
            </w:r>
          </w:p>
        </w:tc>
        <w:tc>
          <w:tcPr>
            <w:tcW w:w="3067" w:type="dxa"/>
            <w:vAlign w:val="center"/>
          </w:tcPr>
          <w:p w14:paraId="70C32CEC">
            <w:pPr>
              <w:jc w:val="center"/>
              <w:rPr>
                <w:rFonts w:ascii="Times New Roman" w:hAnsi="Times New Roman" w:cs="Times New Roman"/>
                <w:szCs w:val="21"/>
              </w:rPr>
            </w:pPr>
            <w:r>
              <w:rPr>
                <w:rFonts w:ascii="Times New Roman" w:hAnsi="Times New Roman" w:cs="Times New Roman"/>
                <w:szCs w:val="21"/>
              </w:rPr>
              <w:t>采纳，已根据专家意见进行修改，改为“海南省市场监督管理局 发布”。</w:t>
            </w:r>
          </w:p>
        </w:tc>
      </w:tr>
      <w:tr w14:paraId="6A10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3D0FFEBD">
            <w:pPr>
              <w:jc w:val="center"/>
              <w:rPr>
                <w:rFonts w:ascii="Times New Roman" w:hAnsi="Times New Roman" w:eastAsia="宋体" w:cs="Times New Roman"/>
                <w:szCs w:val="21"/>
              </w:rPr>
            </w:pPr>
            <w:r>
              <w:rPr>
                <w:rFonts w:ascii="Times New Roman" w:hAnsi="Times New Roman" w:eastAsia="宋体" w:cs="Times New Roman"/>
                <w:szCs w:val="21"/>
              </w:rPr>
              <w:t>57</w:t>
            </w:r>
          </w:p>
        </w:tc>
        <w:tc>
          <w:tcPr>
            <w:tcW w:w="1081" w:type="dxa"/>
            <w:vAlign w:val="center"/>
          </w:tcPr>
          <w:p w14:paraId="0B9B69FD">
            <w:pPr>
              <w:jc w:val="center"/>
              <w:rPr>
                <w:rFonts w:ascii="Times New Roman" w:hAnsi="Times New Roman" w:cs="Times New Roman"/>
                <w:szCs w:val="21"/>
              </w:rPr>
            </w:pPr>
            <w:r>
              <w:rPr>
                <w:rFonts w:ascii="Times New Roman" w:hAnsi="Times New Roman" w:cs="Times New Roman"/>
                <w:szCs w:val="21"/>
              </w:rPr>
              <w:t>全文</w:t>
            </w:r>
          </w:p>
        </w:tc>
        <w:tc>
          <w:tcPr>
            <w:tcW w:w="2888" w:type="dxa"/>
            <w:vAlign w:val="center"/>
          </w:tcPr>
          <w:p w14:paraId="7B6A8FE2">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议标准内容上建议增加传统污染物的考虑，不局限于新污染物，可衔接正在制定的“饮用水水源地水环境质量标准”，结合海南特色，增加针对性，如重点关注哪些行业那些污染物，对污染物和行业范围进行衔接。</w:t>
            </w:r>
          </w:p>
        </w:tc>
        <w:tc>
          <w:tcPr>
            <w:tcW w:w="3260" w:type="dxa"/>
            <w:vAlign w:val="center"/>
          </w:tcPr>
          <w:p w14:paraId="18FE57A3">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增强标准的适用性和针对性。</w:t>
            </w:r>
          </w:p>
        </w:tc>
        <w:tc>
          <w:tcPr>
            <w:tcW w:w="1609" w:type="dxa"/>
            <w:vAlign w:val="center"/>
          </w:tcPr>
          <w:p w14:paraId="7F03266D">
            <w:pPr>
              <w:jc w:val="center"/>
              <w:rPr>
                <w:rFonts w:ascii="Times New Roman" w:hAnsi="Times New Roman" w:eastAsia="宋体" w:cs="Times New Roman"/>
                <w:szCs w:val="21"/>
              </w:rPr>
            </w:pPr>
            <w:r>
              <w:rPr>
                <w:rFonts w:ascii="Times New Roman" w:hAnsi="Times New Roman" w:cs="Times New Roman"/>
                <w:szCs w:val="21"/>
              </w:rPr>
              <w:t>陈婧</w:t>
            </w:r>
          </w:p>
        </w:tc>
        <w:tc>
          <w:tcPr>
            <w:tcW w:w="3067" w:type="dxa"/>
            <w:vAlign w:val="center"/>
          </w:tcPr>
          <w:p w14:paraId="646E9989">
            <w:pPr>
              <w:jc w:val="center"/>
              <w:rPr>
                <w:rFonts w:ascii="Times New Roman" w:hAnsi="Times New Roman" w:cs="Times New Roman"/>
                <w:szCs w:val="21"/>
              </w:rPr>
            </w:pPr>
            <w:r>
              <w:rPr>
                <w:rFonts w:ascii="Times New Roman" w:hAnsi="Times New Roman" w:cs="Times New Roman"/>
                <w:szCs w:val="21"/>
              </w:rPr>
              <w:t>不采纳，常规污染物质量标准制定时已考虑其健康风险，本次新污染物健康风险评估不再考虑常规污染物。</w:t>
            </w:r>
          </w:p>
        </w:tc>
      </w:tr>
      <w:tr w14:paraId="1D29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7B5EEBE3">
            <w:pPr>
              <w:jc w:val="center"/>
              <w:rPr>
                <w:rFonts w:ascii="Times New Roman" w:hAnsi="Times New Roman" w:eastAsia="宋体" w:cs="Times New Roman"/>
                <w:szCs w:val="21"/>
              </w:rPr>
            </w:pPr>
            <w:r>
              <w:rPr>
                <w:rFonts w:ascii="Times New Roman" w:hAnsi="Times New Roman" w:eastAsia="宋体" w:cs="Times New Roman"/>
                <w:szCs w:val="21"/>
              </w:rPr>
              <w:t>58</w:t>
            </w:r>
          </w:p>
        </w:tc>
        <w:tc>
          <w:tcPr>
            <w:tcW w:w="1081" w:type="dxa"/>
            <w:vAlign w:val="center"/>
          </w:tcPr>
          <w:p w14:paraId="4D35D363">
            <w:pPr>
              <w:jc w:val="center"/>
              <w:rPr>
                <w:rFonts w:ascii="Times New Roman" w:hAnsi="Times New Roman" w:cs="Times New Roman"/>
                <w:szCs w:val="21"/>
              </w:rPr>
            </w:pPr>
            <w:r>
              <w:rPr>
                <w:rFonts w:ascii="Times New Roman" w:hAnsi="Times New Roman" w:cs="Times New Roman"/>
                <w:szCs w:val="21"/>
              </w:rPr>
              <w:t>6.2.6主要新污染物筛选</w:t>
            </w:r>
          </w:p>
        </w:tc>
        <w:tc>
          <w:tcPr>
            <w:tcW w:w="2888" w:type="dxa"/>
            <w:vAlign w:val="center"/>
          </w:tcPr>
          <w:p w14:paraId="4E95EDF9">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主要为原则性筛选，建议结合海南实际增加针对性。</w:t>
            </w:r>
          </w:p>
        </w:tc>
        <w:tc>
          <w:tcPr>
            <w:tcW w:w="3260" w:type="dxa"/>
            <w:vAlign w:val="center"/>
          </w:tcPr>
          <w:p w14:paraId="0A8986B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增强标准的适用性和针对性。</w:t>
            </w:r>
          </w:p>
        </w:tc>
        <w:tc>
          <w:tcPr>
            <w:tcW w:w="1609" w:type="dxa"/>
            <w:vAlign w:val="center"/>
          </w:tcPr>
          <w:p w14:paraId="2364563E">
            <w:pPr>
              <w:jc w:val="center"/>
              <w:rPr>
                <w:rFonts w:ascii="Times New Roman" w:hAnsi="Times New Roman" w:eastAsia="宋体" w:cs="Times New Roman"/>
                <w:szCs w:val="21"/>
              </w:rPr>
            </w:pPr>
            <w:r>
              <w:rPr>
                <w:rFonts w:ascii="Times New Roman" w:hAnsi="Times New Roman" w:cs="Times New Roman"/>
                <w:szCs w:val="21"/>
              </w:rPr>
              <w:t>陈婧</w:t>
            </w:r>
          </w:p>
        </w:tc>
        <w:tc>
          <w:tcPr>
            <w:tcW w:w="3067" w:type="dxa"/>
            <w:vAlign w:val="center"/>
          </w:tcPr>
          <w:p w14:paraId="3DA52FB4">
            <w:pPr>
              <w:jc w:val="center"/>
              <w:rPr>
                <w:rFonts w:ascii="Times New Roman" w:hAnsi="Times New Roman" w:cs="Times New Roman"/>
                <w:szCs w:val="21"/>
              </w:rPr>
            </w:pPr>
            <w:r>
              <w:rPr>
                <w:rFonts w:ascii="Times New Roman" w:hAnsi="Times New Roman" w:cs="Times New Roman"/>
                <w:szCs w:val="21"/>
              </w:rPr>
              <w:t>采纳，已按专家意见，在“6.4主要新污染物筛选”部分增加“</w:t>
            </w:r>
            <w:r>
              <w:rPr>
                <w:rFonts w:ascii="Times New Roman" w:hAnsi="Times New Roman" w:cs="Times New Roman"/>
                <w:color w:val="000000" w:themeColor="text1"/>
                <w14:textFill>
                  <w14:solidFill>
                    <w14:schemeClr w14:val="tx1"/>
                  </w14:solidFill>
                </w14:textFill>
              </w:rPr>
              <w:t>结合海南行业特征、气候背景等</w:t>
            </w:r>
            <w:r>
              <w:rPr>
                <w:rFonts w:ascii="Times New Roman" w:hAnsi="Times New Roman" w:cs="Times New Roman"/>
                <w:szCs w:val="21"/>
              </w:rPr>
              <w:t>”描述。</w:t>
            </w:r>
          </w:p>
        </w:tc>
      </w:tr>
      <w:tr w14:paraId="77F2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0E9944D8">
            <w:pPr>
              <w:jc w:val="center"/>
              <w:rPr>
                <w:rFonts w:ascii="Times New Roman" w:hAnsi="Times New Roman" w:eastAsia="宋体" w:cs="Times New Roman"/>
                <w:szCs w:val="21"/>
              </w:rPr>
            </w:pPr>
            <w:r>
              <w:rPr>
                <w:rFonts w:ascii="Times New Roman" w:hAnsi="Times New Roman" w:eastAsia="宋体" w:cs="Times New Roman"/>
                <w:szCs w:val="21"/>
              </w:rPr>
              <w:t>59</w:t>
            </w:r>
          </w:p>
        </w:tc>
        <w:tc>
          <w:tcPr>
            <w:tcW w:w="1081" w:type="dxa"/>
            <w:vAlign w:val="center"/>
          </w:tcPr>
          <w:p w14:paraId="286E9928">
            <w:pPr>
              <w:jc w:val="center"/>
              <w:rPr>
                <w:rFonts w:ascii="Times New Roman" w:hAnsi="Times New Roman" w:cs="Times New Roman"/>
                <w:szCs w:val="21"/>
              </w:rPr>
            </w:pPr>
            <w:r>
              <w:rPr>
                <w:rFonts w:ascii="Times New Roman" w:hAnsi="Times New Roman" w:cs="Times New Roman"/>
                <w:szCs w:val="21"/>
              </w:rPr>
              <w:t>标题</w:t>
            </w:r>
          </w:p>
        </w:tc>
        <w:tc>
          <w:tcPr>
            <w:tcW w:w="2888" w:type="dxa"/>
            <w:vAlign w:val="center"/>
          </w:tcPr>
          <w:p w14:paraId="1211BE68">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建议标题上增加“海南省”，和全国标准进行区别。</w:t>
            </w:r>
          </w:p>
        </w:tc>
        <w:tc>
          <w:tcPr>
            <w:tcW w:w="3260" w:type="dxa"/>
            <w:vAlign w:val="center"/>
          </w:tcPr>
          <w:p w14:paraId="13C88AD2">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与全国标准进行区别。</w:t>
            </w:r>
          </w:p>
        </w:tc>
        <w:tc>
          <w:tcPr>
            <w:tcW w:w="1609" w:type="dxa"/>
            <w:vAlign w:val="center"/>
          </w:tcPr>
          <w:p w14:paraId="00A519F3">
            <w:pPr>
              <w:jc w:val="center"/>
              <w:rPr>
                <w:rFonts w:ascii="Times New Roman" w:hAnsi="Times New Roman" w:eastAsia="宋体" w:cs="Times New Roman"/>
                <w:szCs w:val="21"/>
              </w:rPr>
            </w:pPr>
            <w:r>
              <w:rPr>
                <w:rFonts w:ascii="Times New Roman" w:hAnsi="Times New Roman" w:cs="Times New Roman"/>
                <w:szCs w:val="21"/>
              </w:rPr>
              <w:t>陈婧</w:t>
            </w:r>
          </w:p>
        </w:tc>
        <w:tc>
          <w:tcPr>
            <w:tcW w:w="3067" w:type="dxa"/>
            <w:vAlign w:val="center"/>
          </w:tcPr>
          <w:p w14:paraId="02C6C374">
            <w:pPr>
              <w:jc w:val="center"/>
              <w:rPr>
                <w:rFonts w:ascii="Times New Roman" w:hAnsi="Times New Roman" w:cs="Times New Roman"/>
                <w:szCs w:val="21"/>
              </w:rPr>
            </w:pPr>
            <w:r>
              <w:rPr>
                <w:rFonts w:ascii="Times New Roman" w:hAnsi="Times New Roman" w:cs="Times New Roman"/>
                <w:szCs w:val="21"/>
              </w:rPr>
              <w:t>采纳，后续根据专家意见进行修改。</w:t>
            </w:r>
          </w:p>
        </w:tc>
      </w:tr>
      <w:tr w14:paraId="0BA3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257E6DDD">
            <w:pPr>
              <w:jc w:val="center"/>
              <w:rPr>
                <w:rFonts w:ascii="Times New Roman" w:hAnsi="Times New Roman" w:eastAsia="宋体" w:cs="Times New Roman"/>
                <w:szCs w:val="21"/>
              </w:rPr>
            </w:pPr>
            <w:r>
              <w:rPr>
                <w:rFonts w:ascii="Times New Roman" w:hAnsi="Times New Roman" w:eastAsia="宋体" w:cs="Times New Roman"/>
                <w:szCs w:val="21"/>
              </w:rPr>
              <w:t>60</w:t>
            </w:r>
          </w:p>
        </w:tc>
        <w:tc>
          <w:tcPr>
            <w:tcW w:w="1081" w:type="dxa"/>
            <w:vAlign w:val="center"/>
          </w:tcPr>
          <w:p w14:paraId="68845B85">
            <w:pPr>
              <w:jc w:val="center"/>
              <w:rPr>
                <w:rFonts w:ascii="Times New Roman" w:hAnsi="Times New Roman" w:cs="Times New Roman"/>
                <w:szCs w:val="21"/>
              </w:rPr>
            </w:pPr>
            <w:r>
              <w:rPr>
                <w:rFonts w:ascii="Times New Roman" w:hAnsi="Times New Roman" w:cs="Times New Roman"/>
                <w:szCs w:val="21"/>
              </w:rPr>
              <w:t>2 规范性引用文件</w:t>
            </w:r>
          </w:p>
        </w:tc>
        <w:tc>
          <w:tcPr>
            <w:tcW w:w="2888" w:type="dxa"/>
            <w:vAlign w:val="center"/>
          </w:tcPr>
          <w:p w14:paraId="7BE4602E">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主要放国标、行标和地标，生态环境部的规范性文件建议放到参考文献中。</w:t>
            </w:r>
          </w:p>
        </w:tc>
        <w:tc>
          <w:tcPr>
            <w:tcW w:w="3260" w:type="dxa"/>
            <w:vAlign w:val="center"/>
          </w:tcPr>
          <w:p w14:paraId="5807A814">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1.1—2020“8.6.3文件清单”和“3.13参考文献”</w:t>
            </w:r>
          </w:p>
        </w:tc>
        <w:tc>
          <w:tcPr>
            <w:tcW w:w="1609" w:type="dxa"/>
            <w:vAlign w:val="center"/>
          </w:tcPr>
          <w:p w14:paraId="5B4929D4">
            <w:pPr>
              <w:jc w:val="center"/>
              <w:rPr>
                <w:rFonts w:ascii="Times New Roman" w:hAnsi="Times New Roman" w:eastAsia="宋体" w:cs="Times New Roman"/>
                <w:szCs w:val="21"/>
              </w:rPr>
            </w:pPr>
            <w:r>
              <w:rPr>
                <w:rFonts w:ascii="Times New Roman" w:hAnsi="Times New Roman" w:eastAsia="宋体" w:cs="Times New Roman"/>
                <w:szCs w:val="21"/>
              </w:rPr>
              <w:t>陈诗帆</w:t>
            </w:r>
          </w:p>
        </w:tc>
        <w:tc>
          <w:tcPr>
            <w:tcW w:w="3067" w:type="dxa"/>
            <w:vAlign w:val="center"/>
          </w:tcPr>
          <w:p w14:paraId="51476DC5">
            <w:pPr>
              <w:jc w:val="center"/>
              <w:rPr>
                <w:rFonts w:ascii="Times New Roman" w:hAnsi="Times New Roman" w:cs="Times New Roman"/>
                <w:szCs w:val="21"/>
              </w:rPr>
            </w:pPr>
            <w:r>
              <w:rPr>
                <w:rFonts w:ascii="Times New Roman" w:hAnsi="Times New Roman" w:cs="Times New Roman"/>
                <w:szCs w:val="21"/>
              </w:rPr>
              <w:t>采纳，已按照专家意见及GB/T 1.1—2020相关要求，对“2 规范性引用文件”中的行标进行排序，并将指南等文件移至参考文献。</w:t>
            </w:r>
          </w:p>
        </w:tc>
      </w:tr>
      <w:tr w14:paraId="66E4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32C64632">
            <w:pPr>
              <w:jc w:val="center"/>
              <w:rPr>
                <w:rFonts w:ascii="Times New Roman" w:hAnsi="Times New Roman" w:eastAsia="宋体" w:cs="Times New Roman"/>
                <w:szCs w:val="21"/>
              </w:rPr>
            </w:pPr>
            <w:r>
              <w:rPr>
                <w:rFonts w:ascii="Times New Roman" w:hAnsi="Times New Roman" w:eastAsia="宋体" w:cs="Times New Roman"/>
                <w:szCs w:val="21"/>
              </w:rPr>
              <w:t>61</w:t>
            </w:r>
          </w:p>
        </w:tc>
        <w:tc>
          <w:tcPr>
            <w:tcW w:w="1081" w:type="dxa"/>
            <w:vAlign w:val="center"/>
          </w:tcPr>
          <w:p w14:paraId="1D86EE98">
            <w:pPr>
              <w:jc w:val="center"/>
              <w:rPr>
                <w:rFonts w:ascii="Times New Roman" w:hAnsi="Times New Roman" w:cs="Times New Roman"/>
                <w:szCs w:val="21"/>
              </w:rPr>
            </w:pPr>
            <w:r>
              <w:rPr>
                <w:rFonts w:ascii="Times New Roman" w:hAnsi="Times New Roman" w:cs="Times New Roman"/>
                <w:szCs w:val="21"/>
              </w:rPr>
              <w:t>标题</w:t>
            </w:r>
          </w:p>
        </w:tc>
        <w:tc>
          <w:tcPr>
            <w:tcW w:w="2888" w:type="dxa"/>
            <w:vAlign w:val="center"/>
          </w:tcPr>
          <w:p w14:paraId="370C0BE3">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标题的“规范”建议改为“规程”。</w:t>
            </w:r>
          </w:p>
        </w:tc>
        <w:tc>
          <w:tcPr>
            <w:tcW w:w="3260" w:type="dxa"/>
            <w:vAlign w:val="center"/>
          </w:tcPr>
          <w:p w14:paraId="61BA1FDE">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本标准更符合“规程”的编写特点。</w:t>
            </w:r>
          </w:p>
        </w:tc>
        <w:tc>
          <w:tcPr>
            <w:tcW w:w="1609" w:type="dxa"/>
            <w:vAlign w:val="center"/>
          </w:tcPr>
          <w:p w14:paraId="20FFA865">
            <w:pPr>
              <w:jc w:val="center"/>
              <w:rPr>
                <w:rFonts w:ascii="Times New Roman" w:hAnsi="Times New Roman" w:eastAsia="宋体" w:cs="Times New Roman"/>
                <w:szCs w:val="21"/>
              </w:rPr>
            </w:pPr>
            <w:r>
              <w:rPr>
                <w:rFonts w:ascii="Times New Roman" w:hAnsi="Times New Roman" w:eastAsia="宋体" w:cs="Times New Roman"/>
                <w:szCs w:val="21"/>
              </w:rPr>
              <w:t>陈诗帆</w:t>
            </w:r>
          </w:p>
        </w:tc>
        <w:tc>
          <w:tcPr>
            <w:tcW w:w="3067" w:type="dxa"/>
            <w:vAlign w:val="center"/>
          </w:tcPr>
          <w:p w14:paraId="05195478">
            <w:pPr>
              <w:jc w:val="center"/>
              <w:rPr>
                <w:rFonts w:ascii="Times New Roman" w:hAnsi="Times New Roman" w:cs="Times New Roman"/>
                <w:szCs w:val="21"/>
              </w:rPr>
            </w:pPr>
            <w:r>
              <w:rPr>
                <w:rFonts w:ascii="Times New Roman" w:hAnsi="Times New Roman" w:cs="Times New Roman"/>
                <w:szCs w:val="21"/>
              </w:rPr>
              <w:t>需要，后续根据专家意见进行修改。</w:t>
            </w:r>
          </w:p>
        </w:tc>
      </w:tr>
      <w:tr w14:paraId="1A02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1BF14865">
            <w:pPr>
              <w:jc w:val="center"/>
              <w:rPr>
                <w:rFonts w:ascii="Times New Roman" w:hAnsi="Times New Roman" w:eastAsia="宋体" w:cs="Times New Roman"/>
                <w:szCs w:val="21"/>
              </w:rPr>
            </w:pPr>
            <w:r>
              <w:rPr>
                <w:rFonts w:ascii="Times New Roman" w:hAnsi="Times New Roman" w:eastAsia="宋体" w:cs="Times New Roman"/>
                <w:szCs w:val="21"/>
              </w:rPr>
              <w:t>62</w:t>
            </w:r>
          </w:p>
        </w:tc>
        <w:tc>
          <w:tcPr>
            <w:tcW w:w="1081" w:type="dxa"/>
            <w:vAlign w:val="center"/>
          </w:tcPr>
          <w:p w14:paraId="6402FBCD">
            <w:pPr>
              <w:jc w:val="center"/>
              <w:rPr>
                <w:rFonts w:ascii="Times New Roman" w:hAnsi="Times New Roman" w:cs="Times New Roman"/>
                <w:szCs w:val="21"/>
              </w:rPr>
            </w:pPr>
            <w:r>
              <w:rPr>
                <w:rFonts w:ascii="Times New Roman" w:hAnsi="Times New Roman" w:cs="Times New Roman"/>
                <w:szCs w:val="21"/>
              </w:rPr>
              <w:t>3 术语和定义</w:t>
            </w:r>
          </w:p>
        </w:tc>
        <w:tc>
          <w:tcPr>
            <w:tcW w:w="2888" w:type="dxa"/>
            <w:vAlign w:val="center"/>
          </w:tcPr>
          <w:p w14:paraId="52F33A8D">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“饮用水水源地”的定义要和国标及行标衔接上。</w:t>
            </w:r>
          </w:p>
        </w:tc>
        <w:tc>
          <w:tcPr>
            <w:tcW w:w="3260" w:type="dxa"/>
            <w:vAlign w:val="center"/>
          </w:tcPr>
          <w:p w14:paraId="6D458411">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GB/T 1.1—2020“8.7术语和定义”</w:t>
            </w:r>
          </w:p>
        </w:tc>
        <w:tc>
          <w:tcPr>
            <w:tcW w:w="1609" w:type="dxa"/>
            <w:vAlign w:val="center"/>
          </w:tcPr>
          <w:p w14:paraId="6CA7AEE7">
            <w:pPr>
              <w:jc w:val="center"/>
              <w:rPr>
                <w:rFonts w:ascii="Times New Roman" w:hAnsi="Times New Roman" w:eastAsia="宋体" w:cs="Times New Roman"/>
                <w:szCs w:val="21"/>
              </w:rPr>
            </w:pPr>
            <w:r>
              <w:rPr>
                <w:rFonts w:ascii="Times New Roman" w:hAnsi="Times New Roman" w:cs="Times New Roman"/>
                <w:szCs w:val="21"/>
              </w:rPr>
              <w:t>桂勇</w:t>
            </w:r>
          </w:p>
        </w:tc>
        <w:tc>
          <w:tcPr>
            <w:tcW w:w="3067" w:type="dxa"/>
            <w:vAlign w:val="center"/>
          </w:tcPr>
          <w:p w14:paraId="385289C4">
            <w:pPr>
              <w:jc w:val="center"/>
              <w:rPr>
                <w:rFonts w:ascii="Times New Roman" w:hAnsi="Times New Roman" w:cs="Times New Roman"/>
                <w:szCs w:val="21"/>
              </w:rPr>
            </w:pPr>
            <w:r>
              <w:rPr>
                <w:rFonts w:ascii="Times New Roman" w:hAnsi="Times New Roman" w:cs="Times New Roman"/>
                <w:szCs w:val="21"/>
              </w:rPr>
              <w:t>采纳，已按照专家意见及GB/T 1.1—2020相关要求，结合现行标准中“饮用水水源地”定义进行修改。</w:t>
            </w:r>
          </w:p>
        </w:tc>
      </w:tr>
      <w:tr w14:paraId="7093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81" w:type="dxa"/>
            <w:vAlign w:val="center"/>
          </w:tcPr>
          <w:p w14:paraId="67C9DD12">
            <w:pPr>
              <w:jc w:val="center"/>
              <w:rPr>
                <w:rFonts w:ascii="Times New Roman" w:hAnsi="Times New Roman" w:eastAsia="宋体" w:cs="Times New Roman"/>
                <w:szCs w:val="21"/>
              </w:rPr>
            </w:pPr>
            <w:r>
              <w:rPr>
                <w:rFonts w:ascii="Times New Roman" w:hAnsi="Times New Roman" w:eastAsia="宋体" w:cs="Times New Roman"/>
                <w:szCs w:val="21"/>
              </w:rPr>
              <w:t>63</w:t>
            </w:r>
          </w:p>
        </w:tc>
        <w:tc>
          <w:tcPr>
            <w:tcW w:w="1081" w:type="dxa"/>
            <w:vAlign w:val="center"/>
          </w:tcPr>
          <w:p w14:paraId="27CDF2EB">
            <w:pPr>
              <w:jc w:val="center"/>
              <w:rPr>
                <w:rFonts w:ascii="Times New Roman" w:hAnsi="Times New Roman" w:cs="Times New Roman"/>
                <w:szCs w:val="21"/>
              </w:rPr>
            </w:pPr>
          </w:p>
        </w:tc>
        <w:tc>
          <w:tcPr>
            <w:tcW w:w="2888" w:type="dxa"/>
            <w:vAlign w:val="center"/>
          </w:tcPr>
          <w:p w14:paraId="65D22B2E">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w:t>
            </w:r>
          </w:p>
        </w:tc>
        <w:tc>
          <w:tcPr>
            <w:tcW w:w="3260" w:type="dxa"/>
            <w:vAlign w:val="center"/>
          </w:tcPr>
          <w:p w14:paraId="578B266B">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无</w:t>
            </w:r>
          </w:p>
        </w:tc>
        <w:tc>
          <w:tcPr>
            <w:tcW w:w="1609" w:type="dxa"/>
            <w:vAlign w:val="center"/>
          </w:tcPr>
          <w:p w14:paraId="3BD97468">
            <w:pPr>
              <w:jc w:val="center"/>
              <w:rPr>
                <w:rFonts w:ascii="Times New Roman" w:hAnsi="Times New Roman" w:eastAsia="宋体" w:cs="Times New Roman"/>
                <w:szCs w:val="21"/>
              </w:rPr>
            </w:pPr>
            <w:r>
              <w:rPr>
                <w:rFonts w:ascii="Times New Roman" w:hAnsi="Times New Roman" w:cs="Times New Roman"/>
                <w:szCs w:val="21"/>
              </w:rPr>
              <w:t>伍谷</w:t>
            </w:r>
          </w:p>
        </w:tc>
        <w:tc>
          <w:tcPr>
            <w:tcW w:w="3067" w:type="dxa"/>
            <w:vAlign w:val="center"/>
          </w:tcPr>
          <w:p w14:paraId="273F356F">
            <w:pPr>
              <w:jc w:val="center"/>
              <w:rPr>
                <w:rFonts w:ascii="Times New Roman" w:hAnsi="Times New Roman" w:cs="Times New Roman"/>
                <w:szCs w:val="21"/>
              </w:rPr>
            </w:pPr>
          </w:p>
        </w:tc>
      </w:tr>
    </w:tbl>
    <w:p w14:paraId="3EEE188D">
      <w:pPr>
        <w:pStyle w:val="29"/>
        <w:ind w:firstLine="560"/>
      </w:pPr>
    </w:p>
    <w:p w14:paraId="2E1A93E7">
      <w:pPr>
        <w:pStyle w:val="29"/>
        <w:ind w:firstLine="0" w:firstLineChars="0"/>
        <w:rPr>
          <w:rFonts w:ascii="黑体" w:hAnsi="黑体" w:eastAsia="黑体"/>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7020304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Segoe UI">
    <w:altName w:val="Arial"/>
    <w:panose1 w:val="020B0502040204020203"/>
    <w:charset w:val="00"/>
    <w:family w:val="swiss"/>
    <w:pitch w:val="default"/>
    <w:sig w:usb0="00000000" w:usb1="00000000"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微软雅黑">
    <w:panose1 w:val="020B0703020204020201"/>
    <w:charset w:val="86"/>
    <w:family w:val="auto"/>
    <w:pitch w:val="default"/>
    <w:sig w:usb0="80000287" w:usb1="0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CCD67">
    <w:pPr>
      <w:pStyle w:val="10"/>
      <w:jc w:val="center"/>
    </w:pPr>
  </w:p>
  <w:p w14:paraId="7AF0D47D">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65671DE">
        <w:pPr>
          <w:pStyle w:val="10"/>
          <w:jc w:val="center"/>
        </w:pPr>
        <w:r>
          <w:fldChar w:fldCharType="begin"/>
        </w:r>
        <w:r>
          <w:instrText xml:space="preserve">PAGE   \* MERGEFORMAT</w:instrText>
        </w:r>
        <w:r>
          <w:fldChar w:fldCharType="separate"/>
        </w:r>
        <w:r>
          <w:rPr>
            <w:lang w:val="zh-CN"/>
          </w:rPr>
          <w:t>2</w:t>
        </w:r>
        <w:r>
          <w:fldChar w:fldCharType="end"/>
        </w:r>
      </w:p>
    </w:sdtContent>
  </w:sdt>
  <w:p w14:paraId="20A87917">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1E6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699C2">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EC45CD"/>
    <w:multiLevelType w:val="multilevel"/>
    <w:tmpl w:val="4CEC45CD"/>
    <w:lvl w:ilvl="0" w:tentative="0">
      <w:start w:val="1"/>
      <w:numFmt w:val="decimal"/>
      <w:pStyle w:val="2"/>
      <w:lvlText w:val="%1"/>
      <w:lvlJc w:val="left"/>
      <w:pPr>
        <w:tabs>
          <w:tab w:val="left" w:pos="454"/>
        </w:tabs>
        <w:ind w:left="0" w:firstLine="0"/>
      </w:pPr>
      <w:rPr>
        <w:rFonts w:hint="eastAsia"/>
      </w:rPr>
    </w:lvl>
    <w:lvl w:ilvl="1" w:tentative="0">
      <w:start w:val="1"/>
      <w:numFmt w:val="decimal"/>
      <w:pStyle w:val="3"/>
      <w:lvlText w:val="%1.%2"/>
      <w:lvlJc w:val="left"/>
      <w:pPr>
        <w:tabs>
          <w:tab w:val="left" w:pos="0"/>
        </w:tabs>
        <w:ind w:left="0" w:firstLine="0"/>
      </w:pPr>
      <w:rPr>
        <w:rFonts w:hint="eastAsia"/>
      </w:rPr>
    </w:lvl>
    <w:lvl w:ilvl="2" w:tentative="0">
      <w:start w:val="1"/>
      <w:numFmt w:val="decimal"/>
      <w:pStyle w:val="4"/>
      <w:lvlText w:val="%1.%2.%3"/>
      <w:lvlJc w:val="left"/>
      <w:pPr>
        <w:tabs>
          <w:tab w:val="left" w:pos="720"/>
        </w:tabs>
        <w:ind w:left="720" w:hanging="720"/>
      </w:pPr>
      <w:rPr>
        <w:rFonts w:hint="default" w:ascii="Times New Roman" w:hAnsi="Times New Roman" w:cs="Times New Roman"/>
      </w:rPr>
    </w:lvl>
    <w:lvl w:ilvl="3" w:tentative="0">
      <w:start w:val="1"/>
      <w:numFmt w:val="decimal"/>
      <w:pStyle w:val="5"/>
      <w:lvlText w:val="%1.%2.%3.%4"/>
      <w:lvlJc w:val="left"/>
      <w:pPr>
        <w:tabs>
          <w:tab w:val="left" w:pos="864"/>
        </w:tabs>
        <w:ind w:left="864" w:hanging="864"/>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凌">
    <w15:presenceInfo w15:providerId="WebOffice Third" w15:userId="VWMAUZBYSFAUUECH:hnm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trackRevisions w:val="1"/>
  <w:documentProtection w:enforcement="0"/>
  <w:defaultTabStop w:val="420"/>
  <w:drawingGridHorizontalSpacing w:val="100"/>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5OGYwNmJkMWNhYTdiYmY5NDg0ZDg3MWQ1YmM5ZWEifQ=="/>
  </w:docVars>
  <w:rsids>
    <w:rsidRoot w:val="00FC660D"/>
    <w:rsid w:val="000063FF"/>
    <w:rsid w:val="00031C4F"/>
    <w:rsid w:val="000354A0"/>
    <w:rsid w:val="000650AF"/>
    <w:rsid w:val="00067C5E"/>
    <w:rsid w:val="00073375"/>
    <w:rsid w:val="0007540E"/>
    <w:rsid w:val="00082E7C"/>
    <w:rsid w:val="00084455"/>
    <w:rsid w:val="000865C5"/>
    <w:rsid w:val="000952E7"/>
    <w:rsid w:val="000A0540"/>
    <w:rsid w:val="000A12FE"/>
    <w:rsid w:val="000A290A"/>
    <w:rsid w:val="000A7927"/>
    <w:rsid w:val="000B7747"/>
    <w:rsid w:val="000D7D93"/>
    <w:rsid w:val="000E485D"/>
    <w:rsid w:val="000F29B1"/>
    <w:rsid w:val="000F2DA4"/>
    <w:rsid w:val="001122EE"/>
    <w:rsid w:val="00113E46"/>
    <w:rsid w:val="001379DE"/>
    <w:rsid w:val="001418FD"/>
    <w:rsid w:val="00147427"/>
    <w:rsid w:val="00153288"/>
    <w:rsid w:val="00165360"/>
    <w:rsid w:val="0017130D"/>
    <w:rsid w:val="00172CC3"/>
    <w:rsid w:val="00185DC7"/>
    <w:rsid w:val="00195342"/>
    <w:rsid w:val="00197CAE"/>
    <w:rsid w:val="001B113D"/>
    <w:rsid w:val="001C4648"/>
    <w:rsid w:val="001D0A39"/>
    <w:rsid w:val="001D5EA6"/>
    <w:rsid w:val="001E1CB1"/>
    <w:rsid w:val="001F530B"/>
    <w:rsid w:val="0020745C"/>
    <w:rsid w:val="00215357"/>
    <w:rsid w:val="00227AF8"/>
    <w:rsid w:val="00230E53"/>
    <w:rsid w:val="00231324"/>
    <w:rsid w:val="002375E2"/>
    <w:rsid w:val="0024566B"/>
    <w:rsid w:val="0024604E"/>
    <w:rsid w:val="00247392"/>
    <w:rsid w:val="00255BED"/>
    <w:rsid w:val="00256D9B"/>
    <w:rsid w:val="00266E2A"/>
    <w:rsid w:val="00293131"/>
    <w:rsid w:val="002A3B80"/>
    <w:rsid w:val="002C0256"/>
    <w:rsid w:val="002C2F1D"/>
    <w:rsid w:val="002C7268"/>
    <w:rsid w:val="002D5F17"/>
    <w:rsid w:val="002D7E40"/>
    <w:rsid w:val="002F3DE1"/>
    <w:rsid w:val="002F3ECA"/>
    <w:rsid w:val="002F4B30"/>
    <w:rsid w:val="00315A35"/>
    <w:rsid w:val="00322077"/>
    <w:rsid w:val="0032212E"/>
    <w:rsid w:val="00326FFE"/>
    <w:rsid w:val="00340A07"/>
    <w:rsid w:val="003444BA"/>
    <w:rsid w:val="00350613"/>
    <w:rsid w:val="0035264D"/>
    <w:rsid w:val="003538EA"/>
    <w:rsid w:val="00357471"/>
    <w:rsid w:val="00375A2A"/>
    <w:rsid w:val="003877B4"/>
    <w:rsid w:val="00390848"/>
    <w:rsid w:val="003969B3"/>
    <w:rsid w:val="003A0786"/>
    <w:rsid w:val="003A4BAE"/>
    <w:rsid w:val="003A6EA0"/>
    <w:rsid w:val="003B0471"/>
    <w:rsid w:val="003C69D4"/>
    <w:rsid w:val="003D0610"/>
    <w:rsid w:val="003D7047"/>
    <w:rsid w:val="003E3481"/>
    <w:rsid w:val="003F7838"/>
    <w:rsid w:val="00405964"/>
    <w:rsid w:val="00407EB6"/>
    <w:rsid w:val="0041738B"/>
    <w:rsid w:val="004210DE"/>
    <w:rsid w:val="004220BC"/>
    <w:rsid w:val="004345C0"/>
    <w:rsid w:val="0043709A"/>
    <w:rsid w:val="00445DD9"/>
    <w:rsid w:val="004507DD"/>
    <w:rsid w:val="00463FD0"/>
    <w:rsid w:val="00467377"/>
    <w:rsid w:val="004705F6"/>
    <w:rsid w:val="00471182"/>
    <w:rsid w:val="00472180"/>
    <w:rsid w:val="00481774"/>
    <w:rsid w:val="004B7848"/>
    <w:rsid w:val="004C7304"/>
    <w:rsid w:val="004D33F4"/>
    <w:rsid w:val="004D73CE"/>
    <w:rsid w:val="004E366D"/>
    <w:rsid w:val="004E5249"/>
    <w:rsid w:val="004F523B"/>
    <w:rsid w:val="004F6ECB"/>
    <w:rsid w:val="00511419"/>
    <w:rsid w:val="00553CDD"/>
    <w:rsid w:val="00555D64"/>
    <w:rsid w:val="00572B79"/>
    <w:rsid w:val="00574CED"/>
    <w:rsid w:val="00580A34"/>
    <w:rsid w:val="005A239F"/>
    <w:rsid w:val="005A59E3"/>
    <w:rsid w:val="005C1647"/>
    <w:rsid w:val="005D2333"/>
    <w:rsid w:val="005D3030"/>
    <w:rsid w:val="005E3C1C"/>
    <w:rsid w:val="005F191E"/>
    <w:rsid w:val="005F3EC9"/>
    <w:rsid w:val="005F42F6"/>
    <w:rsid w:val="00601CB7"/>
    <w:rsid w:val="00614107"/>
    <w:rsid w:val="00614157"/>
    <w:rsid w:val="00640D78"/>
    <w:rsid w:val="00641E71"/>
    <w:rsid w:val="00642B0C"/>
    <w:rsid w:val="00643536"/>
    <w:rsid w:val="00647071"/>
    <w:rsid w:val="00647B6B"/>
    <w:rsid w:val="00652B44"/>
    <w:rsid w:val="006634C8"/>
    <w:rsid w:val="00665504"/>
    <w:rsid w:val="00666AC4"/>
    <w:rsid w:val="006711DD"/>
    <w:rsid w:val="00681D60"/>
    <w:rsid w:val="00685457"/>
    <w:rsid w:val="00690D29"/>
    <w:rsid w:val="006931D8"/>
    <w:rsid w:val="006A0F44"/>
    <w:rsid w:val="006A2CC3"/>
    <w:rsid w:val="006A6488"/>
    <w:rsid w:val="006B110E"/>
    <w:rsid w:val="006B4280"/>
    <w:rsid w:val="006C7F93"/>
    <w:rsid w:val="006D4824"/>
    <w:rsid w:val="006E1468"/>
    <w:rsid w:val="006E3672"/>
    <w:rsid w:val="006E50D3"/>
    <w:rsid w:val="006E55E9"/>
    <w:rsid w:val="006E6870"/>
    <w:rsid w:val="006E7391"/>
    <w:rsid w:val="00701631"/>
    <w:rsid w:val="00705A01"/>
    <w:rsid w:val="007073D6"/>
    <w:rsid w:val="007077D8"/>
    <w:rsid w:val="0071024E"/>
    <w:rsid w:val="00713422"/>
    <w:rsid w:val="00721B36"/>
    <w:rsid w:val="00730C53"/>
    <w:rsid w:val="00731A1F"/>
    <w:rsid w:val="00732D8D"/>
    <w:rsid w:val="0073488F"/>
    <w:rsid w:val="0077338B"/>
    <w:rsid w:val="00780BF4"/>
    <w:rsid w:val="0078388F"/>
    <w:rsid w:val="0078582D"/>
    <w:rsid w:val="007A3C14"/>
    <w:rsid w:val="007A6BE4"/>
    <w:rsid w:val="007B58D5"/>
    <w:rsid w:val="007B591F"/>
    <w:rsid w:val="007B6833"/>
    <w:rsid w:val="007B739B"/>
    <w:rsid w:val="007C3DB9"/>
    <w:rsid w:val="007C554E"/>
    <w:rsid w:val="007D4CD3"/>
    <w:rsid w:val="007D4ED3"/>
    <w:rsid w:val="007F167C"/>
    <w:rsid w:val="007F4FF2"/>
    <w:rsid w:val="007F6A45"/>
    <w:rsid w:val="008061C0"/>
    <w:rsid w:val="0080624F"/>
    <w:rsid w:val="0083008F"/>
    <w:rsid w:val="008328CE"/>
    <w:rsid w:val="00832A21"/>
    <w:rsid w:val="0083484D"/>
    <w:rsid w:val="00857632"/>
    <w:rsid w:val="00874F41"/>
    <w:rsid w:val="00880A72"/>
    <w:rsid w:val="00882569"/>
    <w:rsid w:val="00891E14"/>
    <w:rsid w:val="008B5C7C"/>
    <w:rsid w:val="008C1E02"/>
    <w:rsid w:val="008D0470"/>
    <w:rsid w:val="008E1C03"/>
    <w:rsid w:val="008E4181"/>
    <w:rsid w:val="008F70BA"/>
    <w:rsid w:val="0090359B"/>
    <w:rsid w:val="00903820"/>
    <w:rsid w:val="0092596E"/>
    <w:rsid w:val="00927FBA"/>
    <w:rsid w:val="00940CB9"/>
    <w:rsid w:val="0094466C"/>
    <w:rsid w:val="00964E9A"/>
    <w:rsid w:val="009811C5"/>
    <w:rsid w:val="00992744"/>
    <w:rsid w:val="009970AE"/>
    <w:rsid w:val="009A1B05"/>
    <w:rsid w:val="009A3DC6"/>
    <w:rsid w:val="009A6F2E"/>
    <w:rsid w:val="009B2B98"/>
    <w:rsid w:val="009C0806"/>
    <w:rsid w:val="009C30F6"/>
    <w:rsid w:val="009E1D78"/>
    <w:rsid w:val="009E2792"/>
    <w:rsid w:val="009F113B"/>
    <w:rsid w:val="00A00D97"/>
    <w:rsid w:val="00A04AA6"/>
    <w:rsid w:val="00A06A5B"/>
    <w:rsid w:val="00A10049"/>
    <w:rsid w:val="00A10BC4"/>
    <w:rsid w:val="00A12D06"/>
    <w:rsid w:val="00A13B4B"/>
    <w:rsid w:val="00A15B90"/>
    <w:rsid w:val="00A16104"/>
    <w:rsid w:val="00A323DD"/>
    <w:rsid w:val="00A33FE4"/>
    <w:rsid w:val="00A3652E"/>
    <w:rsid w:val="00A428AF"/>
    <w:rsid w:val="00A434F4"/>
    <w:rsid w:val="00A540F0"/>
    <w:rsid w:val="00A56BD1"/>
    <w:rsid w:val="00A73067"/>
    <w:rsid w:val="00A74627"/>
    <w:rsid w:val="00A75D8C"/>
    <w:rsid w:val="00A9546F"/>
    <w:rsid w:val="00AA3C4A"/>
    <w:rsid w:val="00AB35D6"/>
    <w:rsid w:val="00AB5444"/>
    <w:rsid w:val="00AB5CBD"/>
    <w:rsid w:val="00AD560B"/>
    <w:rsid w:val="00AE3B39"/>
    <w:rsid w:val="00AF4D4A"/>
    <w:rsid w:val="00B00F17"/>
    <w:rsid w:val="00B234E8"/>
    <w:rsid w:val="00B25FD6"/>
    <w:rsid w:val="00B260BC"/>
    <w:rsid w:val="00B4351C"/>
    <w:rsid w:val="00B64707"/>
    <w:rsid w:val="00B71EA7"/>
    <w:rsid w:val="00B867FD"/>
    <w:rsid w:val="00BA3EA2"/>
    <w:rsid w:val="00BB0F5A"/>
    <w:rsid w:val="00BB2F0A"/>
    <w:rsid w:val="00BD4DB4"/>
    <w:rsid w:val="00BE0D7C"/>
    <w:rsid w:val="00BE4328"/>
    <w:rsid w:val="00BE440E"/>
    <w:rsid w:val="00C04FDA"/>
    <w:rsid w:val="00C14366"/>
    <w:rsid w:val="00C161C0"/>
    <w:rsid w:val="00C20875"/>
    <w:rsid w:val="00C21CF0"/>
    <w:rsid w:val="00C23F67"/>
    <w:rsid w:val="00C42B06"/>
    <w:rsid w:val="00C458AF"/>
    <w:rsid w:val="00C525D5"/>
    <w:rsid w:val="00C644F3"/>
    <w:rsid w:val="00C809B9"/>
    <w:rsid w:val="00C87366"/>
    <w:rsid w:val="00C916CD"/>
    <w:rsid w:val="00CA1530"/>
    <w:rsid w:val="00CB67FF"/>
    <w:rsid w:val="00CC103E"/>
    <w:rsid w:val="00CC4DAD"/>
    <w:rsid w:val="00CD2133"/>
    <w:rsid w:val="00CD55E8"/>
    <w:rsid w:val="00CD63AA"/>
    <w:rsid w:val="00D156B2"/>
    <w:rsid w:val="00D205BD"/>
    <w:rsid w:val="00D242ED"/>
    <w:rsid w:val="00D25979"/>
    <w:rsid w:val="00D31677"/>
    <w:rsid w:val="00D3262E"/>
    <w:rsid w:val="00D3480D"/>
    <w:rsid w:val="00D36F1D"/>
    <w:rsid w:val="00D408A3"/>
    <w:rsid w:val="00D41E83"/>
    <w:rsid w:val="00D513BD"/>
    <w:rsid w:val="00D52E06"/>
    <w:rsid w:val="00D70C22"/>
    <w:rsid w:val="00D71942"/>
    <w:rsid w:val="00D75C1F"/>
    <w:rsid w:val="00D82C7A"/>
    <w:rsid w:val="00D83D88"/>
    <w:rsid w:val="00D97A0F"/>
    <w:rsid w:val="00DA0C3E"/>
    <w:rsid w:val="00DB45F5"/>
    <w:rsid w:val="00DB471E"/>
    <w:rsid w:val="00DB65B4"/>
    <w:rsid w:val="00DB6C15"/>
    <w:rsid w:val="00DC3269"/>
    <w:rsid w:val="00DC3754"/>
    <w:rsid w:val="00DC39EC"/>
    <w:rsid w:val="00DC6938"/>
    <w:rsid w:val="00DD018A"/>
    <w:rsid w:val="00DD186D"/>
    <w:rsid w:val="00DD6CBF"/>
    <w:rsid w:val="00DE70FD"/>
    <w:rsid w:val="00DF1AA6"/>
    <w:rsid w:val="00DF1AFF"/>
    <w:rsid w:val="00DF4B7B"/>
    <w:rsid w:val="00E000E2"/>
    <w:rsid w:val="00E119B1"/>
    <w:rsid w:val="00E134DA"/>
    <w:rsid w:val="00E151E4"/>
    <w:rsid w:val="00E21894"/>
    <w:rsid w:val="00E31FDB"/>
    <w:rsid w:val="00E40267"/>
    <w:rsid w:val="00E452E9"/>
    <w:rsid w:val="00E5162E"/>
    <w:rsid w:val="00E51D13"/>
    <w:rsid w:val="00E548B2"/>
    <w:rsid w:val="00E6026B"/>
    <w:rsid w:val="00E640F5"/>
    <w:rsid w:val="00E64F76"/>
    <w:rsid w:val="00E65805"/>
    <w:rsid w:val="00E73A50"/>
    <w:rsid w:val="00E7628D"/>
    <w:rsid w:val="00E83B3F"/>
    <w:rsid w:val="00E83D08"/>
    <w:rsid w:val="00E84550"/>
    <w:rsid w:val="00E860CD"/>
    <w:rsid w:val="00E87E1A"/>
    <w:rsid w:val="00E9777E"/>
    <w:rsid w:val="00EB207A"/>
    <w:rsid w:val="00EB3000"/>
    <w:rsid w:val="00EC5256"/>
    <w:rsid w:val="00EC7D2F"/>
    <w:rsid w:val="00ED6F90"/>
    <w:rsid w:val="00EE05B0"/>
    <w:rsid w:val="00F02A4C"/>
    <w:rsid w:val="00F02D8E"/>
    <w:rsid w:val="00F0379A"/>
    <w:rsid w:val="00F06A92"/>
    <w:rsid w:val="00F11AAF"/>
    <w:rsid w:val="00F1225D"/>
    <w:rsid w:val="00F12B7C"/>
    <w:rsid w:val="00F13A52"/>
    <w:rsid w:val="00F17932"/>
    <w:rsid w:val="00F231D3"/>
    <w:rsid w:val="00F444E4"/>
    <w:rsid w:val="00F51053"/>
    <w:rsid w:val="00F53EEC"/>
    <w:rsid w:val="00F66D40"/>
    <w:rsid w:val="00F72144"/>
    <w:rsid w:val="00FA097F"/>
    <w:rsid w:val="00FA2938"/>
    <w:rsid w:val="00FA7239"/>
    <w:rsid w:val="00FB17C7"/>
    <w:rsid w:val="00FB20A6"/>
    <w:rsid w:val="00FB3777"/>
    <w:rsid w:val="00FB409B"/>
    <w:rsid w:val="00FC0D56"/>
    <w:rsid w:val="00FC30B4"/>
    <w:rsid w:val="00FC660D"/>
    <w:rsid w:val="00FD15CE"/>
    <w:rsid w:val="00FD4D4B"/>
    <w:rsid w:val="00FE4B1C"/>
    <w:rsid w:val="00FF2F39"/>
    <w:rsid w:val="04433290"/>
    <w:rsid w:val="0BDB744F"/>
    <w:rsid w:val="114C494B"/>
    <w:rsid w:val="17FC7234"/>
    <w:rsid w:val="1B3B43EF"/>
    <w:rsid w:val="1F6F0182"/>
    <w:rsid w:val="21E5391D"/>
    <w:rsid w:val="23B24AE2"/>
    <w:rsid w:val="263E7FDC"/>
    <w:rsid w:val="29E45F98"/>
    <w:rsid w:val="3151170C"/>
    <w:rsid w:val="334446B6"/>
    <w:rsid w:val="3FFDACD8"/>
    <w:rsid w:val="436A288B"/>
    <w:rsid w:val="47BE42C5"/>
    <w:rsid w:val="4DBA10CE"/>
    <w:rsid w:val="5B4103ED"/>
    <w:rsid w:val="5B871DD5"/>
    <w:rsid w:val="5EA536A9"/>
    <w:rsid w:val="63251ED3"/>
    <w:rsid w:val="770C26EB"/>
    <w:rsid w:val="774E08A6"/>
    <w:rsid w:val="7CD82038"/>
    <w:rsid w:val="7D7818BB"/>
    <w:rsid w:val="7E70797F"/>
    <w:rsid w:val="7FC94064"/>
    <w:rsid w:val="98B56D74"/>
    <w:rsid w:val="ACFFF8E1"/>
    <w:rsid w:val="EFF3F8A9"/>
    <w:rsid w:val="FF6308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lang w:val="en-US" w:eastAsia="zh-CN" w:bidi="ar-SA"/>
    </w:rPr>
  </w:style>
  <w:style w:type="paragraph" w:styleId="2">
    <w:name w:val="heading 1"/>
    <w:basedOn w:val="1"/>
    <w:next w:val="1"/>
    <w:link w:val="22"/>
    <w:qFormat/>
    <w:uiPriority w:val="0"/>
    <w:pPr>
      <w:keepNext/>
      <w:keepLines/>
      <w:numPr>
        <w:ilvl w:val="0"/>
        <w:numId w:val="1"/>
      </w:numPr>
      <w:spacing w:before="120" w:after="120"/>
      <w:jc w:val="left"/>
      <w:outlineLvl w:val="0"/>
    </w:pPr>
    <w:rPr>
      <w:rFonts w:ascii="Times New Roman" w:hAnsi="Times New Roman" w:eastAsia="仿宋_GB2312" w:cs="Times New Roman"/>
      <w:b/>
      <w:kern w:val="44"/>
      <w:sz w:val="30"/>
      <w:szCs w:val="21"/>
    </w:rPr>
  </w:style>
  <w:style w:type="paragraph" w:styleId="3">
    <w:name w:val="heading 2"/>
    <w:basedOn w:val="1"/>
    <w:next w:val="1"/>
    <w:link w:val="23"/>
    <w:qFormat/>
    <w:uiPriority w:val="0"/>
    <w:pPr>
      <w:keepNext/>
      <w:keepLines/>
      <w:numPr>
        <w:ilvl w:val="1"/>
        <w:numId w:val="1"/>
      </w:numPr>
      <w:spacing w:before="120" w:after="120"/>
      <w:jc w:val="left"/>
      <w:outlineLvl w:val="1"/>
    </w:pPr>
    <w:rPr>
      <w:rFonts w:ascii="Times New Roman" w:hAnsi="Times New Roman" w:eastAsia="仿宋_GB2312" w:cs="Times New Roman"/>
      <w:b/>
      <w:bCs/>
      <w:smallCaps/>
      <w:sz w:val="30"/>
      <w:szCs w:val="28"/>
    </w:rPr>
  </w:style>
  <w:style w:type="paragraph" w:styleId="4">
    <w:name w:val="heading 3"/>
    <w:basedOn w:val="1"/>
    <w:next w:val="1"/>
    <w:link w:val="24"/>
    <w:qFormat/>
    <w:uiPriority w:val="0"/>
    <w:pPr>
      <w:keepNext/>
      <w:keepLines/>
      <w:numPr>
        <w:ilvl w:val="2"/>
        <w:numId w:val="1"/>
      </w:numPr>
      <w:spacing w:before="120" w:after="120" w:line="360" w:lineRule="auto"/>
      <w:outlineLvl w:val="2"/>
    </w:pPr>
    <w:rPr>
      <w:rFonts w:ascii="Times New Roman" w:hAnsi="Times New Roman" w:eastAsia="宋体" w:cs="Times New Roman"/>
      <w:bCs/>
      <w:sz w:val="28"/>
      <w:szCs w:val="21"/>
    </w:rPr>
  </w:style>
  <w:style w:type="paragraph" w:styleId="5">
    <w:name w:val="heading 4"/>
    <w:basedOn w:val="1"/>
    <w:next w:val="1"/>
    <w:link w:val="25"/>
    <w:qFormat/>
    <w:uiPriority w:val="0"/>
    <w:pPr>
      <w:numPr>
        <w:ilvl w:val="3"/>
        <w:numId w:val="1"/>
      </w:numPr>
      <w:adjustRightInd w:val="0"/>
      <w:spacing w:line="288" w:lineRule="auto"/>
      <w:textAlignment w:val="baseline"/>
      <w:outlineLvl w:val="3"/>
    </w:pPr>
    <w:rPr>
      <w:rFonts w:ascii="Times New Roman" w:hAnsi="Times New Roman" w:eastAsia="宋体" w:cs="Times New Roman"/>
      <w:bCs/>
      <w:smallCaps/>
      <w:sz w:val="24"/>
      <w:szCs w:val="24"/>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6">
    <w:name w:val="caption"/>
    <w:basedOn w:val="1"/>
    <w:next w:val="1"/>
    <w:link w:val="26"/>
    <w:qFormat/>
    <w:uiPriority w:val="0"/>
    <w:pPr>
      <w:jc w:val="center"/>
    </w:pPr>
    <w:rPr>
      <w:rFonts w:ascii="Times New Roman" w:hAnsi="Times New Roman" w:eastAsia="黑体" w:cs="Arial"/>
      <w:sz w:val="24"/>
    </w:rPr>
  </w:style>
  <w:style w:type="paragraph" w:styleId="7">
    <w:name w:val="annotation text"/>
    <w:basedOn w:val="1"/>
    <w:link w:val="38"/>
    <w:unhideWhenUsed/>
    <w:qFormat/>
    <w:uiPriority w:val="0"/>
    <w:pPr>
      <w:jc w:val="left"/>
    </w:pPr>
  </w:style>
  <w:style w:type="paragraph" w:styleId="8">
    <w:name w:val="Body Text"/>
    <w:basedOn w:val="1"/>
    <w:link w:val="44"/>
    <w:semiHidden/>
    <w:qFormat/>
    <w:uiPriority w:val="0"/>
    <w:rPr>
      <w:rFonts w:ascii="黑体" w:hAnsi="黑体" w:eastAsia="黑体" w:cs="黑体"/>
      <w:sz w:val="28"/>
      <w:szCs w:val="28"/>
      <w:lang w:eastAsia="en-US"/>
    </w:rPr>
  </w:style>
  <w:style w:type="paragraph" w:styleId="9">
    <w:name w:val="Balloon Text"/>
    <w:basedOn w:val="1"/>
    <w:link w:val="31"/>
    <w:semiHidden/>
    <w:unhideWhenUsed/>
    <w:qFormat/>
    <w:uiPriority w:val="99"/>
    <w:rPr>
      <w:sz w:val="18"/>
      <w:szCs w:val="18"/>
    </w:rPr>
  </w:style>
  <w:style w:type="paragraph" w:styleId="10">
    <w:name w:val="footer"/>
    <w:basedOn w:val="1"/>
    <w:link w:val="33"/>
    <w:unhideWhenUsed/>
    <w:qFormat/>
    <w:uiPriority w:val="99"/>
    <w:pPr>
      <w:tabs>
        <w:tab w:val="center" w:pos="4153"/>
        <w:tab w:val="right" w:pos="8306"/>
      </w:tabs>
      <w:snapToGrid w:val="0"/>
      <w:jc w:val="left"/>
    </w:pPr>
    <w:rPr>
      <w:sz w:val="18"/>
      <w:szCs w:val="18"/>
    </w:rPr>
  </w:style>
  <w:style w:type="paragraph" w:styleId="11">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paragraph" w:styleId="1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annotation subject"/>
    <w:basedOn w:val="7"/>
    <w:next w:val="7"/>
    <w:link w:val="39"/>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styleId="21">
    <w:name w:val="annotation reference"/>
    <w:basedOn w:val="18"/>
    <w:semiHidden/>
    <w:unhideWhenUsed/>
    <w:qFormat/>
    <w:uiPriority w:val="99"/>
    <w:rPr>
      <w:sz w:val="21"/>
      <w:szCs w:val="21"/>
    </w:rPr>
  </w:style>
  <w:style w:type="character" w:customStyle="1" w:styleId="22">
    <w:name w:val="标题 1 字符"/>
    <w:basedOn w:val="18"/>
    <w:link w:val="2"/>
    <w:qFormat/>
    <w:uiPriority w:val="0"/>
    <w:rPr>
      <w:rFonts w:eastAsia="仿宋_GB2312"/>
      <w:b/>
      <w:kern w:val="44"/>
      <w:sz w:val="30"/>
      <w:szCs w:val="21"/>
    </w:rPr>
  </w:style>
  <w:style w:type="character" w:customStyle="1" w:styleId="23">
    <w:name w:val="标题 2 字符"/>
    <w:basedOn w:val="18"/>
    <w:link w:val="3"/>
    <w:qFormat/>
    <w:uiPriority w:val="0"/>
    <w:rPr>
      <w:rFonts w:eastAsia="仿宋_GB2312"/>
      <w:b/>
      <w:bCs/>
      <w:smallCaps/>
      <w:kern w:val="2"/>
      <w:sz w:val="30"/>
      <w:szCs w:val="28"/>
    </w:rPr>
  </w:style>
  <w:style w:type="character" w:customStyle="1" w:styleId="24">
    <w:name w:val="标题 3 字符"/>
    <w:basedOn w:val="18"/>
    <w:link w:val="4"/>
    <w:qFormat/>
    <w:uiPriority w:val="0"/>
    <w:rPr>
      <w:rFonts w:ascii="Times New Roman" w:hAnsi="Times New Roman" w:eastAsia="宋体" w:cs="Times New Roman"/>
      <w:bCs/>
      <w:sz w:val="28"/>
      <w:szCs w:val="21"/>
    </w:rPr>
  </w:style>
  <w:style w:type="character" w:customStyle="1" w:styleId="25">
    <w:name w:val="标题 4 字符"/>
    <w:basedOn w:val="18"/>
    <w:link w:val="5"/>
    <w:qFormat/>
    <w:uiPriority w:val="0"/>
    <w:rPr>
      <w:rFonts w:ascii="Times New Roman" w:hAnsi="Times New Roman" w:eastAsia="宋体" w:cs="Times New Roman"/>
      <w:bCs/>
      <w:smallCaps/>
      <w:sz w:val="24"/>
      <w:szCs w:val="24"/>
    </w:rPr>
  </w:style>
  <w:style w:type="character" w:customStyle="1" w:styleId="26">
    <w:name w:val="题注 字符"/>
    <w:link w:val="6"/>
    <w:qFormat/>
    <w:uiPriority w:val="0"/>
    <w:rPr>
      <w:rFonts w:ascii="Times New Roman" w:hAnsi="Times New Roman" w:eastAsia="黑体" w:cs="Arial"/>
      <w:sz w:val="24"/>
    </w:rPr>
  </w:style>
  <w:style w:type="paragraph" w:customStyle="1" w:styleId="27">
    <w:name w:val="我的表格"/>
    <w:basedOn w:val="1"/>
    <w:link w:val="28"/>
    <w:qFormat/>
    <w:uiPriority w:val="0"/>
    <w:pPr>
      <w:autoSpaceDE w:val="0"/>
      <w:autoSpaceDN w:val="0"/>
      <w:adjustRightInd w:val="0"/>
      <w:jc w:val="center"/>
    </w:pPr>
    <w:rPr>
      <w:rFonts w:ascii="Times New Roman" w:hAnsi="Times New Roman" w:eastAsia="宋体" w:cs="Times New Roman"/>
      <w:kern w:val="0"/>
      <w:sz w:val="21"/>
      <w:szCs w:val="21"/>
    </w:rPr>
  </w:style>
  <w:style w:type="character" w:customStyle="1" w:styleId="28">
    <w:name w:val="我的表格 Char"/>
    <w:link w:val="27"/>
    <w:qFormat/>
    <w:uiPriority w:val="0"/>
    <w:rPr>
      <w:rFonts w:ascii="Times New Roman" w:hAnsi="Times New Roman" w:eastAsia="宋体" w:cs="Times New Roman"/>
      <w:kern w:val="0"/>
      <w:sz w:val="21"/>
      <w:szCs w:val="21"/>
    </w:rPr>
  </w:style>
  <w:style w:type="paragraph" w:customStyle="1" w:styleId="29">
    <w:name w:val="我的正文"/>
    <w:basedOn w:val="1"/>
    <w:link w:val="30"/>
    <w:qFormat/>
    <w:uiPriority w:val="0"/>
    <w:pPr>
      <w:spacing w:line="360" w:lineRule="auto"/>
      <w:ind w:firstLine="200" w:firstLineChars="200"/>
    </w:pPr>
    <w:rPr>
      <w:rFonts w:ascii="Times New Roman" w:hAnsi="Times New Roman" w:eastAsia="仿宋_GB2312" w:cs="宋体"/>
      <w:sz w:val="28"/>
    </w:rPr>
  </w:style>
  <w:style w:type="character" w:customStyle="1" w:styleId="30">
    <w:name w:val="我的正文 Char"/>
    <w:link w:val="29"/>
    <w:qFormat/>
    <w:locked/>
    <w:uiPriority w:val="0"/>
    <w:rPr>
      <w:rFonts w:ascii="Times New Roman" w:hAnsi="Times New Roman" w:eastAsia="仿宋_GB2312" w:cs="宋体"/>
      <w:sz w:val="28"/>
    </w:rPr>
  </w:style>
  <w:style w:type="character" w:customStyle="1" w:styleId="31">
    <w:name w:val="批注框文本 字符"/>
    <w:basedOn w:val="18"/>
    <w:link w:val="9"/>
    <w:semiHidden/>
    <w:qFormat/>
    <w:uiPriority w:val="99"/>
    <w:rPr>
      <w:sz w:val="18"/>
      <w:szCs w:val="18"/>
    </w:rPr>
  </w:style>
  <w:style w:type="character" w:customStyle="1" w:styleId="32">
    <w:name w:val="页眉 字符"/>
    <w:basedOn w:val="18"/>
    <w:link w:val="11"/>
    <w:qFormat/>
    <w:uiPriority w:val="99"/>
    <w:rPr>
      <w:sz w:val="18"/>
      <w:szCs w:val="18"/>
    </w:rPr>
  </w:style>
  <w:style w:type="character" w:customStyle="1" w:styleId="33">
    <w:name w:val="页脚 字符"/>
    <w:basedOn w:val="18"/>
    <w:link w:val="10"/>
    <w:qFormat/>
    <w:uiPriority w:val="99"/>
    <w:rPr>
      <w:sz w:val="18"/>
      <w:szCs w:val="18"/>
    </w:rPr>
  </w:style>
  <w:style w:type="character" w:customStyle="1" w:styleId="34">
    <w:name w:val="font31"/>
    <w:basedOn w:val="18"/>
    <w:qFormat/>
    <w:uiPriority w:val="0"/>
    <w:rPr>
      <w:rFonts w:hint="eastAsia" w:ascii="宋体" w:hAnsi="宋体" w:eastAsia="宋体" w:cs="宋体"/>
      <w:color w:val="000000"/>
      <w:sz w:val="22"/>
      <w:szCs w:val="22"/>
      <w:u w:val="none"/>
    </w:rPr>
  </w:style>
  <w:style w:type="character" w:customStyle="1" w:styleId="35">
    <w:name w:val="font21"/>
    <w:basedOn w:val="18"/>
    <w:qFormat/>
    <w:uiPriority w:val="0"/>
    <w:rPr>
      <w:rFonts w:hint="eastAsia" w:ascii="宋体" w:hAnsi="宋体" w:eastAsia="宋体" w:cs="宋体"/>
      <w:b/>
      <w:bCs/>
      <w:color w:val="000000"/>
      <w:sz w:val="22"/>
      <w:szCs w:val="22"/>
      <w:u w:val="none"/>
    </w:rPr>
  </w:style>
  <w:style w:type="character" w:customStyle="1" w:styleId="36">
    <w:name w:val="font12"/>
    <w:basedOn w:val="18"/>
    <w:qFormat/>
    <w:uiPriority w:val="0"/>
    <w:rPr>
      <w:rFonts w:hint="eastAsia" w:ascii="宋体" w:hAnsi="宋体" w:eastAsia="宋体" w:cs="宋体"/>
      <w:color w:val="000000"/>
      <w:sz w:val="22"/>
      <w:szCs w:val="22"/>
      <w:u w:val="none"/>
    </w:rPr>
  </w:style>
  <w:style w:type="character" w:customStyle="1" w:styleId="37">
    <w:name w:val="font91"/>
    <w:basedOn w:val="18"/>
    <w:qFormat/>
    <w:uiPriority w:val="0"/>
    <w:rPr>
      <w:rFonts w:hint="eastAsia" w:ascii="宋体" w:hAnsi="宋体" w:eastAsia="宋体" w:cs="宋体"/>
      <w:b/>
      <w:bCs/>
      <w:color w:val="000000"/>
      <w:sz w:val="22"/>
      <w:szCs w:val="22"/>
      <w:u w:val="none"/>
    </w:rPr>
  </w:style>
  <w:style w:type="character" w:customStyle="1" w:styleId="38">
    <w:name w:val="批注文字 字符"/>
    <w:basedOn w:val="18"/>
    <w:link w:val="7"/>
    <w:qFormat/>
    <w:uiPriority w:val="0"/>
    <w:rPr>
      <w:rFonts w:asciiTheme="minorHAnsi" w:hAnsiTheme="minorHAnsi" w:eastAsiaTheme="minorEastAsia" w:cstheme="minorBidi"/>
      <w:kern w:val="2"/>
    </w:rPr>
  </w:style>
  <w:style w:type="character" w:customStyle="1" w:styleId="39">
    <w:name w:val="批注主题 字符"/>
    <w:basedOn w:val="38"/>
    <w:link w:val="15"/>
    <w:semiHidden/>
    <w:qFormat/>
    <w:uiPriority w:val="99"/>
    <w:rPr>
      <w:rFonts w:asciiTheme="minorHAnsi" w:hAnsiTheme="minorHAnsi" w:eastAsiaTheme="minorEastAsia" w:cstheme="minorBidi"/>
      <w:b/>
      <w:bCs/>
      <w:kern w:val="2"/>
    </w:rPr>
  </w:style>
  <w:style w:type="paragraph" w:customStyle="1" w:styleId="40">
    <w:name w:val="修订1"/>
    <w:hidden/>
    <w:unhideWhenUsed/>
    <w:qFormat/>
    <w:uiPriority w:val="99"/>
    <w:rPr>
      <w:rFonts w:asciiTheme="minorHAnsi" w:hAnsiTheme="minorHAnsi" w:eastAsiaTheme="minorEastAsia" w:cstheme="minorBidi"/>
      <w:kern w:val="2"/>
      <w:lang w:val="en-US" w:eastAsia="zh-CN" w:bidi="ar-SA"/>
    </w:rPr>
  </w:style>
  <w:style w:type="table" w:customStyle="1" w:styleId="41">
    <w:name w:val="网格型1"/>
    <w:basedOn w:val="16"/>
    <w:qFormat/>
    <w:uiPriority w:val="39"/>
    <w:rPr>
      <w:rFonts w:asciiTheme="minorHAnsi" w:hAnsiTheme="minorHAnsi" w:eastAsiaTheme="minorEastAsia" w:cstheme="minorBidi"/>
      <w:kern w:val="2"/>
      <w:sz w:val="21"/>
      <w:szCs w:val="2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2">
    <w:name w:val="ds-markdown-cite"/>
    <w:basedOn w:val="18"/>
    <w:qFormat/>
    <w:uiPriority w:val="0"/>
  </w:style>
  <w:style w:type="paragraph" w:customStyle="1" w:styleId="43">
    <w:name w:val="修订2"/>
    <w:hidden/>
    <w:semiHidden/>
    <w:uiPriority w:val="99"/>
    <w:rPr>
      <w:rFonts w:asciiTheme="minorHAnsi" w:hAnsiTheme="minorHAnsi" w:eastAsiaTheme="minorEastAsia" w:cstheme="minorBidi"/>
      <w:kern w:val="2"/>
      <w:lang w:val="en-US" w:eastAsia="zh-CN" w:bidi="ar-SA"/>
    </w:rPr>
  </w:style>
  <w:style w:type="character" w:customStyle="1" w:styleId="44">
    <w:name w:val="正文文本 字符"/>
    <w:basedOn w:val="18"/>
    <w:link w:val="8"/>
    <w:semiHidden/>
    <w:uiPriority w:val="0"/>
    <w:rPr>
      <w:rFonts w:ascii="黑体" w:hAnsi="黑体" w:eastAsia="黑体" w:cs="黑体"/>
      <w:kern w:val="2"/>
      <w:sz w:val="28"/>
      <w:szCs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17CD2D7A-FF6A-4970-ADF1-64702253A594}">
  <ds:schemaRefs/>
</ds:datastoreItem>
</file>

<file path=docProps/app.xml><?xml version="1.0" encoding="utf-8"?>
<Properties xmlns="http://schemas.openxmlformats.org/officeDocument/2006/extended-properties" xmlns:vt="http://schemas.openxmlformats.org/officeDocument/2006/docPropsVTypes">
  <Pages>42</Pages>
  <Words>3217</Words>
  <Characters>3360</Characters>
  <Lines>168</Lines>
  <Paragraphs>47</Paragraphs>
  <TotalTime>0</TotalTime>
  <ScaleCrop>false</ScaleCrop>
  <LinksUpToDate>false</LinksUpToDate>
  <CharactersWithSpaces>3376</CharactersWithSpaces>
  <Application>WPS Office WWO_wpscloud_20250217162318-74c5a2f7e8</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2025-01-21T08:52:00Z</dcterms:created>
  <dc:creator>陈</dc:creator>
  <cp:lastModifiedBy>Niko</cp:lastModifiedBy>
  <cp:lastPrinted>2025-03-12T11:18:00Z</cp:lastPrinted>
  <dcterms:modified xsi:type="dcterms:W3CDTF">2026-04-28T08:55:49Z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456304B1430B4D6C9505F069A32D6A6E_43</vt:lpwstr>
  </property>
  <property fmtid="{D5CDD505-2E9C-101B-9397-08002B2CF9AE}" pid="4" name="KSOTemplateDocerSaveRecord">
    <vt:lpwstr>eyJoZGlkIjoiZjVhNGJiMWVmZTg4ZjFhYWZhYWFiMzBkODkwYWRkZmUiLCJ1c2VySWQiOiI0MDU0MjI2MjkifQ==</vt:lpwstr>
  </property>
</Properties>
</file>