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harts/chart1.xml" ContentType="application/vnd.openxmlformats-officedocument.drawingml.chart+xml"/>
  <Override PartName="/word/charts/chart2.xml" ContentType="application/vnd.openxmlformats-officedocument.drawingml.chart+xml"/>
  <Override PartName="/word/charts/colors1.xml" ContentType="application/vnd.ms-office.chartcolorstyle+xml"/>
  <Override PartName="/word/charts/colors2.xml" ContentType="application/vnd.ms-office.chartcolorstyle+xml"/>
  <Override PartName="/word/charts/style1.xml" ContentType="application/vnd.ms-office.chartstyle+xml"/>
  <Override PartName="/word/charts/style2.xml" ContentType="application/vnd.ms-office.chartstyle+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ind w:firstLine="0" w:firstLineChars="0"/>
        <w:jc w:val="center"/>
        <w:rPr>
          <w:rFonts w:ascii="方正小标宋简体" w:hAnsi="方正小标宋简体" w:eastAsia="方正小标宋简体" w:cs="方正小标宋简体"/>
          <w:kern w:val="0"/>
          <w:sz w:val="44"/>
          <w:szCs w:val="44"/>
        </w:rPr>
      </w:pPr>
      <w:r>
        <w:rPr>
          <w:rFonts w:hint="eastAsia" w:ascii="方正小标宋简体" w:hAnsi="方正小标宋简体" w:eastAsia="方正小标宋简体" w:cs="方正小标宋简体"/>
          <w:kern w:val="0"/>
          <w:sz w:val="44"/>
          <w:szCs w:val="44"/>
        </w:rPr>
        <w:t>《大风灾害风险普查技术规范》</w:t>
      </w:r>
    </w:p>
    <w:p>
      <w:pPr>
        <w:ind w:firstLine="0" w:firstLineChars="0"/>
        <w:jc w:val="center"/>
        <w:rPr>
          <w:rFonts w:hint="eastAsia" w:ascii="方正小标宋简体" w:hAnsi="方正小标宋简体" w:eastAsia="方正小标宋简体" w:cs="方正小标宋简体"/>
          <w:kern w:val="0"/>
          <w:sz w:val="44"/>
          <w:szCs w:val="44"/>
        </w:rPr>
      </w:pPr>
      <w:r>
        <w:rPr>
          <w:rFonts w:hint="eastAsia" w:ascii="方正小标宋简体" w:hAnsi="方正小标宋简体" w:eastAsia="方正小标宋简体" w:cs="方正小标宋简体"/>
          <w:kern w:val="0"/>
          <w:sz w:val="44"/>
          <w:szCs w:val="44"/>
        </w:rPr>
        <w:t>海南省地方标准编制说明</w:t>
      </w:r>
    </w:p>
    <w:p>
      <w:pPr>
        <w:pStyle w:val="6"/>
        <w:ind w:firstLine="0" w:firstLineChars="0"/>
        <w:rPr>
          <w:rFonts w:hint="eastAsia" w:ascii="楷体" w:hAnsi="楷体" w:eastAsia="楷体" w:cs="楷体"/>
          <w:bCs/>
          <w:szCs w:val="32"/>
        </w:rPr>
      </w:pPr>
    </w:p>
    <w:p>
      <w:pPr>
        <w:pStyle w:val="2"/>
        <w:numPr>
          <w:ilvl w:val="0"/>
          <w:numId w:val="1"/>
        </w:numPr>
        <w:ind w:firstLine="640"/>
        <w:rPr>
          <w:sz w:val="28"/>
          <w:szCs w:val="18"/>
        </w:rPr>
      </w:pPr>
      <w:r>
        <w:rPr>
          <w:rFonts w:hint="eastAsia"/>
          <w:sz w:val="28"/>
          <w:szCs w:val="18"/>
        </w:rPr>
        <w:t>工作简况</w:t>
      </w:r>
    </w:p>
    <w:p>
      <w:pPr>
        <w:pStyle w:val="3"/>
        <w:numPr>
          <w:ilvl w:val="0"/>
          <w:numId w:val="2"/>
        </w:numPr>
        <w:ind w:firstLine="640"/>
        <w:rPr>
          <w:rFonts w:hint="eastAsia" w:eastAsia="宋体" w:cs="Times New Roman"/>
          <w:b/>
          <w:bCs/>
          <w:sz w:val="24"/>
          <w:szCs w:val="32"/>
          <w:lang w:val="en-US" w:eastAsia="zh-CN"/>
        </w:rPr>
      </w:pPr>
      <w:r>
        <w:rPr>
          <w:rFonts w:hint="eastAsia" w:eastAsia="宋体" w:cs="Times New Roman"/>
          <w:b/>
          <w:bCs/>
          <w:sz w:val="24"/>
          <w:szCs w:val="32"/>
          <w:lang w:val="en-US" w:eastAsia="zh-CN"/>
        </w:rPr>
        <w:t>标准名称：</w:t>
      </w:r>
      <w:r>
        <w:rPr>
          <w:rFonts w:hint="eastAsia" w:eastAsia="宋体" w:cs="Times New Roman"/>
          <w:b/>
          <w:bCs/>
          <w:sz w:val="24"/>
          <w:szCs w:val="32"/>
        </w:rPr>
        <w:t>大风灾害风险普查技术规范</w:t>
      </w:r>
    </w:p>
    <w:p>
      <w:pPr>
        <w:pStyle w:val="3"/>
        <w:numPr>
          <w:ilvl w:val="0"/>
          <w:numId w:val="2"/>
        </w:numPr>
        <w:ind w:firstLine="640"/>
        <w:rPr>
          <w:rFonts w:hint="eastAsia" w:eastAsia="宋体" w:cs="Times New Roman"/>
          <w:b/>
          <w:bCs/>
          <w:sz w:val="24"/>
          <w:szCs w:val="32"/>
        </w:rPr>
      </w:pPr>
      <w:r>
        <w:rPr>
          <w:rFonts w:eastAsia="宋体" w:cs="Times New Roman"/>
          <w:b/>
          <w:bCs/>
          <w:sz w:val="24"/>
          <w:szCs w:val="32"/>
        </w:rPr>
        <w:t>立项情况</w:t>
      </w:r>
      <w:r>
        <w:rPr>
          <w:rFonts w:hint="eastAsia" w:eastAsia="宋体" w:cs="Times New Roman"/>
          <w:b/>
          <w:bCs/>
          <w:sz w:val="24"/>
          <w:szCs w:val="32"/>
          <w:lang w:eastAsia="zh-CN"/>
        </w:rPr>
        <w:t>：</w:t>
      </w:r>
      <w:r>
        <w:rPr>
          <w:rFonts w:hint="eastAsia" w:eastAsia="宋体" w:cs="Times New Roman"/>
          <w:b/>
          <w:bCs/>
          <w:sz w:val="24"/>
          <w:szCs w:val="32"/>
        </w:rPr>
        <w:t>任务来源于《海南省市场监督管理局关于下达海南省2025年第一批地方标准制修订项目计划的通知》</w:t>
      </w:r>
      <w:r>
        <w:rPr>
          <w:rFonts w:hint="eastAsia" w:eastAsia="宋体" w:cs="Times New Roman"/>
          <w:b/>
          <w:bCs/>
          <w:sz w:val="24"/>
          <w:szCs w:val="32"/>
        </w:rPr>
        <w:t>（琼市监函〔2025〕345号）</w:t>
      </w:r>
      <w:r>
        <w:rPr>
          <w:rFonts w:hint="eastAsia" w:eastAsia="宋体" w:cs="Times New Roman"/>
          <w:b/>
          <w:bCs/>
          <w:sz w:val="24"/>
          <w:szCs w:val="32"/>
        </w:rPr>
        <w:t>，项目编号为2025-Z035</w:t>
      </w:r>
    </w:p>
    <w:p>
      <w:pPr>
        <w:rPr>
          <w:rFonts w:hint="eastAsia" w:eastAsia="宋体" w:cs="Times New Roman"/>
          <w:b/>
          <w:bCs/>
          <w:sz w:val="24"/>
          <w:szCs w:val="32"/>
          <w:lang w:eastAsia="zh-CN"/>
        </w:rPr>
      </w:pPr>
      <w:r>
        <w:rPr>
          <w:rFonts w:hint="eastAsia" w:eastAsia="宋体" w:cs="Times New Roman"/>
          <w:b/>
          <w:bCs/>
          <w:sz w:val="24"/>
          <w:szCs w:val="32"/>
          <w:lang w:eastAsia="zh-CN"/>
        </w:rPr>
        <w:t>（</w:t>
      </w:r>
      <w:r>
        <w:rPr>
          <w:rFonts w:hint="eastAsia" w:eastAsia="宋体" w:cs="Times New Roman"/>
          <w:b/>
          <w:bCs/>
          <w:sz w:val="24"/>
          <w:szCs w:val="32"/>
          <w:lang w:val="en-US" w:eastAsia="zh-CN"/>
        </w:rPr>
        <w:t>三</w:t>
      </w:r>
      <w:r>
        <w:rPr>
          <w:rFonts w:hint="eastAsia" w:eastAsia="宋体" w:cs="Times New Roman"/>
          <w:b/>
          <w:bCs/>
          <w:sz w:val="24"/>
          <w:szCs w:val="32"/>
          <w:lang w:eastAsia="zh-CN"/>
        </w:rPr>
        <w:t>）</w:t>
      </w:r>
      <w:r>
        <w:rPr>
          <w:rFonts w:hint="eastAsia" w:eastAsia="宋体" w:cs="Times New Roman"/>
          <w:b/>
          <w:bCs/>
          <w:sz w:val="24"/>
          <w:szCs w:val="32"/>
          <w:lang w:eastAsia="zh-CN"/>
        </w:rPr>
        <w:t>提出、归口单位</w:t>
      </w:r>
      <w:r>
        <w:rPr>
          <w:rFonts w:hint="eastAsia" w:eastAsia="宋体" w:cs="Times New Roman"/>
          <w:b/>
          <w:bCs/>
          <w:sz w:val="24"/>
          <w:szCs w:val="32"/>
          <w:lang w:eastAsia="zh-CN"/>
        </w:rPr>
        <w:t>：</w:t>
      </w:r>
      <w:r>
        <w:rPr>
          <w:rFonts w:hint="eastAsia" w:eastAsia="宋体" w:cs="Times New Roman"/>
          <w:b/>
          <w:bCs/>
          <w:sz w:val="24"/>
          <w:szCs w:val="32"/>
          <w:lang w:eastAsia="zh-CN"/>
        </w:rPr>
        <w:t>海南省气象局</w:t>
      </w:r>
    </w:p>
    <w:p>
      <w:pPr>
        <w:rPr>
          <w:rFonts w:hint="eastAsia" w:eastAsia="宋体" w:cs="Times New Roman"/>
          <w:b/>
          <w:bCs/>
          <w:sz w:val="24"/>
          <w:szCs w:val="32"/>
          <w:lang w:val="en-US" w:eastAsia="zh-CN"/>
        </w:rPr>
      </w:pPr>
      <w:r>
        <w:rPr>
          <w:rFonts w:hint="eastAsia" w:eastAsia="宋体" w:cs="Times New Roman"/>
          <w:b/>
          <w:bCs/>
          <w:sz w:val="24"/>
          <w:szCs w:val="32"/>
          <w:lang w:eastAsia="zh-CN"/>
        </w:rPr>
        <w:t>（</w:t>
      </w:r>
      <w:r>
        <w:rPr>
          <w:rFonts w:hint="eastAsia" w:eastAsia="宋体" w:cs="Times New Roman"/>
          <w:b/>
          <w:bCs/>
          <w:sz w:val="24"/>
          <w:szCs w:val="32"/>
          <w:lang w:val="en-US" w:eastAsia="zh-CN"/>
        </w:rPr>
        <w:t>四</w:t>
      </w:r>
      <w:r>
        <w:rPr>
          <w:rFonts w:hint="eastAsia" w:eastAsia="宋体" w:cs="Times New Roman"/>
          <w:b/>
          <w:bCs/>
          <w:sz w:val="24"/>
          <w:szCs w:val="32"/>
          <w:lang w:eastAsia="zh-CN"/>
        </w:rPr>
        <w:t>）</w:t>
      </w:r>
      <w:r>
        <w:rPr>
          <w:rFonts w:hint="eastAsia" w:eastAsia="宋体" w:cs="Times New Roman"/>
          <w:b/>
          <w:bCs/>
          <w:sz w:val="24"/>
          <w:szCs w:val="32"/>
          <w:lang w:val="en-US" w:eastAsia="zh-CN"/>
        </w:rPr>
        <w:t>单位地址：</w:t>
      </w:r>
      <w:r>
        <w:rPr>
          <w:rFonts w:hint="eastAsia" w:ascii="Times New Roman" w:hAnsi="Times New Roman" w:eastAsia="宋体" w:cs="Times New Roman"/>
          <w:b/>
          <w:bCs/>
          <w:sz w:val="24"/>
          <w:szCs w:val="32"/>
          <w:lang w:val="en-US" w:eastAsia="zh-CN"/>
        </w:rPr>
        <w:t>海南省海口市美兰区海府路60号</w:t>
      </w:r>
    </w:p>
    <w:p>
      <w:pPr>
        <w:pStyle w:val="3"/>
        <w:rPr>
          <w:rFonts w:eastAsia="宋体" w:cs="Times New Roman"/>
          <w:b/>
          <w:bCs/>
          <w:sz w:val="24"/>
          <w:szCs w:val="32"/>
        </w:rPr>
      </w:pPr>
      <w:r>
        <w:rPr>
          <w:rFonts w:eastAsia="宋体" w:cs="Times New Roman"/>
          <w:b/>
          <w:bCs/>
          <w:sz w:val="24"/>
          <w:szCs w:val="32"/>
        </w:rPr>
        <w:t>（</w:t>
      </w:r>
      <w:r>
        <w:rPr>
          <w:rFonts w:hint="eastAsia" w:eastAsia="宋体" w:cs="Times New Roman"/>
          <w:b/>
          <w:bCs/>
          <w:sz w:val="24"/>
          <w:szCs w:val="32"/>
          <w:lang w:eastAsia="zh-CN"/>
        </w:rPr>
        <w:t>五</w:t>
      </w:r>
      <w:r>
        <w:rPr>
          <w:rFonts w:eastAsia="宋体" w:cs="Times New Roman"/>
          <w:b/>
          <w:bCs/>
          <w:sz w:val="24"/>
          <w:szCs w:val="32"/>
        </w:rPr>
        <w:t>）起草单位</w:t>
      </w:r>
      <w:r>
        <w:rPr>
          <w:rFonts w:hint="eastAsia" w:eastAsia="宋体" w:cs="Times New Roman"/>
          <w:b/>
          <w:bCs/>
          <w:sz w:val="24"/>
          <w:szCs w:val="32"/>
          <w:lang w:eastAsia="zh-CN"/>
        </w:rPr>
        <w:t>：</w:t>
      </w:r>
      <w:r>
        <w:rPr>
          <w:rFonts w:hint="eastAsia" w:eastAsia="宋体" w:cs="Times New Roman"/>
          <w:b/>
          <w:bCs/>
          <w:sz w:val="24"/>
          <w:szCs w:val="32"/>
        </w:rPr>
        <w:t>海南省气候中心</w:t>
      </w:r>
    </w:p>
    <w:p>
      <w:pPr>
        <w:pStyle w:val="3"/>
        <w:rPr>
          <w:rFonts w:eastAsia="宋体" w:cs="Times New Roman"/>
          <w:b/>
          <w:bCs/>
          <w:sz w:val="24"/>
          <w:szCs w:val="32"/>
        </w:rPr>
      </w:pPr>
      <w:bookmarkStart w:id="8" w:name="_GoBack"/>
      <w:bookmarkEnd w:id="8"/>
      <w:r>
        <w:rPr>
          <w:rFonts w:eastAsia="宋体" w:cs="Times New Roman"/>
          <w:b/>
          <w:bCs/>
          <w:sz w:val="24"/>
          <w:szCs w:val="32"/>
        </w:rPr>
        <w:t>（</w:t>
      </w:r>
      <w:r>
        <w:rPr>
          <w:rFonts w:hint="eastAsia" w:eastAsia="宋体" w:cs="Times New Roman"/>
          <w:b/>
          <w:bCs/>
          <w:sz w:val="24"/>
          <w:szCs w:val="32"/>
          <w:lang w:val="en-US" w:eastAsia="zh-CN"/>
        </w:rPr>
        <w:t>六</w:t>
      </w:r>
      <w:r>
        <w:rPr>
          <w:rFonts w:eastAsia="宋体" w:cs="Times New Roman"/>
          <w:b/>
          <w:bCs/>
          <w:sz w:val="24"/>
          <w:szCs w:val="32"/>
        </w:rPr>
        <w:t>）起草人</w:t>
      </w:r>
      <w:r>
        <w:rPr>
          <w:rFonts w:hint="eastAsia" w:eastAsia="宋体" w:cs="Times New Roman"/>
          <w:b/>
          <w:bCs/>
          <w:sz w:val="24"/>
          <w:szCs w:val="32"/>
          <w:lang w:eastAsia="zh-CN"/>
        </w:rPr>
        <w:t>：</w:t>
      </w:r>
      <w:r>
        <w:rPr>
          <w:rFonts w:hint="eastAsia" w:eastAsia="宋体" w:cs="Times New Roman"/>
          <w:b/>
          <w:bCs/>
          <w:sz w:val="24"/>
          <w:szCs w:val="32"/>
        </w:rPr>
        <w:t>杨静、张亚杰、张明洁、张京红、林绍伍、陈璇、谢开炫</w:t>
      </w:r>
    </w:p>
    <w:p>
      <w:pPr>
        <w:pStyle w:val="5"/>
        <w:rPr>
          <w:rFonts w:hint="default" w:eastAsia="黑体"/>
          <w:lang w:val="en-US" w:eastAsia="zh-CN"/>
        </w:rPr>
      </w:pPr>
      <w:r>
        <w:t>表</w:t>
      </w:r>
      <w:r>
        <w:fldChar w:fldCharType="begin"/>
      </w:r>
      <w:r>
        <w:instrText xml:space="preserve"> SEQ 表 \* ARABIC </w:instrText>
      </w:r>
      <w:r>
        <w:fldChar w:fldCharType="separate"/>
      </w:r>
      <w:r>
        <w:t>1</w:t>
      </w:r>
      <w:r>
        <w:fldChar w:fldCharType="end"/>
      </w:r>
      <w:r>
        <w:t xml:space="preserve"> 标准起草人</w:t>
      </w:r>
      <w:r>
        <w:rPr>
          <w:rFonts w:hint="eastAsia"/>
          <w:lang w:val="en-US" w:eastAsia="zh-CN"/>
        </w:rPr>
        <w:t>与任务分工</w:t>
      </w:r>
    </w:p>
    <w:tbl>
      <w:tblPr>
        <w:tblStyle w:val="12"/>
        <w:tblW w:w="5263"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44"/>
        <w:gridCol w:w="958"/>
        <w:gridCol w:w="1694"/>
        <w:gridCol w:w="904"/>
        <w:gridCol w:w="1152"/>
        <w:gridCol w:w="2659"/>
        <w:gridCol w:w="1427"/>
        <w:tblGridChange w:id="0">
          <w:tblGrid>
            <w:gridCol w:w="744"/>
            <w:gridCol w:w="958"/>
            <w:gridCol w:w="1694"/>
            <w:gridCol w:w="904"/>
            <w:gridCol w:w="1152"/>
            <w:gridCol w:w="2659"/>
            <w:gridCol w:w="1427"/>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1" w:hRule="atLeast"/>
          <w:jc w:val="center"/>
        </w:trPr>
        <w:tc>
          <w:tcPr>
            <w:tcW w:w="390" w:type="pct"/>
            <w:vAlign w:val="center"/>
          </w:tcPr>
          <w:p>
            <w:pPr>
              <w:spacing w:line="240" w:lineRule="auto"/>
              <w:ind w:firstLine="0" w:firstLineChars="0"/>
              <w:jc w:val="center"/>
              <w:rPr>
                <w:rFonts w:hint="eastAsia" w:ascii="宋体" w:hAnsi="宋体" w:eastAsia="宋体" w:cs="宋体"/>
                <w:sz w:val="21"/>
                <w:szCs w:val="21"/>
              </w:rPr>
            </w:pPr>
            <w:r>
              <w:rPr>
                <w:rFonts w:hint="eastAsia" w:ascii="宋体" w:hAnsi="宋体" w:eastAsia="宋体" w:cs="宋体"/>
                <w:sz w:val="21"/>
                <w:szCs w:val="21"/>
              </w:rPr>
              <w:t>序号</w:t>
            </w:r>
          </w:p>
        </w:tc>
        <w:tc>
          <w:tcPr>
            <w:tcW w:w="502" w:type="pct"/>
            <w:vAlign w:val="center"/>
          </w:tcPr>
          <w:p>
            <w:pPr>
              <w:spacing w:line="240" w:lineRule="auto"/>
              <w:ind w:firstLine="0" w:firstLineChars="0"/>
              <w:jc w:val="center"/>
              <w:rPr>
                <w:rFonts w:hint="eastAsia" w:ascii="宋体" w:hAnsi="宋体" w:eastAsia="宋体" w:cs="宋体"/>
                <w:sz w:val="21"/>
                <w:szCs w:val="21"/>
              </w:rPr>
            </w:pPr>
            <w:r>
              <w:rPr>
                <w:rFonts w:hint="eastAsia" w:ascii="宋体" w:hAnsi="宋体" w:eastAsia="宋体" w:cs="宋体"/>
                <w:sz w:val="21"/>
                <w:szCs w:val="21"/>
              </w:rPr>
              <w:t>姓名</w:t>
            </w:r>
          </w:p>
        </w:tc>
        <w:tc>
          <w:tcPr>
            <w:tcW w:w="888" w:type="pct"/>
            <w:vAlign w:val="center"/>
          </w:tcPr>
          <w:p>
            <w:pPr>
              <w:spacing w:line="240" w:lineRule="auto"/>
              <w:ind w:firstLine="0" w:firstLineChars="0"/>
              <w:jc w:val="center"/>
              <w:rPr>
                <w:rFonts w:hint="eastAsia" w:ascii="宋体" w:hAnsi="宋体" w:eastAsia="宋体" w:cs="宋体"/>
                <w:sz w:val="21"/>
                <w:szCs w:val="21"/>
              </w:rPr>
            </w:pPr>
            <w:r>
              <w:rPr>
                <w:rFonts w:hint="eastAsia" w:ascii="宋体" w:hAnsi="宋体" w:eastAsia="宋体" w:cs="宋体"/>
                <w:sz w:val="21"/>
                <w:szCs w:val="21"/>
              </w:rPr>
              <w:t>单位</w:t>
            </w:r>
          </w:p>
        </w:tc>
        <w:tc>
          <w:tcPr>
            <w:tcW w:w="474" w:type="pct"/>
            <w:vAlign w:val="center"/>
          </w:tcPr>
          <w:p>
            <w:pPr>
              <w:spacing w:line="240" w:lineRule="auto"/>
              <w:ind w:firstLine="0" w:firstLineChars="0"/>
              <w:jc w:val="center"/>
              <w:rPr>
                <w:rFonts w:hint="eastAsia" w:ascii="宋体" w:hAnsi="宋体" w:eastAsia="宋体" w:cs="宋体"/>
                <w:sz w:val="21"/>
                <w:szCs w:val="21"/>
              </w:rPr>
            </w:pPr>
            <w:r>
              <w:rPr>
                <w:rFonts w:hint="eastAsia" w:ascii="宋体" w:hAnsi="宋体" w:eastAsia="宋体" w:cs="宋体"/>
                <w:sz w:val="21"/>
                <w:szCs w:val="21"/>
              </w:rPr>
              <w:t>职务</w:t>
            </w:r>
          </w:p>
        </w:tc>
        <w:tc>
          <w:tcPr>
            <w:tcW w:w="604" w:type="pct"/>
            <w:vAlign w:val="center"/>
          </w:tcPr>
          <w:p>
            <w:pPr>
              <w:spacing w:line="240" w:lineRule="auto"/>
              <w:ind w:firstLine="0" w:firstLineChars="0"/>
              <w:jc w:val="center"/>
              <w:rPr>
                <w:rFonts w:hint="eastAsia" w:ascii="宋体" w:hAnsi="宋体" w:eastAsia="宋体" w:cs="宋体"/>
                <w:sz w:val="21"/>
                <w:szCs w:val="21"/>
              </w:rPr>
            </w:pPr>
            <w:r>
              <w:rPr>
                <w:rFonts w:hint="eastAsia" w:ascii="宋体" w:hAnsi="宋体" w:eastAsia="宋体" w:cs="宋体"/>
                <w:sz w:val="21"/>
                <w:szCs w:val="21"/>
              </w:rPr>
              <w:t>职称</w:t>
            </w:r>
          </w:p>
        </w:tc>
        <w:tc>
          <w:tcPr>
            <w:tcW w:w="1394" w:type="pct"/>
            <w:vAlign w:val="center"/>
          </w:tcPr>
          <w:p>
            <w:pPr>
              <w:spacing w:line="240" w:lineRule="auto"/>
              <w:ind w:firstLine="0" w:firstLineChars="0"/>
              <w:jc w:val="center"/>
              <w:rPr>
                <w:rFonts w:hint="eastAsia" w:ascii="宋体" w:hAnsi="宋体" w:eastAsia="宋体" w:cs="宋体"/>
                <w:sz w:val="21"/>
                <w:szCs w:val="21"/>
              </w:rPr>
            </w:pPr>
            <w:r>
              <w:rPr>
                <w:rFonts w:hint="eastAsia" w:ascii="宋体" w:hAnsi="宋体" w:eastAsia="宋体" w:cs="宋体"/>
                <w:sz w:val="21"/>
                <w:szCs w:val="21"/>
              </w:rPr>
              <w:t>任务分工</w:t>
            </w:r>
          </w:p>
        </w:tc>
        <w:tc>
          <w:tcPr>
            <w:tcW w:w="748" w:type="pct"/>
            <w:vAlign w:val="center"/>
          </w:tcPr>
          <w:p>
            <w:pPr>
              <w:spacing w:line="240" w:lineRule="auto"/>
              <w:ind w:firstLine="0" w:firstLineChars="0"/>
              <w:jc w:val="center"/>
              <w:rPr>
                <w:rFonts w:hint="eastAsia" w:ascii="宋体" w:hAnsi="宋体" w:eastAsia="宋体" w:cs="宋体"/>
                <w:sz w:val="21"/>
                <w:szCs w:val="21"/>
              </w:rPr>
            </w:pPr>
            <w:r>
              <w:rPr>
                <w:rFonts w:hint="eastAsia" w:ascii="宋体" w:hAnsi="宋体" w:eastAsia="宋体" w:cs="宋体"/>
                <w:sz w:val="21"/>
                <w:szCs w:val="21"/>
              </w:rPr>
              <w:t>联系方式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390" w:type="pct"/>
            <w:vAlign w:val="center"/>
          </w:tcPr>
          <w:p>
            <w:pPr>
              <w:spacing w:line="240" w:lineRule="auto"/>
              <w:ind w:firstLine="0" w:firstLineChars="0"/>
              <w:jc w:val="center"/>
              <w:rPr>
                <w:rFonts w:hint="eastAsia" w:ascii="宋体" w:hAnsi="宋体" w:eastAsia="宋体" w:cs="宋体"/>
                <w:sz w:val="21"/>
                <w:szCs w:val="21"/>
              </w:rPr>
            </w:pPr>
            <w:r>
              <w:rPr>
                <w:rFonts w:hint="eastAsia" w:ascii="宋体" w:hAnsi="宋体" w:eastAsia="宋体" w:cs="宋体"/>
                <w:sz w:val="21"/>
                <w:szCs w:val="21"/>
              </w:rPr>
              <w:t>1</w:t>
            </w:r>
          </w:p>
        </w:tc>
        <w:tc>
          <w:tcPr>
            <w:tcW w:w="502" w:type="pct"/>
            <w:vAlign w:val="center"/>
          </w:tcPr>
          <w:p>
            <w:pPr>
              <w:spacing w:line="240" w:lineRule="auto"/>
              <w:ind w:firstLine="0" w:firstLineChars="0"/>
              <w:jc w:val="center"/>
              <w:rPr>
                <w:rFonts w:hint="eastAsia" w:ascii="宋体" w:hAnsi="宋体" w:eastAsia="宋体" w:cs="宋体"/>
                <w:sz w:val="21"/>
                <w:szCs w:val="21"/>
              </w:rPr>
            </w:pPr>
            <w:r>
              <w:rPr>
                <w:rFonts w:hint="eastAsia" w:ascii="宋体" w:hAnsi="宋体" w:eastAsia="宋体" w:cs="宋体"/>
                <w:sz w:val="21"/>
                <w:szCs w:val="21"/>
              </w:rPr>
              <w:t>杨  静</w:t>
            </w:r>
          </w:p>
        </w:tc>
        <w:tc>
          <w:tcPr>
            <w:tcW w:w="888" w:type="pct"/>
            <w:vAlign w:val="center"/>
          </w:tcPr>
          <w:p>
            <w:pPr>
              <w:spacing w:line="240" w:lineRule="auto"/>
              <w:ind w:firstLine="0" w:firstLineChars="0"/>
              <w:jc w:val="center"/>
              <w:rPr>
                <w:rFonts w:hint="eastAsia" w:ascii="宋体" w:hAnsi="宋体" w:eastAsia="宋体" w:cs="宋体"/>
                <w:sz w:val="21"/>
                <w:szCs w:val="21"/>
              </w:rPr>
            </w:pPr>
            <w:r>
              <w:rPr>
                <w:rFonts w:hint="eastAsia" w:ascii="宋体" w:hAnsi="宋体" w:eastAsia="宋体" w:cs="宋体"/>
                <w:sz w:val="21"/>
                <w:szCs w:val="21"/>
              </w:rPr>
              <w:t>海南省气候中心</w:t>
            </w:r>
          </w:p>
        </w:tc>
        <w:tc>
          <w:tcPr>
            <w:tcW w:w="474" w:type="pct"/>
            <w:vAlign w:val="center"/>
          </w:tcPr>
          <w:p>
            <w:pPr>
              <w:spacing w:line="240" w:lineRule="auto"/>
              <w:ind w:firstLine="0" w:firstLineChars="0"/>
              <w:jc w:val="center"/>
              <w:rPr>
                <w:rFonts w:hint="eastAsia" w:ascii="宋体" w:hAnsi="宋体" w:eastAsia="宋体" w:cs="宋体"/>
                <w:sz w:val="21"/>
                <w:szCs w:val="21"/>
              </w:rPr>
            </w:pPr>
          </w:p>
        </w:tc>
        <w:tc>
          <w:tcPr>
            <w:tcW w:w="604" w:type="pct"/>
            <w:vAlign w:val="center"/>
          </w:tcPr>
          <w:p>
            <w:pPr>
              <w:spacing w:line="240" w:lineRule="auto"/>
              <w:ind w:firstLine="0" w:firstLineChars="0"/>
              <w:jc w:val="center"/>
              <w:rPr>
                <w:rFonts w:hint="eastAsia" w:ascii="宋体" w:hAnsi="宋体" w:eastAsia="宋体" w:cs="宋体"/>
                <w:sz w:val="21"/>
                <w:szCs w:val="21"/>
              </w:rPr>
            </w:pPr>
            <w:r>
              <w:rPr>
                <w:rFonts w:hint="eastAsia" w:ascii="宋体" w:hAnsi="宋体" w:eastAsia="宋体" w:cs="宋体"/>
                <w:sz w:val="21"/>
                <w:szCs w:val="21"/>
              </w:rPr>
              <w:t>工程师</w:t>
            </w:r>
          </w:p>
        </w:tc>
        <w:tc>
          <w:tcPr>
            <w:tcW w:w="1394" w:type="pct"/>
            <w:vAlign w:val="center"/>
          </w:tcPr>
          <w:p>
            <w:pPr>
              <w:spacing w:line="240" w:lineRule="auto"/>
              <w:ind w:firstLine="0" w:firstLineChars="0"/>
              <w:jc w:val="center"/>
              <w:rPr>
                <w:rFonts w:hint="eastAsia" w:ascii="宋体" w:hAnsi="宋体" w:eastAsia="宋体" w:cs="宋体"/>
                <w:sz w:val="21"/>
                <w:szCs w:val="21"/>
              </w:rPr>
            </w:pPr>
            <w:r>
              <w:rPr>
                <w:rFonts w:hint="eastAsia" w:ascii="宋体" w:hAnsi="宋体" w:eastAsia="宋体" w:cs="宋体"/>
                <w:sz w:val="21"/>
                <w:szCs w:val="21"/>
              </w:rPr>
              <w:t>标准文本及编制说明编写。</w:t>
            </w:r>
          </w:p>
        </w:tc>
        <w:tc>
          <w:tcPr>
            <w:tcW w:w="748" w:type="pct"/>
            <w:vAlign w:val="center"/>
          </w:tcPr>
          <w:p>
            <w:pPr>
              <w:spacing w:line="240" w:lineRule="auto"/>
              <w:ind w:firstLine="0" w:firstLineChars="0"/>
              <w:jc w:val="center"/>
              <w:rPr>
                <w:rFonts w:hint="eastAsia" w:ascii="宋体" w:hAnsi="宋体" w:eastAsia="宋体" w:cs="宋体"/>
                <w:sz w:val="21"/>
                <w:szCs w:val="21"/>
              </w:rPr>
            </w:pPr>
            <w:r>
              <w:rPr>
                <w:rFonts w:hint="eastAsia" w:ascii="宋体" w:hAnsi="宋体" w:eastAsia="宋体" w:cs="宋体"/>
                <w:sz w:val="21"/>
                <w:szCs w:val="21"/>
              </w:rPr>
              <w:t>17803691396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0" w:type="pct"/>
            <w:vAlign w:val="center"/>
          </w:tcPr>
          <w:p>
            <w:pPr>
              <w:spacing w:line="240" w:lineRule="auto"/>
              <w:ind w:firstLine="0" w:firstLineChars="0"/>
              <w:jc w:val="center"/>
              <w:rPr>
                <w:rFonts w:hint="eastAsia" w:ascii="宋体" w:hAnsi="宋体" w:eastAsia="宋体" w:cs="宋体"/>
                <w:sz w:val="21"/>
                <w:szCs w:val="21"/>
              </w:rPr>
            </w:pPr>
            <w:r>
              <w:rPr>
                <w:rFonts w:hint="eastAsia" w:ascii="宋体" w:hAnsi="宋体" w:eastAsia="宋体" w:cs="宋体"/>
                <w:sz w:val="21"/>
                <w:szCs w:val="21"/>
              </w:rPr>
              <w:t>2</w:t>
            </w:r>
          </w:p>
        </w:tc>
        <w:tc>
          <w:tcPr>
            <w:tcW w:w="502" w:type="pct"/>
            <w:vAlign w:val="center"/>
          </w:tcPr>
          <w:p>
            <w:pPr>
              <w:spacing w:line="240" w:lineRule="auto"/>
              <w:ind w:firstLine="0" w:firstLineChars="0"/>
              <w:jc w:val="center"/>
              <w:rPr>
                <w:rFonts w:hint="eastAsia" w:ascii="宋体" w:hAnsi="宋体" w:eastAsia="宋体" w:cs="宋体"/>
                <w:sz w:val="21"/>
                <w:szCs w:val="21"/>
              </w:rPr>
            </w:pPr>
            <w:r>
              <w:rPr>
                <w:rFonts w:hint="eastAsia" w:ascii="宋体" w:hAnsi="宋体" w:eastAsia="宋体" w:cs="宋体"/>
                <w:sz w:val="21"/>
                <w:szCs w:val="21"/>
              </w:rPr>
              <w:t>张亚杰</w:t>
            </w:r>
          </w:p>
        </w:tc>
        <w:tc>
          <w:tcPr>
            <w:tcW w:w="888" w:type="pct"/>
            <w:vAlign w:val="center"/>
          </w:tcPr>
          <w:p>
            <w:pPr>
              <w:spacing w:line="240" w:lineRule="auto"/>
              <w:ind w:firstLine="0" w:firstLineChars="0"/>
              <w:jc w:val="center"/>
              <w:rPr>
                <w:rFonts w:hint="eastAsia" w:ascii="宋体" w:hAnsi="宋体" w:eastAsia="宋体" w:cs="宋体"/>
                <w:sz w:val="21"/>
                <w:szCs w:val="21"/>
              </w:rPr>
            </w:pPr>
            <w:r>
              <w:rPr>
                <w:rFonts w:hint="eastAsia" w:ascii="宋体" w:hAnsi="宋体" w:eastAsia="宋体" w:cs="宋体"/>
                <w:sz w:val="21"/>
                <w:szCs w:val="21"/>
              </w:rPr>
              <w:t>海南省气候中心</w:t>
            </w:r>
          </w:p>
        </w:tc>
        <w:tc>
          <w:tcPr>
            <w:tcW w:w="474" w:type="pct"/>
            <w:vAlign w:val="center"/>
          </w:tcPr>
          <w:p>
            <w:pPr>
              <w:spacing w:line="240" w:lineRule="auto"/>
              <w:ind w:firstLine="0" w:firstLineChars="0"/>
              <w:jc w:val="center"/>
              <w:rPr>
                <w:rFonts w:hint="eastAsia" w:ascii="宋体" w:hAnsi="宋体" w:eastAsia="宋体" w:cs="宋体"/>
                <w:sz w:val="21"/>
                <w:szCs w:val="21"/>
              </w:rPr>
            </w:pPr>
            <w:r>
              <w:rPr>
                <w:rFonts w:hint="eastAsia" w:ascii="宋体" w:hAnsi="宋体" w:eastAsia="宋体" w:cs="宋体"/>
                <w:sz w:val="21"/>
                <w:szCs w:val="21"/>
              </w:rPr>
              <w:t>副主任</w:t>
            </w:r>
          </w:p>
        </w:tc>
        <w:tc>
          <w:tcPr>
            <w:tcW w:w="604" w:type="pct"/>
            <w:vAlign w:val="center"/>
          </w:tcPr>
          <w:p>
            <w:pPr>
              <w:spacing w:line="240" w:lineRule="auto"/>
              <w:ind w:firstLine="0" w:firstLineChars="0"/>
              <w:jc w:val="center"/>
              <w:rPr>
                <w:rFonts w:hint="eastAsia" w:ascii="宋体" w:hAnsi="宋体" w:eastAsia="宋体" w:cs="宋体"/>
                <w:sz w:val="21"/>
                <w:szCs w:val="21"/>
              </w:rPr>
            </w:pPr>
            <w:r>
              <w:rPr>
                <w:rFonts w:hint="eastAsia" w:ascii="宋体" w:hAnsi="宋体" w:eastAsia="宋体" w:cs="宋体"/>
                <w:sz w:val="21"/>
                <w:szCs w:val="21"/>
              </w:rPr>
              <w:t>正高级</w:t>
            </w:r>
          </w:p>
          <w:p>
            <w:pPr>
              <w:spacing w:line="240" w:lineRule="auto"/>
              <w:ind w:firstLine="0" w:firstLineChars="0"/>
              <w:jc w:val="center"/>
              <w:rPr>
                <w:rFonts w:hint="eastAsia" w:ascii="宋体" w:hAnsi="宋体" w:eastAsia="宋体" w:cs="宋体"/>
                <w:sz w:val="21"/>
                <w:szCs w:val="21"/>
              </w:rPr>
            </w:pPr>
            <w:r>
              <w:rPr>
                <w:rFonts w:hint="eastAsia" w:ascii="宋体" w:hAnsi="宋体" w:eastAsia="宋体" w:cs="宋体"/>
                <w:sz w:val="21"/>
                <w:szCs w:val="21"/>
              </w:rPr>
              <w:t>工程师</w:t>
            </w:r>
          </w:p>
        </w:tc>
        <w:tc>
          <w:tcPr>
            <w:tcW w:w="1394" w:type="pct"/>
            <w:vAlign w:val="center"/>
          </w:tcPr>
          <w:p>
            <w:pPr>
              <w:spacing w:line="240" w:lineRule="auto"/>
              <w:ind w:firstLine="0" w:firstLineChars="0"/>
              <w:jc w:val="center"/>
              <w:rPr>
                <w:rFonts w:hint="eastAsia" w:ascii="宋体" w:hAnsi="宋体" w:eastAsia="宋体" w:cs="宋体"/>
                <w:sz w:val="21"/>
                <w:szCs w:val="21"/>
              </w:rPr>
            </w:pPr>
            <w:r>
              <w:rPr>
                <w:rFonts w:hint="eastAsia" w:ascii="宋体" w:hAnsi="宋体" w:eastAsia="宋体" w:cs="宋体"/>
                <w:sz w:val="21"/>
                <w:szCs w:val="21"/>
              </w:rPr>
              <w:t>标准编写方案技术指导。</w:t>
            </w:r>
          </w:p>
        </w:tc>
        <w:tc>
          <w:tcPr>
            <w:tcW w:w="748" w:type="pct"/>
            <w:vAlign w:val="center"/>
          </w:tcPr>
          <w:p>
            <w:pPr>
              <w:spacing w:line="240" w:lineRule="auto"/>
              <w:ind w:firstLine="0" w:firstLineChars="0"/>
              <w:jc w:val="center"/>
              <w:rPr>
                <w:rFonts w:hint="eastAsia" w:ascii="宋体" w:hAnsi="宋体" w:eastAsia="宋体" w:cs="宋体"/>
                <w:sz w:val="21"/>
                <w:szCs w:val="21"/>
              </w:rPr>
            </w:pPr>
            <w:r>
              <w:rPr>
                <w:rFonts w:hint="eastAsia" w:ascii="宋体" w:hAnsi="宋体" w:eastAsia="宋体" w:cs="宋体"/>
                <w:sz w:val="21"/>
                <w:szCs w:val="21"/>
              </w:rPr>
              <w:t>18289552700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0" w:type="pct"/>
            <w:vAlign w:val="center"/>
          </w:tcPr>
          <w:p>
            <w:pPr>
              <w:spacing w:line="240" w:lineRule="auto"/>
              <w:ind w:firstLine="0" w:firstLineChars="0"/>
              <w:jc w:val="center"/>
              <w:rPr>
                <w:rFonts w:hint="eastAsia" w:ascii="宋体" w:hAnsi="宋体" w:eastAsia="宋体" w:cs="宋体"/>
                <w:sz w:val="21"/>
                <w:szCs w:val="21"/>
              </w:rPr>
            </w:pPr>
            <w:r>
              <w:rPr>
                <w:rFonts w:hint="eastAsia" w:ascii="宋体" w:hAnsi="宋体" w:eastAsia="宋体" w:cs="宋体"/>
                <w:sz w:val="21"/>
                <w:szCs w:val="21"/>
              </w:rPr>
              <w:t>3</w:t>
            </w:r>
          </w:p>
        </w:tc>
        <w:tc>
          <w:tcPr>
            <w:tcW w:w="502" w:type="pct"/>
            <w:vAlign w:val="center"/>
          </w:tcPr>
          <w:p>
            <w:pPr>
              <w:spacing w:line="240" w:lineRule="auto"/>
              <w:ind w:firstLine="0" w:firstLineChars="0"/>
              <w:jc w:val="center"/>
              <w:rPr>
                <w:rFonts w:hint="eastAsia" w:ascii="宋体" w:hAnsi="宋体" w:eastAsia="宋体" w:cs="宋体"/>
                <w:sz w:val="21"/>
                <w:szCs w:val="21"/>
              </w:rPr>
            </w:pPr>
            <w:r>
              <w:rPr>
                <w:rFonts w:hint="eastAsia" w:ascii="宋体" w:hAnsi="宋体" w:eastAsia="宋体" w:cs="宋体"/>
                <w:sz w:val="21"/>
                <w:szCs w:val="21"/>
              </w:rPr>
              <w:t>张明洁</w:t>
            </w:r>
          </w:p>
        </w:tc>
        <w:tc>
          <w:tcPr>
            <w:tcW w:w="888" w:type="pct"/>
            <w:vAlign w:val="center"/>
          </w:tcPr>
          <w:p>
            <w:pPr>
              <w:spacing w:line="240" w:lineRule="auto"/>
              <w:ind w:firstLine="0" w:firstLineChars="0"/>
              <w:jc w:val="center"/>
              <w:rPr>
                <w:rFonts w:hint="eastAsia" w:ascii="宋体" w:hAnsi="宋体" w:eastAsia="宋体" w:cs="宋体"/>
                <w:sz w:val="21"/>
                <w:szCs w:val="21"/>
              </w:rPr>
            </w:pPr>
            <w:r>
              <w:rPr>
                <w:rFonts w:hint="eastAsia" w:ascii="宋体" w:hAnsi="宋体" w:eastAsia="宋体" w:cs="宋体"/>
                <w:sz w:val="21"/>
                <w:szCs w:val="21"/>
              </w:rPr>
              <w:t>海南省气候中心</w:t>
            </w:r>
          </w:p>
        </w:tc>
        <w:tc>
          <w:tcPr>
            <w:tcW w:w="474" w:type="pct"/>
            <w:vAlign w:val="center"/>
          </w:tcPr>
          <w:p>
            <w:pPr>
              <w:spacing w:line="240" w:lineRule="auto"/>
              <w:ind w:firstLine="0" w:firstLineChars="0"/>
              <w:jc w:val="center"/>
              <w:rPr>
                <w:rFonts w:hint="eastAsia" w:ascii="宋体" w:hAnsi="宋体" w:eastAsia="宋体" w:cs="宋体"/>
                <w:sz w:val="21"/>
                <w:szCs w:val="21"/>
              </w:rPr>
            </w:pPr>
            <w:r>
              <w:rPr>
                <w:rFonts w:hint="eastAsia" w:ascii="宋体" w:hAnsi="宋体" w:eastAsia="宋体" w:cs="宋体"/>
                <w:sz w:val="21"/>
                <w:szCs w:val="21"/>
              </w:rPr>
              <w:t>科长</w:t>
            </w:r>
          </w:p>
        </w:tc>
        <w:tc>
          <w:tcPr>
            <w:tcW w:w="604" w:type="pct"/>
            <w:vAlign w:val="center"/>
          </w:tcPr>
          <w:p>
            <w:pPr>
              <w:spacing w:line="240" w:lineRule="auto"/>
              <w:ind w:firstLine="0" w:firstLineChars="0"/>
              <w:jc w:val="center"/>
              <w:rPr>
                <w:rFonts w:hint="eastAsia" w:ascii="宋体" w:hAnsi="宋体" w:eastAsia="宋体" w:cs="宋体"/>
                <w:sz w:val="21"/>
                <w:szCs w:val="21"/>
              </w:rPr>
            </w:pPr>
            <w:r>
              <w:rPr>
                <w:rFonts w:hint="eastAsia" w:ascii="宋体" w:hAnsi="宋体" w:eastAsia="宋体" w:cs="宋体"/>
                <w:sz w:val="21"/>
                <w:szCs w:val="21"/>
              </w:rPr>
              <w:t>高级</w:t>
            </w:r>
          </w:p>
          <w:p>
            <w:pPr>
              <w:spacing w:line="240" w:lineRule="auto"/>
              <w:ind w:firstLine="0" w:firstLineChars="0"/>
              <w:jc w:val="center"/>
              <w:rPr>
                <w:rFonts w:hint="eastAsia" w:ascii="宋体" w:hAnsi="宋体" w:eastAsia="宋体" w:cs="宋体"/>
                <w:sz w:val="21"/>
                <w:szCs w:val="21"/>
              </w:rPr>
            </w:pPr>
            <w:r>
              <w:rPr>
                <w:rFonts w:hint="eastAsia" w:ascii="宋体" w:hAnsi="宋体" w:eastAsia="宋体" w:cs="宋体"/>
                <w:sz w:val="21"/>
                <w:szCs w:val="21"/>
              </w:rPr>
              <w:t>工程师</w:t>
            </w:r>
          </w:p>
        </w:tc>
        <w:tc>
          <w:tcPr>
            <w:tcW w:w="1394" w:type="pct"/>
            <w:vAlign w:val="center"/>
          </w:tcPr>
          <w:p>
            <w:pPr>
              <w:spacing w:line="240" w:lineRule="auto"/>
              <w:ind w:firstLine="0" w:firstLineChars="0"/>
              <w:jc w:val="center"/>
              <w:rPr>
                <w:rFonts w:hint="eastAsia" w:ascii="宋体" w:hAnsi="宋体" w:eastAsia="宋体" w:cs="宋体"/>
                <w:sz w:val="21"/>
                <w:szCs w:val="21"/>
              </w:rPr>
            </w:pPr>
            <w:r>
              <w:rPr>
                <w:rFonts w:hint="eastAsia" w:ascii="宋体" w:hAnsi="宋体" w:eastAsia="宋体" w:cs="宋体"/>
                <w:sz w:val="21"/>
                <w:szCs w:val="21"/>
              </w:rPr>
              <w:t>标准文本结构梳理及修改完善。</w:t>
            </w:r>
          </w:p>
        </w:tc>
        <w:tc>
          <w:tcPr>
            <w:tcW w:w="748" w:type="pct"/>
            <w:vAlign w:val="center"/>
          </w:tcPr>
          <w:p>
            <w:pPr>
              <w:spacing w:line="240" w:lineRule="auto"/>
              <w:ind w:firstLine="0" w:firstLineChars="0"/>
              <w:jc w:val="center"/>
              <w:rPr>
                <w:rFonts w:hint="eastAsia" w:ascii="宋体" w:hAnsi="宋体" w:eastAsia="宋体" w:cs="宋体"/>
                <w:sz w:val="21"/>
                <w:szCs w:val="21"/>
              </w:rPr>
            </w:pPr>
            <w:r>
              <w:rPr>
                <w:rFonts w:hint="eastAsia" w:ascii="宋体" w:hAnsi="宋体" w:eastAsia="宋体" w:cs="宋体"/>
                <w:sz w:val="21"/>
                <w:szCs w:val="21"/>
              </w:rPr>
              <w:t>18789806792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1" w:hRule="atLeast"/>
          <w:jc w:val="center"/>
        </w:trPr>
        <w:tc>
          <w:tcPr>
            <w:tcW w:w="390" w:type="pct"/>
            <w:vAlign w:val="center"/>
          </w:tcPr>
          <w:p>
            <w:pPr>
              <w:spacing w:line="240" w:lineRule="auto"/>
              <w:ind w:firstLine="0" w:firstLineChars="0"/>
              <w:jc w:val="center"/>
              <w:rPr>
                <w:rFonts w:hint="eastAsia" w:ascii="宋体" w:hAnsi="宋体" w:eastAsia="宋体" w:cs="宋体"/>
                <w:sz w:val="21"/>
                <w:szCs w:val="21"/>
              </w:rPr>
            </w:pPr>
            <w:r>
              <w:rPr>
                <w:rFonts w:hint="eastAsia" w:ascii="宋体" w:hAnsi="宋体" w:eastAsia="宋体" w:cs="宋体"/>
                <w:sz w:val="21"/>
                <w:szCs w:val="21"/>
              </w:rPr>
              <w:t>4</w:t>
            </w:r>
          </w:p>
        </w:tc>
        <w:tc>
          <w:tcPr>
            <w:tcW w:w="502" w:type="pct"/>
            <w:vAlign w:val="center"/>
          </w:tcPr>
          <w:p>
            <w:pPr>
              <w:spacing w:line="240" w:lineRule="auto"/>
              <w:ind w:firstLine="0" w:firstLineChars="0"/>
              <w:jc w:val="center"/>
              <w:rPr>
                <w:rFonts w:hint="eastAsia" w:ascii="宋体" w:hAnsi="宋体" w:eastAsia="宋体" w:cs="宋体"/>
                <w:sz w:val="21"/>
                <w:szCs w:val="21"/>
              </w:rPr>
            </w:pPr>
            <w:r>
              <w:rPr>
                <w:rFonts w:hint="eastAsia" w:ascii="宋体" w:hAnsi="宋体" w:eastAsia="宋体" w:cs="宋体"/>
                <w:sz w:val="21"/>
                <w:szCs w:val="21"/>
              </w:rPr>
              <w:t>张京红</w:t>
            </w:r>
          </w:p>
        </w:tc>
        <w:tc>
          <w:tcPr>
            <w:tcW w:w="888" w:type="pct"/>
            <w:vAlign w:val="center"/>
          </w:tcPr>
          <w:p>
            <w:pPr>
              <w:spacing w:line="240" w:lineRule="auto"/>
              <w:ind w:firstLine="0" w:firstLineChars="0"/>
              <w:jc w:val="center"/>
              <w:rPr>
                <w:rFonts w:hint="eastAsia" w:ascii="宋体" w:hAnsi="宋体" w:eastAsia="宋体" w:cs="宋体"/>
                <w:sz w:val="21"/>
                <w:szCs w:val="21"/>
              </w:rPr>
            </w:pPr>
            <w:r>
              <w:rPr>
                <w:rFonts w:hint="eastAsia" w:ascii="宋体" w:hAnsi="宋体" w:eastAsia="宋体" w:cs="宋体"/>
                <w:sz w:val="21"/>
                <w:szCs w:val="21"/>
              </w:rPr>
              <w:t>海南省气候中心</w:t>
            </w:r>
          </w:p>
        </w:tc>
        <w:tc>
          <w:tcPr>
            <w:tcW w:w="474" w:type="pct"/>
            <w:vAlign w:val="center"/>
          </w:tcPr>
          <w:p>
            <w:pPr>
              <w:spacing w:line="240" w:lineRule="auto"/>
              <w:ind w:firstLine="0" w:firstLineChars="0"/>
              <w:jc w:val="center"/>
              <w:rPr>
                <w:rFonts w:hint="eastAsia" w:ascii="宋体" w:hAnsi="宋体" w:eastAsia="宋体" w:cs="宋体"/>
                <w:sz w:val="21"/>
                <w:szCs w:val="21"/>
              </w:rPr>
            </w:pPr>
          </w:p>
        </w:tc>
        <w:tc>
          <w:tcPr>
            <w:tcW w:w="604" w:type="pct"/>
            <w:vAlign w:val="center"/>
          </w:tcPr>
          <w:p>
            <w:pPr>
              <w:spacing w:line="240" w:lineRule="auto"/>
              <w:ind w:firstLine="0" w:firstLineChars="0"/>
              <w:jc w:val="center"/>
              <w:rPr>
                <w:rFonts w:hint="eastAsia" w:ascii="宋体" w:hAnsi="宋体" w:eastAsia="宋体" w:cs="宋体"/>
                <w:sz w:val="21"/>
                <w:szCs w:val="21"/>
              </w:rPr>
            </w:pPr>
            <w:r>
              <w:rPr>
                <w:rFonts w:hint="eastAsia" w:ascii="宋体" w:hAnsi="宋体" w:eastAsia="宋体" w:cs="宋体"/>
                <w:sz w:val="21"/>
                <w:szCs w:val="21"/>
              </w:rPr>
              <w:t>研究员</w:t>
            </w:r>
          </w:p>
        </w:tc>
        <w:tc>
          <w:tcPr>
            <w:tcW w:w="1394" w:type="pct"/>
            <w:vAlign w:val="center"/>
          </w:tcPr>
          <w:p>
            <w:pPr>
              <w:spacing w:line="240" w:lineRule="auto"/>
              <w:ind w:firstLine="0" w:firstLineChars="0"/>
              <w:jc w:val="center"/>
              <w:rPr>
                <w:rFonts w:hint="eastAsia" w:ascii="宋体" w:hAnsi="宋体" w:eastAsia="宋体" w:cs="宋体"/>
                <w:sz w:val="21"/>
                <w:szCs w:val="21"/>
              </w:rPr>
            </w:pPr>
            <w:r>
              <w:rPr>
                <w:rFonts w:hint="eastAsia" w:ascii="宋体" w:hAnsi="宋体" w:eastAsia="宋体" w:cs="宋体"/>
                <w:sz w:val="21"/>
                <w:szCs w:val="21"/>
              </w:rPr>
              <w:t>标准编写方案技术指导。</w:t>
            </w:r>
          </w:p>
        </w:tc>
        <w:tc>
          <w:tcPr>
            <w:tcW w:w="748" w:type="pct"/>
            <w:vAlign w:val="center"/>
          </w:tcPr>
          <w:p>
            <w:pPr>
              <w:spacing w:line="240" w:lineRule="auto"/>
              <w:ind w:firstLine="0" w:firstLineChars="0"/>
              <w:jc w:val="center"/>
              <w:rPr>
                <w:rFonts w:hint="eastAsia" w:ascii="宋体" w:hAnsi="宋体" w:eastAsia="宋体" w:cs="宋体"/>
                <w:sz w:val="21"/>
                <w:szCs w:val="21"/>
              </w:rPr>
            </w:pPr>
            <w:r>
              <w:rPr>
                <w:rFonts w:hint="eastAsia" w:ascii="宋体" w:hAnsi="宋体" w:eastAsia="宋体" w:cs="宋体"/>
                <w:sz w:val="21"/>
                <w:szCs w:val="21"/>
              </w:rPr>
              <w:t>13876172368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jc w:val="center"/>
        </w:trPr>
        <w:tc>
          <w:tcPr>
            <w:tcW w:w="390" w:type="pct"/>
            <w:vAlign w:val="center"/>
          </w:tcPr>
          <w:p>
            <w:pPr>
              <w:spacing w:line="240" w:lineRule="auto"/>
              <w:ind w:firstLine="0" w:firstLineChars="0"/>
              <w:jc w:val="center"/>
              <w:rPr>
                <w:rFonts w:hint="eastAsia" w:ascii="宋体" w:hAnsi="宋体" w:eastAsia="宋体" w:cs="宋体"/>
                <w:sz w:val="21"/>
                <w:szCs w:val="21"/>
              </w:rPr>
            </w:pPr>
            <w:r>
              <w:rPr>
                <w:rFonts w:hint="eastAsia" w:ascii="宋体" w:hAnsi="宋体" w:eastAsia="宋体" w:cs="宋体"/>
                <w:sz w:val="21"/>
                <w:szCs w:val="21"/>
              </w:rPr>
              <w:t>5</w:t>
            </w:r>
          </w:p>
        </w:tc>
        <w:tc>
          <w:tcPr>
            <w:tcW w:w="502" w:type="pct"/>
            <w:vAlign w:val="center"/>
          </w:tcPr>
          <w:p>
            <w:pPr>
              <w:spacing w:line="240" w:lineRule="auto"/>
              <w:ind w:firstLine="0" w:firstLineChars="0"/>
              <w:jc w:val="center"/>
              <w:rPr>
                <w:rFonts w:hint="eastAsia" w:ascii="宋体" w:hAnsi="宋体" w:eastAsia="宋体" w:cs="宋体"/>
                <w:sz w:val="21"/>
                <w:szCs w:val="21"/>
              </w:rPr>
            </w:pPr>
            <w:r>
              <w:rPr>
                <w:rFonts w:hint="eastAsia" w:ascii="宋体" w:hAnsi="宋体" w:eastAsia="宋体" w:cs="宋体"/>
                <w:sz w:val="21"/>
                <w:szCs w:val="21"/>
              </w:rPr>
              <w:t>林绍伍</w:t>
            </w:r>
          </w:p>
        </w:tc>
        <w:tc>
          <w:tcPr>
            <w:tcW w:w="888" w:type="pct"/>
            <w:vAlign w:val="center"/>
          </w:tcPr>
          <w:p>
            <w:pPr>
              <w:spacing w:line="240" w:lineRule="auto"/>
              <w:ind w:firstLine="0" w:firstLineChars="0"/>
              <w:jc w:val="center"/>
              <w:rPr>
                <w:rFonts w:hint="eastAsia" w:ascii="宋体" w:hAnsi="宋体" w:eastAsia="宋体" w:cs="宋体"/>
                <w:sz w:val="21"/>
                <w:szCs w:val="21"/>
              </w:rPr>
            </w:pPr>
            <w:r>
              <w:rPr>
                <w:rFonts w:hint="eastAsia" w:ascii="宋体" w:hAnsi="宋体" w:eastAsia="宋体" w:cs="宋体"/>
                <w:sz w:val="21"/>
                <w:szCs w:val="21"/>
              </w:rPr>
              <w:t>海南省气候中心</w:t>
            </w:r>
          </w:p>
        </w:tc>
        <w:tc>
          <w:tcPr>
            <w:tcW w:w="474" w:type="pct"/>
            <w:vAlign w:val="center"/>
          </w:tcPr>
          <w:p>
            <w:pPr>
              <w:spacing w:line="240" w:lineRule="auto"/>
              <w:ind w:firstLine="0" w:firstLineChars="0"/>
              <w:jc w:val="center"/>
              <w:rPr>
                <w:rFonts w:hint="eastAsia" w:ascii="宋体" w:hAnsi="宋体" w:eastAsia="宋体" w:cs="宋体"/>
                <w:sz w:val="21"/>
                <w:szCs w:val="21"/>
              </w:rPr>
            </w:pPr>
          </w:p>
        </w:tc>
        <w:tc>
          <w:tcPr>
            <w:tcW w:w="604" w:type="pct"/>
            <w:vAlign w:val="center"/>
          </w:tcPr>
          <w:p>
            <w:pPr>
              <w:spacing w:line="240" w:lineRule="auto"/>
              <w:ind w:firstLine="0" w:firstLineChars="0"/>
              <w:jc w:val="center"/>
              <w:rPr>
                <w:rFonts w:hint="eastAsia" w:ascii="宋体" w:hAnsi="宋体" w:eastAsia="宋体" w:cs="宋体"/>
                <w:sz w:val="21"/>
                <w:szCs w:val="21"/>
              </w:rPr>
            </w:pPr>
            <w:r>
              <w:rPr>
                <w:rFonts w:hint="eastAsia" w:ascii="宋体" w:hAnsi="宋体" w:eastAsia="宋体" w:cs="宋体"/>
                <w:sz w:val="21"/>
                <w:szCs w:val="21"/>
              </w:rPr>
              <w:t>工程师</w:t>
            </w:r>
          </w:p>
        </w:tc>
        <w:tc>
          <w:tcPr>
            <w:tcW w:w="1394" w:type="pct"/>
            <w:vAlign w:val="center"/>
          </w:tcPr>
          <w:p>
            <w:pPr>
              <w:spacing w:line="240" w:lineRule="auto"/>
              <w:ind w:firstLine="0" w:firstLineChars="0"/>
              <w:jc w:val="center"/>
              <w:rPr>
                <w:rFonts w:hint="eastAsia" w:ascii="宋体" w:hAnsi="宋体" w:eastAsia="宋体" w:cs="宋体"/>
                <w:sz w:val="21"/>
                <w:szCs w:val="21"/>
              </w:rPr>
            </w:pPr>
            <w:r>
              <w:rPr>
                <w:rFonts w:hint="eastAsia" w:ascii="宋体" w:hAnsi="宋体" w:eastAsia="宋体" w:cs="宋体"/>
                <w:sz w:val="21"/>
                <w:szCs w:val="21"/>
              </w:rPr>
              <w:t>意见搜集整理。</w:t>
            </w:r>
          </w:p>
        </w:tc>
        <w:tc>
          <w:tcPr>
            <w:tcW w:w="748" w:type="pct"/>
            <w:vAlign w:val="center"/>
          </w:tcPr>
          <w:p>
            <w:pPr>
              <w:spacing w:line="240" w:lineRule="auto"/>
              <w:ind w:firstLine="0" w:firstLineChars="0"/>
              <w:jc w:val="center"/>
              <w:rPr>
                <w:rFonts w:hint="eastAsia" w:ascii="宋体" w:hAnsi="宋体" w:eastAsia="宋体" w:cs="宋体"/>
                <w:sz w:val="21"/>
                <w:szCs w:val="21"/>
              </w:rPr>
            </w:pPr>
            <w:r>
              <w:rPr>
                <w:rFonts w:hint="eastAsia" w:ascii="宋体" w:hAnsi="宋体" w:eastAsia="宋体" w:cs="宋体"/>
                <w:sz w:val="21"/>
                <w:szCs w:val="21"/>
              </w:rPr>
              <w:t>13807607662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0" w:type="pct"/>
            <w:vAlign w:val="center"/>
          </w:tcPr>
          <w:p>
            <w:pPr>
              <w:spacing w:line="240" w:lineRule="auto"/>
              <w:ind w:firstLine="0" w:firstLineChars="0"/>
              <w:jc w:val="center"/>
              <w:rPr>
                <w:rFonts w:hint="eastAsia" w:ascii="宋体" w:hAnsi="宋体" w:eastAsia="宋体" w:cs="宋体"/>
                <w:sz w:val="21"/>
                <w:szCs w:val="21"/>
              </w:rPr>
            </w:pPr>
            <w:r>
              <w:rPr>
                <w:rFonts w:hint="eastAsia" w:ascii="宋体" w:hAnsi="宋体" w:eastAsia="宋体" w:cs="宋体"/>
                <w:sz w:val="21"/>
                <w:szCs w:val="21"/>
              </w:rPr>
              <w:t>6</w:t>
            </w:r>
          </w:p>
        </w:tc>
        <w:tc>
          <w:tcPr>
            <w:tcW w:w="502" w:type="pct"/>
            <w:vAlign w:val="center"/>
          </w:tcPr>
          <w:p>
            <w:pPr>
              <w:spacing w:line="240" w:lineRule="auto"/>
              <w:ind w:firstLine="0" w:firstLineChars="0"/>
              <w:jc w:val="center"/>
              <w:rPr>
                <w:rFonts w:hint="eastAsia" w:ascii="宋体" w:hAnsi="宋体" w:eastAsia="宋体" w:cs="宋体"/>
                <w:sz w:val="21"/>
                <w:szCs w:val="21"/>
              </w:rPr>
            </w:pPr>
            <w:r>
              <w:rPr>
                <w:rFonts w:hint="eastAsia" w:ascii="宋体" w:hAnsi="宋体" w:eastAsia="宋体" w:cs="宋体"/>
                <w:sz w:val="21"/>
                <w:szCs w:val="21"/>
              </w:rPr>
              <w:t>陈  璇</w:t>
            </w:r>
          </w:p>
        </w:tc>
        <w:tc>
          <w:tcPr>
            <w:tcW w:w="888" w:type="pct"/>
            <w:vAlign w:val="center"/>
          </w:tcPr>
          <w:p>
            <w:pPr>
              <w:spacing w:line="240" w:lineRule="auto"/>
              <w:ind w:firstLine="0" w:firstLineChars="0"/>
              <w:jc w:val="center"/>
              <w:rPr>
                <w:rFonts w:hint="eastAsia" w:ascii="宋体" w:hAnsi="宋体" w:eastAsia="宋体" w:cs="宋体"/>
                <w:sz w:val="21"/>
                <w:szCs w:val="21"/>
              </w:rPr>
            </w:pPr>
            <w:r>
              <w:rPr>
                <w:rFonts w:hint="eastAsia" w:ascii="宋体" w:hAnsi="宋体" w:eastAsia="宋体" w:cs="宋体"/>
                <w:sz w:val="21"/>
                <w:szCs w:val="21"/>
              </w:rPr>
              <w:t>海南省气候中心</w:t>
            </w:r>
          </w:p>
        </w:tc>
        <w:tc>
          <w:tcPr>
            <w:tcW w:w="474" w:type="pct"/>
            <w:vAlign w:val="center"/>
          </w:tcPr>
          <w:p>
            <w:pPr>
              <w:spacing w:line="240" w:lineRule="auto"/>
              <w:ind w:firstLine="0" w:firstLineChars="0"/>
              <w:jc w:val="center"/>
              <w:rPr>
                <w:rFonts w:hint="eastAsia" w:ascii="宋体" w:hAnsi="宋体" w:eastAsia="宋体" w:cs="宋体"/>
                <w:sz w:val="21"/>
                <w:szCs w:val="21"/>
              </w:rPr>
            </w:pPr>
          </w:p>
        </w:tc>
        <w:tc>
          <w:tcPr>
            <w:tcW w:w="604" w:type="pct"/>
            <w:vAlign w:val="center"/>
          </w:tcPr>
          <w:p>
            <w:pPr>
              <w:spacing w:line="240" w:lineRule="auto"/>
              <w:ind w:firstLine="0" w:firstLineChars="0"/>
              <w:jc w:val="center"/>
              <w:rPr>
                <w:rFonts w:hint="eastAsia" w:ascii="宋体" w:hAnsi="宋体" w:eastAsia="宋体" w:cs="宋体"/>
                <w:sz w:val="21"/>
                <w:szCs w:val="21"/>
              </w:rPr>
            </w:pPr>
            <w:r>
              <w:rPr>
                <w:rFonts w:hint="eastAsia" w:ascii="宋体" w:hAnsi="宋体" w:eastAsia="宋体" w:cs="宋体"/>
                <w:sz w:val="21"/>
                <w:szCs w:val="21"/>
              </w:rPr>
              <w:t>助理</w:t>
            </w:r>
          </w:p>
          <w:p>
            <w:pPr>
              <w:spacing w:line="240" w:lineRule="auto"/>
              <w:ind w:firstLine="0" w:firstLineChars="0"/>
              <w:jc w:val="center"/>
              <w:rPr>
                <w:rFonts w:hint="eastAsia" w:ascii="宋体" w:hAnsi="宋体" w:eastAsia="宋体" w:cs="宋体"/>
                <w:sz w:val="21"/>
                <w:szCs w:val="21"/>
              </w:rPr>
            </w:pPr>
            <w:r>
              <w:rPr>
                <w:rFonts w:hint="eastAsia" w:ascii="宋体" w:hAnsi="宋体" w:eastAsia="宋体" w:cs="宋体"/>
                <w:sz w:val="21"/>
                <w:szCs w:val="21"/>
              </w:rPr>
              <w:t>工程师</w:t>
            </w:r>
          </w:p>
        </w:tc>
        <w:tc>
          <w:tcPr>
            <w:tcW w:w="1394" w:type="pct"/>
            <w:vAlign w:val="center"/>
          </w:tcPr>
          <w:p>
            <w:pPr>
              <w:spacing w:line="240" w:lineRule="auto"/>
              <w:ind w:firstLine="0" w:firstLineChars="0"/>
              <w:jc w:val="center"/>
              <w:rPr>
                <w:rFonts w:hint="eastAsia" w:ascii="宋体" w:hAnsi="宋体" w:eastAsia="宋体" w:cs="宋体"/>
                <w:sz w:val="21"/>
                <w:szCs w:val="21"/>
              </w:rPr>
            </w:pPr>
            <w:r>
              <w:rPr>
                <w:rFonts w:hint="eastAsia" w:ascii="宋体" w:hAnsi="宋体" w:eastAsia="宋体" w:cs="宋体"/>
                <w:sz w:val="21"/>
                <w:szCs w:val="21"/>
              </w:rPr>
              <w:t>编制说明完善。</w:t>
            </w:r>
          </w:p>
        </w:tc>
        <w:tc>
          <w:tcPr>
            <w:tcW w:w="748" w:type="pct"/>
            <w:vAlign w:val="center"/>
          </w:tcPr>
          <w:p>
            <w:pPr>
              <w:spacing w:line="240" w:lineRule="auto"/>
              <w:ind w:firstLine="0" w:firstLineChars="0"/>
              <w:jc w:val="center"/>
              <w:rPr>
                <w:rFonts w:hint="eastAsia" w:ascii="宋体" w:hAnsi="宋体" w:eastAsia="宋体" w:cs="宋体"/>
                <w:sz w:val="21"/>
                <w:szCs w:val="21"/>
              </w:rPr>
            </w:pPr>
            <w:r>
              <w:rPr>
                <w:rFonts w:hint="eastAsia" w:ascii="宋体" w:hAnsi="宋体" w:eastAsia="宋体" w:cs="宋体"/>
                <w:sz w:val="21"/>
                <w:szCs w:val="21"/>
              </w:rPr>
              <w:t>17889988250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0" w:type="pct"/>
            <w:vAlign w:val="center"/>
          </w:tcPr>
          <w:p>
            <w:pPr>
              <w:spacing w:line="240" w:lineRule="auto"/>
              <w:ind w:firstLine="0" w:firstLineChars="0"/>
              <w:jc w:val="center"/>
              <w:rPr>
                <w:rFonts w:hint="eastAsia" w:ascii="宋体" w:hAnsi="宋体" w:eastAsia="宋体" w:cs="宋体"/>
                <w:sz w:val="21"/>
                <w:szCs w:val="21"/>
              </w:rPr>
            </w:pPr>
            <w:r>
              <w:rPr>
                <w:rFonts w:hint="eastAsia" w:ascii="宋体" w:hAnsi="宋体" w:eastAsia="宋体" w:cs="宋体"/>
                <w:sz w:val="21"/>
                <w:szCs w:val="21"/>
              </w:rPr>
              <w:t>7</w:t>
            </w:r>
          </w:p>
        </w:tc>
        <w:tc>
          <w:tcPr>
            <w:tcW w:w="502" w:type="pct"/>
            <w:vAlign w:val="center"/>
          </w:tcPr>
          <w:p>
            <w:pPr>
              <w:spacing w:line="240" w:lineRule="auto"/>
              <w:ind w:firstLine="0" w:firstLineChars="0"/>
              <w:jc w:val="center"/>
              <w:rPr>
                <w:rFonts w:hint="eastAsia" w:ascii="宋体" w:hAnsi="宋体" w:eastAsia="宋体" w:cs="宋体"/>
                <w:sz w:val="21"/>
                <w:szCs w:val="21"/>
              </w:rPr>
            </w:pPr>
            <w:r>
              <w:rPr>
                <w:rFonts w:hint="eastAsia" w:ascii="宋体" w:hAnsi="宋体" w:eastAsia="宋体" w:cs="宋体"/>
                <w:sz w:val="21"/>
                <w:szCs w:val="21"/>
              </w:rPr>
              <w:t>谢开炫</w:t>
            </w:r>
          </w:p>
        </w:tc>
        <w:tc>
          <w:tcPr>
            <w:tcW w:w="888" w:type="pct"/>
            <w:vAlign w:val="center"/>
          </w:tcPr>
          <w:p>
            <w:pPr>
              <w:spacing w:line="240" w:lineRule="auto"/>
              <w:ind w:firstLine="0" w:firstLineChars="0"/>
              <w:jc w:val="center"/>
              <w:rPr>
                <w:rFonts w:hint="eastAsia" w:ascii="宋体" w:hAnsi="宋体" w:eastAsia="宋体" w:cs="宋体"/>
                <w:sz w:val="21"/>
                <w:szCs w:val="21"/>
              </w:rPr>
            </w:pPr>
            <w:r>
              <w:rPr>
                <w:rFonts w:hint="eastAsia" w:ascii="宋体" w:hAnsi="宋体" w:eastAsia="宋体" w:cs="宋体"/>
                <w:sz w:val="21"/>
                <w:szCs w:val="21"/>
              </w:rPr>
              <w:t>海南省气候中心</w:t>
            </w:r>
          </w:p>
        </w:tc>
        <w:tc>
          <w:tcPr>
            <w:tcW w:w="474" w:type="pct"/>
            <w:vAlign w:val="center"/>
          </w:tcPr>
          <w:p>
            <w:pPr>
              <w:spacing w:line="240" w:lineRule="auto"/>
              <w:ind w:firstLine="0" w:firstLineChars="0"/>
              <w:jc w:val="center"/>
              <w:rPr>
                <w:rFonts w:hint="eastAsia" w:ascii="宋体" w:hAnsi="宋体" w:eastAsia="宋体" w:cs="宋体"/>
                <w:sz w:val="21"/>
                <w:szCs w:val="21"/>
              </w:rPr>
            </w:pPr>
          </w:p>
        </w:tc>
        <w:tc>
          <w:tcPr>
            <w:tcW w:w="604" w:type="pct"/>
            <w:vAlign w:val="center"/>
          </w:tcPr>
          <w:p>
            <w:pPr>
              <w:spacing w:line="240" w:lineRule="auto"/>
              <w:ind w:firstLine="0" w:firstLineChars="0"/>
              <w:jc w:val="center"/>
              <w:rPr>
                <w:rFonts w:hint="eastAsia" w:ascii="宋体" w:hAnsi="宋体" w:eastAsia="宋体" w:cs="宋体"/>
                <w:sz w:val="21"/>
                <w:szCs w:val="21"/>
              </w:rPr>
            </w:pPr>
            <w:r>
              <w:rPr>
                <w:rFonts w:hint="eastAsia" w:ascii="宋体" w:hAnsi="宋体" w:eastAsia="宋体" w:cs="宋体"/>
                <w:sz w:val="21"/>
                <w:szCs w:val="21"/>
              </w:rPr>
              <w:t>助理</w:t>
            </w:r>
          </w:p>
          <w:p>
            <w:pPr>
              <w:spacing w:line="240" w:lineRule="auto"/>
              <w:ind w:firstLine="0" w:firstLineChars="0"/>
              <w:jc w:val="center"/>
              <w:rPr>
                <w:rFonts w:hint="eastAsia" w:ascii="宋体" w:hAnsi="宋体" w:eastAsia="宋体" w:cs="宋体"/>
                <w:sz w:val="21"/>
                <w:szCs w:val="21"/>
              </w:rPr>
            </w:pPr>
            <w:r>
              <w:rPr>
                <w:rFonts w:hint="eastAsia" w:ascii="宋体" w:hAnsi="宋体" w:eastAsia="宋体" w:cs="宋体"/>
                <w:sz w:val="21"/>
                <w:szCs w:val="21"/>
              </w:rPr>
              <w:t>工程师</w:t>
            </w:r>
          </w:p>
        </w:tc>
        <w:tc>
          <w:tcPr>
            <w:tcW w:w="1394" w:type="pct"/>
            <w:vAlign w:val="center"/>
          </w:tcPr>
          <w:p>
            <w:pPr>
              <w:spacing w:line="240" w:lineRule="auto"/>
              <w:ind w:firstLine="0" w:firstLineChars="0"/>
              <w:jc w:val="center"/>
              <w:rPr>
                <w:rFonts w:hint="eastAsia" w:ascii="宋体" w:hAnsi="宋体" w:eastAsia="宋体" w:cs="宋体"/>
                <w:sz w:val="21"/>
                <w:szCs w:val="21"/>
              </w:rPr>
            </w:pPr>
            <w:r>
              <w:rPr>
                <w:rFonts w:hint="eastAsia" w:ascii="宋体" w:hAnsi="宋体" w:eastAsia="宋体" w:cs="宋体"/>
                <w:sz w:val="21"/>
                <w:szCs w:val="21"/>
              </w:rPr>
              <w:t>文献资料搜集整理。</w:t>
            </w:r>
          </w:p>
        </w:tc>
        <w:tc>
          <w:tcPr>
            <w:tcW w:w="748" w:type="pct"/>
            <w:vAlign w:val="center"/>
          </w:tcPr>
          <w:p>
            <w:pPr>
              <w:spacing w:line="240" w:lineRule="auto"/>
              <w:ind w:firstLine="0" w:firstLineChars="0"/>
              <w:jc w:val="center"/>
              <w:rPr>
                <w:rFonts w:hint="eastAsia" w:ascii="宋体" w:hAnsi="宋体" w:eastAsia="宋体" w:cs="宋体"/>
                <w:sz w:val="21"/>
                <w:szCs w:val="21"/>
              </w:rPr>
            </w:pPr>
            <w:r>
              <w:rPr>
                <w:rFonts w:hint="eastAsia" w:ascii="宋体" w:hAnsi="宋体" w:eastAsia="宋体" w:cs="宋体"/>
                <w:sz w:val="21"/>
                <w:szCs w:val="21"/>
              </w:rPr>
              <w:t>13035846264</w:t>
            </w:r>
          </w:p>
        </w:tc>
      </w:tr>
    </w:tbl>
    <w:p>
      <w:pPr>
        <w:pStyle w:val="2"/>
        <w:ind w:firstLine="640"/>
        <w:rPr>
          <w:sz w:val="28"/>
          <w:szCs w:val="18"/>
        </w:rPr>
      </w:pPr>
      <w:r>
        <w:rPr>
          <w:rFonts w:hint="eastAsia"/>
          <w:sz w:val="28"/>
          <w:szCs w:val="18"/>
        </w:rPr>
        <w:t>二、制定标准的目的和意义</w:t>
      </w:r>
    </w:p>
    <w:p>
      <w:pPr>
        <w:ind w:firstLine="640"/>
        <w:rPr>
          <w:rFonts w:hint="eastAsia" w:ascii="宋体" w:hAnsi="宋体" w:eastAsia="宋体" w:cs="宋体"/>
          <w:sz w:val="24"/>
          <w:szCs w:val="24"/>
        </w:rPr>
      </w:pPr>
      <w:r>
        <w:rPr>
          <w:rFonts w:hint="eastAsia" w:ascii="宋体" w:hAnsi="宋体" w:eastAsia="宋体" w:cs="宋体"/>
          <w:sz w:val="24"/>
          <w:szCs w:val="24"/>
        </w:rPr>
        <w:t>2020年6月8日，国务院办公厅印发《关于开展第一次全国自然灾害综合风险普查的通知》，指出普查是一项重大的国情国力调查，是提升自然灾害防治能力的基础性工作，全社会有必要全面认识和深刻理解这次普查的重要意义。2021年7月16日，海南省人民政府印发了《关于推进气象事业高质量发展助力海南自由贸易港建设的意见》，指出要提高气象灾害风险防范和管理水平，完善气象灾害风险管理制度，开展自然灾害综合风险普查并强化成果应用。2022年3月1日，海南省第一次全国自然灾害综合风险普查领导小组办公室印发了《关于做好普查成果应用的通知》，指出要进一步加强普查成果应用制度建设，研究建立与日常业务紧密衔接的工作机制，在持续应用中谋划动态更新机制，以用促建、以建保用。第一次全国自然灾害综合风险普查，是习近平总书记亲自出题、亲自部署、亲自推动的重大国情国力调查，是提升国家自然灾害防治能力的关键基础性工程，旨在全面摸清全国灾害风险隐患底数、客观认识区域灾害风险水平，为科学制定防灾减灾策略、保障经济社会可持续发展提供权威数据支撑。气象灾害风险普查作为九大核心工程之一，覆盖范围广、致灾因素复杂、社会影响深远，迫切需要统一的技术标准规范引领，确保普查工作科学、系统、精准推进，筑牢气象防灾减灾第一道防线。</w:t>
      </w:r>
    </w:p>
    <w:p>
      <w:pPr>
        <w:ind w:firstLine="640"/>
        <w:rPr>
          <w:rFonts w:hint="eastAsia" w:ascii="宋体" w:hAnsi="宋体" w:eastAsia="宋体" w:cs="宋体"/>
          <w:sz w:val="24"/>
          <w:szCs w:val="24"/>
        </w:rPr>
      </w:pPr>
      <w:r>
        <w:rPr>
          <w:rFonts w:hint="eastAsia" w:ascii="宋体" w:hAnsi="宋体" w:eastAsia="宋体" w:cs="宋体"/>
          <w:sz w:val="24"/>
          <w:szCs w:val="24"/>
        </w:rPr>
        <w:t>海南省地处低纬度热带北缘，濒临南海，是全国受大风灾害影响最为频繁、损失最为严重的省份之一，大风灾害已成为制约地方安全稳定与高质量发展的突出短板，形势极为严峻。台风系统性大风影响范围广、持续时间长、风力强度大，易引发大范围连片灾害损失，雷雨大风、龙卷风等局地性大风生成迅速、预警时间短，瞬间破坏力极强。2019年8月29日，受龙卷风影响，海南省儋州市那大镇海拓香洲工地及相邻工地工人宿舍（板房工棚）发生倒塌，造成8人死亡2人受伤，7300余株树木倒伏、115间房屋受损、若干电线杆断倒、路灯倾倒。2020年3月26日，海口市东山镇统历岭村、东星村先后出现雷雨大风天气，房屋瓦片被掀翻10余间，瓜菜（苦瓜、豆角、黄瓜等）损失1102亩，香蕉倒伏437亩，部分树木被拦腰折断，直接经济损失500多万元。2024年第11号台风“摩羯”造成全省19个市县52.61万人受灾，紧急避险转移31.26万人，累计转移安置14.07万人，因灾死亡4人，受伤95人。大风作为影响海南省的重要气象灾害，在统一的标准下开展大风灾害风险普查至关重要。</w:t>
      </w:r>
    </w:p>
    <w:p>
      <w:pPr>
        <w:ind w:firstLine="640"/>
        <w:rPr>
          <w:rFonts w:hint="eastAsia" w:ascii="宋体" w:hAnsi="宋体" w:eastAsia="宋体" w:cs="宋体"/>
          <w:sz w:val="24"/>
          <w:szCs w:val="24"/>
        </w:rPr>
      </w:pPr>
      <w:r>
        <w:rPr>
          <w:rFonts w:hint="eastAsia" w:ascii="宋体" w:hAnsi="宋体" w:eastAsia="宋体" w:cs="宋体"/>
          <w:sz w:val="24"/>
          <w:szCs w:val="24"/>
        </w:rPr>
        <w:t>国务院普查办气象灾害综合风险普查技术组组织制定了《全国气象灾害综合风险普查技术规范》，属于行业内指导技术规范，未形成行业或国家标准，该规范针对全国，但由于我省地理位置特殊，属于独立的岛屿，跟全国内陆省份以及沿海省份均不相同，全国的大风普查规范并不适用于我省。本标准的制定将有利于规范海南省大风灾害风险普查工作，为各地区制定科学实用的大风灾害综合防治区划，防范化解重大大风灾害风险奠定基础，有助于扩大气象服务领域，筑牢气象防灾减灾第一道防线，为海南自由贸易港高质量发展、生态保护建设和经济社会平稳运行提供坚实的安全保障，具有重要的现实应用价值与长远的社会效益。</w:t>
      </w:r>
    </w:p>
    <w:p>
      <w:pPr>
        <w:pStyle w:val="2"/>
        <w:ind w:firstLine="640"/>
        <w:rPr>
          <w:sz w:val="28"/>
          <w:szCs w:val="18"/>
        </w:rPr>
      </w:pPr>
      <w:r>
        <w:rPr>
          <w:rFonts w:hint="eastAsia"/>
          <w:sz w:val="28"/>
          <w:szCs w:val="18"/>
        </w:rPr>
        <w:t>三、编制过程</w:t>
      </w:r>
    </w:p>
    <w:p>
      <w:pPr>
        <w:ind w:firstLine="640"/>
        <w:rPr>
          <w:rFonts w:hint="eastAsia" w:ascii="宋体" w:hAnsi="宋体" w:eastAsia="宋体" w:cs="宋体"/>
          <w:sz w:val="24"/>
          <w:szCs w:val="24"/>
        </w:rPr>
      </w:pPr>
      <w:r>
        <w:rPr>
          <w:rFonts w:hint="eastAsia" w:ascii="宋体" w:hAnsi="宋体" w:eastAsia="宋体" w:cs="宋体"/>
          <w:sz w:val="24"/>
          <w:szCs w:val="24"/>
        </w:rPr>
        <w:t>2025年6月25日，收到《海南省市场监督管理局关于下达海南省2025年第一批地方标准制订项目计划的通知》后，成立标准编制小组，成员有杨静、张亚杰、张明洁、张京红、林绍伍、陈璇、谢开炫。</w:t>
      </w:r>
    </w:p>
    <w:p>
      <w:pPr>
        <w:pStyle w:val="3"/>
        <w:ind w:firstLine="640"/>
        <w:rPr>
          <w:rFonts w:hint="eastAsia" w:ascii="宋体" w:hAnsi="宋体" w:eastAsia="宋体" w:cs="宋体"/>
          <w:b/>
          <w:bCs/>
          <w:sz w:val="24"/>
          <w:szCs w:val="24"/>
        </w:rPr>
      </w:pPr>
      <w:r>
        <w:rPr>
          <w:rFonts w:ascii="宋体" w:hAnsi="宋体" w:eastAsia="宋体" w:cs="宋体"/>
          <w:b/>
          <w:bCs/>
          <w:sz w:val="24"/>
          <w:szCs w:val="24"/>
        </w:rPr>
        <w:t>（一）标准起草过程</w:t>
      </w:r>
    </w:p>
    <w:p>
      <w:pPr>
        <w:ind w:firstLine="640"/>
        <w:rPr>
          <w:rFonts w:hint="eastAsia" w:ascii="宋体" w:hAnsi="宋体" w:eastAsia="宋体" w:cs="宋体"/>
          <w:sz w:val="24"/>
          <w:szCs w:val="24"/>
        </w:rPr>
      </w:pPr>
      <w:r>
        <w:rPr>
          <w:rFonts w:hint="eastAsia" w:ascii="宋体" w:hAnsi="宋体" w:eastAsia="宋体" w:cs="宋体"/>
          <w:sz w:val="24"/>
          <w:szCs w:val="24"/>
        </w:rPr>
        <w:t>2025年6月—2025年8月，标准项目起草组召开会议讨论标准编制方案，明确任务分工，广泛查阅相关文献、规范，根据海南省气象灾害综合风险普查实际工作，起草完成标准初稿。</w:t>
      </w:r>
    </w:p>
    <w:p>
      <w:pPr>
        <w:ind w:firstLine="640"/>
        <w:rPr>
          <w:rFonts w:hint="eastAsia" w:ascii="宋体" w:hAnsi="宋体" w:eastAsia="宋体" w:cs="宋体"/>
          <w:sz w:val="24"/>
          <w:szCs w:val="24"/>
        </w:rPr>
      </w:pPr>
      <w:r>
        <w:rPr>
          <w:rFonts w:hint="eastAsia" w:ascii="宋体" w:hAnsi="宋体" w:eastAsia="宋体" w:cs="宋体"/>
          <w:sz w:val="24"/>
          <w:szCs w:val="24"/>
        </w:rPr>
        <w:t>2025年9—12月，赴文昌、三亚、琼中等市县开展进一步调研工作（图1），根据调研结果对初稿进行修改，形成《大风灾害风险普查技术规范（征求意见稿）》，完成标准编制说明的编写。</w:t>
      </w:r>
    </w:p>
    <w:p>
      <w:pPr>
        <w:spacing w:line="240" w:lineRule="auto"/>
        <w:ind w:firstLine="0" w:firstLineChars="0"/>
        <w:jc w:val="center"/>
        <w:rPr>
          <w:rFonts w:hint="eastAsia" w:ascii="宋体" w:hAnsi="宋体" w:eastAsia="宋体" w:cs="宋体"/>
          <w:color w:val="000000"/>
          <w:kern w:val="0"/>
          <w:sz w:val="24"/>
          <w:szCs w:val="24"/>
        </w:rPr>
      </w:pPr>
      <w:r>
        <w:rPr>
          <w:rFonts w:hint="eastAsia" w:ascii="宋体" w:hAnsi="宋体" w:eastAsia="宋体" w:cs="宋体"/>
          <w:color w:val="000000"/>
          <w:kern w:val="0"/>
          <w:sz w:val="24"/>
          <w:szCs w:val="24"/>
        </w:rPr>
        <w:drawing>
          <wp:inline distT="0" distB="0" distL="114300" distR="114300">
            <wp:extent cx="2590800" cy="1943735"/>
            <wp:effectExtent l="0" t="0" r="0" b="18415"/>
            <wp:docPr id="1" name="图片 29" descr="6bc1a6514a9f31f37496eb6ca84a70c0"/>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 name="图片 29" descr="6bc1a6514a9f31f37496eb6ca84a70c0"/>
                    <pic:cNvPicPr>
                      <a:picLocks noChangeAspect="true"/>
                    </pic:cNvPicPr>
                  </pic:nvPicPr>
                  <pic:blipFill>
                    <a:blip r:embed="rId12"/>
                    <a:stretch>
                      <a:fillRect/>
                    </a:stretch>
                  </pic:blipFill>
                  <pic:spPr>
                    <a:xfrm>
                      <a:off x="0" y="0"/>
                      <a:ext cx="2590800" cy="1943735"/>
                    </a:xfrm>
                    <a:prstGeom prst="rect">
                      <a:avLst/>
                    </a:prstGeom>
                    <a:noFill/>
                    <a:ln>
                      <a:noFill/>
                    </a:ln>
                  </pic:spPr>
                </pic:pic>
              </a:graphicData>
            </a:graphic>
          </wp:inline>
        </w:drawing>
      </w:r>
      <w:r>
        <w:rPr>
          <w:rFonts w:hint="eastAsia" w:ascii="宋体" w:hAnsi="宋体" w:eastAsia="宋体" w:cs="宋体"/>
          <w:color w:val="000000"/>
          <w:kern w:val="0"/>
          <w:sz w:val="24"/>
          <w:szCs w:val="24"/>
        </w:rPr>
        <w:drawing>
          <wp:inline distT="0" distB="0" distL="114300" distR="114300">
            <wp:extent cx="2590800" cy="1943735"/>
            <wp:effectExtent l="0" t="0" r="0" b="18415"/>
            <wp:docPr id="2" name="图片 28" descr="c3cea928b44bcd76f7d47119cc06102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 name="图片 28" descr="c3cea928b44bcd76f7d47119cc061023"/>
                    <pic:cNvPicPr>
                      <a:picLocks noChangeAspect="true"/>
                    </pic:cNvPicPr>
                  </pic:nvPicPr>
                  <pic:blipFill>
                    <a:blip r:embed="rId13"/>
                    <a:stretch>
                      <a:fillRect/>
                    </a:stretch>
                  </pic:blipFill>
                  <pic:spPr>
                    <a:xfrm>
                      <a:off x="0" y="0"/>
                      <a:ext cx="2590800" cy="1943735"/>
                    </a:xfrm>
                    <a:prstGeom prst="rect">
                      <a:avLst/>
                    </a:prstGeom>
                    <a:noFill/>
                    <a:ln>
                      <a:noFill/>
                    </a:ln>
                  </pic:spPr>
                </pic:pic>
              </a:graphicData>
            </a:graphic>
          </wp:inline>
        </w:drawing>
      </w:r>
    </w:p>
    <w:p>
      <w:pPr>
        <w:pStyle w:val="5"/>
        <w:rPr>
          <w:rFonts w:hint="eastAsia" w:ascii="宋体" w:hAnsi="宋体" w:eastAsia="宋体" w:cs="宋体"/>
          <w:szCs w:val="24"/>
        </w:rPr>
      </w:pPr>
      <w:r>
        <w:rPr>
          <w:rFonts w:hint="eastAsia" w:ascii="宋体" w:hAnsi="宋体" w:eastAsia="宋体" w:cs="宋体"/>
          <w:szCs w:val="24"/>
        </w:rPr>
        <w:t>图1 标准编制小组开展大风灾害风险普查技术规范调研</w:t>
      </w:r>
    </w:p>
    <w:p>
      <w:pPr>
        <w:pStyle w:val="3"/>
        <w:ind w:firstLine="640"/>
        <w:rPr>
          <w:rFonts w:hint="eastAsia" w:ascii="宋体" w:hAnsi="宋体" w:eastAsia="宋体" w:cs="宋体"/>
          <w:b/>
          <w:bCs/>
          <w:sz w:val="24"/>
          <w:szCs w:val="24"/>
        </w:rPr>
      </w:pPr>
      <w:r>
        <w:rPr>
          <w:rFonts w:ascii="宋体" w:hAnsi="宋体" w:eastAsia="宋体" w:cs="宋体"/>
          <w:b/>
          <w:bCs/>
          <w:sz w:val="24"/>
          <w:szCs w:val="24"/>
        </w:rPr>
        <w:t>（二）征求意见情况</w:t>
      </w:r>
    </w:p>
    <w:p>
      <w:pPr>
        <w:wordWrap w:val="0"/>
        <w:ind w:firstLine="640"/>
        <w:jc w:val="left"/>
        <w:rPr>
          <w:rFonts w:hint="eastAsia" w:ascii="宋体" w:hAnsi="宋体" w:eastAsia="宋体" w:cs="宋体"/>
          <w:color w:val="000000"/>
          <w:kern w:val="0"/>
          <w:sz w:val="24"/>
          <w:szCs w:val="24"/>
        </w:rPr>
      </w:pPr>
      <w:r>
        <w:rPr>
          <w:rFonts w:hint="eastAsia" w:ascii="宋体" w:hAnsi="宋体" w:eastAsia="宋体" w:cs="宋体"/>
          <w:sz w:val="24"/>
          <w:szCs w:val="24"/>
        </w:rPr>
        <w:t>2026年4月，通过海南省气象局办公网向各直属单位以及各市、县、自治县气象局发函征求意见，在微信工作群向29名气象标准化技术委员会全体委员征求意见，共收到0条意见（图2）。</w:t>
      </w:r>
    </w:p>
    <w:p>
      <w:pPr>
        <w:spacing w:line="360" w:lineRule="auto"/>
        <w:ind w:firstLine="0" w:firstLineChars="0"/>
        <w:jc w:val="center"/>
        <w:rPr>
          <w:rFonts w:hint="eastAsia" w:ascii="宋体" w:hAnsi="宋体" w:eastAsia="宋体" w:cs="宋体"/>
          <w:sz w:val="24"/>
          <w:szCs w:val="24"/>
        </w:rPr>
      </w:pPr>
      <w:r>
        <w:rPr>
          <w:rFonts w:hint="eastAsia" w:ascii="宋体" w:hAnsi="宋体" w:eastAsia="宋体" w:cs="宋体"/>
          <w:color w:val="000000"/>
          <w:kern w:val="0"/>
          <w:sz w:val="24"/>
          <w:szCs w:val="24"/>
        </w:rPr>
        <w:drawing>
          <wp:anchor distT="0" distB="0" distL="114300" distR="114300" simplePos="0" relativeHeight="251659264" behindDoc="0" locked="0" layoutInCell="1" allowOverlap="1">
            <wp:simplePos x="0" y="0"/>
            <wp:positionH relativeFrom="column">
              <wp:posOffset>2166620</wp:posOffset>
            </wp:positionH>
            <wp:positionV relativeFrom="paragraph">
              <wp:posOffset>2670175</wp:posOffset>
            </wp:positionV>
            <wp:extent cx="1636395" cy="2973705"/>
            <wp:effectExtent l="0" t="0" r="1905" b="0"/>
            <wp:wrapTopAndBottom/>
            <wp:docPr id="4" name="图片 17" descr="d14afb388fa0ee68ce50642b57111c3b"/>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 name="图片 17" descr="d14afb388fa0ee68ce50642b57111c3b"/>
                    <pic:cNvPicPr>
                      <a:picLocks noChangeAspect="true"/>
                    </pic:cNvPicPr>
                  </pic:nvPicPr>
                  <pic:blipFill>
                    <a:blip r:embed="rId14"/>
                    <a:srcRect t="5307" b="12178"/>
                    <a:stretch>
                      <a:fillRect/>
                    </a:stretch>
                  </pic:blipFill>
                  <pic:spPr>
                    <a:xfrm>
                      <a:off x="0" y="0"/>
                      <a:ext cx="1636395" cy="2973705"/>
                    </a:xfrm>
                    <a:prstGeom prst="rect">
                      <a:avLst/>
                    </a:prstGeom>
                    <a:noFill/>
                    <a:ln>
                      <a:noFill/>
                    </a:ln>
                  </pic:spPr>
                </pic:pic>
              </a:graphicData>
            </a:graphic>
          </wp:anchor>
        </w:drawing>
      </w:r>
      <w:r>
        <w:rPr>
          <w:rFonts w:hint="eastAsia" w:ascii="宋体" w:hAnsi="宋体" w:eastAsia="宋体" w:cs="宋体"/>
          <w:sz w:val="24"/>
          <w:szCs w:val="24"/>
        </w:rPr>
        <w:drawing>
          <wp:inline distT="0" distB="0" distL="114300" distR="114300">
            <wp:extent cx="5488305" cy="2400935"/>
            <wp:effectExtent l="0" t="0" r="0" b="0"/>
            <wp:docPr id="3" name="图片 1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 name="图片 13"/>
                    <pic:cNvPicPr>
                      <a:picLocks noChangeAspect="true"/>
                    </pic:cNvPicPr>
                  </pic:nvPicPr>
                  <pic:blipFill>
                    <a:blip r:embed="rId15"/>
                    <a:stretch>
                      <a:fillRect/>
                    </a:stretch>
                  </pic:blipFill>
                  <pic:spPr>
                    <a:xfrm>
                      <a:off x="0" y="0"/>
                      <a:ext cx="5492203" cy="2402877"/>
                    </a:xfrm>
                    <a:prstGeom prst="rect">
                      <a:avLst/>
                    </a:prstGeom>
                    <a:noFill/>
                    <a:ln>
                      <a:noFill/>
                    </a:ln>
                  </pic:spPr>
                </pic:pic>
              </a:graphicData>
            </a:graphic>
          </wp:inline>
        </w:drawing>
      </w:r>
    </w:p>
    <w:p>
      <w:pPr>
        <w:spacing w:line="360" w:lineRule="auto"/>
        <w:ind w:firstLine="0" w:firstLineChars="0"/>
        <w:jc w:val="center"/>
        <w:rPr>
          <w:rFonts w:hint="eastAsia" w:ascii="宋体" w:hAnsi="宋体" w:eastAsia="宋体" w:cs="宋体"/>
          <w:sz w:val="24"/>
          <w:szCs w:val="24"/>
        </w:rPr>
      </w:pPr>
      <w:r>
        <w:rPr>
          <w:rFonts w:hint="eastAsia" w:ascii="宋体" w:hAnsi="宋体" w:eastAsia="宋体" w:cs="宋体"/>
          <w:sz w:val="24"/>
          <w:szCs w:val="24"/>
        </w:rPr>
        <w:t>图2 向气象标准化技术委员会、海南省气象局各直属单位以及各市、县、自治县</w:t>
      </w:r>
    </w:p>
    <w:p>
      <w:pPr>
        <w:spacing w:line="360" w:lineRule="auto"/>
        <w:ind w:firstLine="0" w:firstLineChars="0"/>
        <w:jc w:val="center"/>
        <w:rPr>
          <w:rFonts w:hint="eastAsia" w:ascii="宋体" w:hAnsi="宋体" w:eastAsia="宋体" w:cs="宋体"/>
          <w:sz w:val="24"/>
          <w:szCs w:val="24"/>
        </w:rPr>
      </w:pPr>
      <w:r>
        <w:rPr>
          <w:rFonts w:hint="eastAsia" w:ascii="宋体" w:hAnsi="宋体" w:eastAsia="宋体" w:cs="宋体"/>
          <w:sz w:val="24"/>
          <w:szCs w:val="24"/>
        </w:rPr>
        <w:t>气象局征求意见</w:t>
      </w:r>
    </w:p>
    <w:p>
      <w:pPr>
        <w:ind w:firstLine="640"/>
        <w:rPr>
          <w:rFonts w:hint="eastAsia" w:ascii="宋体" w:hAnsi="宋体" w:eastAsia="宋体" w:cs="宋体"/>
          <w:sz w:val="24"/>
          <w:szCs w:val="24"/>
        </w:rPr>
      </w:pPr>
      <w:r>
        <w:rPr>
          <w:rFonts w:hint="eastAsia" w:ascii="宋体" w:hAnsi="宋体" w:eastAsia="宋体" w:cs="宋体"/>
          <w:sz w:val="24"/>
          <w:szCs w:val="24"/>
        </w:rPr>
        <w:t>2026年4月30日，起草单位组织召开征求意见会（图3），来自海南省气象科学研究所、海南省气象服务中心、海南大学、南沙气象台等单位的专家听取了起草组汇报，专家组对标准文本和编制说明的内容、格式等提出42条意见，39条采纳，1条部分采纳，1条未采纳。起草组根据专家意见进行修改，形成《大风灾害风险普查技术规范（征求意见稿）》修改1稿及标准编制说明修改1稿。</w:t>
      </w:r>
    </w:p>
    <w:p>
      <w:pPr>
        <w:spacing w:line="240" w:lineRule="auto"/>
        <w:jc w:val="center"/>
        <w:rPr>
          <w:rFonts w:hint="eastAsia" w:ascii="宋体" w:hAnsi="宋体" w:eastAsia="宋体" w:cs="宋体"/>
          <w:sz w:val="24"/>
          <w:szCs w:val="24"/>
        </w:rPr>
      </w:pPr>
      <w:r>
        <w:rPr>
          <w:rFonts w:hint="eastAsia" w:ascii="宋体" w:hAnsi="宋体" w:eastAsia="宋体" w:cs="宋体"/>
          <w:sz w:val="24"/>
          <w:szCs w:val="24"/>
        </w:rPr>
        <w:drawing>
          <wp:inline distT="0" distB="0" distL="0" distR="0">
            <wp:extent cx="4319905" cy="3239770"/>
            <wp:effectExtent l="0" t="0" r="4445" b="0"/>
            <wp:docPr id="97771068" name="图片 1" descr="餐厅里的人们&#10;&#10;描述已自动生成"/>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97771068" name="图片 1" descr="餐厅里的人们&#10;&#10;描述已自动生成"/>
                    <pic:cNvPicPr>
                      <a:picLocks noChangeAspect="true" noChangeArrowheads="true"/>
                    </pic:cNvPicPr>
                  </pic:nvPicPr>
                  <pic:blipFill>
                    <a:blip r:embed="rId16" cstate="print">
                      <a:extLst>
                        <a:ext uri="{28A0092B-C50C-407E-A947-70E740481C1C}">
                          <a14:useLocalDpi xmlns:a14="http://schemas.microsoft.com/office/drawing/2010/main" val="false"/>
                        </a:ext>
                      </a:extLst>
                    </a:blip>
                    <a:srcRect/>
                    <a:stretch>
                      <a:fillRect/>
                    </a:stretch>
                  </pic:blipFill>
                  <pic:spPr>
                    <a:xfrm>
                      <a:off x="0" y="0"/>
                      <a:ext cx="4320000" cy="3240122"/>
                    </a:xfrm>
                    <a:prstGeom prst="rect">
                      <a:avLst/>
                    </a:prstGeom>
                    <a:noFill/>
                    <a:ln>
                      <a:noFill/>
                    </a:ln>
                  </pic:spPr>
                </pic:pic>
              </a:graphicData>
            </a:graphic>
          </wp:inline>
        </w:drawing>
      </w:r>
    </w:p>
    <w:p>
      <w:pPr>
        <w:spacing w:line="240" w:lineRule="auto"/>
        <w:jc w:val="center"/>
        <w:rPr>
          <w:rFonts w:hint="eastAsia" w:ascii="宋体" w:hAnsi="宋体" w:eastAsia="宋体" w:cs="宋体"/>
          <w:sz w:val="24"/>
          <w:szCs w:val="24"/>
        </w:rPr>
      </w:pPr>
      <w:r>
        <w:rPr>
          <w:rFonts w:hint="eastAsia" w:ascii="宋体" w:hAnsi="宋体" w:eastAsia="宋体" w:cs="宋体"/>
          <w:sz w:val="24"/>
          <w:szCs w:val="24"/>
        </w:rPr>
        <w:t>图3 召开征求意见会</w:t>
      </w:r>
    </w:p>
    <w:p>
      <w:pPr>
        <w:pStyle w:val="2"/>
        <w:rPr>
          <w:sz w:val="28"/>
          <w:szCs w:val="18"/>
        </w:rPr>
      </w:pPr>
      <w:r>
        <w:rPr>
          <w:rFonts w:hint="eastAsia"/>
          <w:sz w:val="28"/>
          <w:szCs w:val="18"/>
        </w:rPr>
        <w:t>四、制定标准的原则和依据，与现行法律、法规、标准的关系</w:t>
      </w:r>
    </w:p>
    <w:p>
      <w:pPr>
        <w:pStyle w:val="3"/>
        <w:ind w:firstLine="640"/>
        <w:rPr>
          <w:rFonts w:hint="eastAsia" w:ascii="宋体" w:hAnsi="宋体" w:eastAsia="宋体" w:cs="宋体"/>
          <w:b/>
          <w:bCs/>
          <w:sz w:val="24"/>
          <w:szCs w:val="16"/>
        </w:rPr>
      </w:pPr>
      <w:r>
        <w:rPr>
          <w:rFonts w:ascii="宋体" w:hAnsi="宋体" w:eastAsia="宋体" w:cs="宋体"/>
          <w:b/>
          <w:bCs/>
          <w:sz w:val="24"/>
          <w:szCs w:val="16"/>
        </w:rPr>
        <w:t>（一）编制原则</w:t>
      </w:r>
    </w:p>
    <w:p>
      <w:pPr>
        <w:pStyle w:val="4"/>
        <w:ind w:firstLine="640"/>
        <w:rPr>
          <w:rFonts w:hint="eastAsia" w:ascii="宋体" w:hAnsi="宋体" w:eastAsia="宋体" w:cs="宋体"/>
          <w:sz w:val="24"/>
          <w:szCs w:val="24"/>
        </w:rPr>
      </w:pPr>
      <w:r>
        <w:rPr>
          <w:rFonts w:hint="eastAsia" w:ascii="宋体" w:hAnsi="宋体" w:eastAsia="宋体" w:cs="宋体"/>
          <w:sz w:val="24"/>
          <w:szCs w:val="24"/>
        </w:rPr>
        <w:t>1. 科学性</w:t>
      </w:r>
    </w:p>
    <w:p>
      <w:pPr>
        <w:ind w:firstLine="640"/>
        <w:rPr>
          <w:rFonts w:hint="eastAsia" w:ascii="宋体" w:hAnsi="宋体" w:eastAsia="宋体" w:cs="宋体"/>
          <w:sz w:val="24"/>
          <w:szCs w:val="16"/>
        </w:rPr>
      </w:pPr>
      <w:r>
        <w:rPr>
          <w:rFonts w:hint="eastAsia" w:ascii="宋体" w:hAnsi="宋体" w:eastAsia="宋体" w:cs="宋体"/>
          <w:sz w:val="24"/>
          <w:szCs w:val="16"/>
        </w:rPr>
        <w:t>本标准根据《第一次全国自然灾害综合风险普查总体方案》（修订版）和《海南省第一次全国自然灾害综合风险普查实施方案》的要求，结合大风灾害风险普查工作实际，参考现行国家、行业、地方标准、相关技术资料制定。</w:t>
      </w:r>
    </w:p>
    <w:p>
      <w:pPr>
        <w:pStyle w:val="4"/>
        <w:ind w:firstLine="640"/>
        <w:rPr>
          <w:rFonts w:hint="eastAsia" w:ascii="宋体" w:hAnsi="宋体" w:eastAsia="宋体" w:cs="宋体"/>
          <w:sz w:val="24"/>
          <w:szCs w:val="24"/>
        </w:rPr>
      </w:pPr>
      <w:r>
        <w:rPr>
          <w:rFonts w:hint="eastAsia" w:ascii="宋体" w:hAnsi="宋体" w:eastAsia="宋体" w:cs="宋体"/>
          <w:sz w:val="24"/>
          <w:szCs w:val="24"/>
        </w:rPr>
        <w:t>2. 适用性</w:t>
      </w:r>
    </w:p>
    <w:p>
      <w:pPr>
        <w:ind w:firstLine="640"/>
        <w:rPr>
          <w:rFonts w:hint="eastAsia" w:ascii="宋体" w:hAnsi="宋体" w:eastAsia="宋体" w:cs="宋体"/>
          <w:sz w:val="24"/>
          <w:szCs w:val="16"/>
        </w:rPr>
      </w:pPr>
      <w:r>
        <w:rPr>
          <w:rFonts w:hint="eastAsia" w:ascii="宋体" w:hAnsi="宋体" w:eastAsia="宋体" w:cs="宋体"/>
          <w:sz w:val="24"/>
          <w:szCs w:val="16"/>
        </w:rPr>
        <w:t>本标准适用于海南地区大风灾害风险普查，提供清晰、具体的方法和流程，确保大风灾害风险普查结果的准确性和可靠性，可供其他地区参考，具有较好的适用性。</w:t>
      </w:r>
    </w:p>
    <w:p>
      <w:pPr>
        <w:pStyle w:val="4"/>
        <w:ind w:firstLine="640"/>
        <w:rPr>
          <w:rFonts w:hint="eastAsia" w:ascii="宋体" w:hAnsi="宋体" w:eastAsia="宋体" w:cs="宋体"/>
          <w:sz w:val="24"/>
          <w:szCs w:val="24"/>
        </w:rPr>
      </w:pPr>
      <w:r>
        <w:rPr>
          <w:rFonts w:hint="eastAsia" w:ascii="宋体" w:hAnsi="宋体" w:eastAsia="宋体" w:cs="宋体"/>
          <w:sz w:val="24"/>
          <w:szCs w:val="24"/>
        </w:rPr>
        <w:t>3. 规范性</w:t>
      </w:r>
    </w:p>
    <w:p>
      <w:pPr>
        <w:ind w:firstLine="640"/>
        <w:rPr>
          <w:rFonts w:hint="eastAsia" w:ascii="宋体" w:hAnsi="宋体" w:eastAsia="宋体" w:cs="宋体"/>
          <w:sz w:val="24"/>
          <w:szCs w:val="16"/>
        </w:rPr>
      </w:pPr>
      <w:r>
        <w:rPr>
          <w:rFonts w:hint="eastAsia" w:ascii="宋体" w:hAnsi="宋体" w:eastAsia="宋体" w:cs="宋体"/>
          <w:sz w:val="24"/>
          <w:szCs w:val="16"/>
        </w:rPr>
        <w:t>本标准依据《标准化工作导则第1部分：标准的结构和编写》（GB/T 1.1—2020）、《地方标准制修订工作规范》（DB 46/T 74—2021）的规定进行编写，符合标准编写要求。本标准的所有条目在表述上力求做到清晰明确，无模棱两可、含糊其辞或易于产生歧义的表达。</w:t>
      </w:r>
    </w:p>
    <w:p>
      <w:pPr>
        <w:pStyle w:val="3"/>
        <w:ind w:firstLine="640"/>
        <w:rPr>
          <w:rFonts w:hint="eastAsia" w:ascii="宋体" w:hAnsi="宋体" w:eastAsia="宋体" w:cs="宋体"/>
          <w:b/>
          <w:bCs/>
          <w:sz w:val="24"/>
          <w:szCs w:val="16"/>
        </w:rPr>
      </w:pPr>
      <w:r>
        <w:rPr>
          <w:rFonts w:ascii="宋体" w:hAnsi="宋体" w:eastAsia="宋体" w:cs="宋体"/>
          <w:b/>
          <w:bCs/>
          <w:sz w:val="24"/>
          <w:szCs w:val="16"/>
        </w:rPr>
        <w:t>（二）主要依据</w:t>
      </w:r>
    </w:p>
    <w:p>
      <w:pPr>
        <w:ind w:firstLine="640"/>
        <w:rPr>
          <w:rFonts w:hint="eastAsia" w:ascii="宋体" w:hAnsi="宋体" w:eastAsia="宋体" w:cs="宋体"/>
          <w:sz w:val="24"/>
          <w:szCs w:val="16"/>
        </w:rPr>
      </w:pPr>
      <w:r>
        <w:rPr>
          <w:rFonts w:hint="eastAsia" w:ascii="宋体" w:hAnsi="宋体" w:eastAsia="宋体" w:cs="宋体"/>
          <w:sz w:val="24"/>
          <w:szCs w:val="16"/>
        </w:rPr>
        <w:t>《第一次全国自然灾害综合风险普查总体方案》（修订版）</w:t>
      </w:r>
    </w:p>
    <w:p>
      <w:pPr>
        <w:ind w:firstLine="640"/>
        <w:rPr>
          <w:rFonts w:hint="eastAsia" w:ascii="宋体" w:hAnsi="宋体" w:eastAsia="宋体" w:cs="宋体"/>
          <w:sz w:val="24"/>
          <w:szCs w:val="16"/>
        </w:rPr>
      </w:pPr>
      <w:bookmarkStart w:id="0" w:name="_Hlk230180471"/>
      <w:r>
        <w:rPr>
          <w:rFonts w:hint="eastAsia" w:ascii="宋体" w:hAnsi="宋体" w:eastAsia="宋体" w:cs="宋体"/>
          <w:sz w:val="24"/>
          <w:szCs w:val="16"/>
        </w:rPr>
        <w:t>《气象灾害调查与风险评估技术规范》</w:t>
      </w:r>
    </w:p>
    <w:bookmarkEnd w:id="0"/>
    <w:p>
      <w:pPr>
        <w:ind w:firstLine="640"/>
        <w:rPr>
          <w:rFonts w:hint="eastAsia" w:ascii="宋体" w:hAnsi="宋体" w:eastAsia="宋体" w:cs="宋体"/>
          <w:sz w:val="24"/>
          <w:szCs w:val="16"/>
        </w:rPr>
      </w:pPr>
      <w:r>
        <w:rPr>
          <w:rFonts w:hint="eastAsia" w:ascii="宋体" w:hAnsi="宋体" w:eastAsia="宋体" w:cs="宋体"/>
          <w:sz w:val="24"/>
          <w:szCs w:val="16"/>
        </w:rPr>
        <w:t>《海南省第一次全国自然灾害综合风险普查实施方案》</w:t>
      </w:r>
    </w:p>
    <w:p>
      <w:pPr>
        <w:ind w:firstLine="640"/>
        <w:rPr>
          <w:rFonts w:hint="eastAsia" w:ascii="宋体" w:hAnsi="宋体" w:eastAsia="宋体" w:cs="宋体"/>
          <w:sz w:val="24"/>
          <w:szCs w:val="16"/>
        </w:rPr>
      </w:pPr>
      <w:r>
        <w:rPr>
          <w:rFonts w:hint="eastAsia" w:ascii="宋体" w:hAnsi="宋体" w:eastAsia="宋体" w:cs="宋体"/>
          <w:sz w:val="24"/>
          <w:szCs w:val="16"/>
        </w:rPr>
        <w:t>MZT 027—2011 自然灾害风险管理基本术语</w:t>
      </w:r>
    </w:p>
    <w:p>
      <w:pPr>
        <w:ind w:firstLine="640"/>
        <w:rPr>
          <w:rFonts w:hint="eastAsia" w:ascii="宋体" w:hAnsi="宋体" w:eastAsia="宋体" w:cs="宋体"/>
          <w:sz w:val="24"/>
          <w:szCs w:val="16"/>
        </w:rPr>
      </w:pPr>
      <w:r>
        <w:rPr>
          <w:rFonts w:hint="eastAsia" w:ascii="宋体" w:hAnsi="宋体" w:eastAsia="宋体" w:cs="宋体"/>
          <w:sz w:val="24"/>
          <w:szCs w:val="16"/>
        </w:rPr>
        <w:t>DB34/T 4637.7  气象灾害综合风险普查技术规范 第7部分：大风</w:t>
      </w:r>
    </w:p>
    <w:p>
      <w:pPr>
        <w:ind w:firstLine="640"/>
        <w:rPr>
          <w:rFonts w:hint="eastAsia" w:ascii="宋体" w:hAnsi="宋体" w:eastAsia="宋体" w:cs="宋体"/>
          <w:sz w:val="24"/>
          <w:szCs w:val="16"/>
        </w:rPr>
      </w:pPr>
      <w:r>
        <w:rPr>
          <w:rFonts w:hint="eastAsia" w:ascii="宋体" w:hAnsi="宋体" w:eastAsia="宋体" w:cs="宋体"/>
          <w:sz w:val="24"/>
          <w:szCs w:val="16"/>
        </w:rPr>
        <w:t>DB63/T 2235  气象灾害风险评估技术规范 大风</w:t>
      </w:r>
    </w:p>
    <w:p>
      <w:pPr>
        <w:ind w:firstLine="640"/>
        <w:rPr>
          <w:rFonts w:hint="eastAsia" w:ascii="宋体" w:hAnsi="宋体" w:eastAsia="宋体" w:cs="宋体"/>
          <w:sz w:val="24"/>
          <w:szCs w:val="16"/>
        </w:rPr>
      </w:pPr>
      <w:r>
        <w:rPr>
          <w:rFonts w:hint="eastAsia" w:ascii="宋体" w:hAnsi="宋体" w:eastAsia="宋体" w:cs="宋体"/>
          <w:sz w:val="24"/>
          <w:szCs w:val="16"/>
        </w:rPr>
        <w:t>《中华人民共和国标准化法》</w:t>
      </w:r>
    </w:p>
    <w:p>
      <w:pPr>
        <w:ind w:firstLine="640"/>
        <w:rPr>
          <w:rFonts w:hint="eastAsia" w:ascii="宋体" w:hAnsi="宋体" w:eastAsia="宋体" w:cs="宋体"/>
          <w:sz w:val="24"/>
          <w:szCs w:val="16"/>
        </w:rPr>
      </w:pPr>
      <w:r>
        <w:rPr>
          <w:rFonts w:hint="eastAsia" w:ascii="宋体" w:hAnsi="宋体" w:eastAsia="宋体" w:cs="宋体"/>
          <w:sz w:val="24"/>
          <w:szCs w:val="16"/>
        </w:rPr>
        <w:t>《中华人民共和国气象法》</w:t>
      </w:r>
    </w:p>
    <w:p>
      <w:pPr>
        <w:ind w:firstLine="640"/>
        <w:rPr>
          <w:rFonts w:hint="eastAsia" w:ascii="宋体" w:hAnsi="宋体" w:eastAsia="宋体" w:cs="宋体"/>
          <w:sz w:val="24"/>
          <w:szCs w:val="16"/>
        </w:rPr>
      </w:pPr>
      <w:r>
        <w:rPr>
          <w:rFonts w:hint="eastAsia" w:ascii="宋体" w:hAnsi="宋体" w:eastAsia="宋体" w:cs="宋体"/>
          <w:sz w:val="24"/>
          <w:szCs w:val="16"/>
        </w:rPr>
        <w:t>《中华人民共和国标准化法实施条例》</w:t>
      </w:r>
    </w:p>
    <w:p>
      <w:pPr>
        <w:ind w:firstLine="640"/>
        <w:rPr>
          <w:rFonts w:hint="eastAsia" w:ascii="宋体" w:hAnsi="宋体" w:eastAsia="宋体" w:cs="宋体"/>
          <w:sz w:val="24"/>
          <w:szCs w:val="16"/>
        </w:rPr>
      </w:pPr>
      <w:r>
        <w:rPr>
          <w:rFonts w:hint="eastAsia" w:ascii="宋体" w:hAnsi="宋体" w:eastAsia="宋体" w:cs="宋体"/>
          <w:sz w:val="24"/>
          <w:szCs w:val="16"/>
        </w:rPr>
        <w:t>《国家标准管理办法》</w:t>
      </w:r>
    </w:p>
    <w:p>
      <w:pPr>
        <w:pStyle w:val="3"/>
        <w:ind w:firstLine="640"/>
        <w:rPr>
          <w:rFonts w:hint="eastAsia" w:ascii="宋体" w:hAnsi="宋体" w:eastAsia="宋体" w:cs="宋体"/>
          <w:b/>
          <w:bCs/>
          <w:sz w:val="24"/>
          <w:szCs w:val="16"/>
        </w:rPr>
      </w:pPr>
      <w:r>
        <w:rPr>
          <w:rFonts w:ascii="宋体" w:hAnsi="宋体" w:eastAsia="宋体" w:cs="宋体"/>
          <w:b/>
          <w:bCs/>
          <w:sz w:val="24"/>
          <w:szCs w:val="16"/>
        </w:rPr>
        <w:t>（三）与现行法律法规、标准的关系</w:t>
      </w:r>
    </w:p>
    <w:p>
      <w:pPr>
        <w:ind w:firstLine="640"/>
        <w:rPr>
          <w:rFonts w:hint="eastAsia" w:ascii="宋体" w:hAnsi="宋体" w:eastAsia="宋体" w:cs="宋体"/>
          <w:sz w:val="24"/>
          <w:szCs w:val="16"/>
        </w:rPr>
      </w:pPr>
      <w:r>
        <w:rPr>
          <w:rFonts w:hint="eastAsia" w:ascii="宋体" w:hAnsi="宋体" w:eastAsia="宋体" w:cs="宋体"/>
          <w:sz w:val="24"/>
          <w:szCs w:val="16"/>
        </w:rPr>
        <w:t>本标准符合我国现行法律要求，遵守《中华人民共和国标准化法》《中华人民共和国气象法》等相关法律，遵守《中华人民共和国标准化法实施条例》、《国家标准管理办法》等相关法规，与现行法律和标准协调一致。</w:t>
      </w:r>
    </w:p>
    <w:p>
      <w:pPr>
        <w:ind w:firstLine="640"/>
        <w:rPr>
          <w:rFonts w:hint="eastAsia" w:ascii="宋体" w:hAnsi="宋体" w:eastAsia="宋体" w:cs="宋体"/>
          <w:sz w:val="24"/>
          <w:szCs w:val="16"/>
        </w:rPr>
      </w:pPr>
      <w:r>
        <w:rPr>
          <w:rFonts w:hint="eastAsia" w:ascii="宋体" w:hAnsi="宋体" w:eastAsia="宋体" w:cs="宋体"/>
          <w:sz w:val="24"/>
          <w:szCs w:val="16"/>
        </w:rPr>
        <w:t>本标准为新制定，目前国内外相关的技术规范较少，相关标准有山西省出台的《气象灾害风险普查技术规范 大风》（DB 14/T 3486-2025）、安徽省出台的《气象灾害综合风险普查技术规范 第7部分：大风》（DB34/T 4637.7）、青海省出台的《气象灾害风险评估技术规范 大风》（DB63/T 2235）。本标准符合国家和海南省关于开展第一次自然灾害综合风险普查相关政策文件的要求，注重与同一领域标准之间的协调，采用已发布标准中的技术条款，结合海南省气象灾害综合风险普查工作实际，制定《大风灾害风险普查技术规范》。</w:t>
      </w:r>
    </w:p>
    <w:p>
      <w:pPr>
        <w:ind w:firstLine="640"/>
        <w:rPr>
          <w:rFonts w:hint="eastAsia" w:ascii="宋体" w:hAnsi="宋体" w:eastAsia="宋体" w:cs="宋体"/>
          <w:sz w:val="24"/>
          <w:szCs w:val="16"/>
        </w:rPr>
      </w:pPr>
      <w:r>
        <w:rPr>
          <w:rFonts w:hint="eastAsia" w:ascii="宋体" w:hAnsi="宋体" w:eastAsia="宋体" w:cs="宋体"/>
          <w:sz w:val="24"/>
          <w:szCs w:val="16"/>
        </w:rPr>
        <w:t>编制组也充分了解和对照《地方标准制定负面清单（2025 年版）》，认为不受影响。</w:t>
      </w:r>
    </w:p>
    <w:p>
      <w:pPr>
        <w:pStyle w:val="2"/>
        <w:ind w:firstLine="640"/>
        <w:rPr>
          <w:rFonts w:eastAsia="宋体" w:cs="Times New Roman"/>
          <w:kern w:val="0"/>
          <w:sz w:val="22"/>
          <w:szCs w:val="20"/>
        </w:rPr>
      </w:pPr>
      <w:r>
        <w:rPr>
          <w:rFonts w:hint="eastAsia"/>
          <w:sz w:val="28"/>
          <w:szCs w:val="18"/>
        </w:rPr>
        <w:t>五、主要条款的说明</w:t>
      </w:r>
    </w:p>
    <w:p>
      <w:pPr>
        <w:pStyle w:val="3"/>
        <w:numPr>
          <w:ilvl w:val="0"/>
          <w:numId w:val="3"/>
        </w:numPr>
        <w:ind w:firstLine="640"/>
        <w:rPr>
          <w:rFonts w:hint="eastAsia" w:ascii="宋体" w:hAnsi="宋体" w:eastAsia="宋体" w:cs="宋体"/>
          <w:b/>
          <w:bCs/>
          <w:sz w:val="24"/>
          <w:szCs w:val="24"/>
        </w:rPr>
      </w:pPr>
      <w:r>
        <w:rPr>
          <w:rFonts w:ascii="宋体" w:hAnsi="宋体" w:eastAsia="宋体" w:cs="宋体"/>
          <w:b/>
          <w:bCs/>
          <w:sz w:val="24"/>
          <w:szCs w:val="24"/>
        </w:rPr>
        <w:t>主要条款</w:t>
      </w:r>
    </w:p>
    <w:p>
      <w:pPr>
        <w:ind w:firstLine="480" w:firstLineChars="200"/>
        <w:rPr>
          <w:rFonts w:hint="eastAsia" w:ascii="宋体" w:hAnsi="宋体" w:eastAsia="宋体" w:cs="宋体"/>
          <w:sz w:val="24"/>
          <w:szCs w:val="24"/>
        </w:rPr>
      </w:pPr>
      <w:r>
        <w:rPr>
          <w:rFonts w:hint="eastAsia" w:ascii="宋体" w:hAnsi="宋体" w:eastAsia="宋体" w:cs="宋体"/>
          <w:sz w:val="24"/>
          <w:szCs w:val="24"/>
        </w:rPr>
        <w:t>本标准的章节由范围、规范性引用文件、术语和定义、灾害事件调查、致灾危险性评估、灾害风险评估组成，规定了大风灾害风险普查的基本要求，适用于海南省大风灾害风险普查工作。其中“灾害事件调查”“致灾危险性评估”“灾害风险评估” 是本</w:t>
      </w:r>
      <w:r>
        <w:rPr>
          <w:rFonts w:hint="eastAsia" w:ascii="宋体" w:hAnsi="宋体" w:eastAsia="宋体" w:cs="宋体"/>
          <w:sz w:val="24"/>
          <w:szCs w:val="24"/>
          <w:lang w:val="en-US" w:eastAsia="zh-CN"/>
        </w:rPr>
        <w:t>标准</w:t>
      </w:r>
      <w:r>
        <w:rPr>
          <w:rFonts w:hint="eastAsia" w:ascii="宋体" w:hAnsi="宋体" w:eastAsia="宋体" w:cs="宋体"/>
          <w:sz w:val="24"/>
          <w:szCs w:val="24"/>
        </w:rPr>
        <w:t>的主要技术内容。</w:t>
      </w:r>
    </w:p>
    <w:p>
      <w:pPr>
        <w:ind w:firstLine="640"/>
        <w:rPr>
          <w:rFonts w:hint="eastAsia" w:ascii="宋体" w:hAnsi="宋体" w:eastAsia="宋体" w:cs="宋体"/>
          <w:sz w:val="24"/>
          <w:szCs w:val="24"/>
        </w:rPr>
      </w:pPr>
      <w:r>
        <w:rPr>
          <w:rFonts w:hint="eastAsia" w:ascii="宋体" w:hAnsi="宋体" w:eastAsia="宋体" w:cs="宋体"/>
          <w:sz w:val="24"/>
          <w:szCs w:val="24"/>
        </w:rPr>
        <w:t>本</w:t>
      </w:r>
      <w:r>
        <w:rPr>
          <w:rFonts w:hint="eastAsia" w:ascii="宋体" w:hAnsi="宋体" w:eastAsia="宋体" w:cs="宋体"/>
          <w:sz w:val="24"/>
          <w:szCs w:val="24"/>
          <w:lang w:val="en-US" w:eastAsia="zh-CN"/>
        </w:rPr>
        <w:t>标准</w:t>
      </w:r>
      <w:r>
        <w:rPr>
          <w:rFonts w:hint="eastAsia" w:ascii="宋体" w:hAnsi="宋体" w:eastAsia="宋体" w:cs="宋体"/>
          <w:sz w:val="24"/>
          <w:szCs w:val="24"/>
        </w:rPr>
        <w:t>规定了大风灾害风险普查的灾害事件调查、致灾危险性评估、灾害风险评估等要求，适用于大风灾害风险普查。</w:t>
      </w:r>
    </w:p>
    <w:p>
      <w:pPr>
        <w:pStyle w:val="3"/>
        <w:numPr>
          <w:ilvl w:val="0"/>
          <w:numId w:val="3"/>
        </w:numPr>
        <w:ind w:firstLine="640"/>
        <w:rPr>
          <w:rFonts w:hint="eastAsia" w:ascii="宋体" w:hAnsi="宋体" w:eastAsia="宋体" w:cs="宋体"/>
          <w:b/>
          <w:bCs/>
          <w:sz w:val="24"/>
          <w:szCs w:val="24"/>
        </w:rPr>
      </w:pPr>
      <w:r>
        <w:rPr>
          <w:rFonts w:ascii="宋体" w:hAnsi="宋体" w:eastAsia="宋体" w:cs="宋体"/>
          <w:b/>
          <w:bCs/>
          <w:sz w:val="24"/>
          <w:szCs w:val="24"/>
        </w:rPr>
        <w:t>主要技术指标、参数</w:t>
      </w:r>
    </w:p>
    <w:p>
      <w:pPr>
        <w:ind w:firstLine="480" w:firstLineChars="200"/>
        <w:rPr>
          <w:rFonts w:hint="eastAsia" w:ascii="宋体" w:hAnsi="宋体" w:eastAsia="宋体" w:cs="宋体"/>
          <w:sz w:val="24"/>
          <w:szCs w:val="24"/>
        </w:rPr>
      </w:pPr>
      <w:r>
        <w:rPr>
          <w:rFonts w:hint="eastAsia" w:ascii="宋体" w:hAnsi="宋体" w:eastAsia="宋体" w:cs="宋体"/>
          <w:sz w:val="24"/>
          <w:szCs w:val="24"/>
        </w:rPr>
        <w:t>本标准技术方法的设定主要根据</w:t>
      </w:r>
      <w:bookmarkStart w:id="1" w:name="_Hlk230181091"/>
      <w:r>
        <w:rPr>
          <w:rFonts w:hint="eastAsia" w:ascii="宋体" w:hAnsi="宋体" w:eastAsia="宋体" w:cs="宋体"/>
          <w:sz w:val="24"/>
          <w:szCs w:val="24"/>
        </w:rPr>
        <w:t>中国气象局全国气象灾害综合风险普查领导小组办公室</w:t>
      </w:r>
      <w:bookmarkEnd w:id="1"/>
      <w:r>
        <w:rPr>
          <w:rFonts w:hint="eastAsia" w:ascii="宋体" w:hAnsi="宋体" w:eastAsia="宋体" w:cs="宋体"/>
          <w:sz w:val="24"/>
          <w:szCs w:val="24"/>
        </w:rPr>
        <w:t>2021年4月印发的《大风灾害调查与风险评估技术规范》（以下简称《技术规范》），结合海南省大风灾害风险普查工作实践确定。</w:t>
      </w:r>
    </w:p>
    <w:p>
      <w:pPr>
        <w:pStyle w:val="4"/>
        <w:numPr>
          <w:ilvl w:val="0"/>
          <w:numId w:val="4"/>
        </w:numPr>
        <w:ind w:firstLineChars="0"/>
        <w:rPr>
          <w:rFonts w:hint="eastAsia" w:ascii="宋体" w:hAnsi="宋体" w:eastAsia="宋体" w:cs="宋体"/>
          <w:sz w:val="24"/>
          <w:szCs w:val="24"/>
        </w:rPr>
      </w:pPr>
      <w:r>
        <w:rPr>
          <w:rFonts w:hint="eastAsia" w:ascii="宋体" w:hAnsi="宋体" w:eastAsia="宋体" w:cs="宋体"/>
          <w:sz w:val="24"/>
          <w:szCs w:val="24"/>
        </w:rPr>
        <w:t>术语和定义</w:t>
      </w:r>
    </w:p>
    <w:p>
      <w:pPr>
        <w:rPr>
          <w:rFonts w:hint="eastAsia" w:ascii="宋体" w:hAnsi="宋体" w:eastAsia="宋体" w:cs="宋体"/>
          <w:sz w:val="24"/>
          <w:szCs w:val="24"/>
        </w:rPr>
      </w:pPr>
      <w:r>
        <w:rPr>
          <w:rFonts w:hint="eastAsia" w:ascii="宋体" w:hAnsi="宋体" w:eastAsia="宋体" w:cs="宋体"/>
          <w:sz w:val="24"/>
          <w:szCs w:val="24"/>
        </w:rPr>
        <w:t>大风的定义参考《技术规范》制定，涵盖台风大风、强对流大风、冷空气大风等所有类型大风事件。海南省常年受台风侵袭，台风大风影响范围广、持续时间长、风力强度大，是本省危害最严重的大风灾害类型，也是城乡建设、生产生活及防风防御管控的核心考量因素。通用《技术规范》基于全国统一适用需求，更适配内陆及台风影响较弱地区，难以满足海南本地防灾管控与气象服务的实际工作需要。若照搬通用规范剔除台风相关数据，将大幅低估区域真实大风风险，造成普查成果片面失真、应用价值不足，无法有效支撑大风风险区划、工程防风设防及防灾减灾服务等实际业务工作。极大风速定义来源于《风能资源术语》（GB/T 31724—2015），致灾因子、致灾危险性的定义来源于《自然灾害风险管理基本术语》（YJ/T 13-2011），承灾体定义来源于《自然灾害承灾体分类与代码》（GB/T 32572—2016），暴露度的定义来源于《自然灾害风险评估与区划原理和方法》，脆弱性的定义来源于《自然灾害综合风险评估技术规范第1部分:房屋建筑》（GB/T44011.1—2024），风险普查的定义改写于《气象灾害综合风险普查技术规范 第7部分：大风》（DB34/T 4637.7—2023）</w:t>
      </w:r>
    </w:p>
    <w:p>
      <w:pPr>
        <w:pStyle w:val="4"/>
        <w:numPr>
          <w:ilvl w:val="0"/>
          <w:numId w:val="4"/>
        </w:numPr>
        <w:ind w:firstLineChars="0"/>
        <w:rPr>
          <w:rFonts w:hint="eastAsia" w:ascii="宋体" w:hAnsi="宋体" w:eastAsia="宋体" w:cs="宋体"/>
          <w:sz w:val="24"/>
          <w:szCs w:val="24"/>
        </w:rPr>
      </w:pPr>
      <w:r>
        <w:rPr>
          <w:rFonts w:hint="eastAsia" w:ascii="宋体" w:hAnsi="宋体" w:eastAsia="宋体" w:cs="宋体"/>
          <w:sz w:val="24"/>
          <w:szCs w:val="24"/>
        </w:rPr>
        <w:t>灾害事件调查</w:t>
      </w:r>
    </w:p>
    <w:p>
      <w:pPr>
        <w:ind w:firstLine="480" w:firstLineChars="200"/>
        <w:rPr>
          <w:rFonts w:hint="eastAsia" w:ascii="宋体" w:hAnsi="宋体" w:eastAsia="宋体" w:cs="宋体"/>
          <w:sz w:val="24"/>
          <w:szCs w:val="24"/>
        </w:rPr>
      </w:pPr>
      <w:r>
        <w:rPr>
          <w:rFonts w:hint="eastAsia" w:ascii="宋体" w:hAnsi="宋体" w:eastAsia="宋体" w:cs="宋体"/>
          <w:sz w:val="24"/>
          <w:szCs w:val="24"/>
        </w:rPr>
        <w:t>收集大风灾害事件相关资料。其中气象资料包括评估区域内地面气象观测站建站以来的逐日极大风速、风向等。承灾体资料包括人口、国内生产总值（GDP）、主要农作物（水稻、玉米等）播种面积等。灾情资料包括历年大风导致的受灾人口、农作物受灾面积、直接经济损失等灾情资料，资料年限不少于10年。地理信息资料包括行政边界矢量数据和分辨率不低于30弧秒的数字高程模型。整理收集到的大风灾害事件，统计不同气象站点大风的强度、发生频次、时间范围以及不同季节大风日数占比。</w:t>
      </w:r>
    </w:p>
    <w:p>
      <w:pPr>
        <w:pStyle w:val="4"/>
        <w:ind w:firstLine="640"/>
        <w:rPr>
          <w:rFonts w:hint="eastAsia" w:ascii="宋体" w:hAnsi="宋体" w:eastAsia="宋体" w:cs="宋体"/>
          <w:sz w:val="24"/>
          <w:szCs w:val="24"/>
        </w:rPr>
      </w:pPr>
      <w:r>
        <w:rPr>
          <w:rFonts w:hint="eastAsia" w:ascii="宋体" w:hAnsi="宋体" w:eastAsia="宋体" w:cs="宋体"/>
          <w:sz w:val="24"/>
          <w:szCs w:val="24"/>
        </w:rPr>
        <w:t>3. 致灾危险性评估</w:t>
      </w:r>
    </w:p>
    <w:p>
      <w:pPr>
        <w:ind w:firstLine="640"/>
        <w:rPr>
          <w:rFonts w:hint="eastAsia" w:ascii="宋体" w:hAnsi="宋体" w:eastAsia="宋体" w:cs="宋体"/>
          <w:sz w:val="24"/>
          <w:szCs w:val="24"/>
        </w:rPr>
      </w:pPr>
      <w:r>
        <w:rPr>
          <w:rFonts w:hint="eastAsia" w:ascii="宋体" w:hAnsi="宋体" w:eastAsia="宋体" w:cs="宋体"/>
          <w:sz w:val="24"/>
          <w:szCs w:val="24"/>
        </w:rPr>
        <w:t>致灾危险性评估主要包含致灾危险性指数、致灾危险性区划两部分内容，采用《技术规范》规定的技术方法。</w:t>
      </w:r>
    </w:p>
    <w:p>
      <w:pPr>
        <w:ind w:firstLine="640"/>
        <w:rPr>
          <w:rFonts w:hint="eastAsia" w:ascii="宋体" w:hAnsi="宋体" w:eastAsia="宋体" w:cs="宋体"/>
          <w:sz w:val="24"/>
          <w:szCs w:val="24"/>
        </w:rPr>
      </w:pPr>
      <w:r>
        <w:rPr>
          <w:rFonts w:hint="eastAsia" w:ascii="宋体" w:hAnsi="宋体" w:eastAsia="宋体" w:cs="宋体"/>
          <w:sz w:val="24"/>
          <w:szCs w:val="24"/>
        </w:rPr>
        <w:t>（1）致灾危险性指数</w:t>
      </w:r>
    </w:p>
    <w:p>
      <w:pPr>
        <w:ind w:firstLine="640"/>
        <w:rPr>
          <w:rFonts w:hint="eastAsia" w:ascii="宋体" w:hAnsi="宋体" w:eastAsia="宋体" w:cs="宋体"/>
          <w:sz w:val="24"/>
          <w:szCs w:val="24"/>
        </w:rPr>
      </w:pPr>
      <w:r>
        <w:rPr>
          <w:rFonts w:hint="eastAsia" w:ascii="宋体" w:hAnsi="宋体" w:eastAsia="宋体" w:cs="宋体"/>
          <w:sz w:val="24"/>
          <w:szCs w:val="24"/>
        </w:rPr>
        <w:t>大风灾害致灾危险性主要取决于风力的破坏能力与影响持续性，选取大风强度与大风频次作为核心致灾因子，利用归一化方法消除量纲差异，加权相加得到大风致灾危险性指数，权重系数由层次分析法确定。</w:t>
      </w:r>
    </w:p>
    <w:p>
      <w:pPr>
        <w:ind w:firstLine="640"/>
        <w:rPr>
          <w:rFonts w:hint="eastAsia" w:ascii="宋体" w:hAnsi="宋体" w:eastAsia="宋体" w:cs="宋体"/>
          <w:sz w:val="24"/>
          <w:szCs w:val="24"/>
        </w:rPr>
      </w:pPr>
      <w:r>
        <w:rPr>
          <w:rFonts w:hint="eastAsia" w:ascii="宋体" w:hAnsi="宋体" w:eastAsia="宋体" w:cs="宋体"/>
          <w:sz w:val="24"/>
          <w:szCs w:val="24"/>
        </w:rPr>
        <w:t>（2）致灾危险性区划</w:t>
      </w:r>
    </w:p>
    <w:p>
      <w:pPr>
        <w:ind w:firstLine="640"/>
        <w:rPr>
          <w:rFonts w:hint="eastAsia" w:ascii="宋体" w:hAnsi="宋体" w:eastAsia="宋体" w:cs="宋体"/>
          <w:sz w:val="24"/>
          <w:szCs w:val="24"/>
        </w:rPr>
      </w:pPr>
      <w:r>
        <w:rPr>
          <w:rFonts w:hint="eastAsia" w:ascii="宋体" w:hAnsi="宋体" w:eastAsia="宋体" w:cs="宋体"/>
          <w:sz w:val="24"/>
          <w:szCs w:val="24"/>
        </w:rPr>
        <w:t>根据计算得出的大风致灾危险性指数，采用自然断点法将致灾危险性分为高、较高、较低、低四个等级，可依据致灾危险性等级制作危险性区划图。</w:t>
      </w:r>
    </w:p>
    <w:p>
      <w:pPr>
        <w:pStyle w:val="4"/>
        <w:numPr>
          <w:ilvl w:val="0"/>
          <w:numId w:val="5"/>
        </w:numPr>
        <w:ind w:firstLineChars="0"/>
        <w:rPr>
          <w:rFonts w:hint="eastAsia" w:ascii="宋体" w:hAnsi="宋体" w:eastAsia="宋体" w:cs="宋体"/>
          <w:sz w:val="24"/>
          <w:szCs w:val="24"/>
        </w:rPr>
      </w:pPr>
      <w:r>
        <w:rPr>
          <w:rFonts w:hint="eastAsia" w:ascii="宋体" w:hAnsi="宋体" w:eastAsia="宋体" w:cs="宋体"/>
          <w:sz w:val="24"/>
          <w:szCs w:val="24"/>
        </w:rPr>
        <w:t>灾害风险评估</w:t>
      </w:r>
    </w:p>
    <w:p>
      <w:pPr>
        <w:ind w:firstLine="640"/>
        <w:rPr>
          <w:rFonts w:hint="eastAsia" w:ascii="宋体" w:hAnsi="宋体" w:eastAsia="宋体" w:cs="宋体"/>
          <w:sz w:val="24"/>
          <w:szCs w:val="24"/>
        </w:rPr>
      </w:pPr>
      <w:r>
        <w:rPr>
          <w:rFonts w:hint="eastAsia" w:ascii="宋体" w:hAnsi="宋体" w:eastAsia="宋体" w:cs="宋体"/>
          <w:sz w:val="24"/>
          <w:szCs w:val="24"/>
        </w:rPr>
        <w:t>灾害风险评估主要包含孕灾环境敏感性、承灾体暴露度和脆弱性、风险指数、风险区划四部分内容，采用《技术规范》规定的技术方法。</w:t>
      </w:r>
    </w:p>
    <w:p>
      <w:pPr>
        <w:ind w:firstLine="640"/>
        <w:rPr>
          <w:rFonts w:hint="eastAsia" w:ascii="宋体" w:hAnsi="宋体" w:eastAsia="宋体" w:cs="宋体"/>
          <w:sz w:val="24"/>
          <w:szCs w:val="24"/>
        </w:rPr>
      </w:pPr>
      <w:r>
        <w:rPr>
          <w:rFonts w:hint="eastAsia" w:ascii="宋体" w:hAnsi="宋体" w:eastAsia="宋体" w:cs="宋体"/>
          <w:sz w:val="24"/>
          <w:szCs w:val="24"/>
        </w:rPr>
        <w:t>（1）孕灾环境敏感性</w:t>
      </w:r>
    </w:p>
    <w:p>
      <w:pPr>
        <w:ind w:firstLine="640"/>
        <w:rPr>
          <w:rFonts w:hint="eastAsia" w:ascii="宋体" w:hAnsi="宋体" w:eastAsia="宋体" w:cs="宋体"/>
          <w:sz w:val="24"/>
          <w:szCs w:val="24"/>
        </w:rPr>
      </w:pPr>
      <w:r>
        <w:rPr>
          <w:rFonts w:hint="eastAsia" w:ascii="宋体" w:hAnsi="宋体" w:eastAsia="宋体" w:cs="宋体"/>
          <w:sz w:val="24"/>
          <w:szCs w:val="24"/>
        </w:rPr>
        <w:t>大风孕灾环境主要指地形、植被覆盖等因子对大风灾害形成的综合影响。海拔越高通常大风动力条件越充分，植被覆盖度越高则抗风能力越强。利用归一化方法消除量纲差异，运用层次分析法设置相应权重，加权求和计算得到孕灾环境敏感性评估指标。</w:t>
      </w:r>
    </w:p>
    <w:p>
      <w:pPr>
        <w:ind w:firstLine="640"/>
        <w:rPr>
          <w:rFonts w:hint="eastAsia" w:ascii="宋体" w:hAnsi="宋体" w:eastAsia="宋体" w:cs="宋体"/>
          <w:sz w:val="24"/>
          <w:szCs w:val="24"/>
        </w:rPr>
      </w:pPr>
      <w:r>
        <w:rPr>
          <w:rFonts w:hint="eastAsia" w:ascii="宋体" w:hAnsi="宋体" w:eastAsia="宋体" w:cs="宋体"/>
          <w:sz w:val="24"/>
          <w:szCs w:val="24"/>
        </w:rPr>
        <w:t>（2）承灾体暴露度和脆弱性</w:t>
      </w:r>
    </w:p>
    <w:p>
      <w:pPr>
        <w:ind w:firstLine="640"/>
        <w:rPr>
          <w:rFonts w:hint="eastAsia" w:ascii="宋体" w:hAnsi="宋体" w:eastAsia="宋体" w:cs="宋体"/>
          <w:sz w:val="24"/>
          <w:szCs w:val="24"/>
        </w:rPr>
      </w:pPr>
      <w:r>
        <w:rPr>
          <w:rFonts w:hint="eastAsia" w:ascii="宋体" w:hAnsi="宋体" w:eastAsia="宋体" w:cs="宋体"/>
          <w:sz w:val="24"/>
          <w:szCs w:val="24"/>
        </w:rPr>
        <w:t>承灾体是各种致灾因子作用的对象，大风灾害主要的承灾体为经济、人口、农作物。承灾体暴露度采用评估区域内承灾体数量（人口、GDP、农作物种植面积）与总面积之比进行计算，能够客观反映单位面积内承灾体的暴露水平。承灾体脆弱性采用受灾指标（受灾人口、直接经济损失、农作物受灾面积）与对应承灾体总量之比计算，可准确衡量承灾体在灾害作用下的受损风险水平。</w:t>
      </w:r>
    </w:p>
    <w:p>
      <w:pPr>
        <w:ind w:firstLine="640"/>
        <w:rPr>
          <w:rFonts w:hint="eastAsia" w:ascii="宋体" w:hAnsi="宋体" w:eastAsia="宋体" w:cs="宋体"/>
          <w:sz w:val="24"/>
          <w:szCs w:val="24"/>
        </w:rPr>
      </w:pPr>
      <w:r>
        <w:rPr>
          <w:rFonts w:hint="eastAsia" w:ascii="宋体" w:hAnsi="宋体" w:eastAsia="宋体" w:cs="宋体"/>
          <w:sz w:val="24"/>
          <w:szCs w:val="24"/>
        </w:rPr>
        <w:t>（3）风险指数</w:t>
      </w:r>
    </w:p>
    <w:p>
      <w:pPr>
        <w:ind w:firstLine="640"/>
        <w:rPr>
          <w:rFonts w:hint="eastAsia" w:ascii="宋体" w:hAnsi="宋体" w:eastAsia="宋体" w:cs="宋体"/>
          <w:sz w:val="24"/>
          <w:szCs w:val="24"/>
        </w:rPr>
      </w:pPr>
      <w:r>
        <w:rPr>
          <w:rFonts w:hint="eastAsia" w:ascii="宋体" w:hAnsi="宋体" w:eastAsia="宋体" w:cs="宋体"/>
          <w:sz w:val="24"/>
          <w:szCs w:val="24"/>
        </w:rPr>
        <w:t>基于自然灾害系统理论，区域自然灾害风险是致灾危险性、孕灾环境敏感性、承灾体暴露度与承灾体脆弱性四大要素共同作用、耦合形成的复杂系统产物。针对不同承灾体，采加权乘积法计算风险指数，权重系数由层次分析法确定。</w:t>
      </w:r>
    </w:p>
    <w:p>
      <w:pPr>
        <w:ind w:firstLine="640"/>
        <w:rPr>
          <w:rFonts w:hint="eastAsia" w:ascii="宋体" w:hAnsi="宋体" w:eastAsia="宋体" w:cs="宋体"/>
          <w:sz w:val="24"/>
          <w:szCs w:val="24"/>
        </w:rPr>
      </w:pPr>
      <w:r>
        <w:rPr>
          <w:rFonts w:hint="eastAsia" w:ascii="宋体" w:hAnsi="宋体" w:eastAsia="宋体" w:cs="宋体"/>
          <w:sz w:val="24"/>
          <w:szCs w:val="24"/>
        </w:rPr>
        <w:t>（4）风险区划</w:t>
      </w:r>
    </w:p>
    <w:p>
      <w:pPr>
        <w:ind w:firstLine="640"/>
        <w:rPr>
          <w:rFonts w:hint="eastAsia" w:ascii="宋体" w:hAnsi="宋体" w:eastAsia="宋体" w:cs="宋体"/>
          <w:sz w:val="24"/>
          <w:szCs w:val="24"/>
        </w:rPr>
      </w:pPr>
      <w:r>
        <w:rPr>
          <w:rFonts w:hint="eastAsia" w:ascii="宋体" w:hAnsi="宋体" w:eastAsia="宋体" w:cs="宋体"/>
          <w:sz w:val="24"/>
          <w:szCs w:val="24"/>
        </w:rPr>
        <w:t>针对不同承灾体，根据风险指标值分布特征，采用自然断点法将风险分为高、较高、中、较低、低五个等级，可依据风险等级制作大风灾害风险区划图。</w:t>
      </w:r>
    </w:p>
    <w:p>
      <w:pPr>
        <w:pStyle w:val="3"/>
        <w:numPr>
          <w:ilvl w:val="0"/>
          <w:numId w:val="3"/>
        </w:numPr>
        <w:ind w:firstLine="640"/>
        <w:rPr>
          <w:rFonts w:hint="eastAsia" w:ascii="宋体" w:hAnsi="宋体" w:eastAsia="宋体" w:cs="宋体"/>
          <w:sz w:val="24"/>
          <w:szCs w:val="24"/>
        </w:rPr>
      </w:pPr>
      <w:r>
        <w:rPr>
          <w:rFonts w:ascii="宋体" w:hAnsi="宋体" w:eastAsia="宋体" w:cs="宋体"/>
          <w:sz w:val="24"/>
          <w:szCs w:val="24"/>
        </w:rPr>
        <w:t>试验验证的论述</w:t>
      </w:r>
    </w:p>
    <w:p>
      <w:pPr>
        <w:ind w:firstLine="640"/>
        <w:rPr>
          <w:rFonts w:hint="eastAsia" w:ascii="宋体" w:hAnsi="宋体" w:eastAsia="宋体" w:cs="宋体"/>
          <w:sz w:val="24"/>
          <w:szCs w:val="24"/>
        </w:rPr>
      </w:pPr>
      <w:r>
        <w:rPr>
          <w:rFonts w:hint="eastAsia" w:ascii="宋体" w:hAnsi="宋体" w:eastAsia="宋体" w:cs="宋体"/>
          <w:sz w:val="24"/>
          <w:szCs w:val="24"/>
        </w:rPr>
        <w:t>按照本标准的技术规范要求，完成了海南省（三沙除外）的大风灾害风险普查工作，实现普查成果的上报、审核和汇交。</w:t>
      </w:r>
    </w:p>
    <w:p>
      <w:pPr>
        <w:pStyle w:val="4"/>
        <w:ind w:firstLine="640"/>
        <w:rPr>
          <w:rFonts w:hint="eastAsia" w:ascii="宋体" w:hAnsi="宋体" w:eastAsia="宋体" w:cs="宋体"/>
          <w:sz w:val="24"/>
          <w:szCs w:val="24"/>
        </w:rPr>
      </w:pPr>
      <w:r>
        <w:rPr>
          <w:rFonts w:hint="eastAsia" w:ascii="宋体" w:hAnsi="宋体" w:eastAsia="宋体" w:cs="宋体"/>
          <w:sz w:val="24"/>
          <w:szCs w:val="24"/>
        </w:rPr>
        <w:t>1. 灾害事件调查</w:t>
      </w:r>
    </w:p>
    <w:p>
      <w:pPr>
        <w:ind w:firstLine="640"/>
        <w:rPr>
          <w:rFonts w:hint="eastAsia" w:ascii="宋体" w:hAnsi="宋体" w:eastAsia="宋体" w:cs="宋体"/>
          <w:sz w:val="24"/>
          <w:szCs w:val="24"/>
        </w:rPr>
      </w:pPr>
      <w:r>
        <w:rPr>
          <w:rFonts w:hint="eastAsia" w:ascii="宋体" w:hAnsi="宋体" w:eastAsia="宋体" w:cs="宋体"/>
          <w:sz w:val="24"/>
          <w:szCs w:val="24"/>
        </w:rPr>
        <w:t>（1）大风事件统计</w:t>
      </w:r>
    </w:p>
    <w:p>
      <w:pPr>
        <w:ind w:firstLine="640" w:firstLineChars="0"/>
        <w:rPr>
          <w:rFonts w:hint="eastAsia" w:ascii="宋体" w:hAnsi="宋体" w:eastAsia="宋体" w:cs="宋体"/>
          <w:sz w:val="24"/>
          <w:szCs w:val="24"/>
        </w:rPr>
      </w:pPr>
      <w:r>
        <w:rPr>
          <w:rFonts w:hint="eastAsia" w:ascii="宋体" w:hAnsi="宋体" w:eastAsia="宋体" w:cs="宋体"/>
          <w:sz w:val="24"/>
          <w:szCs w:val="24"/>
        </w:rPr>
        <w:t>2001—2025年，海南岛排名前十的日极大风速发生时间及地点如表2所示。最大日极大风速值为51.8m/s，发生在2010年7月16日，出现在三亚市国家气象观测站。</w:t>
      </w:r>
    </w:p>
    <w:p>
      <w:pPr>
        <w:pStyle w:val="18"/>
        <w:rPr>
          <w:rFonts w:hint="eastAsia" w:ascii="宋体" w:hAnsi="宋体" w:eastAsia="宋体" w:cs="宋体"/>
          <w:szCs w:val="24"/>
        </w:rPr>
      </w:pPr>
      <w:r>
        <w:rPr>
          <w:rFonts w:hint="eastAsia" w:ascii="宋体" w:hAnsi="宋体" w:eastAsia="宋体" w:cs="宋体"/>
          <w:szCs w:val="24"/>
        </w:rPr>
        <w:t>表2 海南省1961～2024年日极大风速排序表（前十）</w:t>
      </w:r>
    </w:p>
    <w:tbl>
      <w:tblPr>
        <w:tblStyle w:val="12"/>
        <w:tblW w:w="7466" w:type="dxa"/>
        <w:jc w:val="center"/>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416"/>
        <w:gridCol w:w="4110"/>
        <w:gridCol w:w="1985"/>
      </w:tblGrid>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1371" w:type="dxa"/>
            <w:tcBorders>
              <w:top w:val="single" w:color="auto" w:sz="4" w:space="0"/>
              <w:bottom w:val="single" w:color="auto" w:sz="4" w:space="0"/>
            </w:tcBorders>
            <w:noWrap/>
            <w:vAlign w:val="center"/>
          </w:tcPr>
          <w:p>
            <w:pPr>
              <w:pStyle w:val="18"/>
              <w:rPr>
                <w:rFonts w:hint="eastAsia" w:ascii="宋体" w:hAnsi="宋体" w:eastAsia="宋体" w:cs="宋体"/>
                <w:szCs w:val="24"/>
              </w:rPr>
            </w:pPr>
            <w:r>
              <w:rPr>
                <w:rFonts w:hint="eastAsia" w:ascii="宋体" w:hAnsi="宋体" w:eastAsia="宋体" w:cs="宋体"/>
                <w:szCs w:val="24"/>
              </w:rPr>
              <w:t>日期</w:t>
            </w:r>
          </w:p>
        </w:tc>
        <w:tc>
          <w:tcPr>
            <w:tcW w:w="4110" w:type="dxa"/>
            <w:tcBorders>
              <w:top w:val="single" w:color="auto" w:sz="4" w:space="0"/>
              <w:bottom w:val="single" w:color="auto" w:sz="4" w:space="0"/>
            </w:tcBorders>
            <w:noWrap/>
            <w:vAlign w:val="center"/>
          </w:tcPr>
          <w:p>
            <w:pPr>
              <w:pStyle w:val="18"/>
              <w:rPr>
                <w:rFonts w:hint="eastAsia" w:ascii="宋体" w:hAnsi="宋体" w:eastAsia="宋体" w:cs="宋体"/>
                <w:szCs w:val="24"/>
              </w:rPr>
            </w:pPr>
            <w:r>
              <w:rPr>
                <w:rFonts w:hint="eastAsia" w:ascii="宋体" w:hAnsi="宋体" w:eastAsia="宋体" w:cs="宋体"/>
                <w:szCs w:val="24"/>
              </w:rPr>
              <w:t>站名</w:t>
            </w:r>
          </w:p>
        </w:tc>
        <w:tc>
          <w:tcPr>
            <w:tcW w:w="1985" w:type="dxa"/>
            <w:tcBorders>
              <w:top w:val="single" w:color="auto" w:sz="4" w:space="0"/>
              <w:bottom w:val="single" w:color="auto" w:sz="4" w:space="0"/>
            </w:tcBorders>
            <w:noWrap/>
            <w:vAlign w:val="center"/>
          </w:tcPr>
          <w:p>
            <w:pPr>
              <w:pStyle w:val="18"/>
              <w:rPr>
                <w:rFonts w:hint="eastAsia" w:ascii="宋体" w:hAnsi="宋体" w:eastAsia="宋体" w:cs="宋体"/>
                <w:szCs w:val="24"/>
              </w:rPr>
            </w:pPr>
            <w:r>
              <w:rPr>
                <w:rFonts w:hint="eastAsia" w:ascii="宋体" w:hAnsi="宋体" w:eastAsia="宋体" w:cs="宋体"/>
                <w:szCs w:val="24"/>
              </w:rPr>
              <w:t>极大风速（m/s）</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1371" w:type="dxa"/>
            <w:tcBorders>
              <w:top w:val="single" w:color="auto" w:sz="4" w:space="0"/>
            </w:tcBorders>
            <w:noWrap/>
            <w:vAlign w:val="bottom"/>
          </w:tcPr>
          <w:p>
            <w:pPr>
              <w:pStyle w:val="18"/>
              <w:rPr>
                <w:rFonts w:hint="eastAsia" w:ascii="宋体" w:hAnsi="宋体" w:eastAsia="宋体" w:cs="宋体"/>
                <w:szCs w:val="24"/>
              </w:rPr>
            </w:pPr>
            <w:r>
              <w:rPr>
                <w:rFonts w:hint="eastAsia" w:ascii="宋体" w:hAnsi="宋体" w:eastAsia="宋体" w:cs="宋体"/>
                <w:szCs w:val="24"/>
              </w:rPr>
              <w:t>2010/7/16</w:t>
            </w:r>
          </w:p>
        </w:tc>
        <w:tc>
          <w:tcPr>
            <w:tcW w:w="4110" w:type="dxa"/>
            <w:tcBorders>
              <w:top w:val="single" w:color="auto" w:sz="4" w:space="0"/>
            </w:tcBorders>
            <w:noWrap/>
            <w:vAlign w:val="bottom"/>
          </w:tcPr>
          <w:p>
            <w:pPr>
              <w:pStyle w:val="18"/>
              <w:rPr>
                <w:rFonts w:hint="eastAsia" w:ascii="宋体" w:hAnsi="宋体" w:eastAsia="宋体" w:cs="宋体"/>
                <w:szCs w:val="24"/>
              </w:rPr>
            </w:pPr>
            <w:r>
              <w:rPr>
                <w:rFonts w:hint="eastAsia" w:ascii="宋体" w:hAnsi="宋体" w:eastAsia="宋体" w:cs="宋体"/>
                <w:szCs w:val="24"/>
              </w:rPr>
              <w:t>三亚(59948)</w:t>
            </w:r>
          </w:p>
        </w:tc>
        <w:tc>
          <w:tcPr>
            <w:tcW w:w="1985" w:type="dxa"/>
            <w:tcBorders>
              <w:top w:val="single" w:color="auto" w:sz="4" w:space="0"/>
            </w:tcBorders>
            <w:noWrap/>
            <w:vAlign w:val="bottom"/>
          </w:tcPr>
          <w:p>
            <w:pPr>
              <w:pStyle w:val="18"/>
              <w:rPr>
                <w:rFonts w:hint="eastAsia" w:ascii="宋体" w:hAnsi="宋体" w:eastAsia="宋体" w:cs="宋体"/>
                <w:szCs w:val="24"/>
              </w:rPr>
            </w:pPr>
            <w:r>
              <w:rPr>
                <w:rFonts w:hint="eastAsia" w:ascii="宋体" w:hAnsi="宋体" w:eastAsia="宋体" w:cs="宋体"/>
                <w:szCs w:val="24"/>
              </w:rPr>
              <w:t>51.8</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1371" w:type="dxa"/>
            <w:noWrap/>
            <w:vAlign w:val="bottom"/>
          </w:tcPr>
          <w:p>
            <w:pPr>
              <w:pStyle w:val="18"/>
              <w:rPr>
                <w:rFonts w:hint="eastAsia" w:ascii="宋体" w:hAnsi="宋体" w:eastAsia="宋体" w:cs="宋体"/>
                <w:szCs w:val="24"/>
              </w:rPr>
            </w:pPr>
            <w:r>
              <w:rPr>
                <w:rFonts w:hint="eastAsia" w:ascii="宋体" w:hAnsi="宋体" w:eastAsia="宋体" w:cs="宋体"/>
                <w:szCs w:val="24"/>
              </w:rPr>
              <w:t>2010/7/17</w:t>
            </w:r>
          </w:p>
        </w:tc>
        <w:tc>
          <w:tcPr>
            <w:tcW w:w="4110" w:type="dxa"/>
            <w:noWrap/>
            <w:vAlign w:val="bottom"/>
          </w:tcPr>
          <w:p>
            <w:pPr>
              <w:pStyle w:val="18"/>
              <w:rPr>
                <w:rFonts w:hint="eastAsia" w:ascii="宋体" w:hAnsi="宋体" w:eastAsia="宋体" w:cs="宋体"/>
                <w:szCs w:val="24"/>
              </w:rPr>
            </w:pPr>
            <w:r>
              <w:rPr>
                <w:rFonts w:hint="eastAsia" w:ascii="宋体" w:hAnsi="宋体" w:eastAsia="宋体" w:cs="宋体"/>
                <w:szCs w:val="24"/>
              </w:rPr>
              <w:t>三亚(59948)</w:t>
            </w:r>
          </w:p>
        </w:tc>
        <w:tc>
          <w:tcPr>
            <w:tcW w:w="1985" w:type="dxa"/>
            <w:noWrap/>
            <w:vAlign w:val="bottom"/>
          </w:tcPr>
          <w:p>
            <w:pPr>
              <w:pStyle w:val="18"/>
              <w:rPr>
                <w:rFonts w:hint="eastAsia" w:ascii="宋体" w:hAnsi="宋体" w:eastAsia="宋体" w:cs="宋体"/>
                <w:szCs w:val="24"/>
              </w:rPr>
            </w:pPr>
            <w:r>
              <w:rPr>
                <w:rFonts w:hint="eastAsia" w:ascii="宋体" w:hAnsi="宋体" w:eastAsia="宋体" w:cs="宋体"/>
                <w:szCs w:val="24"/>
              </w:rPr>
              <w:t>46</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1371" w:type="dxa"/>
            <w:noWrap/>
            <w:vAlign w:val="bottom"/>
          </w:tcPr>
          <w:p>
            <w:pPr>
              <w:pStyle w:val="18"/>
              <w:rPr>
                <w:rFonts w:hint="eastAsia" w:ascii="宋体" w:hAnsi="宋体" w:eastAsia="宋体" w:cs="宋体"/>
                <w:szCs w:val="24"/>
              </w:rPr>
            </w:pPr>
            <w:r>
              <w:rPr>
                <w:rFonts w:hint="eastAsia" w:ascii="宋体" w:hAnsi="宋体" w:eastAsia="宋体" w:cs="宋体"/>
                <w:szCs w:val="24"/>
              </w:rPr>
              <w:t>2025/8/24</w:t>
            </w:r>
          </w:p>
        </w:tc>
        <w:tc>
          <w:tcPr>
            <w:tcW w:w="4110" w:type="dxa"/>
            <w:noWrap/>
            <w:vAlign w:val="bottom"/>
          </w:tcPr>
          <w:p>
            <w:pPr>
              <w:pStyle w:val="18"/>
              <w:rPr>
                <w:rFonts w:hint="eastAsia" w:ascii="宋体" w:hAnsi="宋体" w:eastAsia="宋体" w:cs="宋体"/>
                <w:szCs w:val="24"/>
              </w:rPr>
            </w:pPr>
            <w:r>
              <w:rPr>
                <w:rFonts w:hint="eastAsia" w:ascii="宋体" w:hAnsi="宋体" w:eastAsia="宋体" w:cs="宋体"/>
                <w:szCs w:val="24"/>
              </w:rPr>
              <w:t>三亚(59948)</w:t>
            </w:r>
          </w:p>
        </w:tc>
        <w:tc>
          <w:tcPr>
            <w:tcW w:w="1985" w:type="dxa"/>
            <w:noWrap/>
            <w:vAlign w:val="bottom"/>
          </w:tcPr>
          <w:p>
            <w:pPr>
              <w:pStyle w:val="18"/>
              <w:rPr>
                <w:rFonts w:hint="eastAsia" w:ascii="宋体" w:hAnsi="宋体" w:eastAsia="宋体" w:cs="宋体"/>
                <w:szCs w:val="24"/>
              </w:rPr>
            </w:pPr>
            <w:r>
              <w:rPr>
                <w:rFonts w:hint="eastAsia" w:ascii="宋体" w:hAnsi="宋体" w:eastAsia="宋体" w:cs="宋体"/>
                <w:szCs w:val="24"/>
              </w:rPr>
              <w:t>44.3</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1371" w:type="dxa"/>
            <w:noWrap/>
            <w:vAlign w:val="bottom"/>
          </w:tcPr>
          <w:p>
            <w:pPr>
              <w:pStyle w:val="18"/>
              <w:rPr>
                <w:rFonts w:hint="eastAsia" w:ascii="宋体" w:hAnsi="宋体" w:eastAsia="宋体" w:cs="宋体"/>
                <w:szCs w:val="24"/>
              </w:rPr>
            </w:pPr>
            <w:r>
              <w:rPr>
                <w:rFonts w:hint="eastAsia" w:ascii="宋体" w:hAnsi="宋体" w:eastAsia="宋体" w:cs="宋体"/>
                <w:szCs w:val="24"/>
              </w:rPr>
              <w:t>2017/9/15</w:t>
            </w:r>
          </w:p>
        </w:tc>
        <w:tc>
          <w:tcPr>
            <w:tcW w:w="4110" w:type="dxa"/>
            <w:noWrap/>
            <w:vAlign w:val="bottom"/>
          </w:tcPr>
          <w:p>
            <w:pPr>
              <w:pStyle w:val="18"/>
              <w:rPr>
                <w:rFonts w:hint="eastAsia" w:ascii="宋体" w:hAnsi="宋体" w:eastAsia="宋体" w:cs="宋体"/>
                <w:szCs w:val="24"/>
              </w:rPr>
            </w:pPr>
            <w:r>
              <w:rPr>
                <w:rFonts w:hint="eastAsia" w:ascii="宋体" w:hAnsi="宋体" w:eastAsia="宋体" w:cs="宋体"/>
                <w:szCs w:val="24"/>
              </w:rPr>
              <w:t>三亚(59948)</w:t>
            </w:r>
          </w:p>
        </w:tc>
        <w:tc>
          <w:tcPr>
            <w:tcW w:w="1985" w:type="dxa"/>
            <w:noWrap/>
            <w:vAlign w:val="bottom"/>
          </w:tcPr>
          <w:p>
            <w:pPr>
              <w:pStyle w:val="18"/>
              <w:rPr>
                <w:rFonts w:hint="eastAsia" w:ascii="宋体" w:hAnsi="宋体" w:eastAsia="宋体" w:cs="宋体"/>
                <w:szCs w:val="24"/>
              </w:rPr>
            </w:pPr>
            <w:r>
              <w:rPr>
                <w:rFonts w:hint="eastAsia" w:ascii="宋体" w:hAnsi="宋体" w:eastAsia="宋体" w:cs="宋体"/>
                <w:szCs w:val="24"/>
              </w:rPr>
              <w:t>44</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1371" w:type="dxa"/>
            <w:noWrap/>
            <w:vAlign w:val="bottom"/>
          </w:tcPr>
          <w:p>
            <w:pPr>
              <w:pStyle w:val="18"/>
              <w:rPr>
                <w:rFonts w:hint="eastAsia" w:ascii="宋体" w:hAnsi="宋体" w:eastAsia="宋体" w:cs="宋体"/>
                <w:szCs w:val="24"/>
              </w:rPr>
            </w:pPr>
            <w:r>
              <w:rPr>
                <w:rFonts w:hint="eastAsia" w:ascii="宋体" w:hAnsi="宋体" w:eastAsia="宋体" w:cs="宋体"/>
                <w:szCs w:val="24"/>
              </w:rPr>
              <w:t>2024/9/6</w:t>
            </w:r>
          </w:p>
        </w:tc>
        <w:tc>
          <w:tcPr>
            <w:tcW w:w="4110" w:type="dxa"/>
            <w:noWrap/>
            <w:vAlign w:val="bottom"/>
          </w:tcPr>
          <w:p>
            <w:pPr>
              <w:pStyle w:val="18"/>
              <w:rPr>
                <w:rFonts w:hint="eastAsia" w:ascii="宋体" w:hAnsi="宋体" w:eastAsia="宋体" w:cs="宋体"/>
                <w:szCs w:val="24"/>
              </w:rPr>
            </w:pPr>
            <w:r>
              <w:rPr>
                <w:rFonts w:hint="eastAsia" w:ascii="宋体" w:hAnsi="宋体" w:eastAsia="宋体" w:cs="宋体"/>
                <w:szCs w:val="24"/>
              </w:rPr>
              <w:t>定安(59851)</w:t>
            </w:r>
          </w:p>
        </w:tc>
        <w:tc>
          <w:tcPr>
            <w:tcW w:w="1985" w:type="dxa"/>
            <w:noWrap/>
            <w:vAlign w:val="bottom"/>
          </w:tcPr>
          <w:p>
            <w:pPr>
              <w:pStyle w:val="18"/>
              <w:rPr>
                <w:rFonts w:hint="eastAsia" w:ascii="宋体" w:hAnsi="宋体" w:eastAsia="宋体" w:cs="宋体"/>
                <w:szCs w:val="24"/>
              </w:rPr>
            </w:pPr>
            <w:r>
              <w:rPr>
                <w:rFonts w:hint="eastAsia" w:ascii="宋体" w:hAnsi="宋体" w:eastAsia="宋体" w:cs="宋体"/>
                <w:szCs w:val="24"/>
              </w:rPr>
              <w:t>42.2</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1371" w:type="dxa"/>
            <w:noWrap/>
            <w:vAlign w:val="bottom"/>
          </w:tcPr>
          <w:p>
            <w:pPr>
              <w:pStyle w:val="18"/>
              <w:rPr>
                <w:rFonts w:hint="eastAsia" w:ascii="宋体" w:hAnsi="宋体" w:eastAsia="宋体" w:cs="宋体"/>
                <w:szCs w:val="24"/>
              </w:rPr>
            </w:pPr>
            <w:r>
              <w:rPr>
                <w:rFonts w:hint="eastAsia" w:ascii="宋体" w:hAnsi="宋体" w:eastAsia="宋体" w:cs="宋体"/>
                <w:szCs w:val="24"/>
              </w:rPr>
              <w:t>2024/9/6</w:t>
            </w:r>
          </w:p>
        </w:tc>
        <w:tc>
          <w:tcPr>
            <w:tcW w:w="4110" w:type="dxa"/>
            <w:noWrap/>
            <w:vAlign w:val="bottom"/>
          </w:tcPr>
          <w:p>
            <w:pPr>
              <w:pStyle w:val="18"/>
              <w:rPr>
                <w:rFonts w:hint="eastAsia" w:ascii="宋体" w:hAnsi="宋体" w:eastAsia="宋体" w:cs="宋体"/>
                <w:szCs w:val="24"/>
              </w:rPr>
            </w:pPr>
            <w:r>
              <w:rPr>
                <w:rFonts w:hint="eastAsia" w:ascii="宋体" w:hAnsi="宋体" w:eastAsia="宋体" w:cs="宋体"/>
                <w:szCs w:val="24"/>
              </w:rPr>
              <w:t>文昌(59856)</w:t>
            </w:r>
          </w:p>
        </w:tc>
        <w:tc>
          <w:tcPr>
            <w:tcW w:w="1985" w:type="dxa"/>
            <w:noWrap/>
            <w:vAlign w:val="bottom"/>
          </w:tcPr>
          <w:p>
            <w:pPr>
              <w:pStyle w:val="18"/>
              <w:rPr>
                <w:rFonts w:hint="eastAsia" w:ascii="宋体" w:hAnsi="宋体" w:eastAsia="宋体" w:cs="宋体"/>
                <w:szCs w:val="24"/>
              </w:rPr>
            </w:pPr>
            <w:r>
              <w:rPr>
                <w:rFonts w:hint="eastAsia" w:ascii="宋体" w:hAnsi="宋体" w:eastAsia="宋体" w:cs="宋体"/>
                <w:szCs w:val="24"/>
              </w:rPr>
              <w:t>42.1</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1371" w:type="dxa"/>
            <w:noWrap/>
            <w:vAlign w:val="bottom"/>
          </w:tcPr>
          <w:p>
            <w:pPr>
              <w:pStyle w:val="18"/>
              <w:rPr>
                <w:rFonts w:hint="eastAsia" w:ascii="宋体" w:hAnsi="宋体" w:eastAsia="宋体" w:cs="宋体"/>
                <w:szCs w:val="24"/>
              </w:rPr>
            </w:pPr>
            <w:r>
              <w:rPr>
                <w:rFonts w:hint="eastAsia" w:ascii="宋体" w:hAnsi="宋体" w:eastAsia="宋体" w:cs="宋体"/>
                <w:szCs w:val="24"/>
              </w:rPr>
              <w:t>2024/9/6</w:t>
            </w:r>
          </w:p>
        </w:tc>
        <w:tc>
          <w:tcPr>
            <w:tcW w:w="4110" w:type="dxa"/>
            <w:noWrap/>
            <w:vAlign w:val="bottom"/>
          </w:tcPr>
          <w:p>
            <w:pPr>
              <w:pStyle w:val="18"/>
              <w:rPr>
                <w:rFonts w:hint="eastAsia" w:ascii="宋体" w:hAnsi="宋体" w:eastAsia="宋体" w:cs="宋体"/>
                <w:szCs w:val="24"/>
              </w:rPr>
            </w:pPr>
            <w:r>
              <w:rPr>
                <w:rFonts w:hint="eastAsia" w:ascii="宋体" w:hAnsi="宋体" w:eastAsia="宋体" w:cs="宋体"/>
                <w:szCs w:val="24"/>
              </w:rPr>
              <w:t>海口(59758)</w:t>
            </w:r>
          </w:p>
        </w:tc>
        <w:tc>
          <w:tcPr>
            <w:tcW w:w="1985" w:type="dxa"/>
            <w:noWrap/>
            <w:vAlign w:val="bottom"/>
          </w:tcPr>
          <w:p>
            <w:pPr>
              <w:pStyle w:val="18"/>
              <w:rPr>
                <w:rFonts w:hint="eastAsia" w:ascii="宋体" w:hAnsi="宋体" w:eastAsia="宋体" w:cs="宋体"/>
                <w:szCs w:val="24"/>
              </w:rPr>
            </w:pPr>
            <w:r>
              <w:rPr>
                <w:rFonts w:hint="eastAsia" w:ascii="宋体" w:hAnsi="宋体" w:eastAsia="宋体" w:cs="宋体"/>
                <w:szCs w:val="24"/>
              </w:rPr>
              <w:t>41.9</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1371" w:type="dxa"/>
            <w:noWrap/>
            <w:vAlign w:val="bottom"/>
          </w:tcPr>
          <w:p>
            <w:pPr>
              <w:pStyle w:val="18"/>
              <w:rPr>
                <w:rFonts w:hint="eastAsia" w:ascii="宋体" w:hAnsi="宋体" w:eastAsia="宋体" w:cs="宋体"/>
                <w:szCs w:val="24"/>
              </w:rPr>
            </w:pPr>
            <w:r>
              <w:rPr>
                <w:rFonts w:hint="eastAsia" w:ascii="宋体" w:hAnsi="宋体" w:eastAsia="宋体" w:cs="宋体"/>
                <w:szCs w:val="24"/>
              </w:rPr>
              <w:t>2008/4/17</w:t>
            </w:r>
          </w:p>
        </w:tc>
        <w:tc>
          <w:tcPr>
            <w:tcW w:w="4110" w:type="dxa"/>
            <w:noWrap/>
            <w:vAlign w:val="bottom"/>
          </w:tcPr>
          <w:p>
            <w:pPr>
              <w:pStyle w:val="18"/>
              <w:rPr>
                <w:rFonts w:hint="eastAsia" w:ascii="宋体" w:hAnsi="宋体" w:eastAsia="宋体" w:cs="宋体"/>
                <w:szCs w:val="24"/>
              </w:rPr>
            </w:pPr>
            <w:r>
              <w:rPr>
                <w:rFonts w:hint="eastAsia" w:ascii="宋体" w:hAnsi="宋体" w:eastAsia="宋体" w:cs="宋体"/>
                <w:szCs w:val="24"/>
              </w:rPr>
              <w:t>三沙(59981)</w:t>
            </w:r>
          </w:p>
        </w:tc>
        <w:tc>
          <w:tcPr>
            <w:tcW w:w="1985" w:type="dxa"/>
            <w:noWrap/>
            <w:vAlign w:val="bottom"/>
          </w:tcPr>
          <w:p>
            <w:pPr>
              <w:pStyle w:val="18"/>
              <w:rPr>
                <w:rFonts w:hint="eastAsia" w:ascii="宋体" w:hAnsi="宋体" w:eastAsia="宋体" w:cs="宋体"/>
                <w:szCs w:val="24"/>
              </w:rPr>
            </w:pPr>
            <w:r>
              <w:rPr>
                <w:rFonts w:hint="eastAsia" w:ascii="宋体" w:hAnsi="宋体" w:eastAsia="宋体" w:cs="宋体"/>
                <w:szCs w:val="24"/>
              </w:rPr>
              <w:t>41.6</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1371" w:type="dxa"/>
            <w:noWrap/>
            <w:vAlign w:val="bottom"/>
          </w:tcPr>
          <w:p>
            <w:pPr>
              <w:pStyle w:val="18"/>
              <w:rPr>
                <w:rFonts w:hint="eastAsia" w:ascii="宋体" w:hAnsi="宋体" w:eastAsia="宋体" w:cs="宋体"/>
                <w:szCs w:val="24"/>
              </w:rPr>
            </w:pPr>
            <w:r>
              <w:rPr>
                <w:rFonts w:hint="eastAsia" w:ascii="宋体" w:hAnsi="宋体" w:eastAsia="宋体" w:cs="宋体"/>
                <w:szCs w:val="24"/>
              </w:rPr>
              <w:t>2010/7/16</w:t>
            </w:r>
          </w:p>
        </w:tc>
        <w:tc>
          <w:tcPr>
            <w:tcW w:w="4110" w:type="dxa"/>
            <w:noWrap/>
            <w:vAlign w:val="bottom"/>
          </w:tcPr>
          <w:p>
            <w:pPr>
              <w:pStyle w:val="18"/>
              <w:rPr>
                <w:rFonts w:hint="eastAsia" w:ascii="宋体" w:hAnsi="宋体" w:eastAsia="宋体" w:cs="宋体"/>
                <w:szCs w:val="24"/>
              </w:rPr>
            </w:pPr>
            <w:r>
              <w:rPr>
                <w:rFonts w:hint="eastAsia" w:ascii="宋体" w:hAnsi="宋体" w:eastAsia="宋体" w:cs="宋体"/>
                <w:szCs w:val="24"/>
              </w:rPr>
              <w:t>三沙(59981)</w:t>
            </w:r>
          </w:p>
        </w:tc>
        <w:tc>
          <w:tcPr>
            <w:tcW w:w="1985" w:type="dxa"/>
            <w:noWrap/>
            <w:vAlign w:val="bottom"/>
          </w:tcPr>
          <w:p>
            <w:pPr>
              <w:pStyle w:val="18"/>
              <w:rPr>
                <w:rFonts w:hint="eastAsia" w:ascii="宋体" w:hAnsi="宋体" w:eastAsia="宋体" w:cs="宋体"/>
                <w:szCs w:val="24"/>
              </w:rPr>
            </w:pPr>
            <w:r>
              <w:rPr>
                <w:rFonts w:hint="eastAsia" w:ascii="宋体" w:hAnsi="宋体" w:eastAsia="宋体" w:cs="宋体"/>
                <w:szCs w:val="24"/>
              </w:rPr>
              <w:t>40.2</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1371" w:type="dxa"/>
            <w:noWrap/>
            <w:vAlign w:val="bottom"/>
          </w:tcPr>
          <w:p>
            <w:pPr>
              <w:pStyle w:val="18"/>
              <w:rPr>
                <w:rFonts w:hint="eastAsia" w:ascii="宋体" w:hAnsi="宋体" w:eastAsia="宋体" w:cs="宋体"/>
                <w:szCs w:val="24"/>
              </w:rPr>
            </w:pPr>
            <w:r>
              <w:rPr>
                <w:rFonts w:hint="eastAsia" w:ascii="宋体" w:hAnsi="宋体" w:eastAsia="宋体" w:cs="宋体"/>
                <w:szCs w:val="24"/>
              </w:rPr>
              <w:t>2006/12/13</w:t>
            </w:r>
          </w:p>
        </w:tc>
        <w:tc>
          <w:tcPr>
            <w:tcW w:w="4110" w:type="dxa"/>
            <w:noWrap/>
            <w:vAlign w:val="bottom"/>
          </w:tcPr>
          <w:p>
            <w:pPr>
              <w:pStyle w:val="18"/>
              <w:rPr>
                <w:rFonts w:hint="eastAsia" w:ascii="宋体" w:hAnsi="宋体" w:eastAsia="宋体" w:cs="宋体"/>
                <w:szCs w:val="24"/>
              </w:rPr>
            </w:pPr>
            <w:r>
              <w:rPr>
                <w:rFonts w:hint="eastAsia" w:ascii="宋体" w:hAnsi="宋体" w:eastAsia="宋体" w:cs="宋体"/>
                <w:szCs w:val="24"/>
              </w:rPr>
              <w:t>三沙(59981)</w:t>
            </w:r>
          </w:p>
        </w:tc>
        <w:tc>
          <w:tcPr>
            <w:tcW w:w="1985" w:type="dxa"/>
            <w:noWrap/>
            <w:vAlign w:val="bottom"/>
          </w:tcPr>
          <w:p>
            <w:pPr>
              <w:pStyle w:val="18"/>
              <w:rPr>
                <w:rFonts w:hint="eastAsia" w:ascii="宋体" w:hAnsi="宋体" w:eastAsia="宋体" w:cs="宋体"/>
                <w:szCs w:val="24"/>
              </w:rPr>
            </w:pPr>
            <w:r>
              <w:rPr>
                <w:rFonts w:hint="eastAsia" w:ascii="宋体" w:hAnsi="宋体" w:eastAsia="宋体" w:cs="宋体"/>
                <w:szCs w:val="24"/>
              </w:rPr>
              <w:t>40</w:t>
            </w:r>
          </w:p>
        </w:tc>
      </w:tr>
    </w:tbl>
    <w:p>
      <w:pPr>
        <w:ind w:firstLine="640"/>
        <w:rPr>
          <w:rFonts w:hint="eastAsia" w:ascii="宋体" w:hAnsi="宋体" w:eastAsia="宋体" w:cs="宋体"/>
          <w:sz w:val="24"/>
          <w:szCs w:val="24"/>
        </w:rPr>
      </w:pPr>
      <w:r>
        <w:rPr>
          <w:rFonts w:hint="eastAsia" w:ascii="宋体" w:hAnsi="宋体" w:eastAsia="宋体" w:cs="宋体"/>
          <w:sz w:val="24"/>
          <w:szCs w:val="24"/>
        </w:rPr>
        <w:t>2001—2024年，海南省年平均大风日数为3.1天，呈逐年上升趋势，2023年大风日数最多，为6.3天，2017年大风日数最少，为1.3天（图4）。</w:t>
      </w:r>
    </w:p>
    <w:p>
      <w:pPr>
        <w:ind w:firstLine="640"/>
        <w:jc w:val="left"/>
        <w:rPr>
          <w:rFonts w:hint="eastAsia" w:ascii="宋体" w:hAnsi="宋体" w:eastAsia="宋体" w:cs="宋体"/>
          <w:sz w:val="24"/>
          <w:szCs w:val="24"/>
        </w:rPr>
      </w:pPr>
      <w:r>
        <w:rPr>
          <w:rFonts w:hint="eastAsia" w:ascii="宋体" w:hAnsi="宋体" w:eastAsia="宋体" w:cs="宋体"/>
          <w:sz w:val="24"/>
          <w:szCs w:val="24"/>
        </w:rPr>
        <w:t>2001—2024年，海南省年平均极大风速为30.5 m/s，呈略微上升趋势，2014年极大风速最大，45.6 m/s，2020年极大风速最小，24.0 m/s（图5）。</w:t>
      </w:r>
    </w:p>
    <w:p>
      <w:pPr>
        <w:spacing w:line="240" w:lineRule="auto"/>
        <w:ind w:firstLine="0" w:firstLineChars="0"/>
        <w:jc w:val="center"/>
        <w:rPr>
          <w:rFonts w:hint="eastAsia" w:ascii="宋体" w:hAnsi="宋体" w:eastAsia="宋体" w:cs="宋体"/>
          <w:sz w:val="24"/>
          <w:szCs w:val="24"/>
        </w:rPr>
      </w:pPr>
      <w:r>
        <w:rPr>
          <w:rFonts w:hint="eastAsia" w:ascii="宋体" w:hAnsi="宋体" w:eastAsia="宋体" w:cs="宋体"/>
          <w:sz w:val="24"/>
          <w:szCs w:val="24"/>
        </w:rPr>
        <w:drawing>
          <wp:inline distT="0" distB="0" distL="0" distR="0">
            <wp:extent cx="4679950" cy="2705735"/>
            <wp:effectExtent l="0" t="0" r="6350" b="0"/>
            <wp:docPr id="246492049"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pPr>
        <w:spacing w:line="240" w:lineRule="auto"/>
        <w:ind w:firstLine="0" w:firstLineChars="0"/>
        <w:jc w:val="center"/>
        <w:rPr>
          <w:rFonts w:hint="eastAsia" w:ascii="宋体" w:hAnsi="宋体" w:eastAsia="宋体" w:cs="宋体"/>
          <w:sz w:val="24"/>
          <w:szCs w:val="24"/>
        </w:rPr>
      </w:pPr>
      <w:bookmarkStart w:id="2" w:name="_Ref174697817"/>
      <w:r>
        <w:rPr>
          <w:rFonts w:hint="eastAsia" w:ascii="宋体" w:hAnsi="宋体" w:eastAsia="宋体" w:cs="宋体"/>
          <w:sz w:val="24"/>
          <w:szCs w:val="24"/>
        </w:rPr>
        <w:t xml:space="preserve">图4 </w:t>
      </w:r>
      <w:bookmarkEnd w:id="2"/>
      <w:r>
        <w:rPr>
          <w:rFonts w:hint="eastAsia" w:ascii="宋体" w:hAnsi="宋体" w:eastAsia="宋体" w:cs="宋体"/>
          <w:sz w:val="24"/>
          <w:szCs w:val="24"/>
        </w:rPr>
        <w:t>海南省2001—2024年大风日数历年变化图</w:t>
      </w:r>
    </w:p>
    <w:p>
      <w:pPr>
        <w:spacing w:line="240" w:lineRule="auto"/>
        <w:ind w:firstLine="0" w:firstLineChars="0"/>
        <w:jc w:val="center"/>
        <w:rPr>
          <w:rFonts w:hint="eastAsia" w:ascii="宋体" w:hAnsi="宋体" w:eastAsia="宋体" w:cs="宋体"/>
          <w:sz w:val="24"/>
          <w:szCs w:val="24"/>
        </w:rPr>
      </w:pPr>
    </w:p>
    <w:p>
      <w:pPr>
        <w:spacing w:line="240" w:lineRule="auto"/>
        <w:ind w:firstLine="0" w:firstLineChars="0"/>
        <w:rPr>
          <w:rFonts w:hint="eastAsia" w:ascii="宋体" w:hAnsi="宋体" w:eastAsia="宋体" w:cs="宋体"/>
          <w:sz w:val="24"/>
          <w:szCs w:val="24"/>
        </w:rPr>
      </w:pPr>
    </w:p>
    <w:p>
      <w:pPr>
        <w:spacing w:line="240" w:lineRule="auto"/>
        <w:ind w:firstLine="0" w:firstLineChars="0"/>
        <w:jc w:val="center"/>
        <w:rPr>
          <w:rFonts w:hint="eastAsia" w:ascii="宋体" w:hAnsi="宋体" w:eastAsia="宋体" w:cs="宋体"/>
          <w:sz w:val="24"/>
          <w:szCs w:val="24"/>
        </w:rPr>
      </w:pPr>
      <w:r>
        <w:rPr>
          <w:rFonts w:hint="eastAsia" w:ascii="宋体" w:hAnsi="宋体" w:eastAsia="宋体" w:cs="宋体"/>
          <w:sz w:val="24"/>
          <w:szCs w:val="24"/>
        </w:rPr>
        <w:drawing>
          <wp:inline distT="0" distB="0" distL="0" distR="0">
            <wp:extent cx="4679950" cy="2705735"/>
            <wp:effectExtent l="0" t="0" r="6350" b="0"/>
            <wp:docPr id="18463456"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pPr>
        <w:pStyle w:val="18"/>
        <w:rPr>
          <w:rFonts w:hint="eastAsia" w:ascii="宋体" w:hAnsi="宋体" w:eastAsia="宋体" w:cs="宋体"/>
          <w:szCs w:val="24"/>
        </w:rPr>
      </w:pPr>
      <w:r>
        <w:rPr>
          <w:rFonts w:hint="eastAsia" w:ascii="宋体" w:hAnsi="宋体" w:eastAsia="宋体" w:cs="宋体"/>
          <w:szCs w:val="24"/>
        </w:rPr>
        <w:t>图5 2001—2025年日极大风速历年变化图</w:t>
      </w:r>
    </w:p>
    <w:p>
      <w:pPr>
        <w:spacing w:line="240" w:lineRule="auto"/>
        <w:ind w:firstLine="640"/>
        <w:jc w:val="left"/>
        <w:rPr>
          <w:rFonts w:hint="eastAsia" w:ascii="宋体" w:hAnsi="宋体" w:eastAsia="宋体" w:cs="宋体"/>
          <w:sz w:val="24"/>
          <w:szCs w:val="24"/>
        </w:rPr>
      </w:pPr>
      <w:r>
        <w:rPr>
          <w:rFonts w:hint="eastAsia" w:ascii="宋体" w:hAnsi="宋体" w:eastAsia="宋体" w:cs="宋体"/>
          <w:sz w:val="24"/>
          <w:szCs w:val="24"/>
        </w:rPr>
        <w:t>（2）承灾体</w:t>
      </w:r>
    </w:p>
    <w:p>
      <w:pPr>
        <w:spacing w:line="240" w:lineRule="auto"/>
        <w:ind w:firstLine="640"/>
        <w:jc w:val="left"/>
        <w:rPr>
          <w:rFonts w:hint="eastAsia" w:ascii="宋体" w:hAnsi="宋体" w:eastAsia="宋体" w:cs="宋体"/>
          <w:sz w:val="24"/>
          <w:szCs w:val="24"/>
        </w:rPr>
      </w:pPr>
      <w:r>
        <w:rPr>
          <w:rFonts w:hint="eastAsia" w:ascii="宋体" w:hAnsi="宋体" w:eastAsia="宋体" w:cs="宋体"/>
          <w:sz w:val="24"/>
          <w:szCs w:val="24"/>
        </w:rPr>
        <w:t>海南省人口密集区主要分布在海口、三亚、儋州、澄迈、琼海、东方等地的中心城区（图6）。</w:t>
      </w:r>
    </w:p>
    <w:p>
      <w:pPr>
        <w:spacing w:line="240" w:lineRule="auto"/>
        <w:ind w:firstLine="640"/>
        <w:jc w:val="left"/>
        <w:rPr>
          <w:rFonts w:hint="eastAsia" w:ascii="宋体" w:hAnsi="宋体" w:eastAsia="宋体" w:cs="宋体"/>
          <w:sz w:val="24"/>
          <w:szCs w:val="24"/>
        </w:rPr>
      </w:pPr>
      <w:r>
        <w:rPr>
          <w:rFonts w:hint="eastAsia" w:ascii="宋体" w:hAnsi="宋体" w:eastAsia="宋体" w:cs="宋体"/>
          <w:sz w:val="24"/>
          <w:szCs w:val="24"/>
        </w:rPr>
        <w:t>海南省经济发达区主要分布在海口、澄迈、三亚、琼海等地的中心城区（图7）。</w:t>
      </w:r>
    </w:p>
    <w:p>
      <w:pPr>
        <w:spacing w:line="240" w:lineRule="auto"/>
        <w:ind w:firstLine="640"/>
        <w:jc w:val="left"/>
        <w:rPr>
          <w:rFonts w:hint="eastAsia" w:ascii="宋体" w:hAnsi="宋体" w:eastAsia="宋体" w:cs="宋体"/>
          <w:sz w:val="24"/>
          <w:szCs w:val="24"/>
        </w:rPr>
      </w:pPr>
      <w:r>
        <w:rPr>
          <w:rFonts w:hint="eastAsia" w:ascii="宋体" w:hAnsi="宋体" w:eastAsia="宋体" w:cs="宋体"/>
          <w:sz w:val="24"/>
          <w:szCs w:val="24"/>
        </w:rPr>
        <w:t>海南省水稻种植区主要分布在临高、澄迈、儋州、海口、定安、屯昌、文昌、琼海、万宁、陵水、乐东、东方等地（图8）。</w:t>
      </w:r>
    </w:p>
    <w:p>
      <w:pPr>
        <w:spacing w:line="240" w:lineRule="auto"/>
        <w:ind w:firstLine="640"/>
        <w:jc w:val="left"/>
        <w:rPr>
          <w:rFonts w:hint="eastAsia" w:ascii="宋体" w:hAnsi="宋体" w:eastAsia="宋体" w:cs="宋体"/>
          <w:sz w:val="24"/>
          <w:szCs w:val="24"/>
        </w:rPr>
      </w:pPr>
      <w:r>
        <w:rPr>
          <w:rFonts w:hint="eastAsia" w:ascii="宋体" w:hAnsi="宋体" w:eastAsia="宋体" w:cs="宋体"/>
          <w:sz w:val="24"/>
          <w:szCs w:val="24"/>
        </w:rPr>
        <w:t>海南省玉米种植区主要分布在乐东、儋州、白沙、五指山、三亚等地（图9）。</w:t>
      </w:r>
    </w:p>
    <w:p>
      <w:pPr>
        <w:spacing w:line="240" w:lineRule="auto"/>
        <w:ind w:firstLine="640"/>
        <w:jc w:val="left"/>
        <w:rPr>
          <w:rFonts w:hint="eastAsia" w:ascii="宋体" w:hAnsi="宋体" w:eastAsia="宋体" w:cs="宋体"/>
          <w:sz w:val="24"/>
          <w:szCs w:val="24"/>
        </w:rPr>
      </w:pPr>
      <w:r>
        <w:rPr>
          <w:rFonts w:hint="eastAsia" w:ascii="宋体" w:hAnsi="宋体" w:eastAsia="宋体" w:cs="宋体"/>
          <w:sz w:val="24"/>
          <w:szCs w:val="24"/>
        </w:rPr>
        <w:t>海南省橡胶种植区主要分布在儋州、临高、澄迈、白沙、昌江等地（图10）。</w:t>
      </w:r>
    </w:p>
    <w:p>
      <w:pPr>
        <w:spacing w:line="240" w:lineRule="auto"/>
        <w:ind w:firstLine="640"/>
        <w:jc w:val="left"/>
        <w:rPr>
          <w:rFonts w:hint="eastAsia" w:ascii="宋体" w:hAnsi="宋体" w:eastAsia="宋体" w:cs="宋体"/>
          <w:sz w:val="24"/>
          <w:szCs w:val="24"/>
        </w:rPr>
      </w:pPr>
    </w:p>
    <w:p>
      <w:pPr>
        <w:spacing w:line="240" w:lineRule="auto"/>
        <w:ind w:firstLine="640"/>
        <w:jc w:val="left"/>
        <w:rPr>
          <w:rFonts w:hint="eastAsia" w:ascii="宋体" w:hAnsi="宋体" w:eastAsia="宋体" w:cs="宋体"/>
          <w:sz w:val="24"/>
          <w:szCs w:val="24"/>
        </w:rPr>
      </w:pPr>
    </w:p>
    <w:p>
      <w:pPr>
        <w:pStyle w:val="18"/>
        <w:rPr>
          <w:rFonts w:hint="eastAsia" w:ascii="宋体" w:hAnsi="宋体" w:eastAsia="宋体" w:cs="宋体"/>
          <w:szCs w:val="24"/>
        </w:rPr>
      </w:pPr>
      <w:r>
        <w:rPr>
          <w:rFonts w:hint="eastAsia" w:ascii="宋体" w:hAnsi="宋体" w:eastAsia="宋体" w:cs="宋体"/>
          <w:szCs w:val="24"/>
        </w:rPr>
        <w:drawing>
          <wp:inline distT="0" distB="0" distL="0" distR="0">
            <wp:extent cx="4679950" cy="3491230"/>
            <wp:effectExtent l="0" t="0" r="6350" b="0"/>
            <wp:docPr id="1677298064" name="图片 13" descr="地图&#10;&#10;描述已自动生成"/>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677298064" name="图片 13" descr="地图&#10;&#10;描述已自动生成"/>
                    <pic:cNvPicPr>
                      <a:picLocks noChangeAspect="true" noChangeArrowheads="true"/>
                    </pic:cNvPicPr>
                  </pic:nvPicPr>
                  <pic:blipFill>
                    <a:blip r:embed="rId19" cstate="print">
                      <a:extLst>
                        <a:ext uri="{28A0092B-C50C-407E-A947-70E740481C1C}">
                          <a14:useLocalDpi xmlns:a14="http://schemas.microsoft.com/office/drawing/2010/main" val="false"/>
                        </a:ext>
                      </a:extLst>
                    </a:blip>
                    <a:srcRect/>
                    <a:stretch>
                      <a:fillRect/>
                    </a:stretch>
                  </pic:blipFill>
                  <pic:spPr>
                    <a:xfrm>
                      <a:off x="0" y="0"/>
                      <a:ext cx="4680000" cy="3491613"/>
                    </a:xfrm>
                    <a:prstGeom prst="rect">
                      <a:avLst/>
                    </a:prstGeom>
                    <a:noFill/>
                    <a:ln>
                      <a:noFill/>
                    </a:ln>
                  </pic:spPr>
                </pic:pic>
              </a:graphicData>
            </a:graphic>
          </wp:inline>
        </w:drawing>
      </w:r>
    </w:p>
    <w:p>
      <w:pPr>
        <w:pStyle w:val="18"/>
        <w:rPr>
          <w:rFonts w:hint="eastAsia" w:ascii="宋体" w:hAnsi="宋体" w:eastAsia="宋体" w:cs="宋体"/>
          <w:szCs w:val="24"/>
        </w:rPr>
      </w:pPr>
      <w:r>
        <w:rPr>
          <w:rFonts w:hint="eastAsia" w:ascii="宋体" w:hAnsi="宋体" w:eastAsia="宋体" w:cs="宋体"/>
          <w:szCs w:val="24"/>
        </w:rPr>
        <w:t>图6 海南省人口分布图</w:t>
      </w:r>
    </w:p>
    <w:p>
      <w:pPr>
        <w:spacing w:line="240" w:lineRule="auto"/>
        <w:ind w:firstLineChars="62"/>
        <w:jc w:val="center"/>
        <w:rPr>
          <w:rFonts w:hint="eastAsia" w:ascii="宋体" w:hAnsi="宋体" w:eastAsia="宋体" w:cs="宋体"/>
          <w:sz w:val="24"/>
          <w:szCs w:val="24"/>
        </w:rPr>
      </w:pPr>
      <w:r>
        <w:rPr>
          <w:rFonts w:hint="eastAsia" w:ascii="宋体" w:hAnsi="宋体" w:eastAsia="宋体" w:cs="宋体"/>
          <w:sz w:val="24"/>
          <w:szCs w:val="24"/>
        </w:rPr>
        <w:drawing>
          <wp:inline distT="0" distB="0" distL="0" distR="0">
            <wp:extent cx="4679950" cy="3491230"/>
            <wp:effectExtent l="0" t="0" r="6350" b="0"/>
            <wp:docPr id="2082455687" name="图片 12" descr="地图&#10;&#10;描述已自动生成"/>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082455687" name="图片 12" descr="地图&#10;&#10;描述已自动生成"/>
                    <pic:cNvPicPr>
                      <a:picLocks noChangeAspect="true" noChangeArrowheads="true"/>
                    </pic:cNvPicPr>
                  </pic:nvPicPr>
                  <pic:blipFill>
                    <a:blip r:embed="rId20" cstate="print">
                      <a:extLst>
                        <a:ext uri="{28A0092B-C50C-407E-A947-70E740481C1C}">
                          <a14:useLocalDpi xmlns:a14="http://schemas.microsoft.com/office/drawing/2010/main" val="false"/>
                        </a:ext>
                      </a:extLst>
                    </a:blip>
                    <a:srcRect/>
                    <a:stretch>
                      <a:fillRect/>
                    </a:stretch>
                  </pic:blipFill>
                  <pic:spPr>
                    <a:xfrm>
                      <a:off x="0" y="0"/>
                      <a:ext cx="4680000" cy="3491613"/>
                    </a:xfrm>
                    <a:prstGeom prst="rect">
                      <a:avLst/>
                    </a:prstGeom>
                    <a:noFill/>
                    <a:ln>
                      <a:noFill/>
                    </a:ln>
                  </pic:spPr>
                </pic:pic>
              </a:graphicData>
            </a:graphic>
          </wp:inline>
        </w:drawing>
      </w:r>
    </w:p>
    <w:p>
      <w:pPr>
        <w:pStyle w:val="18"/>
        <w:rPr>
          <w:rFonts w:hint="eastAsia" w:ascii="宋体" w:hAnsi="宋体" w:eastAsia="宋体" w:cs="宋体"/>
          <w:szCs w:val="24"/>
        </w:rPr>
      </w:pPr>
      <w:r>
        <w:rPr>
          <w:rFonts w:hint="eastAsia" w:ascii="宋体" w:hAnsi="宋体" w:eastAsia="宋体" w:cs="宋体"/>
          <w:szCs w:val="24"/>
        </w:rPr>
        <w:t>图7 海南省经济分布图</w:t>
      </w:r>
    </w:p>
    <w:p>
      <w:pPr>
        <w:spacing w:line="240" w:lineRule="auto"/>
        <w:jc w:val="center"/>
        <w:rPr>
          <w:rFonts w:hint="eastAsia" w:ascii="宋体" w:hAnsi="宋体" w:eastAsia="宋体" w:cs="宋体"/>
          <w:sz w:val="24"/>
          <w:szCs w:val="24"/>
        </w:rPr>
      </w:pPr>
      <w:r>
        <w:rPr>
          <w:rFonts w:hint="eastAsia" w:ascii="宋体" w:hAnsi="宋体" w:eastAsia="宋体" w:cs="宋体"/>
          <w:sz w:val="24"/>
          <w:szCs w:val="24"/>
        </w:rPr>
        <w:drawing>
          <wp:inline distT="0" distB="0" distL="0" distR="0">
            <wp:extent cx="4679950" cy="3491230"/>
            <wp:effectExtent l="0" t="0" r="6350" b="0"/>
            <wp:docPr id="770356532" name="图片 1" descr="地图&#10;&#10;描述已自动生成"/>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70356532" name="图片 1" descr="地图&#10;&#10;描述已自动生成"/>
                    <pic:cNvPicPr>
                      <a:picLocks noChangeAspect="true" noChangeArrowheads="true"/>
                    </pic:cNvPicPr>
                  </pic:nvPicPr>
                  <pic:blipFill>
                    <a:blip r:embed="rId21" cstate="print">
                      <a:extLst>
                        <a:ext uri="{28A0092B-C50C-407E-A947-70E740481C1C}">
                          <a14:useLocalDpi xmlns:a14="http://schemas.microsoft.com/office/drawing/2010/main" val="false"/>
                        </a:ext>
                      </a:extLst>
                    </a:blip>
                    <a:srcRect/>
                    <a:stretch>
                      <a:fillRect/>
                    </a:stretch>
                  </pic:blipFill>
                  <pic:spPr>
                    <a:xfrm>
                      <a:off x="0" y="0"/>
                      <a:ext cx="4680000" cy="3491628"/>
                    </a:xfrm>
                    <a:prstGeom prst="rect">
                      <a:avLst/>
                    </a:prstGeom>
                    <a:noFill/>
                    <a:ln>
                      <a:noFill/>
                    </a:ln>
                  </pic:spPr>
                </pic:pic>
              </a:graphicData>
            </a:graphic>
          </wp:inline>
        </w:drawing>
      </w:r>
    </w:p>
    <w:p>
      <w:pPr>
        <w:pStyle w:val="18"/>
        <w:rPr>
          <w:rFonts w:hint="eastAsia" w:ascii="宋体" w:hAnsi="宋体" w:eastAsia="宋体" w:cs="宋体"/>
          <w:szCs w:val="24"/>
        </w:rPr>
      </w:pPr>
      <w:r>
        <w:rPr>
          <w:rFonts w:hint="eastAsia" w:ascii="宋体" w:hAnsi="宋体" w:eastAsia="宋体" w:cs="宋体"/>
          <w:szCs w:val="24"/>
        </w:rPr>
        <w:t>图8 海南省水稻分布图</w:t>
      </w:r>
    </w:p>
    <w:p>
      <w:pPr>
        <w:spacing w:line="240" w:lineRule="auto"/>
        <w:jc w:val="center"/>
        <w:rPr>
          <w:rFonts w:hint="eastAsia" w:ascii="宋体" w:hAnsi="宋体" w:eastAsia="宋体" w:cs="宋体"/>
          <w:sz w:val="24"/>
          <w:szCs w:val="24"/>
        </w:rPr>
      </w:pPr>
      <w:r>
        <w:rPr>
          <w:rFonts w:hint="eastAsia" w:ascii="宋体" w:hAnsi="宋体" w:eastAsia="宋体" w:cs="宋体"/>
          <w:sz w:val="24"/>
          <w:szCs w:val="24"/>
        </w:rPr>
        <w:drawing>
          <wp:inline distT="0" distB="0" distL="0" distR="0">
            <wp:extent cx="4679950" cy="3491865"/>
            <wp:effectExtent l="0" t="0" r="6350" b="0"/>
            <wp:docPr id="1572696095" name="图片 1572696095" descr="地图&#10;&#10;描述已自动生成"/>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572696095" name="图片 1572696095" descr="地图&#10;&#10;描述已自动生成"/>
                    <pic:cNvPicPr>
                      <a:picLocks noChangeAspect="true" noChangeArrowheads="true"/>
                    </pic:cNvPicPr>
                  </pic:nvPicPr>
                  <pic:blipFill>
                    <a:blip r:embed="rId22" cstate="print">
                      <a:extLst>
                        <a:ext uri="{28A0092B-C50C-407E-A947-70E740481C1C}">
                          <a14:useLocalDpi xmlns:a14="http://schemas.microsoft.com/office/drawing/2010/main" val="false"/>
                        </a:ext>
                      </a:extLst>
                    </a:blip>
                    <a:srcRect/>
                    <a:stretch>
                      <a:fillRect/>
                    </a:stretch>
                  </pic:blipFill>
                  <pic:spPr>
                    <a:xfrm>
                      <a:off x="0" y="0"/>
                      <a:ext cx="4680000" cy="3492359"/>
                    </a:xfrm>
                    <a:prstGeom prst="rect">
                      <a:avLst/>
                    </a:prstGeom>
                    <a:noFill/>
                    <a:ln>
                      <a:noFill/>
                    </a:ln>
                  </pic:spPr>
                </pic:pic>
              </a:graphicData>
            </a:graphic>
          </wp:inline>
        </w:drawing>
      </w:r>
    </w:p>
    <w:p>
      <w:pPr>
        <w:pStyle w:val="18"/>
        <w:rPr>
          <w:rFonts w:hint="eastAsia" w:ascii="宋体" w:hAnsi="宋体" w:eastAsia="宋体" w:cs="宋体"/>
          <w:szCs w:val="24"/>
        </w:rPr>
      </w:pPr>
      <w:r>
        <w:rPr>
          <w:rFonts w:hint="eastAsia" w:ascii="宋体" w:hAnsi="宋体" w:eastAsia="宋体" w:cs="宋体"/>
          <w:szCs w:val="24"/>
        </w:rPr>
        <w:t>图9 海南省玉米分布图</w:t>
      </w:r>
    </w:p>
    <w:p>
      <w:pPr>
        <w:rPr>
          <w:rFonts w:hint="eastAsia" w:ascii="宋体" w:hAnsi="宋体" w:eastAsia="宋体" w:cs="宋体"/>
          <w:sz w:val="24"/>
          <w:szCs w:val="24"/>
        </w:rPr>
      </w:pPr>
    </w:p>
    <w:p>
      <w:pPr>
        <w:spacing w:line="240" w:lineRule="auto"/>
        <w:jc w:val="center"/>
        <w:rPr>
          <w:rFonts w:hint="eastAsia" w:ascii="宋体" w:hAnsi="宋体" w:eastAsia="宋体" w:cs="宋体"/>
          <w:sz w:val="24"/>
          <w:szCs w:val="24"/>
        </w:rPr>
      </w:pPr>
      <w:r>
        <w:rPr>
          <w:rFonts w:hint="eastAsia" w:ascii="宋体" w:hAnsi="宋体" w:eastAsia="宋体" w:cs="宋体"/>
          <w:sz w:val="24"/>
          <w:szCs w:val="24"/>
        </w:rPr>
        <w:drawing>
          <wp:inline distT="0" distB="0" distL="0" distR="0">
            <wp:extent cx="4679950" cy="3491230"/>
            <wp:effectExtent l="0" t="0" r="6350" b="0"/>
            <wp:docPr id="1722844141" name="图片 14" descr="地图&#10;&#10;描述已自动生成"/>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722844141" name="图片 14" descr="地图&#10;&#10;描述已自动生成"/>
                    <pic:cNvPicPr>
                      <a:picLocks noChangeAspect="true" noChangeArrowheads="true"/>
                    </pic:cNvPicPr>
                  </pic:nvPicPr>
                  <pic:blipFill>
                    <a:blip r:embed="rId23" cstate="print">
                      <a:extLst>
                        <a:ext uri="{28A0092B-C50C-407E-A947-70E740481C1C}">
                          <a14:useLocalDpi xmlns:a14="http://schemas.microsoft.com/office/drawing/2010/main" val="false"/>
                        </a:ext>
                      </a:extLst>
                    </a:blip>
                    <a:srcRect/>
                    <a:stretch>
                      <a:fillRect/>
                    </a:stretch>
                  </pic:blipFill>
                  <pic:spPr>
                    <a:xfrm>
                      <a:off x="0" y="0"/>
                      <a:ext cx="4680000" cy="3491613"/>
                    </a:xfrm>
                    <a:prstGeom prst="rect">
                      <a:avLst/>
                    </a:prstGeom>
                    <a:noFill/>
                    <a:ln>
                      <a:noFill/>
                    </a:ln>
                  </pic:spPr>
                </pic:pic>
              </a:graphicData>
            </a:graphic>
          </wp:inline>
        </w:drawing>
      </w:r>
    </w:p>
    <w:p>
      <w:pPr>
        <w:pStyle w:val="18"/>
        <w:rPr>
          <w:rFonts w:hint="eastAsia" w:ascii="宋体" w:hAnsi="宋体" w:eastAsia="宋体" w:cs="宋体"/>
          <w:szCs w:val="24"/>
        </w:rPr>
      </w:pPr>
      <w:r>
        <w:rPr>
          <w:rFonts w:hint="eastAsia" w:ascii="宋体" w:hAnsi="宋体" w:eastAsia="宋体" w:cs="宋体"/>
          <w:szCs w:val="24"/>
        </w:rPr>
        <w:t>图10 海南省橡胶分布图</w:t>
      </w:r>
    </w:p>
    <w:p>
      <w:pPr>
        <w:spacing w:line="240" w:lineRule="auto"/>
        <w:ind w:firstLine="640"/>
        <w:jc w:val="left"/>
        <w:rPr>
          <w:rFonts w:hint="eastAsia" w:ascii="宋体" w:hAnsi="宋体" w:eastAsia="宋体" w:cs="宋体"/>
          <w:sz w:val="24"/>
          <w:szCs w:val="24"/>
        </w:rPr>
      </w:pPr>
      <w:r>
        <w:rPr>
          <w:rFonts w:hint="eastAsia" w:ascii="宋体" w:hAnsi="宋体" w:eastAsia="宋体" w:cs="宋体"/>
          <w:sz w:val="24"/>
          <w:szCs w:val="24"/>
        </w:rPr>
        <w:t>（3）孕灾环境</w:t>
      </w:r>
    </w:p>
    <w:p>
      <w:pPr>
        <w:spacing w:line="240" w:lineRule="auto"/>
        <w:ind w:firstLine="640"/>
        <w:jc w:val="left"/>
        <w:rPr>
          <w:rFonts w:hint="eastAsia" w:ascii="宋体" w:hAnsi="宋体" w:eastAsia="宋体" w:cs="宋体"/>
          <w:sz w:val="24"/>
          <w:szCs w:val="24"/>
        </w:rPr>
      </w:pPr>
      <w:r>
        <w:rPr>
          <w:rFonts w:hint="eastAsia" w:ascii="宋体" w:hAnsi="宋体" w:eastAsia="宋体" w:cs="宋体"/>
          <w:sz w:val="24"/>
          <w:szCs w:val="24"/>
        </w:rPr>
        <w:t>海南岛地形为一穹形山体，四周低平，中间高耸，以五指山、鹦歌岭为隆起核心，向外围逐级下降（图11）。</w:t>
      </w:r>
    </w:p>
    <w:p>
      <w:pPr>
        <w:spacing w:line="240" w:lineRule="auto"/>
        <w:ind w:firstLine="0" w:firstLineChars="0"/>
        <w:jc w:val="center"/>
        <w:rPr>
          <w:rFonts w:hint="eastAsia" w:ascii="宋体" w:hAnsi="宋体" w:eastAsia="宋体" w:cs="宋体"/>
          <w:sz w:val="24"/>
          <w:szCs w:val="24"/>
        </w:rPr>
      </w:pPr>
      <w:r>
        <w:rPr>
          <w:rFonts w:hint="eastAsia" w:ascii="宋体" w:hAnsi="宋体" w:eastAsia="宋体" w:cs="宋体"/>
          <w:sz w:val="24"/>
          <w:szCs w:val="24"/>
        </w:rPr>
        <w:drawing>
          <wp:inline distT="0" distB="0" distL="0" distR="0">
            <wp:extent cx="4679950" cy="4068445"/>
            <wp:effectExtent l="0" t="0" r="6350" b="8255"/>
            <wp:docPr id="467747439" name="图片 10"/>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67747439" name="图片 10"/>
                    <pic:cNvPicPr>
                      <a:picLocks noChangeAspect="true" noChangeArrowheads="true"/>
                    </pic:cNvPicPr>
                  </pic:nvPicPr>
                  <pic:blipFill>
                    <a:blip r:embed="rId24" cstate="print">
                      <a:extLst>
                        <a:ext uri="{28A0092B-C50C-407E-A947-70E740481C1C}">
                          <a14:useLocalDpi xmlns:a14="http://schemas.microsoft.com/office/drawing/2010/main" val="false"/>
                        </a:ext>
                      </a:extLst>
                    </a:blip>
                    <a:srcRect/>
                    <a:stretch>
                      <a:fillRect/>
                    </a:stretch>
                  </pic:blipFill>
                  <pic:spPr>
                    <a:xfrm>
                      <a:off x="0" y="0"/>
                      <a:ext cx="4680000" cy="4068599"/>
                    </a:xfrm>
                    <a:prstGeom prst="rect">
                      <a:avLst/>
                    </a:prstGeom>
                    <a:noFill/>
                    <a:ln>
                      <a:noFill/>
                    </a:ln>
                  </pic:spPr>
                </pic:pic>
              </a:graphicData>
            </a:graphic>
          </wp:inline>
        </w:drawing>
      </w:r>
    </w:p>
    <w:p>
      <w:pPr>
        <w:pStyle w:val="18"/>
        <w:rPr>
          <w:rFonts w:hint="eastAsia" w:ascii="宋体" w:hAnsi="宋体" w:eastAsia="宋体" w:cs="宋体"/>
          <w:szCs w:val="24"/>
        </w:rPr>
      </w:pPr>
      <w:r>
        <w:rPr>
          <w:rFonts w:hint="eastAsia" w:ascii="宋体" w:hAnsi="宋体" w:eastAsia="宋体" w:cs="宋体"/>
          <w:szCs w:val="24"/>
        </w:rPr>
        <w:t>图11 海南省数字高程模型（DEM）分布图</w:t>
      </w:r>
    </w:p>
    <w:p>
      <w:pPr>
        <w:ind w:firstLine="640"/>
        <w:rPr>
          <w:rFonts w:hint="eastAsia" w:ascii="宋体" w:hAnsi="宋体" w:eastAsia="宋体" w:cs="宋体"/>
          <w:sz w:val="24"/>
          <w:szCs w:val="24"/>
        </w:rPr>
      </w:pPr>
      <w:r>
        <w:rPr>
          <w:rFonts w:hint="eastAsia" w:ascii="宋体" w:hAnsi="宋体" w:eastAsia="宋体" w:cs="宋体"/>
          <w:sz w:val="24"/>
          <w:szCs w:val="24"/>
        </w:rPr>
        <w:t>海南岛植被覆盖度总体较高，呈中间高、四周低的分布特征（图12），NDVI值最高的区域位于五指山山脉一带，与地形分布较为一致。各市县2001-2020年平均NDVI值在0.5573～0.7442之间，最大值位于白沙，其次是五指山、琼中，年平均NDVI分别为0.7442、0.7275、0.7205。</w:t>
      </w:r>
    </w:p>
    <w:p>
      <w:pPr>
        <w:spacing w:line="240" w:lineRule="auto"/>
        <w:ind w:firstLine="0" w:firstLineChars="0"/>
        <w:jc w:val="center"/>
        <w:rPr>
          <w:rFonts w:hint="eastAsia" w:ascii="宋体" w:hAnsi="宋体" w:eastAsia="宋体" w:cs="宋体"/>
          <w:sz w:val="24"/>
          <w:szCs w:val="24"/>
        </w:rPr>
      </w:pPr>
      <w:r>
        <w:rPr>
          <w:rFonts w:hint="eastAsia" w:ascii="宋体" w:hAnsi="宋体" w:eastAsia="宋体" w:cs="宋体"/>
          <w:sz w:val="24"/>
          <w:szCs w:val="24"/>
        </w:rPr>
        <w:drawing>
          <wp:inline distT="0" distB="0" distL="0" distR="0">
            <wp:extent cx="4679950" cy="4067810"/>
            <wp:effectExtent l="0" t="0" r="6350" b="8890"/>
            <wp:docPr id="328155965" name="图片 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28155965" name="图片 9"/>
                    <pic:cNvPicPr>
                      <a:picLocks noChangeAspect="true" noChangeArrowheads="true"/>
                    </pic:cNvPicPr>
                  </pic:nvPicPr>
                  <pic:blipFill>
                    <a:blip r:embed="rId25" cstate="print">
                      <a:extLst>
                        <a:ext uri="{28A0092B-C50C-407E-A947-70E740481C1C}">
                          <a14:useLocalDpi xmlns:a14="http://schemas.microsoft.com/office/drawing/2010/main" val="false"/>
                        </a:ext>
                      </a:extLst>
                    </a:blip>
                    <a:srcRect/>
                    <a:stretch>
                      <a:fillRect/>
                    </a:stretch>
                  </pic:blipFill>
                  <pic:spPr>
                    <a:xfrm>
                      <a:off x="0" y="0"/>
                      <a:ext cx="4680000" cy="4068183"/>
                    </a:xfrm>
                    <a:prstGeom prst="rect">
                      <a:avLst/>
                    </a:prstGeom>
                    <a:noFill/>
                    <a:ln>
                      <a:noFill/>
                    </a:ln>
                  </pic:spPr>
                </pic:pic>
              </a:graphicData>
            </a:graphic>
          </wp:inline>
        </w:drawing>
      </w:r>
    </w:p>
    <w:p>
      <w:pPr>
        <w:pStyle w:val="18"/>
        <w:rPr>
          <w:rFonts w:hint="eastAsia" w:ascii="宋体" w:hAnsi="宋体" w:eastAsia="宋体" w:cs="宋体"/>
          <w:szCs w:val="24"/>
        </w:rPr>
      </w:pPr>
      <w:r>
        <w:rPr>
          <w:rFonts w:hint="eastAsia" w:ascii="宋体" w:hAnsi="宋体" w:eastAsia="宋体" w:cs="宋体"/>
          <w:szCs w:val="24"/>
        </w:rPr>
        <w:t>图12 海南省植被指数分布图</w:t>
      </w:r>
    </w:p>
    <w:p>
      <w:pPr>
        <w:pStyle w:val="4"/>
        <w:ind w:firstLine="640"/>
        <w:rPr>
          <w:rFonts w:hint="eastAsia" w:ascii="宋体" w:hAnsi="宋体" w:eastAsia="宋体" w:cs="宋体"/>
          <w:sz w:val="24"/>
          <w:szCs w:val="24"/>
        </w:rPr>
      </w:pPr>
      <w:r>
        <w:rPr>
          <w:rFonts w:hint="eastAsia" w:ascii="宋体" w:hAnsi="宋体" w:eastAsia="宋体" w:cs="宋体"/>
          <w:sz w:val="24"/>
          <w:szCs w:val="24"/>
        </w:rPr>
        <w:t>2. 致灾危险性评估</w:t>
      </w:r>
    </w:p>
    <w:p>
      <w:pPr>
        <w:ind w:firstLine="640"/>
        <w:rPr>
          <w:rFonts w:hint="eastAsia" w:ascii="宋体" w:hAnsi="宋体" w:eastAsia="宋体" w:cs="宋体"/>
          <w:sz w:val="24"/>
          <w:szCs w:val="24"/>
        </w:rPr>
      </w:pPr>
      <w:r>
        <w:rPr>
          <w:rFonts w:hint="eastAsia" w:ascii="宋体" w:hAnsi="宋体" w:eastAsia="宋体" w:cs="宋体"/>
          <w:sz w:val="24"/>
          <w:szCs w:val="24"/>
        </w:rPr>
        <w:t>选择发生大风的年平均次数（频次，日/年）和极大风速（强度，m/s）作为大风灾害致灾因子的危险性评估指标，归一化处理后加权求和得到大风危险性指数。</w:t>
      </w:r>
    </w:p>
    <w:p>
      <w:pPr>
        <w:ind w:firstLine="640"/>
        <w:rPr>
          <w:rFonts w:hint="eastAsia" w:ascii="宋体" w:hAnsi="宋体" w:eastAsia="宋体" w:cs="宋体"/>
          <w:sz w:val="24"/>
          <w:szCs w:val="24"/>
        </w:rPr>
      </w:pPr>
      <w:r>
        <w:rPr>
          <w:rFonts w:hint="eastAsia" w:ascii="宋体" w:hAnsi="宋体" w:eastAsia="宋体" w:cs="宋体"/>
          <w:sz w:val="24"/>
          <w:szCs w:val="24"/>
        </w:rPr>
        <w:t>海南省大风致灾危险性高、较高等级主要分布在海口、文昌、三亚，临高、澄迈、定安北部和中部、陵水东部和中部、五指山大部分地区、东方西部地区。儋州和昌江大部分地区、白沙西部、东方东北部、屯昌中部和西南部、琼中中部等地区致灾危险性等级为低（图13）。</w:t>
      </w:r>
    </w:p>
    <w:p>
      <w:pPr>
        <w:spacing w:line="240" w:lineRule="auto"/>
        <w:ind w:firstLine="0" w:firstLineChars="0"/>
        <w:jc w:val="center"/>
        <w:rPr>
          <w:rFonts w:hint="eastAsia" w:ascii="宋体" w:hAnsi="宋体" w:eastAsia="宋体" w:cs="宋体"/>
          <w:sz w:val="24"/>
          <w:szCs w:val="24"/>
        </w:rPr>
      </w:pPr>
      <w:r>
        <w:rPr>
          <w:rFonts w:hint="eastAsia" w:ascii="宋体" w:hAnsi="宋体" w:eastAsia="宋体" w:cs="宋体"/>
          <w:sz w:val="24"/>
          <w:szCs w:val="24"/>
        </w:rPr>
        <w:drawing>
          <wp:inline distT="0" distB="0" distL="0" distR="0">
            <wp:extent cx="4679950" cy="3492500"/>
            <wp:effectExtent l="0" t="0" r="6350" b="0"/>
            <wp:docPr id="1322135890" name="图片 1322135890"/>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322135890" name="图片 1322135890"/>
                    <pic:cNvPicPr>
                      <a:picLocks noChangeAspect="true" noChangeArrowheads="true"/>
                    </pic:cNvPicPr>
                  </pic:nvPicPr>
                  <pic:blipFill>
                    <a:blip r:embed="rId26" cstate="print">
                      <a:extLst>
                        <a:ext uri="{28A0092B-C50C-407E-A947-70E740481C1C}">
                          <a14:useLocalDpi xmlns:a14="http://schemas.microsoft.com/office/drawing/2010/main" val="false"/>
                        </a:ext>
                      </a:extLst>
                    </a:blip>
                    <a:srcRect/>
                    <a:stretch>
                      <a:fillRect/>
                    </a:stretch>
                  </pic:blipFill>
                  <pic:spPr>
                    <a:xfrm>
                      <a:off x="0" y="0"/>
                      <a:ext cx="4680000" cy="3492725"/>
                    </a:xfrm>
                    <a:prstGeom prst="rect">
                      <a:avLst/>
                    </a:prstGeom>
                    <a:noFill/>
                    <a:ln>
                      <a:noFill/>
                    </a:ln>
                  </pic:spPr>
                </pic:pic>
              </a:graphicData>
            </a:graphic>
          </wp:inline>
        </w:drawing>
      </w:r>
    </w:p>
    <w:p>
      <w:pPr>
        <w:pStyle w:val="18"/>
        <w:rPr>
          <w:rFonts w:hint="eastAsia" w:ascii="宋体" w:hAnsi="宋体" w:eastAsia="宋体" w:cs="宋体"/>
          <w:szCs w:val="24"/>
        </w:rPr>
      </w:pPr>
      <w:bookmarkStart w:id="3" w:name="_Ref131597974"/>
      <w:r>
        <w:rPr>
          <w:rFonts w:hint="eastAsia" w:ascii="宋体" w:hAnsi="宋体" w:eastAsia="宋体" w:cs="宋体"/>
          <w:szCs w:val="24"/>
        </w:rPr>
        <w:t>图</w:t>
      </w:r>
      <w:bookmarkEnd w:id="3"/>
      <w:r>
        <w:rPr>
          <w:rFonts w:hint="eastAsia" w:ascii="宋体" w:hAnsi="宋体" w:eastAsia="宋体" w:cs="宋体"/>
          <w:szCs w:val="24"/>
        </w:rPr>
        <w:t>13 海南省大风致灾危险性区划图</w:t>
      </w:r>
    </w:p>
    <w:p>
      <w:pPr>
        <w:pStyle w:val="4"/>
        <w:ind w:firstLine="640"/>
        <w:rPr>
          <w:rFonts w:hint="eastAsia" w:ascii="宋体" w:hAnsi="宋体" w:eastAsia="宋体" w:cs="宋体"/>
          <w:sz w:val="24"/>
          <w:szCs w:val="24"/>
        </w:rPr>
      </w:pPr>
      <w:r>
        <w:rPr>
          <w:rFonts w:hint="eastAsia" w:ascii="宋体" w:hAnsi="宋体" w:eastAsia="宋体" w:cs="宋体"/>
          <w:sz w:val="24"/>
          <w:szCs w:val="24"/>
        </w:rPr>
        <w:t>3. 灾害风险评估</w:t>
      </w:r>
    </w:p>
    <w:p>
      <w:pPr>
        <w:ind w:firstLine="640"/>
        <w:rPr>
          <w:rFonts w:hint="eastAsia" w:ascii="宋体" w:hAnsi="宋体" w:eastAsia="宋体" w:cs="宋体"/>
          <w:sz w:val="24"/>
          <w:szCs w:val="24"/>
        </w:rPr>
      </w:pPr>
      <w:r>
        <w:rPr>
          <w:rFonts w:hint="eastAsia" w:ascii="宋体" w:hAnsi="宋体" w:eastAsia="宋体" w:cs="宋体"/>
          <w:sz w:val="24"/>
          <w:szCs w:val="24"/>
        </w:rPr>
        <w:t>选取人口、经济、农作物（水稻、玉米）作为承灾体，根据大风灾害风险形成原理及评价指标体系，分别将归一化后的致灾危险性、孕灾环境敏感性、承灾体暴露度和承灾体脆弱性指标加权求积，得到大风灾害风险风险评估结果。</w:t>
      </w:r>
    </w:p>
    <w:p>
      <w:pPr>
        <w:ind w:firstLine="640"/>
        <w:rPr>
          <w:rFonts w:hint="eastAsia" w:ascii="宋体" w:hAnsi="宋体" w:eastAsia="宋体" w:cs="宋体"/>
          <w:sz w:val="24"/>
          <w:szCs w:val="24"/>
        </w:rPr>
      </w:pPr>
      <w:r>
        <w:rPr>
          <w:rFonts w:hint="eastAsia" w:ascii="宋体" w:hAnsi="宋体" w:eastAsia="宋体" w:cs="宋体"/>
          <w:sz w:val="24"/>
          <w:szCs w:val="24"/>
        </w:rPr>
        <w:t>海南省大部分地区大风灾害人口风险等级为低风险，较高、高风险等级主要分布在海口、澄迈、临高、儋州、文昌、屯昌、五指山、东方、三亚等人口密集地区（图14）。</w:t>
      </w:r>
    </w:p>
    <w:p>
      <w:pPr>
        <w:ind w:firstLine="640"/>
        <w:rPr>
          <w:rFonts w:hint="eastAsia" w:ascii="宋体" w:hAnsi="宋体" w:eastAsia="宋体" w:cs="宋体"/>
          <w:sz w:val="24"/>
          <w:szCs w:val="24"/>
        </w:rPr>
      </w:pPr>
      <w:r>
        <w:rPr>
          <w:rFonts w:hint="eastAsia" w:ascii="宋体" w:hAnsi="宋体" w:eastAsia="宋体" w:cs="宋体"/>
          <w:sz w:val="24"/>
          <w:szCs w:val="24"/>
        </w:rPr>
        <w:t>海南省大部分地区大风灾害GDP风险等级为低风险，较高、高风险等级主要分布在海口、澄迈、儋州、屯昌、白沙、东方、三亚等城市经济活动较多的地区（图15）。</w:t>
      </w:r>
    </w:p>
    <w:p>
      <w:pPr>
        <w:ind w:firstLine="640"/>
        <w:rPr>
          <w:rFonts w:hint="eastAsia" w:ascii="宋体" w:hAnsi="宋体" w:eastAsia="宋体" w:cs="宋体"/>
          <w:sz w:val="24"/>
          <w:szCs w:val="24"/>
        </w:rPr>
      </w:pPr>
      <w:r>
        <w:rPr>
          <w:rFonts w:hint="eastAsia" w:ascii="宋体" w:hAnsi="宋体" w:eastAsia="宋体" w:cs="宋体"/>
          <w:sz w:val="24"/>
          <w:szCs w:val="24"/>
        </w:rPr>
        <w:t>海南省北部地区大风灾害水稻风险大于南部地区，较高、高风险等级主要分布在澄迈、定安、海口、临高、屯昌、文昌、琼海、万宁、陵水、东方、乐东、等水稻种植密集地区（图16）。</w:t>
      </w:r>
    </w:p>
    <w:p>
      <w:pPr>
        <w:ind w:firstLine="640"/>
        <w:rPr>
          <w:rFonts w:hint="eastAsia" w:ascii="宋体" w:hAnsi="宋体" w:eastAsia="宋体" w:cs="宋体"/>
          <w:sz w:val="24"/>
          <w:szCs w:val="24"/>
        </w:rPr>
      </w:pPr>
      <w:r>
        <w:rPr>
          <w:rFonts w:hint="eastAsia" w:ascii="宋体" w:hAnsi="宋体" w:eastAsia="宋体" w:cs="宋体"/>
          <w:sz w:val="24"/>
          <w:szCs w:val="24"/>
        </w:rPr>
        <w:t>海南省大部分地区大风灾害玉米风险等级为低风险，较高、高风险等级主要分布在澄迈、定安、儋州、白沙、乐东、三亚、陵水等玉米种植密集地区（图17）。</w:t>
      </w:r>
    </w:p>
    <w:p>
      <w:pPr>
        <w:ind w:firstLine="640"/>
        <w:rPr>
          <w:rFonts w:hint="eastAsia" w:ascii="宋体" w:hAnsi="宋体" w:eastAsia="宋体" w:cs="宋体"/>
          <w:sz w:val="24"/>
          <w:szCs w:val="24"/>
        </w:rPr>
      </w:pPr>
      <w:r>
        <w:rPr>
          <w:rFonts w:hint="eastAsia" w:ascii="宋体" w:hAnsi="宋体" w:eastAsia="宋体" w:cs="宋体"/>
          <w:sz w:val="24"/>
          <w:szCs w:val="24"/>
        </w:rPr>
        <w:t>海南省大部分地区大风灾害橡胶风险等级为低风险，较高、高风险等级主要分布在儋州、临高、澄迈、文昌等橡胶种植密集地区（图18）。</w:t>
      </w:r>
    </w:p>
    <w:p>
      <w:pPr>
        <w:spacing w:line="240" w:lineRule="auto"/>
        <w:ind w:firstLine="0" w:firstLineChars="0"/>
        <w:jc w:val="center"/>
        <w:rPr>
          <w:rFonts w:hint="eastAsia" w:ascii="宋体" w:hAnsi="宋体" w:eastAsia="宋体" w:cs="宋体"/>
          <w:sz w:val="24"/>
          <w:szCs w:val="24"/>
        </w:rPr>
      </w:pPr>
      <w:r>
        <w:rPr>
          <w:rFonts w:hint="eastAsia" w:ascii="宋体" w:hAnsi="宋体" w:eastAsia="宋体" w:cs="宋体"/>
          <w:sz w:val="24"/>
          <w:szCs w:val="24"/>
        </w:rPr>
        <w:drawing>
          <wp:inline distT="0" distB="0" distL="0" distR="0">
            <wp:extent cx="4679950" cy="3492500"/>
            <wp:effectExtent l="0" t="0" r="6350" b="0"/>
            <wp:docPr id="673877522" name="图片 5" descr="图表, 地图, 散点图&#10;&#10;描述已自动生成"/>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73877522" name="图片 5" descr="图表, 地图, 散点图&#10;&#10;描述已自动生成"/>
                    <pic:cNvPicPr>
                      <a:picLocks noChangeAspect="true" noChangeArrowheads="true"/>
                    </pic:cNvPicPr>
                  </pic:nvPicPr>
                  <pic:blipFill>
                    <a:blip r:embed="rId27" cstate="print">
                      <a:extLst>
                        <a:ext uri="{28A0092B-C50C-407E-A947-70E740481C1C}">
                          <a14:useLocalDpi xmlns:a14="http://schemas.microsoft.com/office/drawing/2010/main" val="false"/>
                        </a:ext>
                      </a:extLst>
                    </a:blip>
                    <a:srcRect/>
                    <a:stretch>
                      <a:fillRect/>
                    </a:stretch>
                  </pic:blipFill>
                  <pic:spPr>
                    <a:xfrm>
                      <a:off x="0" y="0"/>
                      <a:ext cx="4680000" cy="3492672"/>
                    </a:xfrm>
                    <a:prstGeom prst="rect">
                      <a:avLst/>
                    </a:prstGeom>
                    <a:noFill/>
                    <a:ln>
                      <a:noFill/>
                    </a:ln>
                  </pic:spPr>
                </pic:pic>
              </a:graphicData>
            </a:graphic>
          </wp:inline>
        </w:drawing>
      </w:r>
    </w:p>
    <w:p>
      <w:pPr>
        <w:pStyle w:val="18"/>
        <w:rPr>
          <w:rFonts w:hint="eastAsia" w:ascii="宋体" w:hAnsi="宋体" w:eastAsia="宋体" w:cs="宋体"/>
          <w:szCs w:val="24"/>
        </w:rPr>
      </w:pPr>
      <w:bookmarkStart w:id="4" w:name="_Ref131594928"/>
      <w:r>
        <w:rPr>
          <w:rFonts w:hint="eastAsia" w:ascii="宋体" w:hAnsi="宋体" w:eastAsia="宋体" w:cs="宋体"/>
          <w:szCs w:val="24"/>
        </w:rPr>
        <w:t>图</w:t>
      </w:r>
      <w:bookmarkEnd w:id="4"/>
      <w:r>
        <w:rPr>
          <w:rFonts w:hint="eastAsia" w:ascii="宋体" w:hAnsi="宋体" w:eastAsia="宋体" w:cs="宋体"/>
          <w:szCs w:val="24"/>
        </w:rPr>
        <w:t>14 海南省大风灾害人口风险区划图</w:t>
      </w:r>
    </w:p>
    <w:p>
      <w:pPr>
        <w:spacing w:line="240" w:lineRule="auto"/>
        <w:ind w:firstLine="0" w:firstLineChars="0"/>
        <w:jc w:val="center"/>
        <w:rPr>
          <w:rFonts w:hint="eastAsia" w:ascii="宋体" w:hAnsi="宋体" w:eastAsia="宋体" w:cs="宋体"/>
          <w:sz w:val="24"/>
          <w:szCs w:val="24"/>
        </w:rPr>
      </w:pPr>
      <w:r>
        <w:rPr>
          <w:rFonts w:hint="eastAsia" w:ascii="宋体" w:hAnsi="宋体" w:eastAsia="宋体" w:cs="宋体"/>
          <w:sz w:val="24"/>
          <w:szCs w:val="24"/>
        </w:rPr>
        <w:drawing>
          <wp:inline distT="0" distB="0" distL="0" distR="0">
            <wp:extent cx="4679950" cy="3492500"/>
            <wp:effectExtent l="0" t="0" r="6350" b="0"/>
            <wp:docPr id="1552090660" name="图片 4" descr="地图&#10;&#10;描述已自动生成"/>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552090660" name="图片 4" descr="地图&#10;&#10;描述已自动生成"/>
                    <pic:cNvPicPr>
                      <a:picLocks noChangeAspect="true" noChangeArrowheads="true"/>
                    </pic:cNvPicPr>
                  </pic:nvPicPr>
                  <pic:blipFill>
                    <a:blip r:embed="rId28" cstate="print">
                      <a:extLst>
                        <a:ext uri="{28A0092B-C50C-407E-A947-70E740481C1C}">
                          <a14:useLocalDpi xmlns:a14="http://schemas.microsoft.com/office/drawing/2010/main" val="false"/>
                        </a:ext>
                      </a:extLst>
                    </a:blip>
                    <a:srcRect/>
                    <a:stretch>
                      <a:fillRect/>
                    </a:stretch>
                  </pic:blipFill>
                  <pic:spPr>
                    <a:xfrm>
                      <a:off x="0" y="0"/>
                      <a:ext cx="4680000" cy="3492672"/>
                    </a:xfrm>
                    <a:prstGeom prst="rect">
                      <a:avLst/>
                    </a:prstGeom>
                    <a:noFill/>
                    <a:ln>
                      <a:noFill/>
                    </a:ln>
                  </pic:spPr>
                </pic:pic>
              </a:graphicData>
            </a:graphic>
          </wp:inline>
        </w:drawing>
      </w:r>
    </w:p>
    <w:p>
      <w:pPr>
        <w:pStyle w:val="18"/>
        <w:rPr>
          <w:rFonts w:hint="eastAsia" w:ascii="宋体" w:hAnsi="宋体" w:eastAsia="宋体" w:cs="宋体"/>
          <w:szCs w:val="24"/>
        </w:rPr>
      </w:pPr>
      <w:bookmarkStart w:id="5" w:name="_Ref131594935"/>
      <w:r>
        <w:rPr>
          <w:rFonts w:hint="eastAsia" w:ascii="宋体" w:hAnsi="宋体" w:eastAsia="宋体" w:cs="宋体"/>
          <w:szCs w:val="24"/>
        </w:rPr>
        <w:t>图</w:t>
      </w:r>
      <w:bookmarkEnd w:id="5"/>
      <w:r>
        <w:rPr>
          <w:rFonts w:hint="eastAsia" w:ascii="宋体" w:hAnsi="宋体" w:eastAsia="宋体" w:cs="宋体"/>
          <w:szCs w:val="24"/>
        </w:rPr>
        <w:t>15 海南省大风灾害GDP风险区划图</w:t>
      </w:r>
    </w:p>
    <w:p>
      <w:pPr>
        <w:spacing w:line="240" w:lineRule="auto"/>
        <w:ind w:firstLine="0" w:firstLineChars="0"/>
        <w:jc w:val="center"/>
        <w:rPr>
          <w:rFonts w:hint="eastAsia" w:ascii="宋体" w:hAnsi="宋体" w:eastAsia="宋体" w:cs="宋体"/>
          <w:sz w:val="24"/>
          <w:szCs w:val="24"/>
        </w:rPr>
      </w:pPr>
      <w:r>
        <w:rPr>
          <w:rFonts w:hint="eastAsia" w:ascii="宋体" w:hAnsi="宋体" w:eastAsia="宋体" w:cs="宋体"/>
          <w:sz w:val="24"/>
          <w:szCs w:val="24"/>
        </w:rPr>
        <w:drawing>
          <wp:inline distT="0" distB="0" distL="0" distR="0">
            <wp:extent cx="4679950" cy="3492500"/>
            <wp:effectExtent l="0" t="0" r="6350" b="0"/>
            <wp:docPr id="1790702837" name="图片 3" descr="图片包含 图表&#10;&#10;描述已自动生成"/>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790702837" name="图片 3" descr="图片包含 图表&#10;&#10;描述已自动生成"/>
                    <pic:cNvPicPr>
                      <a:picLocks noChangeAspect="true" noChangeArrowheads="true"/>
                    </pic:cNvPicPr>
                  </pic:nvPicPr>
                  <pic:blipFill>
                    <a:blip r:embed="rId29" cstate="print">
                      <a:extLst>
                        <a:ext uri="{28A0092B-C50C-407E-A947-70E740481C1C}">
                          <a14:useLocalDpi xmlns:a14="http://schemas.microsoft.com/office/drawing/2010/main" val="false"/>
                        </a:ext>
                      </a:extLst>
                    </a:blip>
                    <a:srcRect/>
                    <a:stretch>
                      <a:fillRect/>
                    </a:stretch>
                  </pic:blipFill>
                  <pic:spPr>
                    <a:xfrm>
                      <a:off x="0" y="0"/>
                      <a:ext cx="4680000" cy="3492672"/>
                    </a:xfrm>
                    <a:prstGeom prst="rect">
                      <a:avLst/>
                    </a:prstGeom>
                    <a:noFill/>
                    <a:ln>
                      <a:noFill/>
                    </a:ln>
                  </pic:spPr>
                </pic:pic>
              </a:graphicData>
            </a:graphic>
          </wp:inline>
        </w:drawing>
      </w:r>
    </w:p>
    <w:p>
      <w:pPr>
        <w:pStyle w:val="18"/>
        <w:rPr>
          <w:rFonts w:hint="eastAsia" w:ascii="宋体" w:hAnsi="宋体" w:eastAsia="宋体" w:cs="宋体"/>
          <w:szCs w:val="24"/>
        </w:rPr>
      </w:pPr>
      <w:bookmarkStart w:id="6" w:name="_Ref131594944"/>
      <w:r>
        <w:rPr>
          <w:rFonts w:hint="eastAsia" w:ascii="宋体" w:hAnsi="宋体" w:eastAsia="宋体" w:cs="宋体"/>
          <w:szCs w:val="24"/>
        </w:rPr>
        <w:t>图</w:t>
      </w:r>
      <w:bookmarkEnd w:id="6"/>
      <w:r>
        <w:rPr>
          <w:rFonts w:hint="eastAsia" w:ascii="宋体" w:hAnsi="宋体" w:eastAsia="宋体" w:cs="宋体"/>
          <w:szCs w:val="24"/>
        </w:rPr>
        <w:t>16 海南省大风灾害水稻风险区划图</w:t>
      </w:r>
    </w:p>
    <w:p>
      <w:pPr>
        <w:spacing w:line="240" w:lineRule="auto"/>
        <w:ind w:firstLine="0" w:firstLineChars="0"/>
        <w:jc w:val="center"/>
        <w:rPr>
          <w:rFonts w:hint="eastAsia" w:ascii="宋体" w:hAnsi="宋体" w:eastAsia="宋体" w:cs="宋体"/>
          <w:sz w:val="24"/>
          <w:szCs w:val="24"/>
        </w:rPr>
      </w:pPr>
      <w:r>
        <w:rPr>
          <w:rFonts w:hint="eastAsia" w:ascii="宋体" w:hAnsi="宋体" w:eastAsia="宋体" w:cs="宋体"/>
          <w:sz w:val="24"/>
          <w:szCs w:val="24"/>
        </w:rPr>
        <w:drawing>
          <wp:inline distT="0" distB="0" distL="0" distR="0">
            <wp:extent cx="4679950" cy="3492500"/>
            <wp:effectExtent l="0" t="0" r="6350" b="0"/>
            <wp:docPr id="457845701" name="图片 2" descr="地图&#10;&#10;描述已自动生成"/>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57845701" name="图片 2" descr="地图&#10;&#10;描述已自动生成"/>
                    <pic:cNvPicPr>
                      <a:picLocks noChangeAspect="true" noChangeArrowheads="true"/>
                    </pic:cNvPicPr>
                  </pic:nvPicPr>
                  <pic:blipFill>
                    <a:blip r:embed="rId30" cstate="print">
                      <a:extLst>
                        <a:ext uri="{28A0092B-C50C-407E-A947-70E740481C1C}">
                          <a14:useLocalDpi xmlns:a14="http://schemas.microsoft.com/office/drawing/2010/main" val="false"/>
                        </a:ext>
                      </a:extLst>
                    </a:blip>
                    <a:srcRect/>
                    <a:stretch>
                      <a:fillRect/>
                    </a:stretch>
                  </pic:blipFill>
                  <pic:spPr>
                    <a:xfrm>
                      <a:off x="0" y="0"/>
                      <a:ext cx="4680000" cy="3492672"/>
                    </a:xfrm>
                    <a:prstGeom prst="rect">
                      <a:avLst/>
                    </a:prstGeom>
                    <a:noFill/>
                    <a:ln>
                      <a:noFill/>
                    </a:ln>
                  </pic:spPr>
                </pic:pic>
              </a:graphicData>
            </a:graphic>
          </wp:inline>
        </w:drawing>
      </w:r>
    </w:p>
    <w:p>
      <w:pPr>
        <w:pStyle w:val="18"/>
        <w:rPr>
          <w:rFonts w:hint="eastAsia" w:ascii="宋体" w:hAnsi="宋体" w:eastAsia="宋体" w:cs="宋体"/>
          <w:szCs w:val="24"/>
        </w:rPr>
      </w:pPr>
      <w:bookmarkStart w:id="7" w:name="_Ref131594958"/>
      <w:r>
        <w:rPr>
          <w:rFonts w:hint="eastAsia" w:ascii="宋体" w:hAnsi="宋体" w:eastAsia="宋体" w:cs="宋体"/>
          <w:szCs w:val="24"/>
        </w:rPr>
        <w:t>图</w:t>
      </w:r>
      <w:bookmarkEnd w:id="7"/>
      <w:r>
        <w:rPr>
          <w:rFonts w:hint="eastAsia" w:ascii="宋体" w:hAnsi="宋体" w:eastAsia="宋体" w:cs="宋体"/>
          <w:szCs w:val="24"/>
        </w:rPr>
        <w:t>17 海南省大风灾害玉米风险区划图</w:t>
      </w:r>
    </w:p>
    <w:p>
      <w:pPr>
        <w:spacing w:line="240" w:lineRule="auto"/>
        <w:jc w:val="center"/>
        <w:rPr>
          <w:rFonts w:hint="eastAsia" w:ascii="宋体" w:hAnsi="宋体" w:eastAsia="宋体" w:cs="宋体"/>
          <w:sz w:val="24"/>
          <w:szCs w:val="24"/>
        </w:rPr>
      </w:pPr>
      <w:r>
        <w:rPr>
          <w:rFonts w:hint="eastAsia" w:ascii="宋体" w:hAnsi="宋体" w:eastAsia="宋体" w:cs="宋体"/>
          <w:sz w:val="24"/>
          <w:szCs w:val="24"/>
        </w:rPr>
        <w:drawing>
          <wp:inline distT="0" distB="0" distL="0" distR="0">
            <wp:extent cx="4679950" cy="3491230"/>
            <wp:effectExtent l="0" t="0" r="6350" b="0"/>
            <wp:docPr id="668198363" name="图片 11" descr="地图&#10;&#10;描述已自动生成"/>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68198363" name="图片 11" descr="地图&#10;&#10;描述已自动生成"/>
                    <pic:cNvPicPr>
                      <a:picLocks noChangeAspect="true" noChangeArrowheads="true"/>
                    </pic:cNvPicPr>
                  </pic:nvPicPr>
                  <pic:blipFill>
                    <a:blip r:embed="rId31" cstate="print">
                      <a:extLst>
                        <a:ext uri="{28A0092B-C50C-407E-A947-70E740481C1C}">
                          <a14:useLocalDpi xmlns:a14="http://schemas.microsoft.com/office/drawing/2010/main" val="false"/>
                        </a:ext>
                      </a:extLst>
                    </a:blip>
                    <a:srcRect/>
                    <a:stretch>
                      <a:fillRect/>
                    </a:stretch>
                  </pic:blipFill>
                  <pic:spPr>
                    <a:xfrm>
                      <a:off x="0" y="0"/>
                      <a:ext cx="4680000" cy="3491613"/>
                    </a:xfrm>
                    <a:prstGeom prst="rect">
                      <a:avLst/>
                    </a:prstGeom>
                    <a:noFill/>
                    <a:ln>
                      <a:noFill/>
                    </a:ln>
                  </pic:spPr>
                </pic:pic>
              </a:graphicData>
            </a:graphic>
          </wp:inline>
        </w:drawing>
      </w:r>
    </w:p>
    <w:p>
      <w:pPr>
        <w:pStyle w:val="18"/>
        <w:rPr>
          <w:rFonts w:hint="eastAsia" w:ascii="宋体" w:hAnsi="宋体" w:eastAsia="宋体" w:cs="宋体"/>
          <w:szCs w:val="24"/>
        </w:rPr>
      </w:pPr>
      <w:r>
        <w:rPr>
          <w:rFonts w:hint="eastAsia" w:ascii="宋体" w:hAnsi="宋体" w:eastAsia="宋体" w:cs="宋体"/>
          <w:szCs w:val="24"/>
        </w:rPr>
        <w:t>图18 海南省大风灾害橡胶风险区划图</w:t>
      </w:r>
    </w:p>
    <w:p>
      <w:pPr>
        <w:rPr>
          <w:rFonts w:hint="eastAsia" w:ascii="宋体" w:hAnsi="宋体" w:eastAsia="宋体" w:cs="宋体"/>
          <w:sz w:val="24"/>
          <w:szCs w:val="24"/>
        </w:rPr>
      </w:pPr>
    </w:p>
    <w:p>
      <w:pPr>
        <w:pStyle w:val="2"/>
        <w:ind w:firstLine="640"/>
        <w:rPr>
          <w:sz w:val="28"/>
          <w:szCs w:val="18"/>
        </w:rPr>
      </w:pPr>
      <w:r>
        <w:rPr>
          <w:rFonts w:hint="eastAsia"/>
          <w:sz w:val="28"/>
          <w:szCs w:val="18"/>
        </w:rPr>
        <w:t>六、标准中如果涉及专利，应有明确的知识产权说明</w:t>
      </w:r>
    </w:p>
    <w:p>
      <w:pPr>
        <w:ind w:firstLine="640"/>
        <w:rPr>
          <w:rFonts w:hint="eastAsia" w:ascii="宋体" w:hAnsi="宋体" w:eastAsia="宋体" w:cs="宋体"/>
          <w:sz w:val="24"/>
          <w:szCs w:val="16"/>
        </w:rPr>
      </w:pPr>
      <w:r>
        <w:rPr>
          <w:rFonts w:hint="eastAsia" w:ascii="宋体" w:hAnsi="宋体" w:eastAsia="宋体" w:cs="宋体"/>
          <w:sz w:val="24"/>
          <w:szCs w:val="16"/>
        </w:rPr>
        <w:t>未涉及专利。</w:t>
      </w:r>
    </w:p>
    <w:p>
      <w:pPr>
        <w:pStyle w:val="2"/>
        <w:ind w:firstLine="640"/>
      </w:pPr>
      <w:r>
        <w:rPr>
          <w:rFonts w:hint="eastAsia"/>
        </w:rPr>
        <w:t>七、公平竞争审查情况</w:t>
      </w:r>
    </w:p>
    <w:p>
      <w:pPr>
        <w:ind w:firstLine="640"/>
        <w:rPr>
          <w:rFonts w:hint="eastAsia" w:ascii="宋体" w:hAnsi="宋体" w:eastAsia="宋体" w:cs="宋体"/>
          <w:sz w:val="24"/>
          <w:szCs w:val="16"/>
        </w:rPr>
      </w:pPr>
      <w:r>
        <w:rPr>
          <w:rFonts w:hint="eastAsia" w:ascii="宋体" w:hAnsi="宋体" w:eastAsia="宋体" w:cs="宋体"/>
          <w:sz w:val="24"/>
          <w:szCs w:val="16"/>
        </w:rPr>
        <w:t xml:space="preserve">该标准按照《公平竞争审查条例》规定逐条进行审查，未含有限制或者变相限制市场准入和退出、限制或者变相限制商品要素自由流动、影响经营者生产经营成本、影响经营者生产经营行为等内容，符合公平竞争审查相关要求。 </w:t>
      </w:r>
    </w:p>
    <w:p>
      <w:pPr>
        <w:pStyle w:val="2"/>
        <w:ind w:firstLine="640"/>
      </w:pPr>
      <w:r>
        <w:rPr>
          <w:rFonts w:hint="eastAsia"/>
        </w:rPr>
        <w:t>八、重大意见分歧的处理依据和结果</w:t>
      </w:r>
    </w:p>
    <w:p>
      <w:pPr>
        <w:ind w:firstLine="640"/>
        <w:rPr>
          <w:rFonts w:hint="eastAsia" w:ascii="宋体" w:hAnsi="宋体" w:eastAsia="宋体" w:cs="宋体"/>
          <w:sz w:val="24"/>
          <w:szCs w:val="16"/>
        </w:rPr>
      </w:pPr>
      <w:r>
        <w:rPr>
          <w:rFonts w:hint="eastAsia" w:ascii="宋体" w:hAnsi="宋体" w:eastAsia="宋体" w:cs="宋体"/>
          <w:sz w:val="24"/>
          <w:szCs w:val="16"/>
        </w:rPr>
        <w:t>无。</w:t>
      </w:r>
    </w:p>
    <w:p>
      <w:pPr>
        <w:pStyle w:val="2"/>
        <w:ind w:firstLine="640"/>
      </w:pPr>
      <w:r>
        <w:rPr>
          <w:rFonts w:hint="eastAsia"/>
        </w:rPr>
        <w:t>九、采用国际标准或国外先进标准的，说明采标程度，以及国内外同类标准水平的对比情况</w:t>
      </w:r>
    </w:p>
    <w:p>
      <w:pPr>
        <w:ind w:firstLine="640"/>
        <w:rPr>
          <w:rFonts w:hint="eastAsia" w:ascii="宋体" w:hAnsi="宋体" w:eastAsia="宋体" w:cs="宋体"/>
          <w:sz w:val="24"/>
          <w:szCs w:val="16"/>
        </w:rPr>
      </w:pPr>
      <w:r>
        <w:rPr>
          <w:rFonts w:hint="eastAsia" w:ascii="宋体" w:hAnsi="宋体" w:eastAsia="宋体" w:cs="宋体"/>
          <w:sz w:val="24"/>
          <w:szCs w:val="16"/>
        </w:rPr>
        <w:t>未采用国际标准或国外先进标准。</w:t>
      </w:r>
    </w:p>
    <w:p>
      <w:pPr>
        <w:ind w:firstLine="640"/>
        <w:rPr>
          <w:rFonts w:hint="eastAsia" w:ascii="宋体" w:hAnsi="宋体" w:eastAsia="宋体" w:cs="宋体"/>
          <w:sz w:val="24"/>
          <w:szCs w:val="16"/>
        </w:rPr>
      </w:pPr>
      <w:r>
        <w:rPr>
          <w:rFonts w:hint="eastAsia" w:ascii="宋体" w:hAnsi="宋体" w:eastAsia="宋体" w:cs="宋体"/>
          <w:sz w:val="24"/>
          <w:szCs w:val="16"/>
        </w:rPr>
        <w:t>国内同类标准主要为山西省出台的《气象灾害风险普查技术规范 大风》（DB 14/T 3486-2025）、安徽省出台的《气象灾害综合风险普查技术规范 第7部分：大风》（DB34/T 4637.7）、青海省出台的《气象灾害风险评估技术规范 大风》（DB63/T 2235）。与以上标准相比，本标准采用了最新的行业相关术语和技术规范要求，结合海南省气象灾害综合风险普查工作实际，形成了贴合海南本地实际、操作性强的大风灾害风险普查地方标准。</w:t>
      </w:r>
    </w:p>
    <w:p>
      <w:pPr>
        <w:pStyle w:val="2"/>
        <w:ind w:firstLine="640"/>
        <w:rPr>
          <w:sz w:val="28"/>
          <w:szCs w:val="18"/>
        </w:rPr>
      </w:pPr>
      <w:r>
        <w:rPr>
          <w:rFonts w:hint="eastAsia"/>
          <w:sz w:val="28"/>
          <w:szCs w:val="18"/>
        </w:rPr>
        <w:t>十、推广实施</w:t>
      </w:r>
    </w:p>
    <w:p>
      <w:pPr>
        <w:pStyle w:val="3"/>
        <w:ind w:firstLine="640"/>
        <w:rPr>
          <w:rFonts w:hint="eastAsia" w:ascii="宋体" w:hAnsi="宋体" w:eastAsia="宋体" w:cs="宋体"/>
          <w:sz w:val="24"/>
          <w:szCs w:val="16"/>
        </w:rPr>
      </w:pPr>
      <w:r>
        <w:rPr>
          <w:rFonts w:ascii="宋体" w:hAnsi="宋体" w:eastAsia="宋体" w:cs="宋体"/>
          <w:sz w:val="24"/>
          <w:szCs w:val="16"/>
        </w:rPr>
        <w:t>（一）政策措施</w:t>
      </w:r>
    </w:p>
    <w:p>
      <w:pPr>
        <w:ind w:firstLine="640"/>
        <w:rPr>
          <w:rFonts w:hint="eastAsia" w:ascii="宋体" w:hAnsi="宋体" w:eastAsia="宋体" w:cs="宋体"/>
          <w:sz w:val="24"/>
          <w:szCs w:val="16"/>
        </w:rPr>
      </w:pPr>
      <w:r>
        <w:rPr>
          <w:rFonts w:hint="eastAsia" w:ascii="宋体" w:hAnsi="宋体" w:eastAsia="宋体" w:cs="宋体"/>
          <w:sz w:val="24"/>
          <w:szCs w:val="16"/>
        </w:rPr>
        <w:t>海南省气象部门作为本标准实施的牵头主管部门，将把本标准纳入全省气象业务工作重点，统筹推进标准的宣贯、培训与监督实施，确保标准实施与日常业务工作有序衔接。海南省气候中心成立由行业专家、技术骨干组成的技术指导小组，明确技术指导职责、工作流程和服务规范，为标准实施提供全方位技术支撑，助力标准落地应用。</w:t>
      </w:r>
    </w:p>
    <w:p>
      <w:pPr>
        <w:pStyle w:val="3"/>
        <w:ind w:firstLine="640"/>
        <w:rPr>
          <w:rFonts w:hint="eastAsia" w:ascii="宋体" w:hAnsi="宋体" w:eastAsia="宋体" w:cs="宋体"/>
          <w:sz w:val="24"/>
          <w:szCs w:val="16"/>
        </w:rPr>
      </w:pPr>
      <w:r>
        <w:rPr>
          <w:rFonts w:ascii="宋体" w:hAnsi="宋体" w:eastAsia="宋体" w:cs="宋体"/>
          <w:sz w:val="24"/>
          <w:szCs w:val="16"/>
        </w:rPr>
        <w:t>（二）实施方向</w:t>
      </w:r>
    </w:p>
    <w:p>
      <w:pPr>
        <w:pStyle w:val="4"/>
        <w:ind w:firstLine="640"/>
        <w:rPr>
          <w:rFonts w:hint="eastAsia" w:ascii="宋体" w:hAnsi="宋体" w:eastAsia="宋体" w:cs="宋体"/>
          <w:sz w:val="24"/>
          <w:szCs w:val="24"/>
        </w:rPr>
      </w:pPr>
      <w:r>
        <w:rPr>
          <w:rFonts w:hint="eastAsia" w:ascii="宋体" w:hAnsi="宋体" w:eastAsia="宋体" w:cs="宋体"/>
          <w:sz w:val="24"/>
          <w:szCs w:val="24"/>
        </w:rPr>
        <w:t>1. 宣贯培训</w:t>
      </w:r>
    </w:p>
    <w:p>
      <w:pPr>
        <w:ind w:firstLine="640"/>
        <w:rPr>
          <w:rFonts w:hint="eastAsia" w:ascii="宋体" w:hAnsi="宋体" w:eastAsia="宋体" w:cs="宋体"/>
          <w:sz w:val="24"/>
          <w:szCs w:val="16"/>
        </w:rPr>
      </w:pPr>
      <w:r>
        <w:rPr>
          <w:rFonts w:hint="eastAsia" w:ascii="宋体" w:hAnsi="宋体" w:eastAsia="宋体" w:cs="宋体"/>
          <w:sz w:val="24"/>
          <w:szCs w:val="16"/>
        </w:rPr>
        <w:t>将本标准纳入海南省气象局业务培训计划，采用线上线下相结合的方式，面向全省各级气象部门相关领导和业务骨干开展系统性培训，原则上每年组织不少于1次培训；同时，结合业务交流、专题宣讲等形式，向各级政府及相关企业普及标准知识，推广标准应用经验。</w:t>
      </w:r>
    </w:p>
    <w:p>
      <w:pPr>
        <w:pStyle w:val="4"/>
        <w:numPr>
          <w:ilvl w:val="0"/>
          <w:numId w:val="6"/>
        </w:numPr>
        <w:ind w:firstLine="640"/>
        <w:rPr>
          <w:rFonts w:hint="eastAsia" w:ascii="宋体" w:hAnsi="宋体" w:eastAsia="宋体" w:cs="宋体"/>
          <w:sz w:val="24"/>
          <w:szCs w:val="24"/>
        </w:rPr>
      </w:pPr>
      <w:r>
        <w:rPr>
          <w:rFonts w:hint="eastAsia" w:ascii="宋体" w:hAnsi="宋体" w:eastAsia="宋体" w:cs="宋体"/>
          <w:sz w:val="24"/>
          <w:szCs w:val="24"/>
        </w:rPr>
        <w:t>技术指导</w:t>
      </w:r>
    </w:p>
    <w:p>
      <w:pPr>
        <w:ind w:firstLine="640"/>
        <w:rPr>
          <w:rFonts w:hint="eastAsia" w:ascii="宋体" w:hAnsi="宋体" w:eastAsia="宋体" w:cs="宋体"/>
          <w:sz w:val="24"/>
          <w:szCs w:val="16"/>
        </w:rPr>
      </w:pPr>
      <w:r>
        <w:rPr>
          <w:rFonts w:hint="eastAsia" w:ascii="宋体" w:hAnsi="宋体" w:eastAsia="宋体" w:cs="宋体"/>
          <w:sz w:val="24"/>
          <w:szCs w:val="16"/>
        </w:rPr>
        <w:t>通过专题培训、业务交流、电话答疑、邮件指导等多种形式，为全省各级政府及相关企业开展大风灾害风险普查工作提供技术咨询和指导，及时解决实施过程中的技术难题，保障普查工作规范有序开展。</w:t>
      </w:r>
    </w:p>
    <w:p>
      <w:pPr>
        <w:pStyle w:val="4"/>
        <w:numPr>
          <w:ilvl w:val="0"/>
          <w:numId w:val="6"/>
        </w:numPr>
        <w:ind w:firstLine="640"/>
        <w:rPr>
          <w:rFonts w:hint="eastAsia" w:ascii="宋体" w:hAnsi="宋体" w:eastAsia="宋体" w:cs="宋体"/>
          <w:sz w:val="24"/>
          <w:szCs w:val="24"/>
        </w:rPr>
      </w:pPr>
      <w:r>
        <w:rPr>
          <w:rFonts w:hint="eastAsia" w:ascii="宋体" w:hAnsi="宋体" w:eastAsia="宋体" w:cs="宋体"/>
          <w:sz w:val="24"/>
          <w:szCs w:val="24"/>
        </w:rPr>
        <w:t>监督检查</w:t>
      </w:r>
    </w:p>
    <w:p>
      <w:pPr>
        <w:ind w:firstLine="640"/>
        <w:rPr>
          <w:rFonts w:hint="eastAsia" w:ascii="宋体" w:hAnsi="宋体" w:eastAsia="宋体" w:cs="宋体"/>
          <w:sz w:val="24"/>
          <w:szCs w:val="16"/>
        </w:rPr>
      </w:pPr>
      <w:r>
        <w:rPr>
          <w:rFonts w:hint="eastAsia" w:ascii="宋体" w:hAnsi="宋体" w:eastAsia="宋体" w:cs="宋体"/>
          <w:sz w:val="24"/>
          <w:szCs w:val="16"/>
        </w:rPr>
        <w:t>由海南省气象局政策法规处、应急与减灾处联合履行监督管理职责，依据中国气象局及海南省气象局相关业务规定，对全省大风灾害风险普查成果质量、标准执行情况进行定期考核评估与常态化监督检查，及时发现并纠正标准实施过程中的不规范行为，确保标准落地见效、规范实施。</w:t>
      </w:r>
    </w:p>
    <w:p>
      <w:pPr>
        <w:pStyle w:val="3"/>
        <w:ind w:firstLine="640"/>
        <w:rPr>
          <w:rFonts w:hint="eastAsia" w:ascii="宋体" w:hAnsi="宋体" w:eastAsia="宋体" w:cs="宋体"/>
          <w:sz w:val="24"/>
          <w:szCs w:val="16"/>
        </w:rPr>
      </w:pPr>
      <w:r>
        <w:rPr>
          <w:rFonts w:ascii="宋体" w:hAnsi="宋体" w:eastAsia="宋体" w:cs="宋体"/>
          <w:sz w:val="24"/>
          <w:szCs w:val="16"/>
        </w:rPr>
        <w:t>（三）配套资金</w:t>
      </w:r>
    </w:p>
    <w:p>
      <w:pPr>
        <w:ind w:firstLine="640"/>
        <w:rPr>
          <w:rFonts w:hint="eastAsia" w:ascii="宋体" w:hAnsi="宋体" w:eastAsia="宋体" w:cs="宋体"/>
          <w:sz w:val="24"/>
          <w:szCs w:val="16"/>
        </w:rPr>
      </w:pPr>
      <w:r>
        <w:rPr>
          <w:rFonts w:hint="eastAsia" w:ascii="宋体" w:hAnsi="宋体" w:eastAsia="宋体" w:cs="宋体"/>
          <w:sz w:val="24"/>
          <w:szCs w:val="16"/>
        </w:rPr>
        <w:t>海南省气象部门将统筹安排相关工作经费，用于标准宣贯培训、技术指导、监督检查、参数订正及模型优化等工作，保障标准推广实施各项活动有序开展；同时，加强与各级政府、相关企业的沟通协作，争取多方支持，完善配套资源，为标准实施提供坚实保障。</w:t>
      </w:r>
    </w:p>
    <w:p>
      <w:pPr>
        <w:pStyle w:val="2"/>
        <w:ind w:firstLine="640"/>
        <w:rPr>
          <w:sz w:val="28"/>
          <w:szCs w:val="18"/>
        </w:rPr>
      </w:pPr>
      <w:r>
        <w:rPr>
          <w:rFonts w:hint="eastAsia"/>
          <w:sz w:val="28"/>
          <w:szCs w:val="18"/>
        </w:rPr>
        <w:t>十一、其他应说明的事项</w:t>
      </w:r>
    </w:p>
    <w:p>
      <w:pPr>
        <w:ind w:firstLine="640"/>
        <w:rPr>
          <w:rFonts w:hint="eastAsia" w:ascii="宋体" w:hAnsi="宋体" w:eastAsia="宋体" w:cs="宋体"/>
          <w:sz w:val="24"/>
          <w:szCs w:val="16"/>
        </w:rPr>
      </w:pPr>
      <w:r>
        <w:rPr>
          <w:rFonts w:hint="eastAsia" w:ascii="宋体" w:hAnsi="宋体" w:eastAsia="宋体" w:cs="宋体"/>
          <w:sz w:val="24"/>
          <w:szCs w:val="16"/>
        </w:rPr>
        <w:t>无。</w:t>
      </w:r>
    </w:p>
    <w:sectPr>
      <w:headerReference r:id="rId7" w:type="first"/>
      <w:footerReference r:id="rId10" w:type="first"/>
      <w:headerReference r:id="rId5" w:type="default"/>
      <w:footerReference r:id="rId8" w:type="default"/>
      <w:headerReference r:id="rId6" w:type="even"/>
      <w:footerReference r:id="rId9" w:type="even"/>
      <w:pgSz w:w="11906" w:h="16838"/>
      <w:pgMar w:top="2098" w:right="1474" w:bottom="1984" w:left="1587" w:header="851" w:footer="992" w:gutter="0"/>
      <w:cols w:space="720"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640"/>
      </w:pPr>
      <w:r>
        <w:separator/>
      </w:r>
    </w:p>
  </w:endnote>
  <w:endnote w:type="continuationSeparator" w:id="1">
    <w:p>
      <w:pPr>
        <w:spacing w:line="240" w:lineRule="auto"/>
        <w:ind w:firstLine="64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altName w:val="Standard Symbols PS"/>
    <w:panose1 w:val="05000000000000000000"/>
    <w:charset w:val="02"/>
    <w:family w:val="auto"/>
    <w:pitch w:val="default"/>
    <w:sig w:usb0="00000000" w:usb1="00000000" w:usb2="00000000" w:usb3="00000000" w:csb0="80000000" w:csb1="00000000"/>
  </w:font>
  <w:font w:name="Arial">
    <w:altName w:val="Times New Roman"/>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altName w:val="DejaVu Sans"/>
    <w:panose1 w:val="02070309020205020404"/>
    <w:charset w:val="01"/>
    <w:family w:val="modern"/>
    <w:pitch w:val="default"/>
    <w:sig w:usb0="E0002AFF" w:usb1="C0007843" w:usb2="00000009" w:usb3="00000000" w:csb0="400001FF" w:csb1="FFFF0000"/>
  </w:font>
  <w:font w:name="Symbol">
    <w:altName w:val="Standard Symbols PS"/>
    <w:panose1 w:val="05050102010706020507"/>
    <w:charset w:val="02"/>
    <w:family w:val="roman"/>
    <w:pitch w:val="default"/>
    <w:sig w:usb0="00000000" w:usb1="00000000" w:usb2="00000000" w:usb3="00000000" w:csb0="80000000" w:csb1="00000000"/>
  </w:font>
  <w:font w:name="Calibri">
    <w:altName w:val="微软雅黑"/>
    <w:panose1 w:val="020F0502020204030204"/>
    <w:charset w:val="00"/>
    <w:family w:val="swiss"/>
    <w:pitch w:val="default"/>
    <w:sig w:usb0="00000000" w:usb1="00000000" w:usb2="00000001" w:usb3="00000000" w:csb0="0000019F" w:csb1="00000000"/>
  </w:font>
  <w:font w:name="仿宋_GB2312">
    <w:panose1 w:val="02010609030101010101"/>
    <w:charset w:val="86"/>
    <w:family w:val="modern"/>
    <w:pitch w:val="default"/>
    <w:sig w:usb0="00000001" w:usb1="080E0000" w:usb2="00000000" w:usb3="00000000" w:csb0="00040000" w:csb1="00000000"/>
  </w:font>
  <w:font w:name="楷体_GB2312">
    <w:altName w:val="微软雅黑"/>
    <w:panose1 w:val="02010609030101010101"/>
    <w:charset w:val="86"/>
    <w:family w:val="modern"/>
    <w:pitch w:val="default"/>
    <w:sig w:usb0="00000000" w:usb1="00000000" w:usb2="00000010" w:usb3="00000000" w:csb0="00040000" w:csb1="00000000"/>
  </w:font>
  <w:font w:name="方正小标宋简体">
    <w:panose1 w:val="03000509000000000000"/>
    <w:charset w:val="86"/>
    <w:family w:val="auto"/>
    <w:pitch w:val="default"/>
    <w:sig w:usb0="00000001" w:usb1="080E0000" w:usb2="00000000" w:usb3="00000000" w:csb0="00040000" w:csb1="00000000"/>
  </w:font>
  <w:font w:name="楷体">
    <w:altName w:val="方正楷体_GBK"/>
    <w:panose1 w:val="02010609060101010101"/>
    <w:charset w:val="86"/>
    <w:family w:val="modern"/>
    <w:pitch w:val="default"/>
    <w:sig w:usb0="00000000" w:usb1="00000000" w:usb2="00000016" w:usb3="00000000" w:csb0="00040001" w:csb1="00000000"/>
  </w:font>
  <w:font w:name="DejaVu Sans">
    <w:panose1 w:val="020B0603030804020204"/>
    <w:charset w:val="00"/>
    <w:family w:val="auto"/>
    <w:pitch w:val="default"/>
    <w:sig w:usb0="E7006EFF" w:usb1="D200FDFF" w:usb2="0A246029" w:usb3="0400200C" w:csb0="600001FF" w:csb1="DFFF0000"/>
  </w:font>
  <w:font w:name="Liberation Serif">
    <w:panose1 w:val="02020603050405020304"/>
    <w:charset w:val="00"/>
    <w:family w:val="auto"/>
    <w:pitch w:val="default"/>
    <w:sig w:usb0="A00002AF" w:usb1="500078FB" w:usb2="00000000" w:usb3="00000000" w:csb0="6000009F" w:csb1="DFD70000"/>
  </w:font>
  <w:font w:name="方正楷体_GBK">
    <w:panose1 w:val="02000000000000000000"/>
    <w:charset w:val="86"/>
    <w:family w:val="auto"/>
    <w:pitch w:val="default"/>
    <w:sig w:usb0="00000001" w:usb1="08000000" w:usb2="00000000" w:usb3="00000000" w:csb0="00040000" w:csb1="00000000"/>
  </w:font>
  <w:font w:name="微软雅黑">
    <w:panose1 w:val="020B0503020204020204"/>
    <w:charset w:val="86"/>
    <w:family w:val="auto"/>
    <w:pitch w:val="default"/>
    <w:sig w:usb0="80000287" w:usb1="280F3C52" w:usb2="00000016" w:usb3="00000000" w:csb0="0004001F" w:csb1="00000000"/>
  </w:font>
  <w:font w:name="Standard Symbols PS">
    <w:panose1 w:val="05050102010706020507"/>
    <w:charset w:val="00"/>
    <w:family w:val="auto"/>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947223738"/>
      <w:docPartObj>
        <w:docPartGallery w:val="autotext"/>
      </w:docPartObj>
    </w:sdtPr>
    <w:sdtContent>
      <w:p>
        <w:pPr>
          <w:pStyle w:val="9"/>
          <w:jc w:val="center"/>
          <w:rPr>
            <w:rFonts w:hint="eastAsia"/>
          </w:rPr>
        </w:pPr>
        <w:r>
          <w:fldChar w:fldCharType="begin"/>
        </w:r>
        <w:r>
          <w:instrText xml:space="preserve">PAGE   \* MERGEFORMAT</w:instrText>
        </w:r>
        <w:r>
          <w:fldChar w:fldCharType="separate"/>
        </w:r>
        <w:r>
          <w:rPr>
            <w:lang w:val="zh-CN"/>
          </w:rPr>
          <w:t>2</w:t>
        </w:r>
        <w:r>
          <w:fldChar w:fldCharType="end"/>
        </w:r>
      </w:p>
    </w:sdtContent>
  </w:sdt>
  <w:p>
    <w:pPr>
      <w:pStyle w:val="9"/>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ind w:firstLine="640"/>
      </w:pPr>
      <w:r>
        <w:separator/>
      </w:r>
    </w:p>
  </w:footnote>
  <w:footnote w:type="continuationSeparator" w:id="1">
    <w:p>
      <w:pPr>
        <w:spacing w:line="240" w:lineRule="auto"/>
        <w:ind w:firstLine="64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ind w:left="480" w:firstLine="0" w:firstLineChars="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6A03E8A"/>
    <w:multiLevelType w:val="singleLevel"/>
    <w:tmpl w:val="86A03E8A"/>
    <w:lvl w:ilvl="0" w:tentative="0">
      <w:start w:val="1"/>
      <w:numFmt w:val="chineseCounting"/>
      <w:suff w:val="nothing"/>
      <w:lvlText w:val="（%1）"/>
      <w:lvlJc w:val="left"/>
      <w:rPr>
        <w:rFonts w:hint="eastAsia"/>
      </w:rPr>
    </w:lvl>
  </w:abstractNum>
  <w:abstractNum w:abstractNumId="1">
    <w:nsid w:val="B2FAD663"/>
    <w:multiLevelType w:val="singleLevel"/>
    <w:tmpl w:val="B2FAD663"/>
    <w:lvl w:ilvl="0" w:tentative="0">
      <w:start w:val="1"/>
      <w:numFmt w:val="chineseCounting"/>
      <w:suff w:val="nothing"/>
      <w:lvlText w:val="（%1）"/>
      <w:lvlJc w:val="left"/>
      <w:rPr>
        <w:rFonts w:hint="eastAsia"/>
      </w:rPr>
    </w:lvl>
  </w:abstractNum>
  <w:abstractNum w:abstractNumId="2">
    <w:nsid w:val="CDBD1B9B"/>
    <w:multiLevelType w:val="singleLevel"/>
    <w:tmpl w:val="CDBD1B9B"/>
    <w:lvl w:ilvl="0" w:tentative="0">
      <w:start w:val="2"/>
      <w:numFmt w:val="decimal"/>
      <w:suff w:val="space"/>
      <w:lvlText w:val="%1."/>
      <w:lvlJc w:val="left"/>
    </w:lvl>
  </w:abstractNum>
  <w:abstractNum w:abstractNumId="3">
    <w:nsid w:val="02FA62E7"/>
    <w:multiLevelType w:val="multilevel"/>
    <w:tmpl w:val="02FA62E7"/>
    <w:lvl w:ilvl="0" w:tentative="0">
      <w:start w:val="1"/>
      <w:numFmt w:val="decimal"/>
      <w:lvlText w:val="%1."/>
      <w:lvlJc w:val="left"/>
      <w:pPr>
        <w:ind w:left="1000" w:hanging="360"/>
      </w:pPr>
      <w:rPr>
        <w:rFonts w:hint="default"/>
      </w:rPr>
    </w:lvl>
    <w:lvl w:ilvl="1" w:tentative="0">
      <w:start w:val="1"/>
      <w:numFmt w:val="lowerLetter"/>
      <w:lvlText w:val="%2)"/>
      <w:lvlJc w:val="left"/>
      <w:pPr>
        <w:ind w:left="1520" w:hanging="440"/>
      </w:pPr>
    </w:lvl>
    <w:lvl w:ilvl="2" w:tentative="0">
      <w:start w:val="1"/>
      <w:numFmt w:val="lowerRoman"/>
      <w:lvlText w:val="%3."/>
      <w:lvlJc w:val="right"/>
      <w:pPr>
        <w:ind w:left="1960" w:hanging="440"/>
      </w:pPr>
    </w:lvl>
    <w:lvl w:ilvl="3" w:tentative="0">
      <w:start w:val="1"/>
      <w:numFmt w:val="decimal"/>
      <w:lvlText w:val="%4."/>
      <w:lvlJc w:val="left"/>
      <w:pPr>
        <w:ind w:left="2400" w:hanging="440"/>
      </w:pPr>
    </w:lvl>
    <w:lvl w:ilvl="4" w:tentative="0">
      <w:start w:val="1"/>
      <w:numFmt w:val="lowerLetter"/>
      <w:lvlText w:val="%5)"/>
      <w:lvlJc w:val="left"/>
      <w:pPr>
        <w:ind w:left="2840" w:hanging="440"/>
      </w:pPr>
    </w:lvl>
    <w:lvl w:ilvl="5" w:tentative="0">
      <w:start w:val="1"/>
      <w:numFmt w:val="lowerRoman"/>
      <w:lvlText w:val="%6."/>
      <w:lvlJc w:val="right"/>
      <w:pPr>
        <w:ind w:left="3280" w:hanging="440"/>
      </w:pPr>
    </w:lvl>
    <w:lvl w:ilvl="6" w:tentative="0">
      <w:start w:val="1"/>
      <w:numFmt w:val="decimal"/>
      <w:lvlText w:val="%7."/>
      <w:lvlJc w:val="left"/>
      <w:pPr>
        <w:ind w:left="3720" w:hanging="440"/>
      </w:pPr>
    </w:lvl>
    <w:lvl w:ilvl="7" w:tentative="0">
      <w:start w:val="1"/>
      <w:numFmt w:val="lowerLetter"/>
      <w:lvlText w:val="%8)"/>
      <w:lvlJc w:val="left"/>
      <w:pPr>
        <w:ind w:left="4160" w:hanging="440"/>
      </w:pPr>
    </w:lvl>
    <w:lvl w:ilvl="8" w:tentative="0">
      <w:start w:val="1"/>
      <w:numFmt w:val="lowerRoman"/>
      <w:lvlText w:val="%9."/>
      <w:lvlJc w:val="right"/>
      <w:pPr>
        <w:ind w:left="4600" w:hanging="440"/>
      </w:pPr>
    </w:lvl>
  </w:abstractNum>
  <w:abstractNum w:abstractNumId="4">
    <w:nsid w:val="0D6D511E"/>
    <w:multiLevelType w:val="multilevel"/>
    <w:tmpl w:val="0D6D511E"/>
    <w:lvl w:ilvl="0" w:tentative="0">
      <w:start w:val="4"/>
      <w:numFmt w:val="decimal"/>
      <w:lvlText w:val="%1."/>
      <w:lvlJc w:val="left"/>
      <w:pPr>
        <w:ind w:left="1000" w:hanging="360"/>
      </w:pPr>
      <w:rPr>
        <w:rFonts w:hint="default"/>
      </w:rPr>
    </w:lvl>
    <w:lvl w:ilvl="1" w:tentative="0">
      <w:start w:val="1"/>
      <w:numFmt w:val="lowerLetter"/>
      <w:lvlText w:val="%2)"/>
      <w:lvlJc w:val="left"/>
      <w:pPr>
        <w:ind w:left="1520" w:hanging="440"/>
      </w:pPr>
    </w:lvl>
    <w:lvl w:ilvl="2" w:tentative="0">
      <w:start w:val="1"/>
      <w:numFmt w:val="lowerRoman"/>
      <w:lvlText w:val="%3."/>
      <w:lvlJc w:val="right"/>
      <w:pPr>
        <w:ind w:left="1960" w:hanging="440"/>
      </w:pPr>
    </w:lvl>
    <w:lvl w:ilvl="3" w:tentative="0">
      <w:start w:val="1"/>
      <w:numFmt w:val="decimal"/>
      <w:lvlText w:val="%4."/>
      <w:lvlJc w:val="left"/>
      <w:pPr>
        <w:ind w:left="2400" w:hanging="440"/>
      </w:pPr>
    </w:lvl>
    <w:lvl w:ilvl="4" w:tentative="0">
      <w:start w:val="1"/>
      <w:numFmt w:val="lowerLetter"/>
      <w:lvlText w:val="%5)"/>
      <w:lvlJc w:val="left"/>
      <w:pPr>
        <w:ind w:left="2840" w:hanging="440"/>
      </w:pPr>
    </w:lvl>
    <w:lvl w:ilvl="5" w:tentative="0">
      <w:start w:val="1"/>
      <w:numFmt w:val="lowerRoman"/>
      <w:lvlText w:val="%6."/>
      <w:lvlJc w:val="right"/>
      <w:pPr>
        <w:ind w:left="3280" w:hanging="440"/>
      </w:pPr>
    </w:lvl>
    <w:lvl w:ilvl="6" w:tentative="0">
      <w:start w:val="1"/>
      <w:numFmt w:val="decimal"/>
      <w:lvlText w:val="%7."/>
      <w:lvlJc w:val="left"/>
      <w:pPr>
        <w:ind w:left="3720" w:hanging="440"/>
      </w:pPr>
    </w:lvl>
    <w:lvl w:ilvl="7" w:tentative="0">
      <w:start w:val="1"/>
      <w:numFmt w:val="lowerLetter"/>
      <w:lvlText w:val="%8)"/>
      <w:lvlJc w:val="left"/>
      <w:pPr>
        <w:ind w:left="4160" w:hanging="440"/>
      </w:pPr>
    </w:lvl>
    <w:lvl w:ilvl="8" w:tentative="0">
      <w:start w:val="1"/>
      <w:numFmt w:val="lowerRoman"/>
      <w:lvlText w:val="%9."/>
      <w:lvlJc w:val="right"/>
      <w:pPr>
        <w:ind w:left="4600" w:hanging="440"/>
      </w:pPr>
    </w:lvl>
  </w:abstractNum>
  <w:abstractNum w:abstractNumId="5">
    <w:nsid w:val="2F08E786"/>
    <w:multiLevelType w:val="singleLevel"/>
    <w:tmpl w:val="2F08E786"/>
    <w:lvl w:ilvl="0" w:tentative="0">
      <w:start w:val="1"/>
      <w:numFmt w:val="chineseCounting"/>
      <w:suff w:val="nothing"/>
      <w:lvlText w:val="%1、"/>
      <w:lvlJc w:val="left"/>
      <w:rPr>
        <w:rFonts w:hint="eastAsia"/>
      </w:rPr>
    </w:lvl>
  </w:abstractNum>
  <w:num w:numId="1">
    <w:abstractNumId w:val="5"/>
  </w:num>
  <w:num w:numId="2">
    <w:abstractNumId w:val="0"/>
  </w:num>
  <w:num w:numId="3">
    <w:abstractNumId w:val="1"/>
  </w:num>
  <w:num w:numId="4">
    <w:abstractNumId w:val="3"/>
  </w:num>
  <w:num w:numId="5">
    <w:abstractNumId w:val="4"/>
  </w:num>
  <w:num w:numId="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true"/>
  <w:bordersDoNotSurroundFooter w:val="true"/>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5"/>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zBiNmVhMmYyMmJjN2VhYzFhNDE2NDFlNWYzNGVjZDgifQ=="/>
  </w:docVars>
  <w:rsids>
    <w:rsidRoot w:val="00D5594F"/>
    <w:rsid w:val="000354E1"/>
    <w:rsid w:val="00042185"/>
    <w:rsid w:val="00051A34"/>
    <w:rsid w:val="00052235"/>
    <w:rsid w:val="00092456"/>
    <w:rsid w:val="000942B7"/>
    <w:rsid w:val="0010704E"/>
    <w:rsid w:val="00161A5C"/>
    <w:rsid w:val="001A1E77"/>
    <w:rsid w:val="001A3369"/>
    <w:rsid w:val="001A61DF"/>
    <w:rsid w:val="00220565"/>
    <w:rsid w:val="00277AEE"/>
    <w:rsid w:val="003376B7"/>
    <w:rsid w:val="00375ED0"/>
    <w:rsid w:val="003F2009"/>
    <w:rsid w:val="0046550B"/>
    <w:rsid w:val="00471060"/>
    <w:rsid w:val="004D60B5"/>
    <w:rsid w:val="00503B9F"/>
    <w:rsid w:val="00552D48"/>
    <w:rsid w:val="00560B6C"/>
    <w:rsid w:val="00581926"/>
    <w:rsid w:val="00596761"/>
    <w:rsid w:val="005C486D"/>
    <w:rsid w:val="005F0B13"/>
    <w:rsid w:val="00615DB3"/>
    <w:rsid w:val="00674C42"/>
    <w:rsid w:val="006A728A"/>
    <w:rsid w:val="006D4DC8"/>
    <w:rsid w:val="00731BAC"/>
    <w:rsid w:val="00751AD9"/>
    <w:rsid w:val="00791A3C"/>
    <w:rsid w:val="007B10FE"/>
    <w:rsid w:val="008516E2"/>
    <w:rsid w:val="008C6C96"/>
    <w:rsid w:val="008C6F1F"/>
    <w:rsid w:val="008D7821"/>
    <w:rsid w:val="009001F1"/>
    <w:rsid w:val="009477B3"/>
    <w:rsid w:val="00977D0C"/>
    <w:rsid w:val="00994271"/>
    <w:rsid w:val="009E2C76"/>
    <w:rsid w:val="00A05B72"/>
    <w:rsid w:val="00A3470B"/>
    <w:rsid w:val="00A63E24"/>
    <w:rsid w:val="00A71A3C"/>
    <w:rsid w:val="00A7510B"/>
    <w:rsid w:val="00AD370C"/>
    <w:rsid w:val="00AE2BCC"/>
    <w:rsid w:val="00AE4B6A"/>
    <w:rsid w:val="00AF77CB"/>
    <w:rsid w:val="00B21945"/>
    <w:rsid w:val="00B34E4C"/>
    <w:rsid w:val="00B50199"/>
    <w:rsid w:val="00B74526"/>
    <w:rsid w:val="00BA4CB6"/>
    <w:rsid w:val="00BC5872"/>
    <w:rsid w:val="00C74AE0"/>
    <w:rsid w:val="00C8759E"/>
    <w:rsid w:val="00CA3AA5"/>
    <w:rsid w:val="00D35335"/>
    <w:rsid w:val="00D5594F"/>
    <w:rsid w:val="00D5733D"/>
    <w:rsid w:val="00DA1750"/>
    <w:rsid w:val="00DB0DA5"/>
    <w:rsid w:val="00DF2F0F"/>
    <w:rsid w:val="00E11EB6"/>
    <w:rsid w:val="00E60D75"/>
    <w:rsid w:val="00E85979"/>
    <w:rsid w:val="00EC0223"/>
    <w:rsid w:val="00EC1C6A"/>
    <w:rsid w:val="00EF3595"/>
    <w:rsid w:val="00F37BF1"/>
    <w:rsid w:val="00F5494E"/>
    <w:rsid w:val="00F64207"/>
    <w:rsid w:val="00F86C19"/>
    <w:rsid w:val="00FB5F18"/>
    <w:rsid w:val="00FB6CE1"/>
    <w:rsid w:val="03353615"/>
    <w:rsid w:val="03C74BB5"/>
    <w:rsid w:val="052D4EEB"/>
    <w:rsid w:val="068154EF"/>
    <w:rsid w:val="0AB34416"/>
    <w:rsid w:val="0B704423"/>
    <w:rsid w:val="0BDD6EEB"/>
    <w:rsid w:val="0BEC2BDA"/>
    <w:rsid w:val="0D533015"/>
    <w:rsid w:val="0D6C40D7"/>
    <w:rsid w:val="0FDF5034"/>
    <w:rsid w:val="106320A7"/>
    <w:rsid w:val="154F67B8"/>
    <w:rsid w:val="1739327C"/>
    <w:rsid w:val="17577BA6"/>
    <w:rsid w:val="178E7A6B"/>
    <w:rsid w:val="18DF7E53"/>
    <w:rsid w:val="19145D4E"/>
    <w:rsid w:val="1A511ECA"/>
    <w:rsid w:val="1E546BED"/>
    <w:rsid w:val="1EFA3C38"/>
    <w:rsid w:val="20020FF7"/>
    <w:rsid w:val="25306939"/>
    <w:rsid w:val="27581865"/>
    <w:rsid w:val="289C42E3"/>
    <w:rsid w:val="2AAA4765"/>
    <w:rsid w:val="2C027C22"/>
    <w:rsid w:val="2C1B3A9A"/>
    <w:rsid w:val="2D0637A8"/>
    <w:rsid w:val="2EA044E8"/>
    <w:rsid w:val="2F9A3A80"/>
    <w:rsid w:val="2F9B612D"/>
    <w:rsid w:val="36325C55"/>
    <w:rsid w:val="36812FDD"/>
    <w:rsid w:val="393430D9"/>
    <w:rsid w:val="39A22AAB"/>
    <w:rsid w:val="39C944DB"/>
    <w:rsid w:val="3CD411CD"/>
    <w:rsid w:val="3D9372DA"/>
    <w:rsid w:val="3E344619"/>
    <w:rsid w:val="3E467EA9"/>
    <w:rsid w:val="3EE80F60"/>
    <w:rsid w:val="3F77D779"/>
    <w:rsid w:val="42274495"/>
    <w:rsid w:val="44201890"/>
    <w:rsid w:val="452C0966"/>
    <w:rsid w:val="464E3D9E"/>
    <w:rsid w:val="49380D36"/>
    <w:rsid w:val="4BDB2578"/>
    <w:rsid w:val="51791EEB"/>
    <w:rsid w:val="53D578AD"/>
    <w:rsid w:val="54EC75A4"/>
    <w:rsid w:val="558477DD"/>
    <w:rsid w:val="58B0040F"/>
    <w:rsid w:val="59112745"/>
    <w:rsid w:val="59413C36"/>
    <w:rsid w:val="5BCE7C35"/>
    <w:rsid w:val="5DE014FA"/>
    <w:rsid w:val="5E4A0E97"/>
    <w:rsid w:val="607E12CC"/>
    <w:rsid w:val="60AE7E03"/>
    <w:rsid w:val="60CE3C53"/>
    <w:rsid w:val="62475A4D"/>
    <w:rsid w:val="635E4E10"/>
    <w:rsid w:val="653D1756"/>
    <w:rsid w:val="65A55405"/>
    <w:rsid w:val="677A510C"/>
    <w:rsid w:val="68407DF2"/>
    <w:rsid w:val="6B43739A"/>
    <w:rsid w:val="6DB225B5"/>
    <w:rsid w:val="6EC10D02"/>
    <w:rsid w:val="6FF173C5"/>
    <w:rsid w:val="71665B90"/>
    <w:rsid w:val="75265D63"/>
    <w:rsid w:val="768216BE"/>
    <w:rsid w:val="77DE77B9"/>
    <w:rsid w:val="7AD253D1"/>
    <w:rsid w:val="7E221091"/>
    <w:rsid w:val="7E576F8D"/>
    <w:rsid w:val="7F855507"/>
    <w:rsid w:val="7FBAA69D"/>
    <w:rsid w:val="7FD14C3A"/>
    <w:rsid w:val="B2952B13"/>
    <w:rsid w:val="BF77612A"/>
    <w:rsid w:val="C7FB3153"/>
    <w:rsid w:val="DAFFEEDC"/>
    <w:rsid w:val="DFDEFE78"/>
    <w:rsid w:val="EDFF6EEF"/>
    <w:rsid w:val="FEC67DC5"/>
    <w:rsid w:val="FF4F4F4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Calibri"/>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9" w:semiHidden="0" w:name="heading 2"/>
    <w:lsdException w:qFormat="1" w:unhideWhenUsed="0"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semiHidden="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qFormat="1"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iPriority="99"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560" w:lineRule="exact"/>
      <w:ind w:firstLine="200" w:firstLineChars="200"/>
      <w:jc w:val="both"/>
    </w:pPr>
    <w:rPr>
      <w:rFonts w:ascii="Times New Roman" w:hAnsi="Times New Roman" w:eastAsia="仿宋_GB2312" w:cs="Calibri"/>
      <w:kern w:val="2"/>
      <w:sz w:val="32"/>
      <w:lang w:val="en-US" w:eastAsia="zh-CN" w:bidi="ar-SA"/>
    </w:rPr>
  </w:style>
  <w:style w:type="paragraph" w:styleId="2">
    <w:name w:val="heading 1"/>
    <w:basedOn w:val="1"/>
    <w:next w:val="1"/>
    <w:qFormat/>
    <w:uiPriority w:val="0"/>
    <w:pPr>
      <w:outlineLvl w:val="0"/>
    </w:pPr>
    <w:rPr>
      <w:rFonts w:eastAsia="黑体"/>
      <w:kern w:val="44"/>
    </w:rPr>
  </w:style>
  <w:style w:type="paragraph" w:styleId="3">
    <w:name w:val="heading 2"/>
    <w:basedOn w:val="1"/>
    <w:next w:val="1"/>
    <w:link w:val="20"/>
    <w:qFormat/>
    <w:uiPriority w:val="9"/>
    <w:pPr>
      <w:outlineLvl w:val="1"/>
    </w:pPr>
    <w:rPr>
      <w:rFonts w:hint="eastAsia" w:eastAsia="楷体_GB2312"/>
    </w:rPr>
  </w:style>
  <w:style w:type="paragraph" w:styleId="4">
    <w:name w:val="heading 3"/>
    <w:basedOn w:val="1"/>
    <w:next w:val="1"/>
    <w:link w:val="21"/>
    <w:qFormat/>
    <w:uiPriority w:val="0"/>
    <w:pPr>
      <w:keepNext/>
      <w:keepLines/>
      <w:outlineLvl w:val="2"/>
    </w:pPr>
    <w:rPr>
      <w:bCs/>
      <w:szCs w:val="32"/>
    </w:rPr>
  </w:style>
  <w:style w:type="character" w:default="1" w:styleId="14">
    <w:name w:val="Default Paragraph Font"/>
    <w:unhideWhenUsed/>
    <w:qFormat/>
    <w:uiPriority w:val="1"/>
  </w:style>
  <w:style w:type="table" w:default="1" w:styleId="12">
    <w:name w:val="Normal Table"/>
    <w:semiHidden/>
    <w:unhideWhenUsed/>
    <w:qFormat/>
    <w:uiPriority w:val="99"/>
    <w:tblPr>
      <w:tblCellMar>
        <w:top w:w="0" w:type="dxa"/>
        <w:left w:w="108" w:type="dxa"/>
        <w:bottom w:w="0" w:type="dxa"/>
        <w:right w:w="108" w:type="dxa"/>
      </w:tblCellMar>
    </w:tblPr>
  </w:style>
  <w:style w:type="paragraph" w:styleId="5">
    <w:name w:val="caption"/>
    <w:basedOn w:val="1"/>
    <w:next w:val="1"/>
    <w:qFormat/>
    <w:uiPriority w:val="0"/>
    <w:pPr>
      <w:spacing w:line="360" w:lineRule="auto"/>
      <w:ind w:firstLine="0" w:firstLineChars="0"/>
      <w:jc w:val="center"/>
    </w:pPr>
    <w:rPr>
      <w:rFonts w:eastAsia="黑体" w:cs="Times New Roman"/>
      <w:sz w:val="24"/>
    </w:rPr>
  </w:style>
  <w:style w:type="paragraph" w:styleId="6">
    <w:name w:val="Plain Text"/>
    <w:basedOn w:val="1"/>
    <w:unhideWhenUsed/>
    <w:qFormat/>
    <w:uiPriority w:val="99"/>
    <w:rPr>
      <w:rFonts w:ascii="宋体" w:hAnsi="Courier New"/>
      <w:szCs w:val="21"/>
    </w:rPr>
  </w:style>
  <w:style w:type="paragraph" w:styleId="7">
    <w:name w:val="Date"/>
    <w:basedOn w:val="1"/>
    <w:next w:val="1"/>
    <w:link w:val="19"/>
    <w:qFormat/>
    <w:uiPriority w:val="0"/>
    <w:pPr>
      <w:ind w:left="100" w:leftChars="2500"/>
    </w:pPr>
  </w:style>
  <w:style w:type="paragraph" w:styleId="8">
    <w:name w:val="Balloon Text"/>
    <w:basedOn w:val="1"/>
    <w:semiHidden/>
    <w:qFormat/>
    <w:uiPriority w:val="0"/>
    <w:rPr>
      <w:sz w:val="18"/>
      <w:szCs w:val="18"/>
    </w:rPr>
  </w:style>
  <w:style w:type="paragraph" w:styleId="9">
    <w:name w:val="footer"/>
    <w:basedOn w:val="1"/>
    <w:link w:val="15"/>
    <w:qFormat/>
    <w:uiPriority w:val="99"/>
    <w:pPr>
      <w:tabs>
        <w:tab w:val="center" w:pos="4153"/>
        <w:tab w:val="right" w:pos="8306"/>
      </w:tabs>
      <w:snapToGrid w:val="0"/>
      <w:jc w:val="left"/>
    </w:pPr>
    <w:rPr>
      <w:sz w:val="18"/>
      <w:szCs w:val="18"/>
    </w:rPr>
  </w:style>
  <w:style w:type="paragraph" w:styleId="10">
    <w:name w:val="header"/>
    <w:basedOn w:val="1"/>
    <w:link w:val="16"/>
    <w:qFormat/>
    <w:uiPriority w:val="0"/>
    <w:pPr>
      <w:pBdr>
        <w:bottom w:val="single" w:color="auto" w:sz="6" w:space="1"/>
      </w:pBdr>
      <w:tabs>
        <w:tab w:val="center" w:pos="4153"/>
        <w:tab w:val="right" w:pos="8306"/>
      </w:tabs>
      <w:snapToGrid w:val="0"/>
      <w:jc w:val="center"/>
    </w:pPr>
    <w:rPr>
      <w:sz w:val="18"/>
      <w:szCs w:val="18"/>
    </w:rPr>
  </w:style>
  <w:style w:type="paragraph" w:styleId="11">
    <w:name w:val="Normal (Web)"/>
    <w:basedOn w:val="1"/>
    <w:unhideWhenUsed/>
    <w:qFormat/>
    <w:uiPriority w:val="99"/>
    <w:rPr>
      <w:rFonts w:cs="Times New Roman"/>
      <w:sz w:val="24"/>
      <w:szCs w:val="24"/>
    </w:rPr>
  </w:style>
  <w:style w:type="table" w:styleId="13">
    <w:name w:val="Table Grid"/>
    <w:basedOn w:val="12"/>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5">
    <w:name w:val="页脚 字符"/>
    <w:link w:val="9"/>
    <w:qFormat/>
    <w:uiPriority w:val="99"/>
    <w:rPr>
      <w:kern w:val="2"/>
      <w:sz w:val="18"/>
      <w:szCs w:val="18"/>
    </w:rPr>
  </w:style>
  <w:style w:type="character" w:customStyle="1" w:styleId="16">
    <w:name w:val="页眉 字符"/>
    <w:link w:val="10"/>
    <w:qFormat/>
    <w:uiPriority w:val="0"/>
    <w:rPr>
      <w:kern w:val="2"/>
      <w:sz w:val="18"/>
      <w:szCs w:val="18"/>
    </w:rPr>
  </w:style>
  <w:style w:type="paragraph" w:styleId="17">
    <w:name w:val="List Paragraph"/>
    <w:basedOn w:val="1"/>
    <w:qFormat/>
    <w:uiPriority w:val="34"/>
    <w:pPr>
      <w:ind w:firstLine="420"/>
    </w:pPr>
  </w:style>
  <w:style w:type="paragraph" w:customStyle="1" w:styleId="18">
    <w:name w:val="图表文字"/>
    <w:basedOn w:val="1"/>
    <w:next w:val="1"/>
    <w:qFormat/>
    <w:uiPriority w:val="0"/>
    <w:pPr>
      <w:overflowPunct w:val="0"/>
      <w:spacing w:line="240" w:lineRule="auto"/>
      <w:ind w:firstLine="0" w:firstLineChars="0"/>
      <w:jc w:val="center"/>
      <w:textAlignment w:val="center"/>
    </w:pPr>
    <w:rPr>
      <w:rFonts w:eastAsia="黑体"/>
      <w:sz w:val="24"/>
      <w:szCs w:val="18"/>
    </w:rPr>
  </w:style>
  <w:style w:type="character" w:customStyle="1" w:styleId="19">
    <w:name w:val="日期 字符"/>
    <w:basedOn w:val="14"/>
    <w:link w:val="7"/>
    <w:qFormat/>
    <w:uiPriority w:val="0"/>
    <w:rPr>
      <w:rFonts w:ascii="Times New Roman" w:hAnsi="Times New Roman" w:eastAsia="仿宋_GB2312"/>
      <w:kern w:val="2"/>
      <w:sz w:val="32"/>
    </w:rPr>
  </w:style>
  <w:style w:type="character" w:customStyle="1" w:styleId="20">
    <w:name w:val="标题 2 字符"/>
    <w:basedOn w:val="14"/>
    <w:link w:val="3"/>
    <w:qFormat/>
    <w:uiPriority w:val="9"/>
    <w:rPr>
      <w:rFonts w:ascii="Times New Roman" w:hAnsi="Times New Roman" w:eastAsia="楷体_GB2312"/>
      <w:kern w:val="2"/>
      <w:sz w:val="32"/>
    </w:rPr>
  </w:style>
  <w:style w:type="character" w:customStyle="1" w:styleId="21">
    <w:name w:val="标题 3 字符"/>
    <w:basedOn w:val="14"/>
    <w:link w:val="4"/>
    <w:qFormat/>
    <w:uiPriority w:val="0"/>
    <w:rPr>
      <w:rFonts w:ascii="Times New Roman" w:hAnsi="Times New Roman" w:eastAsia="仿宋_GB2312"/>
      <w:bCs/>
      <w:kern w:val="2"/>
      <w:sz w:val="32"/>
      <w:szCs w:val="32"/>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4" Type="http://schemas.openxmlformats.org/officeDocument/2006/relationships/fontTable" Target="fontTable.xml"/><Relationship Id="rId33" Type="http://schemas.openxmlformats.org/officeDocument/2006/relationships/numbering" Target="numbering.xml"/><Relationship Id="rId32" Type="http://schemas.openxmlformats.org/officeDocument/2006/relationships/customXml" Target="../customXml/item1.xml"/><Relationship Id="rId31" Type="http://schemas.openxmlformats.org/officeDocument/2006/relationships/image" Target="media/image18.png"/><Relationship Id="rId30" Type="http://schemas.openxmlformats.org/officeDocument/2006/relationships/image" Target="media/image17.png"/><Relationship Id="rId3" Type="http://schemas.openxmlformats.org/officeDocument/2006/relationships/footnotes" Target="footnotes.xml"/><Relationship Id="rId29" Type="http://schemas.openxmlformats.org/officeDocument/2006/relationships/image" Target="media/image16.png"/><Relationship Id="rId28" Type="http://schemas.openxmlformats.org/officeDocument/2006/relationships/image" Target="media/image15.png"/><Relationship Id="rId27" Type="http://schemas.openxmlformats.org/officeDocument/2006/relationships/image" Target="media/image14.png"/><Relationship Id="rId26" Type="http://schemas.openxmlformats.org/officeDocument/2006/relationships/image" Target="media/image13.png"/><Relationship Id="rId25" Type="http://schemas.openxmlformats.org/officeDocument/2006/relationships/image" Target="media/image12.jpeg"/><Relationship Id="rId24" Type="http://schemas.openxmlformats.org/officeDocument/2006/relationships/image" Target="media/image11.jpeg"/><Relationship Id="rId23" Type="http://schemas.openxmlformats.org/officeDocument/2006/relationships/image" Target="media/image10.png"/><Relationship Id="rId22" Type="http://schemas.openxmlformats.org/officeDocument/2006/relationships/image" Target="media/image9.png"/><Relationship Id="rId21" Type="http://schemas.openxmlformats.org/officeDocument/2006/relationships/image" Target="media/image8.png"/><Relationship Id="rId20" Type="http://schemas.openxmlformats.org/officeDocument/2006/relationships/image" Target="media/image7.png"/><Relationship Id="rId2" Type="http://schemas.openxmlformats.org/officeDocument/2006/relationships/settings" Target="settings.xml"/><Relationship Id="rId19" Type="http://schemas.openxmlformats.org/officeDocument/2006/relationships/image" Target="media/image6.png"/><Relationship Id="rId18" Type="http://schemas.openxmlformats.org/officeDocument/2006/relationships/chart" Target="charts/chart2.xml"/><Relationship Id="rId17" Type="http://schemas.openxmlformats.org/officeDocument/2006/relationships/chart" Target="charts/chart1.xml"/><Relationship Id="rId16" Type="http://schemas.openxmlformats.org/officeDocument/2006/relationships/image" Target="media/image5.jpeg"/><Relationship Id="rId15" Type="http://schemas.openxmlformats.org/officeDocument/2006/relationships/image" Target="media/image4.png"/><Relationship Id="rId14" Type="http://schemas.openxmlformats.org/officeDocument/2006/relationships/image" Target="media/image3.jpeg"/><Relationship Id="rId13" Type="http://schemas.openxmlformats.org/officeDocument/2006/relationships/image" Target="media/image2.jpeg"/><Relationship Id="rId12" Type="http://schemas.openxmlformats.org/officeDocument/2006/relationships/image" Target="media/image1.jpeg"/><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charts/_rels/chart1.xml.rels><?xml version="1.0" encoding="UTF-8" standalone="yes"?>
<Relationships xmlns="http://schemas.openxmlformats.org/package/2006/relationships"><Relationship Id="rId3" Type="http://schemas.microsoft.com/office/2011/relationships/chartColorStyle" Target="colors2.xml"/><Relationship Id="rId2" Type="http://schemas.microsoft.com/office/2011/relationships/chartStyle" Target="style2.xml"/><Relationship Id="rId1" Type="http://schemas.openxmlformats.org/officeDocument/2006/relationships/oleObject" Target="file:///E:\&#26631;&#20934;&#30003;&#25253;\&#22823;&#39118;\&#30011;&#22270;\2001-2025&#22823;&#39118;&#26085;&#25968;&#30011;&#22270;.xls" TargetMode="External"/></Relationships>
</file>

<file path=word/charts/_rels/chart2.xml.rels><?xml version="1.0" encoding="UTF-8" standalone="yes"?>
<Relationships xmlns="http://schemas.openxmlformats.org/package/2006/relationships"><Relationship Id="rId3" Type="http://schemas.microsoft.com/office/2011/relationships/chartColorStyle" Target="colors1.xml"/><Relationship Id="rId2" Type="http://schemas.microsoft.com/office/2011/relationships/chartStyle" Target="style1.xml"/><Relationship Id="rId1" Type="http://schemas.openxmlformats.org/officeDocument/2006/relationships/oleObject" Target="file:///E:\&#26631;&#20934;&#30003;&#25253;\&#22823;&#39118;\&#30011;&#22270;\2001-2025&#26497;&#22823;&#39118;&#36895;&#30011;&#22270;.xls"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false"/>
  <c:lang val="zh-CN"/>
  <c:roundedCorners val="false"/>
  <mc:AlternateContent xmlns:mc="http://schemas.openxmlformats.org/markup-compatibility/2006">
    <mc:Choice xmlns:c14="http://schemas.microsoft.com/office/drawing/2007/8/2/chart" Requires="c14">
      <c14:style val="102"/>
    </mc:Choice>
    <mc:Fallback>
      <c:style val="2"/>
    </mc:Fallback>
  </mc:AlternateContent>
  <c:chart>
    <c:autoTitleDeleted val="true"/>
    <c:plotArea>
      <c:layout/>
      <c:lineChart>
        <c:grouping val="standard"/>
        <c:varyColors val="false"/>
        <c:ser>
          <c:idx val="1"/>
          <c:order val="0"/>
          <c:spPr>
            <a:ln w="9525" cap="rnd">
              <a:solidFill>
                <a:schemeClr val="tx1"/>
              </a:solidFill>
              <a:round/>
            </a:ln>
            <a:effectLst/>
          </c:spPr>
          <c:marker>
            <c:symbol val="circle"/>
            <c:size val="5"/>
            <c:spPr>
              <a:solidFill>
                <a:schemeClr val="tx1"/>
              </a:solidFill>
              <a:ln w="9525">
                <a:solidFill>
                  <a:schemeClr val="tx1"/>
                </a:solidFill>
              </a:ln>
              <a:effectLst/>
            </c:spPr>
          </c:marker>
          <c:dLbls>
            <c:delete val="true"/>
          </c:dLbls>
          <c:trendline>
            <c:spPr>
              <a:ln w="19050" cap="rnd">
                <a:solidFill>
                  <a:schemeClr val="tx1"/>
                </a:solidFill>
                <a:prstDash val="sysDot"/>
              </a:ln>
              <a:effectLst/>
            </c:spPr>
            <c:trendlineType val="linear"/>
            <c:dispRSqr val="false"/>
            <c:dispEq val="false"/>
          </c:trendline>
          <c:cat>
            <c:numRef>
              <c:f>'[2001-2025极大风速画图.xls]Ark1'!$A$3:$A$27</c:f>
              <c:numCache>
                <c:formatCode>General</c:formatCode>
                <c:ptCount val="25"/>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pt idx="24">
                  <c:v>2025</c:v>
                </c:pt>
              </c:numCache>
            </c:numRef>
          </c:cat>
          <c:val>
            <c:numRef>
              <c:f>'[2001-2025大风日数画图.xls]Ark1'!$B$3:$B$27</c:f>
              <c:numCache>
                <c:formatCode>General</c:formatCode>
                <c:ptCount val="25"/>
                <c:pt idx="0">
                  <c:v>2.3</c:v>
                </c:pt>
                <c:pt idx="1">
                  <c:v>2.5</c:v>
                </c:pt>
                <c:pt idx="2">
                  <c:v>4</c:v>
                </c:pt>
                <c:pt idx="3">
                  <c:v>3</c:v>
                </c:pt>
                <c:pt idx="4">
                  <c:v>1.9</c:v>
                </c:pt>
                <c:pt idx="5">
                  <c:v>1.5</c:v>
                </c:pt>
                <c:pt idx="6">
                  <c:v>3.2</c:v>
                </c:pt>
                <c:pt idx="7">
                  <c:v>3.3</c:v>
                </c:pt>
                <c:pt idx="8">
                  <c:v>1.9</c:v>
                </c:pt>
                <c:pt idx="9">
                  <c:v>2.3</c:v>
                </c:pt>
                <c:pt idx="10">
                  <c:v>2.2</c:v>
                </c:pt>
                <c:pt idx="11">
                  <c:v>2</c:v>
                </c:pt>
                <c:pt idx="12">
                  <c:v>2.1</c:v>
                </c:pt>
                <c:pt idx="13">
                  <c:v>2.4</c:v>
                </c:pt>
                <c:pt idx="14">
                  <c:v>2.2</c:v>
                </c:pt>
                <c:pt idx="15">
                  <c:v>3.8</c:v>
                </c:pt>
                <c:pt idx="16">
                  <c:v>1.3</c:v>
                </c:pt>
                <c:pt idx="17">
                  <c:v>3.7</c:v>
                </c:pt>
                <c:pt idx="18">
                  <c:v>2.2</c:v>
                </c:pt>
                <c:pt idx="19">
                  <c:v>1.9</c:v>
                </c:pt>
                <c:pt idx="20">
                  <c:v>6</c:v>
                </c:pt>
                <c:pt idx="21">
                  <c:v>6.1</c:v>
                </c:pt>
                <c:pt idx="22">
                  <c:v>6.3</c:v>
                </c:pt>
                <c:pt idx="23">
                  <c:v>4.5</c:v>
                </c:pt>
                <c:pt idx="24">
                  <c:v>4.1</c:v>
                </c:pt>
              </c:numCache>
            </c:numRef>
          </c:val>
          <c:smooth val="false"/>
        </c:ser>
        <c:dLbls>
          <c:showLegendKey val="false"/>
          <c:showVal val="false"/>
          <c:showCatName val="false"/>
          <c:showSerName val="false"/>
          <c:showPercent val="false"/>
          <c:showBubbleSize val="false"/>
        </c:dLbls>
        <c:marker val="true"/>
        <c:smooth val="false"/>
        <c:axId val="-823227040"/>
        <c:axId val="-823230304"/>
      </c:lineChart>
      <c:dateAx>
        <c:axId val="-823227040"/>
        <c:scaling>
          <c:orientation val="minMax"/>
        </c:scaling>
        <c:delete val="false"/>
        <c:axPos val="b"/>
        <c:title>
          <c:tx>
            <c:rich>
              <a:bodyPr rot="0" spcFirstLastPara="0" vertOverflow="ellipsis" vert="horz" wrap="square" anchor="ctr" anchorCtr="true"/>
              <a:lstStyle/>
              <a:p>
                <a:pPr>
                  <a:defRPr lang="zh-CN" sz="1000" b="0" i="0" u="none" strike="noStrike" kern="1200" baseline="0">
                    <a:solidFill>
                      <a:schemeClr val="tx1"/>
                    </a:solidFill>
                    <a:latin typeface="+mn-lt"/>
                    <a:ea typeface="+mn-ea"/>
                    <a:cs typeface="+mn-cs"/>
                  </a:defRPr>
                </a:pPr>
                <a:r>
                  <a:rPr lang="zh-CN" altLang="en-US" sz="1000">
                    <a:solidFill>
                      <a:schemeClr val="tx1"/>
                    </a:solidFill>
                    <a:latin typeface="黑体" panose="02010609060101010101" charset="-122"/>
                    <a:ea typeface="黑体" panose="02010609060101010101" charset="-122"/>
                  </a:rPr>
                  <a:t>年份</a:t>
                </a:r>
                <a:endParaRPr lang="zh-CN" altLang="en-US">
                  <a:solidFill>
                    <a:schemeClr val="tx1"/>
                  </a:solidFill>
                </a:endParaRPr>
              </a:p>
            </c:rich>
          </c:tx>
          <c:layout>
            <c:manualLayout>
              <c:xMode val="edge"/>
              <c:yMode val="edge"/>
              <c:x val="0.504275371828521"/>
              <c:y val="0.898148148148148"/>
            </c:manualLayout>
          </c:layout>
          <c:overlay val="false"/>
          <c:spPr>
            <a:noFill/>
            <a:ln>
              <a:noFill/>
            </a:ln>
            <a:effectLst/>
          </c:spPr>
        </c:title>
        <c:numFmt formatCode="General" sourceLinked="true"/>
        <c:majorTickMark val="out"/>
        <c:minorTickMark val="none"/>
        <c:tickLblPos val="nextTo"/>
        <c:spPr>
          <a:noFill/>
          <a:ln w="9525" cap="flat" cmpd="sng" algn="ctr">
            <a:solidFill>
              <a:schemeClr val="tx1"/>
            </a:solidFill>
            <a:round/>
          </a:ln>
          <a:effectLst/>
        </c:spPr>
        <c:txPr>
          <a:bodyPr rot="-60000000" spcFirstLastPara="0" vertOverflow="ellipsis" vert="horz" wrap="square" anchor="ctr" anchorCtr="true"/>
          <a:lstStyle/>
          <a:p>
            <a:pPr>
              <a:defRPr lang="zh-CN" sz="900" b="0" i="0" u="none" strike="noStrike" kern="1200" baseline="0">
                <a:solidFill>
                  <a:schemeClr val="tx1">
                    <a:lumMod val="95000"/>
                    <a:lumOff val="5000"/>
                  </a:schemeClr>
                </a:solidFill>
                <a:latin typeface="Times New Roman" panose="02020603050405020304" charset="0"/>
                <a:ea typeface="黑体" panose="02010609060101010101" charset="-122"/>
                <a:cs typeface="Times New Roman" panose="02020603050405020304" charset="0"/>
              </a:defRPr>
            </a:pPr>
          </a:p>
        </c:txPr>
        <c:crossAx val="-823230304"/>
        <c:crosses val="autoZero"/>
        <c:auto val="false"/>
        <c:lblOffset val="100"/>
        <c:baseTimeUnit val="days"/>
        <c:majorUnit val="5"/>
        <c:majorTimeUnit val="days"/>
      </c:dateAx>
      <c:valAx>
        <c:axId val="-823230304"/>
        <c:scaling>
          <c:orientation val="minMax"/>
          <c:max val="8"/>
          <c:min val="0"/>
        </c:scaling>
        <c:delete val="false"/>
        <c:axPos val="l"/>
        <c:majorGridlines>
          <c:spPr>
            <a:ln w="9525" cap="flat" cmpd="sng" algn="ctr">
              <a:noFill/>
              <a:round/>
            </a:ln>
            <a:effectLst/>
          </c:spPr>
        </c:majorGridlines>
        <c:title>
          <c:tx>
            <c:rich>
              <a:bodyPr rot="-5400000" spcFirstLastPara="1" vertOverflow="ellipsis" vert="horz" wrap="square" anchor="ctr" anchorCtr="true"/>
              <a:lstStyle/>
              <a:p>
                <a:pPr>
                  <a:defRPr lang="zh-CN" sz="1000" b="0" i="0" u="none" strike="noStrike" kern="1200" baseline="0">
                    <a:solidFill>
                      <a:schemeClr val="tx1">
                        <a:lumMod val="65000"/>
                        <a:lumOff val="35000"/>
                      </a:schemeClr>
                    </a:solidFill>
                    <a:latin typeface="+mn-lt"/>
                    <a:ea typeface="+mn-ea"/>
                    <a:cs typeface="+mn-cs"/>
                  </a:defRPr>
                </a:pPr>
                <a:r>
                  <a:rPr lang="zh-CN" altLang="en-US" sz="1000">
                    <a:solidFill>
                      <a:sysClr val="windowText" lastClr="000000"/>
                    </a:solidFill>
                    <a:latin typeface="黑体" panose="02010609060101010101" charset="-122"/>
                    <a:ea typeface="黑体" panose="02010609060101010101" charset="-122"/>
                  </a:rPr>
                  <a:t>大风日数（日）</a:t>
                </a:r>
                <a:endParaRPr lang="zh-CN" altLang="en-US" sz="1000">
                  <a:solidFill>
                    <a:sysClr val="windowText" lastClr="000000"/>
                  </a:solidFill>
                  <a:latin typeface="黑体" panose="02010609060101010101" charset="-122"/>
                  <a:ea typeface="黑体" panose="02010609060101010101" charset="-122"/>
                </a:endParaRPr>
              </a:p>
            </c:rich>
          </c:tx>
          <c:layout>
            <c:manualLayout>
              <c:xMode val="edge"/>
              <c:yMode val="edge"/>
              <c:x val="0.0201869440675411"/>
              <c:y val="0.229209617155941"/>
            </c:manualLayout>
          </c:layout>
          <c:overlay val="false"/>
          <c:spPr>
            <a:noFill/>
            <a:ln>
              <a:noFill/>
            </a:ln>
            <a:effectLst/>
          </c:spPr>
        </c:title>
        <c:numFmt formatCode="General" sourceLinked="true"/>
        <c:majorTickMark val="in"/>
        <c:minorTickMark val="none"/>
        <c:tickLblPos val="nextTo"/>
        <c:spPr>
          <a:noFill/>
          <a:ln w="9525">
            <a:solidFill>
              <a:schemeClr val="tx1"/>
            </a:solidFill>
          </a:ln>
          <a:effectLst/>
        </c:spPr>
        <c:txPr>
          <a:bodyPr rot="-60000000" spcFirstLastPara="1" vertOverflow="ellipsis" vert="horz" wrap="square" anchor="ctr" anchorCtr="true"/>
          <a:lstStyle/>
          <a:p>
            <a:pPr>
              <a:defRPr lang="zh-CN" sz="900" b="0" i="0" u="none" strike="noStrike" kern="1200" baseline="0">
                <a:solidFill>
                  <a:schemeClr val="tx1"/>
                </a:solidFill>
                <a:latin typeface="Times New Roman" panose="02020603050405020304" charset="0"/>
                <a:ea typeface="黑体" panose="02010609060101010101" charset="-122"/>
                <a:cs typeface="Times New Roman" panose="02020603050405020304" charset="0"/>
              </a:defRPr>
            </a:pPr>
          </a:p>
        </c:txPr>
        <c:crossAx val="-823227040"/>
        <c:crosses val="autoZero"/>
        <c:crossBetween val="midCat"/>
        <c:majorUnit val="2"/>
        <c:minorUnit val="1"/>
      </c:valAx>
      <c:spPr>
        <a:noFill/>
        <a:ln>
          <a:noFill/>
        </a:ln>
        <a:effectLst/>
      </c:spPr>
    </c:plotArea>
    <c:plotVisOnly val="true"/>
    <c:dispBlanksAs val="gap"/>
    <c:showDLblsOverMax val="false"/>
  </c:chart>
  <c:spPr>
    <a:solidFill>
      <a:schemeClr val="bg1"/>
    </a:solidFill>
    <a:ln w="9525" cap="flat" cmpd="sng" algn="ctr">
      <a:noFill/>
      <a:round/>
    </a:ln>
    <a:effectLst/>
  </c:spPr>
  <c:txPr>
    <a:bodyPr/>
    <a:lstStyle/>
    <a:p>
      <a:pPr>
        <a:defRPr lang="zh-CN"/>
      </a:pPr>
    </a:p>
  </c:txPr>
  <c:externalData r:id="rId1">
    <c:autoUpdate val="false"/>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false"/>
  <c:lang val="zh-CN"/>
  <c:roundedCorners val="false"/>
  <mc:AlternateContent xmlns:mc="http://schemas.openxmlformats.org/markup-compatibility/2006">
    <mc:Choice xmlns:c14="http://schemas.microsoft.com/office/drawing/2007/8/2/chart" Requires="c14">
      <c14:style val="102"/>
    </mc:Choice>
    <mc:Fallback>
      <c:style val="2"/>
    </mc:Fallback>
  </mc:AlternateContent>
  <c:chart>
    <c:autoTitleDeleted val="true"/>
    <c:plotArea>
      <c:layout/>
      <c:lineChart>
        <c:grouping val="standard"/>
        <c:varyColors val="false"/>
        <c:ser>
          <c:idx val="1"/>
          <c:order val="0"/>
          <c:spPr>
            <a:ln w="9525" cap="rnd">
              <a:solidFill>
                <a:schemeClr val="tx1"/>
              </a:solidFill>
              <a:round/>
            </a:ln>
            <a:effectLst/>
          </c:spPr>
          <c:marker>
            <c:symbol val="circle"/>
            <c:size val="5"/>
            <c:spPr>
              <a:solidFill>
                <a:schemeClr val="tx1"/>
              </a:solidFill>
              <a:ln w="9525">
                <a:solidFill>
                  <a:schemeClr val="tx1"/>
                </a:solidFill>
              </a:ln>
              <a:effectLst/>
            </c:spPr>
          </c:marker>
          <c:dLbls>
            <c:delete val="true"/>
          </c:dLbls>
          <c:trendline>
            <c:spPr>
              <a:ln w="19050" cap="rnd">
                <a:solidFill>
                  <a:schemeClr val="tx1"/>
                </a:solidFill>
                <a:prstDash val="sysDot"/>
              </a:ln>
              <a:effectLst/>
            </c:spPr>
            <c:trendlineType val="linear"/>
            <c:dispRSqr val="false"/>
            <c:dispEq val="false"/>
          </c:trendline>
          <c:cat>
            <c:numRef>
              <c:f>'[2001-2025极大风速画图.xls]Ark1'!$A$3:$A$27</c:f>
              <c:numCache>
                <c:formatCode>General</c:formatCode>
                <c:ptCount val="25"/>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pt idx="24">
                  <c:v>2025</c:v>
                </c:pt>
              </c:numCache>
            </c:numRef>
          </c:cat>
          <c:val>
            <c:numRef>
              <c:f>'[2001-2025极大风速画图.xls]Ark1'!$B$3:$B$27</c:f>
              <c:numCache>
                <c:formatCode>General</c:formatCode>
                <c:ptCount val="25"/>
                <c:pt idx="0">
                  <c:v>25</c:v>
                </c:pt>
                <c:pt idx="1">
                  <c:v>25.2</c:v>
                </c:pt>
                <c:pt idx="2">
                  <c:v>33.1</c:v>
                </c:pt>
                <c:pt idx="3">
                  <c:v>25.2</c:v>
                </c:pt>
                <c:pt idx="4">
                  <c:v>39.3</c:v>
                </c:pt>
                <c:pt idx="5">
                  <c:v>28</c:v>
                </c:pt>
                <c:pt idx="6">
                  <c:v>32.2</c:v>
                </c:pt>
                <c:pt idx="7">
                  <c:v>27.2</c:v>
                </c:pt>
                <c:pt idx="8">
                  <c:v>28.2</c:v>
                </c:pt>
                <c:pt idx="9">
                  <c:v>33.2</c:v>
                </c:pt>
                <c:pt idx="10">
                  <c:v>28</c:v>
                </c:pt>
                <c:pt idx="11">
                  <c:v>26.9</c:v>
                </c:pt>
                <c:pt idx="12">
                  <c:v>33.3</c:v>
                </c:pt>
                <c:pt idx="13">
                  <c:v>45.6</c:v>
                </c:pt>
                <c:pt idx="14">
                  <c:v>25.3</c:v>
                </c:pt>
                <c:pt idx="15">
                  <c:v>31.3</c:v>
                </c:pt>
                <c:pt idx="16">
                  <c:v>26.5</c:v>
                </c:pt>
                <c:pt idx="17">
                  <c:v>24.5</c:v>
                </c:pt>
                <c:pt idx="18">
                  <c:v>24.2</c:v>
                </c:pt>
                <c:pt idx="19">
                  <c:v>24</c:v>
                </c:pt>
                <c:pt idx="20">
                  <c:v>31.2</c:v>
                </c:pt>
                <c:pt idx="21">
                  <c:v>28.7</c:v>
                </c:pt>
                <c:pt idx="22">
                  <c:v>29.7</c:v>
                </c:pt>
                <c:pt idx="23">
                  <c:v>42.8</c:v>
                </c:pt>
                <c:pt idx="24">
                  <c:v>43.8</c:v>
                </c:pt>
              </c:numCache>
            </c:numRef>
          </c:val>
          <c:smooth val="false"/>
        </c:ser>
        <c:dLbls>
          <c:showLegendKey val="false"/>
          <c:showVal val="false"/>
          <c:showCatName val="false"/>
          <c:showSerName val="false"/>
          <c:showPercent val="false"/>
          <c:showBubbleSize val="false"/>
        </c:dLbls>
        <c:marker val="true"/>
        <c:smooth val="false"/>
        <c:axId val="-823227040"/>
        <c:axId val="-823230304"/>
      </c:lineChart>
      <c:dateAx>
        <c:axId val="-823227040"/>
        <c:scaling>
          <c:orientation val="minMax"/>
        </c:scaling>
        <c:delete val="false"/>
        <c:axPos val="b"/>
        <c:title>
          <c:tx>
            <c:rich>
              <a:bodyPr rot="0" spcFirstLastPara="0" vertOverflow="ellipsis" vert="horz" wrap="square" anchor="ctr" anchorCtr="true"/>
              <a:lstStyle/>
              <a:p>
                <a:pPr>
                  <a:defRPr lang="zh-CN" sz="1000" b="0" i="0" u="none" strike="noStrike" kern="1200" baseline="0">
                    <a:solidFill>
                      <a:schemeClr val="tx1"/>
                    </a:solidFill>
                    <a:latin typeface="+mn-lt"/>
                    <a:ea typeface="+mn-ea"/>
                    <a:cs typeface="+mn-cs"/>
                  </a:defRPr>
                </a:pPr>
                <a:r>
                  <a:rPr lang="zh-CN" altLang="en-US" sz="1000">
                    <a:solidFill>
                      <a:schemeClr val="tx1"/>
                    </a:solidFill>
                    <a:latin typeface="黑体" panose="02010609060101010101" charset="-122"/>
                    <a:ea typeface="黑体" panose="02010609060101010101" charset="-122"/>
                  </a:rPr>
                  <a:t>年份</a:t>
                </a:r>
                <a:endParaRPr lang="zh-CN" altLang="en-US">
                  <a:solidFill>
                    <a:schemeClr val="tx1"/>
                  </a:solidFill>
                </a:endParaRPr>
              </a:p>
            </c:rich>
          </c:tx>
          <c:layout>
            <c:manualLayout>
              <c:xMode val="edge"/>
              <c:yMode val="edge"/>
              <c:x val="0.504275371828521"/>
              <c:y val="0.898148148148148"/>
            </c:manualLayout>
          </c:layout>
          <c:overlay val="false"/>
          <c:spPr>
            <a:noFill/>
            <a:ln>
              <a:noFill/>
            </a:ln>
            <a:effectLst/>
          </c:spPr>
        </c:title>
        <c:numFmt formatCode="General" sourceLinked="true"/>
        <c:majorTickMark val="out"/>
        <c:minorTickMark val="none"/>
        <c:tickLblPos val="nextTo"/>
        <c:spPr>
          <a:noFill/>
          <a:ln w="9525" cap="flat" cmpd="sng" algn="ctr">
            <a:solidFill>
              <a:schemeClr val="tx1"/>
            </a:solidFill>
            <a:round/>
          </a:ln>
          <a:effectLst/>
        </c:spPr>
        <c:txPr>
          <a:bodyPr rot="-60000000" spcFirstLastPara="0" vertOverflow="ellipsis" vert="horz" wrap="square" anchor="ctr" anchorCtr="true"/>
          <a:lstStyle/>
          <a:p>
            <a:pPr>
              <a:defRPr lang="zh-CN" sz="900" b="0" i="0" u="none" strike="noStrike" kern="1200" baseline="0">
                <a:solidFill>
                  <a:schemeClr val="tx1">
                    <a:lumMod val="95000"/>
                    <a:lumOff val="5000"/>
                  </a:schemeClr>
                </a:solidFill>
                <a:latin typeface="Times New Roman" panose="02020603050405020304" charset="0"/>
                <a:ea typeface="黑体" panose="02010609060101010101" charset="-122"/>
                <a:cs typeface="Times New Roman" panose="02020603050405020304" charset="0"/>
              </a:defRPr>
            </a:pPr>
          </a:p>
        </c:txPr>
        <c:crossAx val="-823230304"/>
        <c:crosses val="autoZero"/>
        <c:auto val="false"/>
        <c:lblOffset val="100"/>
        <c:baseTimeUnit val="days"/>
        <c:majorUnit val="5"/>
        <c:majorTimeUnit val="days"/>
      </c:dateAx>
      <c:valAx>
        <c:axId val="-823230304"/>
        <c:scaling>
          <c:orientation val="minMax"/>
          <c:max val="50"/>
          <c:min val="20"/>
        </c:scaling>
        <c:delete val="false"/>
        <c:axPos val="l"/>
        <c:majorGridlines>
          <c:spPr>
            <a:ln w="9525" cap="flat" cmpd="sng" algn="ctr">
              <a:noFill/>
              <a:round/>
            </a:ln>
            <a:effectLst/>
          </c:spPr>
        </c:majorGridlines>
        <c:title>
          <c:tx>
            <c:rich>
              <a:bodyPr rot="-5400000" spcFirstLastPara="1" vertOverflow="ellipsis" vert="horz" wrap="square" anchor="ctr" anchorCtr="true"/>
              <a:lstStyle/>
              <a:p>
                <a:pPr>
                  <a:defRPr lang="zh-CN" sz="1000" b="0" i="0" u="none" strike="noStrike" kern="1200" baseline="0">
                    <a:solidFill>
                      <a:schemeClr val="tx1">
                        <a:lumMod val="65000"/>
                        <a:lumOff val="35000"/>
                      </a:schemeClr>
                    </a:solidFill>
                    <a:latin typeface="+mn-lt"/>
                    <a:ea typeface="+mn-ea"/>
                    <a:cs typeface="+mn-cs"/>
                  </a:defRPr>
                </a:pPr>
                <a:r>
                  <a:rPr lang="zh-CN" altLang="en-US" sz="1000">
                    <a:solidFill>
                      <a:sysClr val="windowText" lastClr="000000"/>
                    </a:solidFill>
                    <a:latin typeface="黑体" panose="02010609060101010101" charset="-122"/>
                    <a:ea typeface="黑体" panose="02010609060101010101" charset="-122"/>
                  </a:rPr>
                  <a:t>日极大风速（</a:t>
                </a:r>
                <a:r>
                  <a:rPr lang="en-US" altLang="zh-CN" sz="1000">
                    <a:solidFill>
                      <a:sysClr val="windowText" lastClr="000000"/>
                    </a:solidFill>
                    <a:latin typeface="黑体" panose="02010609060101010101" charset="-122"/>
                    <a:ea typeface="黑体" panose="02010609060101010101" charset="-122"/>
                  </a:rPr>
                  <a:t>m/s</a:t>
                </a:r>
                <a:r>
                  <a:rPr lang="zh-CN" altLang="en-US" sz="1000">
                    <a:solidFill>
                      <a:sysClr val="windowText" lastClr="000000"/>
                    </a:solidFill>
                    <a:latin typeface="黑体" panose="02010609060101010101" charset="-122"/>
                    <a:ea typeface="黑体" panose="02010609060101010101" charset="-122"/>
                  </a:rPr>
                  <a:t>）</a:t>
                </a:r>
                <a:endParaRPr lang="zh-CN" altLang="en-US" sz="1000">
                  <a:solidFill>
                    <a:sysClr val="windowText" lastClr="000000"/>
                  </a:solidFill>
                  <a:latin typeface="黑体" panose="02010609060101010101" charset="-122"/>
                  <a:ea typeface="黑体" panose="02010609060101010101" charset="-122"/>
                </a:endParaRPr>
              </a:p>
            </c:rich>
          </c:tx>
          <c:layout>
            <c:manualLayout>
              <c:xMode val="edge"/>
              <c:yMode val="edge"/>
              <c:x val="0.0201869440675411"/>
              <c:y val="0.229209617155941"/>
            </c:manualLayout>
          </c:layout>
          <c:overlay val="false"/>
          <c:spPr>
            <a:noFill/>
            <a:ln>
              <a:noFill/>
            </a:ln>
            <a:effectLst/>
          </c:spPr>
        </c:title>
        <c:numFmt formatCode="General" sourceLinked="true"/>
        <c:majorTickMark val="in"/>
        <c:minorTickMark val="none"/>
        <c:tickLblPos val="nextTo"/>
        <c:spPr>
          <a:noFill/>
          <a:ln w="9525">
            <a:solidFill>
              <a:schemeClr val="tx1"/>
            </a:solidFill>
          </a:ln>
          <a:effectLst/>
        </c:spPr>
        <c:txPr>
          <a:bodyPr rot="-60000000" spcFirstLastPara="1" vertOverflow="ellipsis" vert="horz" wrap="square" anchor="ctr" anchorCtr="true"/>
          <a:lstStyle/>
          <a:p>
            <a:pPr>
              <a:defRPr lang="zh-CN" sz="900" b="0" i="0" u="none" strike="noStrike" kern="1200" baseline="0">
                <a:solidFill>
                  <a:schemeClr val="tx1"/>
                </a:solidFill>
                <a:latin typeface="Times New Roman" panose="02020603050405020304" charset="0"/>
                <a:ea typeface="黑体" panose="02010609060101010101" charset="-122"/>
                <a:cs typeface="Times New Roman" panose="02020603050405020304" charset="0"/>
              </a:defRPr>
            </a:pPr>
          </a:p>
        </c:txPr>
        <c:crossAx val="-823227040"/>
        <c:crosses val="autoZero"/>
        <c:crossBetween val="midCat"/>
        <c:majorUnit val="10"/>
        <c:minorUnit val="1"/>
      </c:valAx>
      <c:spPr>
        <a:noFill/>
        <a:ln>
          <a:noFill/>
        </a:ln>
        <a:effectLst/>
      </c:spPr>
    </c:plotArea>
    <c:plotVisOnly val="true"/>
    <c:dispBlanksAs val="gap"/>
    <c:showDLblsOverMax val="false"/>
  </c:chart>
  <c:spPr>
    <a:solidFill>
      <a:schemeClr val="bg1"/>
    </a:solidFill>
    <a:ln w="9525" cap="flat" cmpd="sng" algn="ctr">
      <a:noFill/>
      <a:round/>
    </a:ln>
    <a:effectLst/>
  </c:spPr>
  <c:txPr>
    <a:bodyPr/>
    <a:lstStyle/>
    <a:p>
      <a:pPr>
        <a:defRPr lang="zh-CN"/>
      </a:pPr>
    </a:p>
  </c:txPr>
  <c:externalData r:id="rId1">
    <c:autoUpdate val="false"/>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true">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true">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true">
          <a:gsLst>
            <a:gs pos="0">
              <a:schemeClr val="phClr">
                <a:tint val="50000"/>
                <a:satMod val="300000"/>
              </a:schemeClr>
            </a:gs>
            <a:gs pos="35000">
              <a:schemeClr val="phClr">
                <a:tint val="37000"/>
                <a:satMod val="300000"/>
              </a:schemeClr>
            </a:gs>
            <a:gs pos="100000">
              <a:schemeClr val="phClr">
                <a:tint val="15000"/>
                <a:satMod val="350000"/>
              </a:schemeClr>
            </a:gs>
          </a:gsLst>
          <a:lin ang="16200000" scaled="true"/>
        </a:gradFill>
        <a:gradFill rotWithShape="true">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false"/>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true">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true">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 </Company>
  <Pages>24</Pages>
  <Words>7422</Words>
  <Characters>8067</Characters>
  <Lines>454</Lines>
  <Paragraphs>563</Paragraphs>
  <TotalTime>5</TotalTime>
  <ScaleCrop>false</ScaleCrop>
  <LinksUpToDate>false</LinksUpToDate>
  <CharactersWithSpaces>8139</CharactersWithSpaces>
  <Application>WPS Office_11.8.2.10458_F1E327BC-269C-435d-A152-05C5408002CA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2001-02-21T06:50:00Z</dcterms:created>
  <dc:creator>lyh</dc:creator>
  <cp:lastModifiedBy>法规处文秘</cp:lastModifiedBy>
  <cp:lastPrinted>2026-04-29T17:02:00Z</cp:lastPrinted>
  <dcterms:modified xsi:type="dcterms:W3CDTF">2026-06-01T15:29:26Z</dcterms:modified>
  <dc:title>附件4</dc:title>
  <cp:revision>31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2052-11.8.2.10458</vt:lpwstr>
  </property>
  <property fmtid="{D5CDD505-2E9C-101B-9397-08002B2CF9AE}" pid="3" name="ICV">
    <vt:lpwstr>9B0B7CC319A34C89A403E300FF3175FA_13</vt:lpwstr>
  </property>
  <property fmtid="{D5CDD505-2E9C-101B-9397-08002B2CF9AE}" pid="4" name="KSOTemplateDocerSaveRecord">
    <vt:lpwstr>eyJoZGlkIjoiYTBhMTc5NGI4OTg1NjlmYzEyYzVkM2Y0ZDAwZDUxMWIiLCJ1c2VySWQiOiIxMDExMjY2ODYxIn0=</vt:lpwstr>
  </property>
</Properties>
</file>