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4E865F">
      <w:pPr>
        <w:spacing w:line="560" w:lineRule="exact"/>
        <w:jc w:val="center"/>
        <w:rPr>
          <w:rFonts w:hint="eastAsia" w:ascii="方正小标宋简体" w:hAnsi="方正小标宋简体" w:eastAsia="方正小标宋简体" w:cs="方正小标宋简体"/>
          <w:color w:val="auto"/>
          <w:kern w:val="0"/>
          <w:sz w:val="44"/>
          <w:szCs w:val="44"/>
        </w:rPr>
      </w:pPr>
      <w:r>
        <w:rPr>
          <w:rFonts w:hint="eastAsia" w:ascii="方正小标宋简体" w:hAnsi="方正小标宋简体" w:eastAsia="方正小标宋简体" w:cs="方正小标宋简体"/>
          <w:color w:val="auto"/>
          <w:kern w:val="0"/>
          <w:sz w:val="44"/>
          <w:szCs w:val="44"/>
        </w:rPr>
        <w:t>《</w:t>
      </w:r>
      <w:r>
        <w:rPr>
          <w:rFonts w:hint="eastAsia" w:ascii="方正小标宋简体" w:hAnsi="方正小标宋简体" w:eastAsia="方正小标宋简体" w:cs="方正小标宋简体"/>
          <w:color w:val="auto"/>
          <w:kern w:val="0"/>
          <w:sz w:val="44"/>
          <w:szCs w:val="44"/>
          <w:lang w:val="en-US" w:eastAsia="zh-CN"/>
        </w:rPr>
        <w:t>荔枝农业气象观测技术</w:t>
      </w:r>
      <w:r>
        <w:rPr>
          <w:rFonts w:hint="eastAsia" w:ascii="方正小标宋简体" w:hAnsi="方正小标宋简体" w:eastAsia="方正小标宋简体" w:cs="方正小标宋简体"/>
          <w:color w:val="auto"/>
          <w:kern w:val="0"/>
          <w:sz w:val="44"/>
          <w:szCs w:val="44"/>
        </w:rPr>
        <w:t>规范》</w:t>
      </w:r>
      <w:r>
        <w:rPr>
          <w:rFonts w:hint="eastAsia" w:ascii="方正小标宋简体" w:hAnsi="方正小标宋简体" w:eastAsia="方正小标宋简体" w:cs="方正小标宋简体"/>
          <w:color w:val="auto"/>
          <w:kern w:val="0"/>
          <w:sz w:val="44"/>
          <w:szCs w:val="44"/>
          <w:lang w:val="en-US" w:eastAsia="zh-CN"/>
        </w:rPr>
        <w:t>海南省</w:t>
      </w:r>
      <w:r>
        <w:rPr>
          <w:rFonts w:hint="eastAsia" w:ascii="方正小标宋简体" w:hAnsi="方正小标宋简体" w:eastAsia="方正小标宋简体" w:cs="方正小标宋简体"/>
          <w:color w:val="auto"/>
          <w:kern w:val="0"/>
          <w:sz w:val="44"/>
          <w:szCs w:val="44"/>
        </w:rPr>
        <w:t>地方</w:t>
      </w:r>
    </w:p>
    <w:p w14:paraId="3D801727">
      <w:pPr>
        <w:spacing w:line="560" w:lineRule="exact"/>
        <w:jc w:val="center"/>
        <w:rPr>
          <w:rFonts w:hint="eastAsia" w:ascii="方正小标宋简体" w:hAnsi="方正小标宋简体" w:eastAsia="方正小标宋简体" w:cs="方正小标宋简体"/>
          <w:color w:val="auto"/>
          <w:kern w:val="0"/>
          <w:sz w:val="44"/>
          <w:szCs w:val="44"/>
        </w:rPr>
      </w:pPr>
      <w:r>
        <w:rPr>
          <w:rFonts w:hint="eastAsia" w:ascii="方正小标宋简体" w:hAnsi="方正小标宋简体" w:eastAsia="方正小标宋简体" w:cs="方正小标宋简体"/>
          <w:color w:val="auto"/>
          <w:kern w:val="0"/>
          <w:sz w:val="44"/>
          <w:szCs w:val="44"/>
        </w:rPr>
        <w:t>标准编制说明</w:t>
      </w:r>
    </w:p>
    <w:p w14:paraId="04253B52">
      <w:pPr>
        <w:pStyle w:val="5"/>
        <w:spacing w:line="560" w:lineRule="exact"/>
        <w:ind w:firstLine="0"/>
        <w:jc w:val="both"/>
        <w:rPr>
          <w:rFonts w:hint="eastAsia" w:ascii="楷体" w:hAnsi="楷体" w:eastAsia="楷体" w:cs="楷体"/>
          <w:bCs/>
          <w:color w:val="auto"/>
          <w:sz w:val="32"/>
          <w:szCs w:val="32"/>
          <w:lang w:eastAsia="zh-CN"/>
        </w:rPr>
      </w:pPr>
    </w:p>
    <w:p w14:paraId="21C5D44D">
      <w:pPr>
        <w:pStyle w:val="5"/>
        <w:numPr>
          <w:ilvl w:val="0"/>
          <w:numId w:val="0"/>
        </w:numPr>
        <w:spacing w:line="560" w:lineRule="exact"/>
        <w:ind w:firstLine="645" w:firstLineChars="0"/>
        <w:rPr>
          <w:rFonts w:hint="eastAsia" w:ascii="黑体" w:hAnsi="黑体" w:eastAsia="黑体" w:cs="黑体"/>
          <w:color w:val="auto"/>
          <w:sz w:val="28"/>
          <w:szCs w:val="28"/>
        </w:rPr>
      </w:pPr>
      <w:r>
        <w:rPr>
          <w:rFonts w:hint="eastAsia" w:ascii="黑体" w:hAnsi="黑体" w:eastAsia="黑体" w:cs="黑体"/>
          <w:color w:val="auto"/>
          <w:kern w:val="2"/>
          <w:sz w:val="28"/>
          <w:szCs w:val="28"/>
          <w:lang w:val="en-US" w:eastAsia="zh-CN" w:bidi="ar-SA"/>
        </w:rPr>
        <w:t>一、</w:t>
      </w:r>
      <w:r>
        <w:rPr>
          <w:rFonts w:hint="eastAsia" w:ascii="黑体" w:hAnsi="黑体" w:eastAsia="黑体" w:cs="黑体"/>
          <w:color w:val="auto"/>
          <w:sz w:val="28"/>
          <w:szCs w:val="28"/>
        </w:rPr>
        <w:t>工作简况</w:t>
      </w:r>
    </w:p>
    <w:p w14:paraId="054B541A">
      <w:pPr>
        <w:pStyle w:val="2"/>
        <w:keepNext w:val="0"/>
        <w:keepLines w:val="0"/>
        <w:pageBreakBefore w:val="0"/>
        <w:widowControl w:val="0"/>
        <w:kinsoku/>
        <w:wordWrap/>
        <w:overflowPunct/>
        <w:topLinePunct w:val="0"/>
        <w:autoSpaceDE/>
        <w:autoSpaceDN/>
        <w:bidi w:val="0"/>
        <w:adjustRightInd/>
        <w:snapToGrid/>
        <w:spacing w:line="360" w:lineRule="auto"/>
        <w:ind w:firstLine="424" w:firstLineChars="176"/>
        <w:textAlignment w:val="auto"/>
        <w:rPr>
          <w:rFonts w:hint="default" w:ascii="Times New Roman" w:hAnsi="Times New Roman" w:eastAsia="宋体" w:cs="Times New Roman"/>
          <w:b/>
          <w:bCs/>
          <w:kern w:val="2"/>
          <w:sz w:val="24"/>
          <w:szCs w:val="32"/>
          <w:lang w:val="en-US" w:eastAsia="zh-CN" w:bidi="ar-SA"/>
        </w:rPr>
      </w:pPr>
      <w:r>
        <w:rPr>
          <w:rFonts w:hint="eastAsia" w:ascii="Times New Roman" w:hAnsi="Times New Roman" w:eastAsia="宋体" w:cs="Times New Roman"/>
          <w:b/>
          <w:bCs/>
          <w:color w:val="auto"/>
          <w:kern w:val="2"/>
          <w:sz w:val="24"/>
          <w:szCs w:val="32"/>
          <w:lang w:val="en-US" w:eastAsia="zh-CN" w:bidi="ar-SA"/>
        </w:rPr>
        <w:t>（一）</w:t>
      </w:r>
      <w:r>
        <w:rPr>
          <w:rFonts w:hint="eastAsia" w:ascii="Times New Roman" w:hAnsi="Times New Roman" w:eastAsia="宋体" w:cs="Times New Roman"/>
          <w:b/>
          <w:bCs/>
          <w:kern w:val="2"/>
          <w:sz w:val="24"/>
          <w:szCs w:val="32"/>
          <w:lang w:val="en-US" w:eastAsia="zh-CN" w:bidi="ar-SA"/>
        </w:rPr>
        <w:t>标准名称：荔枝农业气象观测技术规范</w:t>
      </w:r>
    </w:p>
    <w:p w14:paraId="1545EA63">
      <w:pPr>
        <w:pStyle w:val="2"/>
        <w:spacing w:line="360" w:lineRule="auto"/>
        <w:ind w:firstLine="424" w:firstLineChars="176"/>
        <w:rPr>
          <w:rFonts w:hint="eastAsia" w:ascii="Times New Roman" w:hAnsi="Times New Roman" w:eastAsia="宋体" w:cs="Times New Roman"/>
          <w:b/>
          <w:bCs/>
          <w:color w:val="auto"/>
          <w:sz w:val="24"/>
          <w:szCs w:val="32"/>
          <w:lang w:val="en-US" w:eastAsia="zh-CN"/>
        </w:rPr>
      </w:pP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lang w:val="en-US" w:eastAsia="zh-CN"/>
        </w:rPr>
        <w:t>二</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color w:val="auto"/>
          <w:sz w:val="24"/>
          <w:szCs w:val="32"/>
        </w:rPr>
        <w:t>立项情况</w:t>
      </w:r>
      <w:r>
        <w:rPr>
          <w:rFonts w:hint="eastAsia" w:ascii="Times New Roman" w:hAnsi="Times New Roman" w:eastAsia="宋体" w:cs="Times New Roman"/>
          <w:b/>
          <w:bCs/>
          <w:color w:val="auto"/>
          <w:sz w:val="24"/>
          <w:szCs w:val="32"/>
          <w:lang w:eastAsia="zh-CN"/>
        </w:rPr>
        <w:t>：</w:t>
      </w:r>
      <w:r>
        <w:rPr>
          <w:rFonts w:hint="eastAsia" w:ascii="Times New Roman" w:hAnsi="Times New Roman" w:eastAsia="宋体" w:cs="Times New Roman"/>
          <w:b/>
          <w:bCs/>
          <w:color w:val="auto"/>
          <w:sz w:val="24"/>
          <w:szCs w:val="32"/>
          <w:lang w:val="en-US" w:eastAsia="zh-CN"/>
        </w:rPr>
        <w:t>任务来源于《</w:t>
      </w:r>
      <w:r>
        <w:rPr>
          <w:rFonts w:hint="eastAsia" w:ascii="Times New Roman" w:hAnsi="Times New Roman" w:eastAsia="宋体" w:cs="Times New Roman"/>
          <w:b/>
          <w:bCs/>
          <w:color w:val="auto"/>
          <w:sz w:val="24"/>
          <w:szCs w:val="32"/>
          <w:lang w:eastAsia="zh-CN"/>
        </w:rPr>
        <w:t>海南省市场监督管理局关于下达海南省2025年第一批地方标准制修订项目计划的通知</w:t>
      </w:r>
      <w:r>
        <w:rPr>
          <w:rFonts w:hint="eastAsia" w:ascii="Times New Roman" w:hAnsi="Times New Roman" w:eastAsia="宋体" w:cs="Times New Roman"/>
          <w:b/>
          <w:bCs/>
          <w:color w:val="auto"/>
          <w:sz w:val="24"/>
          <w:szCs w:val="32"/>
          <w:lang w:val="en-US" w:eastAsia="zh-CN"/>
        </w:rPr>
        <w:t>》（琼市监函〔2025〕345号），项目计划号：2025-Z036</w:t>
      </w:r>
    </w:p>
    <w:p w14:paraId="0519D637">
      <w:pPr>
        <w:pStyle w:val="2"/>
        <w:spacing w:line="360" w:lineRule="auto"/>
        <w:ind w:firstLine="424" w:firstLineChars="176"/>
        <w:rPr>
          <w:rFonts w:hint="eastAsia" w:ascii="Times New Roman" w:hAnsi="Times New Roman" w:eastAsia="宋体" w:cs="Times New Roman"/>
          <w:b/>
          <w:bCs/>
          <w:color w:val="auto"/>
          <w:sz w:val="24"/>
          <w:szCs w:val="32"/>
          <w:lang w:val="en-US" w:eastAsia="zh-CN"/>
        </w:rPr>
      </w:pPr>
      <w:r>
        <w:rPr>
          <w:rFonts w:hint="eastAsia" w:ascii="Times New Roman" w:hAnsi="Times New Roman" w:eastAsia="宋体" w:cs="Times New Roman"/>
          <w:b/>
          <w:bCs/>
          <w:color w:val="auto"/>
          <w:kern w:val="2"/>
          <w:sz w:val="24"/>
          <w:szCs w:val="32"/>
          <w:lang w:val="en-US" w:eastAsia="zh-CN" w:bidi="ar-SA"/>
        </w:rPr>
        <w:t>（</w:t>
      </w:r>
      <w:r>
        <w:rPr>
          <w:rFonts w:hint="eastAsia" w:ascii="Times New Roman" w:hAnsi="Times New Roman" w:eastAsia="宋体" w:cs="Times New Roman"/>
          <w:b/>
          <w:bCs/>
          <w:kern w:val="2"/>
          <w:sz w:val="24"/>
          <w:szCs w:val="32"/>
          <w:lang w:val="en-US" w:eastAsia="zh-CN" w:bidi="ar-SA"/>
        </w:rPr>
        <w:t>三</w:t>
      </w:r>
      <w:r>
        <w:rPr>
          <w:rFonts w:hint="eastAsia" w:ascii="Times New Roman" w:hAnsi="Times New Roman" w:eastAsia="宋体" w:cs="Times New Roman"/>
          <w:b/>
          <w:bCs/>
          <w:color w:val="auto"/>
          <w:kern w:val="2"/>
          <w:sz w:val="24"/>
          <w:szCs w:val="32"/>
          <w:lang w:val="en-US" w:eastAsia="zh-CN" w:bidi="ar-SA"/>
        </w:rPr>
        <w:t>）</w:t>
      </w:r>
      <w:r>
        <w:rPr>
          <w:rFonts w:hint="eastAsia" w:ascii="Times New Roman" w:hAnsi="Times New Roman" w:eastAsia="宋体" w:cs="Times New Roman"/>
          <w:b/>
          <w:bCs/>
          <w:color w:val="auto"/>
          <w:sz w:val="24"/>
          <w:szCs w:val="32"/>
        </w:rPr>
        <w:t>提出</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lang w:val="en-US" w:eastAsia="zh-CN"/>
        </w:rPr>
        <w:t>归口</w:t>
      </w:r>
      <w:r>
        <w:rPr>
          <w:rFonts w:hint="eastAsia" w:ascii="Times New Roman" w:hAnsi="Times New Roman" w:eastAsia="宋体" w:cs="Times New Roman"/>
          <w:b/>
          <w:bCs/>
          <w:color w:val="auto"/>
          <w:sz w:val="24"/>
          <w:szCs w:val="32"/>
        </w:rPr>
        <w:t>单位</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color w:val="auto"/>
          <w:sz w:val="24"/>
          <w:szCs w:val="32"/>
          <w:lang w:val="en-US" w:eastAsia="zh-CN"/>
        </w:rPr>
        <w:t>海南省气象局</w:t>
      </w:r>
    </w:p>
    <w:p w14:paraId="2283BC08">
      <w:pPr>
        <w:pStyle w:val="2"/>
        <w:keepNext w:val="0"/>
        <w:keepLines w:val="0"/>
        <w:pageBreakBefore w:val="0"/>
        <w:widowControl w:val="0"/>
        <w:kinsoku/>
        <w:wordWrap/>
        <w:overflowPunct/>
        <w:topLinePunct w:val="0"/>
        <w:autoSpaceDE/>
        <w:autoSpaceDN/>
        <w:bidi w:val="0"/>
        <w:adjustRightInd/>
        <w:snapToGrid/>
        <w:spacing w:line="360" w:lineRule="auto"/>
        <w:ind w:firstLine="424" w:firstLineChars="176"/>
        <w:textAlignment w:val="auto"/>
        <w:rPr>
          <w:rFonts w:hint="default" w:ascii="Times New Roman" w:hAnsi="Times New Roman" w:eastAsia="宋体" w:cs="Times New Roman"/>
          <w:b/>
          <w:bCs/>
          <w:sz w:val="24"/>
          <w:szCs w:val="32"/>
          <w:lang w:val="en-US" w:eastAsia="zh-CN"/>
        </w:rPr>
      </w:pP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lang w:val="en-US" w:eastAsia="zh-CN"/>
        </w:rPr>
        <w:t>四</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lang w:val="en-US" w:eastAsia="zh-CN"/>
        </w:rPr>
        <w:t>单位地址：海南省海口市美兰区海府路60号</w:t>
      </w:r>
    </w:p>
    <w:p w14:paraId="37DF496A">
      <w:pPr>
        <w:pStyle w:val="2"/>
        <w:spacing w:line="360" w:lineRule="auto"/>
        <w:ind w:firstLine="424" w:firstLineChars="176"/>
        <w:rPr>
          <w:rFonts w:hint="eastAsia" w:ascii="Times New Roman" w:hAnsi="Times New Roman" w:eastAsia="宋体" w:cs="Times New Roman"/>
          <w:b/>
          <w:bCs/>
          <w:color w:val="auto"/>
          <w:sz w:val="24"/>
          <w:szCs w:val="32"/>
          <w:lang w:val="en-US" w:eastAsia="zh-CN"/>
        </w:rPr>
      </w:pP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lang w:val="en-US" w:eastAsia="zh-CN"/>
        </w:rPr>
        <w:t>五</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color w:val="auto"/>
          <w:sz w:val="24"/>
          <w:szCs w:val="32"/>
        </w:rPr>
        <w:t>起草单位</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color w:val="auto"/>
          <w:sz w:val="24"/>
          <w:szCs w:val="32"/>
          <w:lang w:val="en-US" w:eastAsia="zh-CN"/>
        </w:rPr>
        <w:t>海南省气候中心、海南省农业科学院热带果树研究所、中国热带农业科学院热带作物品种资源研究所、海南省海口市气象局</w:t>
      </w:r>
    </w:p>
    <w:p w14:paraId="704C527C">
      <w:pPr>
        <w:pStyle w:val="2"/>
        <w:keepNext w:val="0"/>
        <w:keepLines w:val="0"/>
        <w:pageBreakBefore w:val="0"/>
        <w:widowControl w:val="0"/>
        <w:kinsoku/>
        <w:wordWrap/>
        <w:overflowPunct/>
        <w:topLinePunct w:val="0"/>
        <w:autoSpaceDE/>
        <w:autoSpaceDN/>
        <w:bidi w:val="0"/>
        <w:adjustRightInd/>
        <w:snapToGrid/>
        <w:spacing w:line="360" w:lineRule="auto"/>
        <w:ind w:firstLine="424" w:firstLineChars="176"/>
        <w:textAlignment w:val="auto"/>
        <w:rPr>
          <w:rFonts w:hint="eastAsia" w:ascii="Times New Roman" w:hAnsi="Times New Roman" w:eastAsia="宋体" w:cs="Times New Roman"/>
          <w:b/>
          <w:bCs/>
          <w:color w:val="auto"/>
          <w:sz w:val="24"/>
          <w:szCs w:val="32"/>
        </w:rPr>
      </w:pPr>
      <w:r>
        <w:rPr>
          <w:rFonts w:hint="eastAsia" w:ascii="Times New Roman" w:hAnsi="Times New Roman" w:eastAsia="宋体" w:cs="Times New Roman"/>
          <w:b/>
          <w:bCs/>
          <w:color w:val="auto"/>
          <w:kern w:val="2"/>
          <w:sz w:val="24"/>
          <w:szCs w:val="32"/>
          <w:lang w:val="en-US" w:eastAsia="zh-CN" w:bidi="ar-SA"/>
        </w:rPr>
        <w:t>（</w:t>
      </w:r>
      <w:r>
        <w:rPr>
          <w:rFonts w:hint="eastAsia" w:ascii="Times New Roman" w:hAnsi="Times New Roman" w:eastAsia="宋体" w:cs="Times New Roman"/>
          <w:b/>
          <w:bCs/>
          <w:kern w:val="2"/>
          <w:sz w:val="24"/>
          <w:szCs w:val="32"/>
          <w:lang w:val="en-US" w:eastAsia="zh-CN" w:bidi="ar-SA"/>
        </w:rPr>
        <w:t>六</w:t>
      </w:r>
      <w:r>
        <w:rPr>
          <w:rFonts w:hint="eastAsia" w:ascii="Times New Roman" w:hAnsi="Times New Roman" w:eastAsia="宋体" w:cs="Times New Roman"/>
          <w:b/>
          <w:bCs/>
          <w:color w:val="auto"/>
          <w:kern w:val="2"/>
          <w:sz w:val="24"/>
          <w:szCs w:val="32"/>
          <w:lang w:val="en-US" w:eastAsia="zh-CN" w:bidi="ar-SA"/>
        </w:rPr>
        <w:t>）</w:t>
      </w:r>
      <w:r>
        <w:rPr>
          <w:rFonts w:hint="eastAsia" w:ascii="Times New Roman" w:hAnsi="Times New Roman" w:eastAsia="宋体" w:cs="Times New Roman"/>
          <w:b/>
          <w:bCs/>
          <w:kern w:val="2"/>
          <w:sz w:val="24"/>
          <w:szCs w:val="32"/>
          <w:lang w:val="en-US" w:eastAsia="zh-CN" w:bidi="ar-SA"/>
        </w:rPr>
        <w:t>标准</w:t>
      </w:r>
      <w:r>
        <w:rPr>
          <w:rFonts w:hint="eastAsia" w:ascii="Times New Roman" w:hAnsi="Times New Roman" w:eastAsia="宋体" w:cs="Times New Roman"/>
          <w:b/>
          <w:bCs/>
          <w:color w:val="auto"/>
          <w:sz w:val="24"/>
          <w:szCs w:val="32"/>
        </w:rPr>
        <w:t>起草人</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rPr>
        <w:t>侯伟</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rPr>
        <w:t>陈哲</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rPr>
        <w:t>王祥和</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rPr>
        <w:t>陈小敏</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rPr>
        <w:t>张蕾</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rPr>
        <w:t>李焕苓</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rPr>
        <w:t>胡福初</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rPr>
        <w:t>王秀珍</w:t>
      </w: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rPr>
        <w:t>吴昱芸</w:t>
      </w:r>
    </w:p>
    <w:p w14:paraId="3811E28B">
      <w:pPr>
        <w:pStyle w:val="4"/>
        <w:spacing w:before="196" w:line="221" w:lineRule="auto"/>
        <w:jc w:val="center"/>
        <w:rPr>
          <w:rFonts w:hint="default"/>
          <w:sz w:val="24"/>
          <w:szCs w:val="24"/>
          <w:lang w:eastAsia="zh-CN"/>
        </w:rPr>
      </w:pPr>
      <w:r>
        <w:rPr>
          <w:rFonts w:hint="eastAsia"/>
          <w:spacing w:val="-4"/>
          <w:sz w:val="24"/>
          <w:szCs w:val="24"/>
          <w:lang w:val="en-US" w:eastAsia="zh-CN"/>
        </w:rPr>
        <w:t>表1标准</w:t>
      </w:r>
      <w:r>
        <w:rPr>
          <w:spacing w:val="-4"/>
          <w:sz w:val="24"/>
          <w:szCs w:val="24"/>
        </w:rPr>
        <w:t>起草人</w:t>
      </w:r>
      <w:r>
        <w:rPr>
          <w:rFonts w:hint="eastAsia"/>
          <w:spacing w:val="-4"/>
          <w:sz w:val="24"/>
          <w:szCs w:val="24"/>
          <w:lang w:val="en-US" w:eastAsia="zh-CN"/>
        </w:rPr>
        <w:t>及任务分工</w:t>
      </w:r>
    </w:p>
    <w:p w14:paraId="258AD141">
      <w:pPr>
        <w:spacing w:line="148" w:lineRule="exact"/>
      </w:pPr>
    </w:p>
    <w:tbl>
      <w:tblPr>
        <w:tblStyle w:val="13"/>
        <w:tblW w:w="950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31"/>
        <w:gridCol w:w="721"/>
        <w:gridCol w:w="2230"/>
        <w:gridCol w:w="932"/>
        <w:gridCol w:w="1260"/>
        <w:gridCol w:w="2510"/>
        <w:gridCol w:w="1221"/>
      </w:tblGrid>
      <w:tr w14:paraId="30A526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4" w:hRule="atLeast"/>
          <w:jc w:val="center"/>
        </w:trPr>
        <w:tc>
          <w:tcPr>
            <w:tcW w:w="631" w:type="dxa"/>
            <w:vAlign w:val="top"/>
          </w:tcPr>
          <w:p w14:paraId="653DC977">
            <w:pPr>
              <w:pStyle w:val="12"/>
              <w:spacing w:before="111" w:line="221" w:lineRule="auto"/>
              <w:ind w:left="138"/>
              <w:rPr>
                <w:sz w:val="21"/>
                <w:szCs w:val="21"/>
              </w:rPr>
            </w:pPr>
            <w:r>
              <w:rPr>
                <w:spacing w:val="-2"/>
                <w:sz w:val="21"/>
                <w:szCs w:val="21"/>
              </w:rPr>
              <w:t>序号</w:t>
            </w:r>
          </w:p>
        </w:tc>
        <w:tc>
          <w:tcPr>
            <w:tcW w:w="721" w:type="dxa"/>
            <w:vAlign w:val="top"/>
          </w:tcPr>
          <w:p w14:paraId="3B66B882">
            <w:pPr>
              <w:pStyle w:val="12"/>
              <w:spacing w:before="111" w:line="220" w:lineRule="auto"/>
              <w:jc w:val="center"/>
              <w:rPr>
                <w:sz w:val="21"/>
                <w:szCs w:val="21"/>
              </w:rPr>
            </w:pPr>
            <w:r>
              <w:rPr>
                <w:spacing w:val="-2"/>
                <w:sz w:val="21"/>
                <w:szCs w:val="21"/>
              </w:rPr>
              <w:t>姓名</w:t>
            </w:r>
          </w:p>
        </w:tc>
        <w:tc>
          <w:tcPr>
            <w:tcW w:w="2230" w:type="dxa"/>
            <w:vAlign w:val="top"/>
          </w:tcPr>
          <w:p w14:paraId="74F9ED15">
            <w:pPr>
              <w:pStyle w:val="12"/>
              <w:spacing w:before="111" w:line="220" w:lineRule="auto"/>
              <w:jc w:val="center"/>
              <w:rPr>
                <w:sz w:val="21"/>
                <w:szCs w:val="21"/>
              </w:rPr>
            </w:pPr>
            <w:r>
              <w:rPr>
                <w:spacing w:val="-3"/>
                <w:sz w:val="21"/>
                <w:szCs w:val="21"/>
              </w:rPr>
              <w:t>单位</w:t>
            </w:r>
          </w:p>
        </w:tc>
        <w:tc>
          <w:tcPr>
            <w:tcW w:w="932" w:type="dxa"/>
            <w:vAlign w:val="top"/>
          </w:tcPr>
          <w:p w14:paraId="761F39D0">
            <w:pPr>
              <w:pStyle w:val="12"/>
              <w:spacing w:before="111" w:line="220" w:lineRule="auto"/>
              <w:jc w:val="center"/>
              <w:rPr>
                <w:sz w:val="21"/>
                <w:szCs w:val="21"/>
              </w:rPr>
            </w:pPr>
            <w:r>
              <w:rPr>
                <w:spacing w:val="-2"/>
                <w:sz w:val="21"/>
                <w:szCs w:val="21"/>
              </w:rPr>
              <w:t>职务</w:t>
            </w:r>
          </w:p>
        </w:tc>
        <w:tc>
          <w:tcPr>
            <w:tcW w:w="1260" w:type="dxa"/>
            <w:vAlign w:val="top"/>
          </w:tcPr>
          <w:p w14:paraId="0EDA2B7F">
            <w:pPr>
              <w:pStyle w:val="12"/>
              <w:spacing w:before="111" w:line="222" w:lineRule="auto"/>
              <w:jc w:val="center"/>
              <w:rPr>
                <w:sz w:val="21"/>
                <w:szCs w:val="21"/>
              </w:rPr>
            </w:pPr>
            <w:r>
              <w:rPr>
                <w:spacing w:val="-2"/>
                <w:sz w:val="21"/>
                <w:szCs w:val="21"/>
              </w:rPr>
              <w:t>职称</w:t>
            </w:r>
          </w:p>
        </w:tc>
        <w:tc>
          <w:tcPr>
            <w:tcW w:w="2510" w:type="dxa"/>
            <w:vAlign w:val="top"/>
          </w:tcPr>
          <w:p w14:paraId="5E51520B">
            <w:pPr>
              <w:pStyle w:val="12"/>
              <w:spacing w:before="111" w:line="220" w:lineRule="auto"/>
              <w:jc w:val="center"/>
              <w:rPr>
                <w:sz w:val="21"/>
                <w:szCs w:val="21"/>
              </w:rPr>
            </w:pPr>
            <w:r>
              <w:rPr>
                <w:spacing w:val="-2"/>
                <w:sz w:val="21"/>
                <w:szCs w:val="21"/>
              </w:rPr>
              <w:t>任务分工</w:t>
            </w:r>
          </w:p>
        </w:tc>
        <w:tc>
          <w:tcPr>
            <w:tcW w:w="1221" w:type="dxa"/>
            <w:vAlign w:val="top"/>
          </w:tcPr>
          <w:p w14:paraId="2A7DFF9B">
            <w:pPr>
              <w:pStyle w:val="12"/>
              <w:spacing w:before="111" w:line="221" w:lineRule="auto"/>
              <w:jc w:val="center"/>
              <w:rPr>
                <w:sz w:val="21"/>
                <w:szCs w:val="21"/>
              </w:rPr>
            </w:pPr>
            <w:r>
              <w:rPr>
                <w:spacing w:val="-2"/>
                <w:sz w:val="21"/>
                <w:szCs w:val="21"/>
              </w:rPr>
              <w:t>联系方式</w:t>
            </w:r>
          </w:p>
        </w:tc>
      </w:tr>
      <w:tr w14:paraId="4D5119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jc w:val="center"/>
        </w:trPr>
        <w:tc>
          <w:tcPr>
            <w:tcW w:w="631" w:type="dxa"/>
            <w:shd w:val="clear" w:color="auto" w:fill="auto"/>
            <w:vAlign w:val="center"/>
          </w:tcPr>
          <w:p w14:paraId="7559396E">
            <w:pPr>
              <w:jc w:val="center"/>
              <w:rPr>
                <w:rFonts w:hint="eastAsia" w:ascii="宋体" w:hAnsi="宋体" w:cs="宋体" w:eastAsiaTheme="minorEastAsia"/>
                <w:kern w:val="2"/>
                <w:sz w:val="21"/>
                <w:szCs w:val="21"/>
                <w:lang w:val="en-US" w:eastAsia="zh-CN" w:bidi="ar-SA"/>
              </w:rPr>
            </w:pPr>
            <w:r>
              <w:rPr>
                <w:rFonts w:hint="eastAsia" w:ascii="宋体" w:hAnsi="宋体" w:cs="宋体"/>
                <w:szCs w:val="21"/>
              </w:rPr>
              <w:t>1</w:t>
            </w:r>
          </w:p>
        </w:tc>
        <w:tc>
          <w:tcPr>
            <w:tcW w:w="721" w:type="dxa"/>
            <w:shd w:val="clear" w:color="auto" w:fill="auto"/>
            <w:vAlign w:val="center"/>
          </w:tcPr>
          <w:p w14:paraId="7CFA3BBD">
            <w:pPr>
              <w:jc w:val="center"/>
              <w:rPr>
                <w:rFonts w:hint="default" w:ascii="宋体" w:hAnsi="宋体" w:eastAsia="宋体" w:cs="宋体"/>
                <w:kern w:val="2"/>
                <w:sz w:val="21"/>
                <w:szCs w:val="21"/>
                <w:lang w:val="en-US" w:eastAsia="zh-CN" w:bidi="ar-SA"/>
              </w:rPr>
            </w:pPr>
            <w:r>
              <w:rPr>
                <w:rFonts w:hint="eastAsia" w:ascii="宋体" w:hAnsi="宋体" w:cs="宋体"/>
                <w:szCs w:val="21"/>
                <w:lang w:val="en-US" w:eastAsia="zh-CN"/>
              </w:rPr>
              <w:t>侯伟</w:t>
            </w:r>
          </w:p>
        </w:tc>
        <w:tc>
          <w:tcPr>
            <w:tcW w:w="2230" w:type="dxa"/>
            <w:shd w:val="clear" w:color="auto" w:fill="auto"/>
            <w:vAlign w:val="center"/>
          </w:tcPr>
          <w:p w14:paraId="3C4B9344">
            <w:pPr>
              <w:jc w:val="center"/>
              <w:rPr>
                <w:rFonts w:hint="eastAsia" w:ascii="宋体" w:hAnsi="宋体" w:cs="宋体" w:eastAsiaTheme="minorEastAsia"/>
                <w:kern w:val="2"/>
                <w:sz w:val="21"/>
                <w:szCs w:val="21"/>
                <w:lang w:val="en-US" w:eastAsia="zh-CN" w:bidi="ar-SA"/>
              </w:rPr>
            </w:pPr>
            <w:r>
              <w:rPr>
                <w:rFonts w:hint="eastAsia" w:ascii="宋体" w:hAnsi="宋体" w:cs="宋体"/>
                <w:szCs w:val="21"/>
              </w:rPr>
              <w:t>海南省气候中心</w:t>
            </w:r>
          </w:p>
        </w:tc>
        <w:tc>
          <w:tcPr>
            <w:tcW w:w="932" w:type="dxa"/>
            <w:shd w:val="clear" w:color="auto" w:fill="auto"/>
            <w:vAlign w:val="center"/>
          </w:tcPr>
          <w:p w14:paraId="5C007702">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无</w:t>
            </w:r>
          </w:p>
        </w:tc>
        <w:tc>
          <w:tcPr>
            <w:tcW w:w="1260" w:type="dxa"/>
            <w:shd w:val="clear" w:color="auto" w:fill="auto"/>
            <w:vAlign w:val="center"/>
          </w:tcPr>
          <w:p w14:paraId="54A3AF1A">
            <w:pPr>
              <w:jc w:val="center"/>
              <w:rPr>
                <w:rFonts w:hint="default"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高级工程师</w:t>
            </w:r>
          </w:p>
        </w:tc>
        <w:tc>
          <w:tcPr>
            <w:tcW w:w="2510" w:type="dxa"/>
            <w:shd w:val="clear" w:color="auto" w:fill="auto"/>
            <w:vAlign w:val="center"/>
          </w:tcPr>
          <w:p w14:paraId="7D83CD53">
            <w:pPr>
              <w:jc w:val="center"/>
              <w:rPr>
                <w:rFonts w:hint="eastAsia" w:ascii="宋体" w:hAnsi="宋体" w:cs="宋体" w:eastAsiaTheme="minorEastAsia"/>
                <w:kern w:val="2"/>
                <w:sz w:val="21"/>
                <w:szCs w:val="21"/>
                <w:lang w:val="en-US" w:eastAsia="zh-CN" w:bidi="ar-SA"/>
              </w:rPr>
            </w:pPr>
            <w:r>
              <w:rPr>
                <w:rFonts w:hint="eastAsia" w:ascii="宋体" w:hAnsi="宋体" w:cs="宋体"/>
                <w:color w:val="000000"/>
                <w:kern w:val="0"/>
                <w:szCs w:val="21"/>
              </w:rPr>
              <w:t>主要起草人，</w:t>
            </w:r>
            <w:r>
              <w:rPr>
                <w:rFonts w:hint="eastAsia" w:ascii="宋体" w:hAnsi="宋体" w:cs="宋体"/>
                <w:color w:val="000000"/>
                <w:kern w:val="0"/>
                <w:szCs w:val="21"/>
                <w:lang w:val="en-US" w:eastAsia="zh-CN"/>
              </w:rPr>
              <w:t>标准编写</w:t>
            </w:r>
            <w:r>
              <w:rPr>
                <w:rFonts w:hint="eastAsia" w:ascii="宋体" w:hAnsi="宋体" w:cs="宋体"/>
                <w:color w:val="000000"/>
                <w:kern w:val="0"/>
                <w:szCs w:val="21"/>
              </w:rPr>
              <w:t>策划和技术把关</w:t>
            </w:r>
          </w:p>
        </w:tc>
        <w:tc>
          <w:tcPr>
            <w:tcW w:w="1221" w:type="dxa"/>
            <w:shd w:val="clear" w:color="auto" w:fill="auto"/>
            <w:vAlign w:val="center"/>
          </w:tcPr>
          <w:p w14:paraId="52CFE731">
            <w:pPr>
              <w:jc w:val="center"/>
              <w:rPr>
                <w:rFonts w:hint="default" w:ascii="宋体" w:hAnsi="宋体" w:eastAsia="宋体" w:cs="宋体"/>
                <w:kern w:val="2"/>
                <w:sz w:val="21"/>
                <w:szCs w:val="21"/>
                <w:lang w:val="en-US" w:eastAsia="zh-CN" w:bidi="ar-SA"/>
              </w:rPr>
            </w:pPr>
            <w:r>
              <w:rPr>
                <w:rFonts w:hint="eastAsia" w:ascii="宋体" w:hAnsi="宋体" w:cs="宋体"/>
                <w:szCs w:val="21"/>
                <w:lang w:val="en-US" w:eastAsia="zh-CN"/>
              </w:rPr>
              <w:t>18089862509</w:t>
            </w:r>
          </w:p>
        </w:tc>
      </w:tr>
      <w:tr w14:paraId="25A127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jc w:val="center"/>
        </w:trPr>
        <w:tc>
          <w:tcPr>
            <w:tcW w:w="631" w:type="dxa"/>
            <w:shd w:val="clear" w:color="auto" w:fill="auto"/>
            <w:vAlign w:val="center"/>
          </w:tcPr>
          <w:p w14:paraId="7BE20271">
            <w:pPr>
              <w:jc w:val="center"/>
              <w:rPr>
                <w:rFonts w:hint="eastAsia" w:ascii="宋体" w:hAnsi="宋体" w:cs="宋体" w:eastAsiaTheme="minorEastAsia"/>
                <w:kern w:val="2"/>
                <w:sz w:val="21"/>
                <w:szCs w:val="21"/>
                <w:lang w:val="en-US" w:eastAsia="zh-CN" w:bidi="ar-SA"/>
              </w:rPr>
            </w:pPr>
            <w:r>
              <w:rPr>
                <w:rFonts w:hint="eastAsia" w:ascii="宋体" w:hAnsi="宋体" w:cs="宋体"/>
                <w:szCs w:val="21"/>
              </w:rPr>
              <w:t>2</w:t>
            </w:r>
          </w:p>
        </w:tc>
        <w:tc>
          <w:tcPr>
            <w:tcW w:w="721" w:type="dxa"/>
            <w:shd w:val="clear" w:color="auto" w:fill="auto"/>
            <w:vAlign w:val="center"/>
          </w:tcPr>
          <w:p w14:paraId="2A134237">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陈哲</w:t>
            </w:r>
          </w:p>
        </w:tc>
        <w:tc>
          <w:tcPr>
            <w:tcW w:w="2230" w:type="dxa"/>
            <w:shd w:val="clear" w:color="auto" w:fill="auto"/>
            <w:vAlign w:val="center"/>
          </w:tcPr>
          <w:p w14:paraId="5533B7B1">
            <w:pPr>
              <w:jc w:val="center"/>
              <w:rPr>
                <w:rFonts w:hint="eastAsia" w:ascii="宋体" w:hAnsi="宋体" w:cs="宋体" w:eastAsiaTheme="minorEastAsia"/>
                <w:kern w:val="2"/>
                <w:sz w:val="21"/>
                <w:szCs w:val="21"/>
                <w:lang w:val="en-US" w:eastAsia="zh-CN" w:bidi="ar-SA"/>
              </w:rPr>
            </w:pPr>
            <w:r>
              <w:rPr>
                <w:rFonts w:hint="eastAsia" w:ascii="宋体" w:hAnsi="宋体" w:cs="宋体"/>
                <w:szCs w:val="21"/>
                <w:lang w:eastAsia="zh-CN"/>
              </w:rPr>
              <w:t>海南省农业科学院热带果树研究所</w:t>
            </w:r>
          </w:p>
        </w:tc>
        <w:tc>
          <w:tcPr>
            <w:tcW w:w="932" w:type="dxa"/>
            <w:shd w:val="clear" w:color="auto" w:fill="auto"/>
            <w:vAlign w:val="center"/>
          </w:tcPr>
          <w:p w14:paraId="0835FE28">
            <w:pPr>
              <w:jc w:val="center"/>
              <w:rPr>
                <w:rFonts w:hint="default" w:ascii="宋体" w:hAnsi="宋体" w:eastAsia="宋体" w:cs="宋体"/>
                <w:kern w:val="2"/>
                <w:sz w:val="21"/>
                <w:szCs w:val="21"/>
                <w:lang w:val="en-US" w:eastAsia="zh-CN" w:bidi="ar-SA"/>
              </w:rPr>
            </w:pPr>
            <w:r>
              <w:rPr>
                <w:rFonts w:hint="eastAsia" w:ascii="宋体" w:hAnsi="宋体" w:cs="宋体"/>
                <w:szCs w:val="21"/>
                <w:lang w:val="en-US" w:eastAsia="zh-CN"/>
              </w:rPr>
              <w:t>站长</w:t>
            </w:r>
          </w:p>
        </w:tc>
        <w:tc>
          <w:tcPr>
            <w:tcW w:w="1260" w:type="dxa"/>
            <w:shd w:val="clear" w:color="auto" w:fill="auto"/>
            <w:vAlign w:val="center"/>
          </w:tcPr>
          <w:p w14:paraId="22C5A673">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副研究员</w:t>
            </w:r>
          </w:p>
        </w:tc>
        <w:tc>
          <w:tcPr>
            <w:tcW w:w="2510" w:type="dxa"/>
            <w:shd w:val="clear" w:color="auto" w:fill="auto"/>
            <w:vAlign w:val="center"/>
          </w:tcPr>
          <w:p w14:paraId="7C000208">
            <w:pPr>
              <w:jc w:val="center"/>
              <w:rPr>
                <w:rFonts w:hint="eastAsia" w:ascii="宋体" w:hAnsi="宋体" w:cs="宋体" w:eastAsiaTheme="minorEastAsia"/>
                <w:color w:val="auto"/>
                <w:kern w:val="0"/>
                <w:sz w:val="21"/>
                <w:szCs w:val="21"/>
                <w:lang w:val="en-US" w:eastAsia="zh-CN" w:bidi="ar-SA"/>
              </w:rPr>
            </w:pPr>
            <w:r>
              <w:rPr>
                <w:rFonts w:hint="eastAsia" w:ascii="宋体" w:hAnsi="宋体" w:cs="宋体"/>
                <w:color w:val="auto"/>
                <w:kern w:val="0"/>
                <w:szCs w:val="21"/>
                <w:lang w:val="en-US" w:eastAsia="zh-CN"/>
              </w:rPr>
              <w:t>协助标准编写，进行有关</w:t>
            </w:r>
            <w:r>
              <w:rPr>
                <w:rFonts w:hint="eastAsia" w:ascii="宋体" w:hAnsi="宋体" w:cs="宋体"/>
                <w:color w:val="auto"/>
                <w:kern w:val="0"/>
                <w:szCs w:val="21"/>
              </w:rPr>
              <w:t>技术</w:t>
            </w:r>
            <w:r>
              <w:rPr>
                <w:rFonts w:hint="eastAsia" w:ascii="宋体" w:hAnsi="宋体" w:cs="宋体"/>
                <w:color w:val="auto"/>
                <w:kern w:val="0"/>
                <w:szCs w:val="21"/>
                <w:lang w:val="en-US" w:eastAsia="zh-CN"/>
              </w:rPr>
              <w:t>指导</w:t>
            </w:r>
          </w:p>
        </w:tc>
        <w:tc>
          <w:tcPr>
            <w:tcW w:w="1221" w:type="dxa"/>
            <w:shd w:val="clear" w:color="auto" w:fill="auto"/>
            <w:vAlign w:val="center"/>
          </w:tcPr>
          <w:p w14:paraId="1ECF09BD">
            <w:pPr>
              <w:jc w:val="center"/>
              <w:rPr>
                <w:rFonts w:hint="default" w:ascii="宋体" w:hAnsi="宋体" w:eastAsia="宋体" w:cs="宋体"/>
                <w:kern w:val="2"/>
                <w:sz w:val="21"/>
                <w:szCs w:val="21"/>
                <w:lang w:val="en-US" w:eastAsia="zh-CN" w:bidi="ar-SA"/>
              </w:rPr>
            </w:pPr>
            <w:r>
              <w:rPr>
                <w:rFonts w:hint="eastAsia" w:ascii="宋体" w:hAnsi="宋体" w:cs="宋体"/>
                <w:szCs w:val="21"/>
                <w:lang w:val="en-US" w:eastAsia="zh-CN"/>
              </w:rPr>
              <w:t>13976108634</w:t>
            </w:r>
          </w:p>
        </w:tc>
      </w:tr>
      <w:tr w14:paraId="12DBC6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jc w:val="center"/>
        </w:trPr>
        <w:tc>
          <w:tcPr>
            <w:tcW w:w="631" w:type="dxa"/>
            <w:shd w:val="clear" w:color="auto" w:fill="auto"/>
            <w:vAlign w:val="center"/>
          </w:tcPr>
          <w:p w14:paraId="0FA624F8">
            <w:pPr>
              <w:jc w:val="center"/>
              <w:rPr>
                <w:rFonts w:hint="default" w:ascii="宋体" w:hAnsi="宋体" w:eastAsia="宋体" w:cs="宋体"/>
                <w:kern w:val="2"/>
                <w:sz w:val="21"/>
                <w:szCs w:val="21"/>
                <w:lang w:val="en-US" w:eastAsia="zh-CN" w:bidi="ar-SA"/>
              </w:rPr>
            </w:pPr>
            <w:r>
              <w:rPr>
                <w:rFonts w:hint="eastAsia" w:ascii="宋体" w:hAnsi="宋体" w:cs="宋体"/>
                <w:szCs w:val="21"/>
                <w:lang w:val="en-US" w:eastAsia="zh-CN"/>
              </w:rPr>
              <w:t>3</w:t>
            </w:r>
          </w:p>
        </w:tc>
        <w:tc>
          <w:tcPr>
            <w:tcW w:w="721" w:type="dxa"/>
            <w:shd w:val="clear" w:color="auto" w:fill="auto"/>
            <w:vAlign w:val="center"/>
          </w:tcPr>
          <w:p w14:paraId="196330B2">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王祥和</w:t>
            </w:r>
          </w:p>
        </w:tc>
        <w:tc>
          <w:tcPr>
            <w:tcW w:w="2230" w:type="dxa"/>
            <w:shd w:val="clear" w:color="auto" w:fill="auto"/>
            <w:vAlign w:val="center"/>
          </w:tcPr>
          <w:p w14:paraId="599FEF05">
            <w:pPr>
              <w:jc w:val="center"/>
              <w:rPr>
                <w:rFonts w:hint="eastAsia" w:ascii="宋体" w:hAnsi="宋体" w:cs="宋体" w:eastAsiaTheme="minorEastAsia"/>
                <w:kern w:val="2"/>
                <w:sz w:val="21"/>
                <w:szCs w:val="21"/>
                <w:lang w:val="en-US" w:eastAsia="zh-CN" w:bidi="ar-SA"/>
              </w:rPr>
            </w:pPr>
            <w:r>
              <w:rPr>
                <w:rFonts w:hint="eastAsia" w:ascii="宋体" w:hAnsi="宋体" w:cs="宋体"/>
                <w:szCs w:val="21"/>
                <w:lang w:eastAsia="zh-CN"/>
              </w:rPr>
              <w:t>海南省农业科学院热带果树研究所</w:t>
            </w:r>
          </w:p>
        </w:tc>
        <w:tc>
          <w:tcPr>
            <w:tcW w:w="932" w:type="dxa"/>
            <w:shd w:val="clear" w:color="auto" w:fill="auto"/>
            <w:vAlign w:val="center"/>
          </w:tcPr>
          <w:p w14:paraId="24089F6E">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站长</w:t>
            </w:r>
          </w:p>
        </w:tc>
        <w:tc>
          <w:tcPr>
            <w:tcW w:w="1260" w:type="dxa"/>
            <w:shd w:val="clear" w:color="auto" w:fill="auto"/>
            <w:vAlign w:val="center"/>
          </w:tcPr>
          <w:p w14:paraId="7399A044">
            <w:pPr>
              <w:jc w:val="center"/>
              <w:rPr>
                <w:rFonts w:hint="default" w:ascii="宋体" w:hAnsi="宋体" w:eastAsia="宋体" w:cs="宋体"/>
                <w:kern w:val="2"/>
                <w:sz w:val="21"/>
                <w:szCs w:val="21"/>
                <w:lang w:val="en-US" w:eastAsia="zh-CN" w:bidi="ar-SA"/>
              </w:rPr>
            </w:pPr>
            <w:r>
              <w:rPr>
                <w:rFonts w:hint="eastAsia" w:ascii="宋体" w:hAnsi="宋体" w:cs="宋体"/>
                <w:szCs w:val="21"/>
                <w:lang w:val="en-US" w:eastAsia="zh-CN"/>
              </w:rPr>
              <w:t>研究员</w:t>
            </w:r>
          </w:p>
        </w:tc>
        <w:tc>
          <w:tcPr>
            <w:tcW w:w="2510" w:type="dxa"/>
            <w:shd w:val="clear" w:color="auto" w:fill="auto"/>
            <w:vAlign w:val="center"/>
          </w:tcPr>
          <w:p w14:paraId="33360263">
            <w:pPr>
              <w:jc w:val="center"/>
              <w:rPr>
                <w:rFonts w:hint="eastAsia" w:ascii="宋体" w:hAnsi="宋体" w:cs="宋体" w:eastAsiaTheme="minorEastAsia"/>
                <w:color w:val="auto"/>
                <w:kern w:val="0"/>
                <w:sz w:val="21"/>
                <w:szCs w:val="21"/>
                <w:lang w:val="en-US" w:eastAsia="zh-CN" w:bidi="ar-SA"/>
              </w:rPr>
            </w:pPr>
            <w:r>
              <w:rPr>
                <w:rFonts w:hint="eastAsia" w:ascii="宋体" w:hAnsi="宋体" w:cs="宋体"/>
                <w:color w:val="auto"/>
                <w:kern w:val="0"/>
                <w:szCs w:val="21"/>
                <w:lang w:val="en-US" w:eastAsia="zh-CN"/>
              </w:rPr>
              <w:t>负责</w:t>
            </w:r>
            <w:r>
              <w:rPr>
                <w:rFonts w:hint="eastAsia" w:ascii="宋体" w:hAnsi="宋体" w:cs="宋体"/>
                <w:color w:val="auto"/>
                <w:kern w:val="0"/>
                <w:szCs w:val="21"/>
              </w:rPr>
              <w:t>技术方案</w:t>
            </w:r>
            <w:r>
              <w:rPr>
                <w:rFonts w:hint="eastAsia" w:ascii="宋体" w:hAnsi="宋体" w:cs="宋体"/>
                <w:color w:val="auto"/>
                <w:kern w:val="0"/>
                <w:szCs w:val="21"/>
                <w:lang w:val="en-US" w:eastAsia="zh-CN"/>
              </w:rPr>
              <w:t>制定和指导</w:t>
            </w:r>
          </w:p>
        </w:tc>
        <w:tc>
          <w:tcPr>
            <w:tcW w:w="1221" w:type="dxa"/>
            <w:shd w:val="clear" w:color="auto" w:fill="auto"/>
            <w:vAlign w:val="center"/>
          </w:tcPr>
          <w:p w14:paraId="5B130B14">
            <w:pPr>
              <w:jc w:val="center"/>
              <w:rPr>
                <w:rFonts w:hint="default" w:ascii="宋体" w:hAnsi="宋体" w:eastAsia="宋体" w:cs="宋体"/>
                <w:kern w:val="2"/>
                <w:sz w:val="21"/>
                <w:szCs w:val="21"/>
                <w:lang w:val="en-US" w:eastAsia="zh-CN" w:bidi="ar-SA"/>
              </w:rPr>
            </w:pPr>
            <w:r>
              <w:rPr>
                <w:rFonts w:hint="eastAsia" w:ascii="宋体" w:hAnsi="宋体" w:cs="宋体"/>
                <w:szCs w:val="21"/>
                <w:lang w:val="en-US" w:eastAsia="zh-CN"/>
              </w:rPr>
              <w:t>13907551212</w:t>
            </w:r>
          </w:p>
        </w:tc>
      </w:tr>
      <w:tr w14:paraId="6C9FD4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jc w:val="center"/>
        </w:trPr>
        <w:tc>
          <w:tcPr>
            <w:tcW w:w="631" w:type="dxa"/>
            <w:shd w:val="clear" w:color="auto" w:fill="auto"/>
            <w:vAlign w:val="center"/>
          </w:tcPr>
          <w:p w14:paraId="651FD8A2">
            <w:pPr>
              <w:jc w:val="center"/>
              <w:rPr>
                <w:rFonts w:hint="default"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4</w:t>
            </w:r>
          </w:p>
        </w:tc>
        <w:tc>
          <w:tcPr>
            <w:tcW w:w="721" w:type="dxa"/>
            <w:shd w:val="clear" w:color="auto" w:fill="auto"/>
            <w:vAlign w:val="center"/>
          </w:tcPr>
          <w:p w14:paraId="240617C7">
            <w:pPr>
              <w:jc w:val="center"/>
              <w:rPr>
                <w:rFonts w:hint="eastAsia" w:ascii="宋体" w:hAnsi="宋体" w:eastAsia="宋体" w:cs="宋体"/>
                <w:kern w:val="2"/>
                <w:sz w:val="21"/>
                <w:szCs w:val="21"/>
                <w:lang w:val="en-US" w:eastAsia="zh-CN" w:bidi="ar-SA"/>
              </w:rPr>
            </w:pPr>
            <w:r>
              <w:rPr>
                <w:rFonts w:hint="eastAsia" w:ascii="宋体" w:hAnsi="宋体" w:cs="宋体"/>
                <w:szCs w:val="21"/>
              </w:rPr>
              <w:t>陈小敏</w:t>
            </w:r>
          </w:p>
        </w:tc>
        <w:tc>
          <w:tcPr>
            <w:tcW w:w="2230" w:type="dxa"/>
            <w:shd w:val="clear" w:color="auto" w:fill="auto"/>
            <w:vAlign w:val="center"/>
          </w:tcPr>
          <w:p w14:paraId="1B517426">
            <w:pPr>
              <w:jc w:val="center"/>
              <w:rPr>
                <w:rFonts w:hint="eastAsia" w:ascii="宋体" w:hAnsi="宋体" w:eastAsia="宋体" w:cs="宋体"/>
                <w:kern w:val="2"/>
                <w:sz w:val="21"/>
                <w:szCs w:val="21"/>
                <w:lang w:val="en-US" w:eastAsia="zh-CN" w:bidi="ar-SA"/>
              </w:rPr>
            </w:pPr>
            <w:r>
              <w:rPr>
                <w:rFonts w:hint="eastAsia" w:ascii="宋体" w:hAnsi="宋体" w:cs="宋体"/>
                <w:szCs w:val="21"/>
              </w:rPr>
              <w:t>海南省气候中心</w:t>
            </w:r>
          </w:p>
        </w:tc>
        <w:tc>
          <w:tcPr>
            <w:tcW w:w="932" w:type="dxa"/>
            <w:shd w:val="clear" w:color="auto" w:fill="auto"/>
            <w:vAlign w:val="center"/>
          </w:tcPr>
          <w:p w14:paraId="3380DC43">
            <w:pPr>
              <w:jc w:val="center"/>
              <w:rPr>
                <w:rFonts w:hint="eastAsia" w:ascii="宋体" w:hAnsi="宋体" w:eastAsia="宋体" w:cs="宋体"/>
                <w:kern w:val="2"/>
                <w:sz w:val="21"/>
                <w:szCs w:val="21"/>
                <w:lang w:val="en-US" w:eastAsia="zh-CN" w:bidi="ar-SA"/>
              </w:rPr>
            </w:pPr>
            <w:r>
              <w:rPr>
                <w:rFonts w:hint="eastAsia" w:ascii="宋体" w:hAnsi="宋体" w:cs="宋体"/>
                <w:szCs w:val="21"/>
              </w:rPr>
              <w:t>副主任</w:t>
            </w:r>
          </w:p>
        </w:tc>
        <w:tc>
          <w:tcPr>
            <w:tcW w:w="1260" w:type="dxa"/>
            <w:shd w:val="clear" w:color="auto" w:fill="auto"/>
            <w:vAlign w:val="center"/>
          </w:tcPr>
          <w:p w14:paraId="1CF880DB">
            <w:pPr>
              <w:jc w:val="center"/>
              <w:rPr>
                <w:rFonts w:hint="eastAsia" w:ascii="宋体" w:hAnsi="宋体" w:cs="宋体"/>
                <w:szCs w:val="21"/>
              </w:rPr>
            </w:pPr>
            <w:r>
              <w:rPr>
                <w:rFonts w:hint="eastAsia" w:ascii="宋体" w:hAnsi="宋体" w:cs="宋体"/>
                <w:szCs w:val="21"/>
              </w:rPr>
              <w:t>正高级</w:t>
            </w:r>
          </w:p>
          <w:p w14:paraId="7EF22824">
            <w:pPr>
              <w:jc w:val="center"/>
              <w:rPr>
                <w:rFonts w:hint="eastAsia" w:ascii="宋体" w:hAnsi="宋体" w:cs="宋体" w:eastAsiaTheme="minorEastAsia"/>
                <w:kern w:val="2"/>
                <w:sz w:val="21"/>
                <w:szCs w:val="21"/>
                <w:lang w:val="en-US" w:eastAsia="zh-CN" w:bidi="ar-SA"/>
              </w:rPr>
            </w:pPr>
            <w:r>
              <w:rPr>
                <w:rFonts w:hint="eastAsia" w:ascii="宋体" w:hAnsi="宋体" w:cs="宋体"/>
                <w:szCs w:val="21"/>
                <w:lang w:val="en-US" w:eastAsia="zh-CN"/>
              </w:rPr>
              <w:t>工程师</w:t>
            </w:r>
          </w:p>
        </w:tc>
        <w:tc>
          <w:tcPr>
            <w:tcW w:w="2510" w:type="dxa"/>
            <w:shd w:val="clear" w:color="auto" w:fill="auto"/>
            <w:vAlign w:val="center"/>
          </w:tcPr>
          <w:p w14:paraId="06C0E098">
            <w:pPr>
              <w:jc w:val="center"/>
              <w:rPr>
                <w:rFonts w:hint="eastAsia" w:ascii="宋体" w:hAnsi="宋体" w:eastAsia="宋体" w:cs="宋体"/>
                <w:color w:val="auto"/>
                <w:kern w:val="0"/>
                <w:sz w:val="21"/>
                <w:szCs w:val="21"/>
                <w:lang w:val="en-US" w:eastAsia="zh-CN" w:bidi="ar-SA"/>
              </w:rPr>
            </w:pPr>
            <w:r>
              <w:rPr>
                <w:rFonts w:hint="eastAsia" w:ascii="宋体" w:hAnsi="宋体" w:cs="宋体"/>
                <w:color w:val="auto"/>
                <w:kern w:val="0"/>
                <w:szCs w:val="21"/>
                <w:lang w:val="en-US" w:eastAsia="zh-CN"/>
              </w:rPr>
              <w:t>协助调研和技术指导</w:t>
            </w:r>
          </w:p>
        </w:tc>
        <w:tc>
          <w:tcPr>
            <w:tcW w:w="1221" w:type="dxa"/>
            <w:shd w:val="clear" w:color="auto" w:fill="auto"/>
            <w:vAlign w:val="center"/>
          </w:tcPr>
          <w:p w14:paraId="1C433EC5">
            <w:pPr>
              <w:jc w:val="center"/>
              <w:rPr>
                <w:rFonts w:hint="eastAsia" w:ascii="宋体" w:hAnsi="宋体" w:eastAsia="宋体" w:cs="宋体"/>
                <w:kern w:val="2"/>
                <w:sz w:val="21"/>
                <w:szCs w:val="21"/>
                <w:lang w:val="en-US" w:eastAsia="zh-CN" w:bidi="ar-SA"/>
              </w:rPr>
            </w:pPr>
            <w:r>
              <w:rPr>
                <w:rFonts w:hint="eastAsia" w:ascii="宋体" w:hAnsi="宋体" w:cs="宋体"/>
                <w:szCs w:val="21"/>
              </w:rPr>
              <w:t>1</w:t>
            </w:r>
            <w:r>
              <w:rPr>
                <w:rFonts w:ascii="宋体" w:hAnsi="宋体" w:cs="宋体"/>
                <w:szCs w:val="21"/>
              </w:rPr>
              <w:t>5008979197</w:t>
            </w:r>
          </w:p>
        </w:tc>
      </w:tr>
      <w:tr w14:paraId="350B3F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jc w:val="center"/>
        </w:trPr>
        <w:tc>
          <w:tcPr>
            <w:tcW w:w="631" w:type="dxa"/>
            <w:shd w:val="clear" w:color="auto" w:fill="auto"/>
            <w:vAlign w:val="center"/>
          </w:tcPr>
          <w:p w14:paraId="2103909D">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5</w:t>
            </w:r>
          </w:p>
        </w:tc>
        <w:tc>
          <w:tcPr>
            <w:tcW w:w="721" w:type="dxa"/>
            <w:shd w:val="clear" w:color="auto" w:fill="auto"/>
            <w:vAlign w:val="center"/>
          </w:tcPr>
          <w:p w14:paraId="5FD155FA">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张蕾</w:t>
            </w:r>
          </w:p>
        </w:tc>
        <w:tc>
          <w:tcPr>
            <w:tcW w:w="2230" w:type="dxa"/>
            <w:shd w:val="clear" w:color="auto" w:fill="auto"/>
            <w:vAlign w:val="center"/>
          </w:tcPr>
          <w:p w14:paraId="21652D62">
            <w:pPr>
              <w:jc w:val="center"/>
              <w:rPr>
                <w:rFonts w:hint="eastAsia" w:ascii="宋体" w:hAnsi="宋体" w:cs="宋体" w:eastAsiaTheme="minorEastAsia"/>
                <w:kern w:val="2"/>
                <w:sz w:val="21"/>
                <w:szCs w:val="21"/>
                <w:lang w:val="en-US" w:eastAsia="zh-CN" w:bidi="ar-SA"/>
              </w:rPr>
            </w:pPr>
            <w:r>
              <w:rPr>
                <w:rFonts w:hint="eastAsia" w:ascii="宋体" w:hAnsi="宋体" w:cs="宋体"/>
                <w:szCs w:val="21"/>
                <w:lang w:val="en-US" w:eastAsia="zh-CN"/>
              </w:rPr>
              <w:t>中国热带农业科学院热带作物品种资源研究所</w:t>
            </w:r>
          </w:p>
        </w:tc>
        <w:tc>
          <w:tcPr>
            <w:tcW w:w="932" w:type="dxa"/>
            <w:shd w:val="clear" w:color="auto" w:fill="auto"/>
            <w:vAlign w:val="center"/>
          </w:tcPr>
          <w:p w14:paraId="3FC9B5D3">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代首席</w:t>
            </w:r>
          </w:p>
        </w:tc>
        <w:tc>
          <w:tcPr>
            <w:tcW w:w="1260" w:type="dxa"/>
            <w:shd w:val="clear" w:color="auto" w:fill="auto"/>
            <w:vAlign w:val="center"/>
          </w:tcPr>
          <w:p w14:paraId="02C32EA2">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副研究员</w:t>
            </w:r>
          </w:p>
        </w:tc>
        <w:tc>
          <w:tcPr>
            <w:tcW w:w="2510" w:type="dxa"/>
            <w:shd w:val="clear" w:color="auto" w:fill="auto"/>
            <w:vAlign w:val="center"/>
          </w:tcPr>
          <w:p w14:paraId="4C468313">
            <w:pPr>
              <w:jc w:val="center"/>
              <w:rPr>
                <w:rFonts w:hint="eastAsia" w:ascii="宋体" w:hAnsi="宋体" w:cs="宋体" w:eastAsiaTheme="minorEastAsia"/>
                <w:color w:val="auto"/>
                <w:kern w:val="2"/>
                <w:sz w:val="21"/>
                <w:szCs w:val="21"/>
                <w:lang w:val="en-US" w:eastAsia="zh-CN" w:bidi="ar-SA"/>
              </w:rPr>
            </w:pPr>
            <w:r>
              <w:rPr>
                <w:rFonts w:hint="eastAsia" w:ascii="宋体" w:hAnsi="宋体" w:cs="宋体"/>
                <w:color w:val="auto"/>
                <w:kern w:val="0"/>
                <w:szCs w:val="21"/>
                <w:lang w:val="en-US" w:eastAsia="zh-CN"/>
              </w:rPr>
              <w:t>协助调研和标准编写</w:t>
            </w:r>
          </w:p>
        </w:tc>
        <w:tc>
          <w:tcPr>
            <w:tcW w:w="1221" w:type="dxa"/>
            <w:shd w:val="clear" w:color="auto" w:fill="auto"/>
            <w:vAlign w:val="center"/>
          </w:tcPr>
          <w:p w14:paraId="4E03E630">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18089720833</w:t>
            </w:r>
          </w:p>
        </w:tc>
      </w:tr>
      <w:tr w14:paraId="36541F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jc w:val="center"/>
        </w:trPr>
        <w:tc>
          <w:tcPr>
            <w:tcW w:w="631" w:type="dxa"/>
            <w:shd w:val="clear" w:color="auto" w:fill="auto"/>
            <w:vAlign w:val="center"/>
          </w:tcPr>
          <w:p w14:paraId="119D74F9">
            <w:pPr>
              <w:jc w:val="center"/>
              <w:rPr>
                <w:rFonts w:hint="eastAsia" w:ascii="宋体" w:hAnsi="宋体" w:cs="宋体" w:eastAsiaTheme="minorEastAsia"/>
                <w:kern w:val="2"/>
                <w:sz w:val="21"/>
                <w:szCs w:val="21"/>
                <w:lang w:val="en-US" w:eastAsia="zh-CN" w:bidi="ar-SA"/>
              </w:rPr>
            </w:pPr>
            <w:r>
              <w:rPr>
                <w:rFonts w:hint="eastAsia" w:ascii="宋体" w:hAnsi="宋体" w:cs="宋体"/>
                <w:kern w:val="2"/>
                <w:sz w:val="21"/>
                <w:szCs w:val="21"/>
                <w:lang w:val="en-US" w:eastAsia="zh-CN" w:bidi="ar-SA"/>
              </w:rPr>
              <w:t>6</w:t>
            </w:r>
          </w:p>
        </w:tc>
        <w:tc>
          <w:tcPr>
            <w:tcW w:w="721" w:type="dxa"/>
            <w:shd w:val="clear" w:color="auto" w:fill="auto"/>
            <w:vAlign w:val="center"/>
          </w:tcPr>
          <w:p w14:paraId="4A9943D9">
            <w:pPr>
              <w:jc w:val="center"/>
              <w:rPr>
                <w:rFonts w:hint="eastAsia" w:ascii="宋体" w:hAnsi="宋体" w:cs="宋体" w:eastAsiaTheme="minorEastAsia"/>
                <w:kern w:val="2"/>
                <w:sz w:val="21"/>
                <w:szCs w:val="21"/>
                <w:lang w:val="en-US" w:eastAsia="zh-CN" w:bidi="ar-SA"/>
              </w:rPr>
            </w:pPr>
            <w:r>
              <w:rPr>
                <w:rFonts w:hint="eastAsia" w:ascii="宋体" w:hAnsi="宋体" w:cs="宋体"/>
                <w:szCs w:val="21"/>
                <w:lang w:val="en-US" w:eastAsia="zh-CN"/>
              </w:rPr>
              <w:t>李焕苓</w:t>
            </w:r>
          </w:p>
        </w:tc>
        <w:tc>
          <w:tcPr>
            <w:tcW w:w="2230" w:type="dxa"/>
            <w:shd w:val="clear" w:color="auto" w:fill="auto"/>
            <w:vAlign w:val="center"/>
          </w:tcPr>
          <w:p w14:paraId="2464ED6A">
            <w:pPr>
              <w:jc w:val="center"/>
              <w:rPr>
                <w:rFonts w:hint="eastAsia" w:ascii="宋体" w:hAnsi="宋体" w:cs="宋体" w:eastAsiaTheme="minorEastAsia"/>
                <w:kern w:val="2"/>
                <w:sz w:val="21"/>
                <w:szCs w:val="21"/>
                <w:lang w:val="en-US" w:eastAsia="zh-CN" w:bidi="ar-SA"/>
              </w:rPr>
            </w:pPr>
            <w:r>
              <w:rPr>
                <w:rFonts w:hint="eastAsia" w:ascii="宋体" w:hAnsi="宋体" w:cs="宋体"/>
                <w:szCs w:val="21"/>
                <w:lang w:val="en-US" w:eastAsia="zh-CN"/>
              </w:rPr>
              <w:t>中国热带农业科学院热带作物品种资源研究所</w:t>
            </w:r>
          </w:p>
        </w:tc>
        <w:tc>
          <w:tcPr>
            <w:tcW w:w="932" w:type="dxa"/>
            <w:shd w:val="clear" w:color="auto" w:fill="auto"/>
            <w:vAlign w:val="center"/>
          </w:tcPr>
          <w:p w14:paraId="6655832E">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站长</w:t>
            </w:r>
          </w:p>
        </w:tc>
        <w:tc>
          <w:tcPr>
            <w:tcW w:w="1260" w:type="dxa"/>
            <w:shd w:val="clear" w:color="auto" w:fill="auto"/>
            <w:vAlign w:val="center"/>
          </w:tcPr>
          <w:p w14:paraId="08F020F6">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副研究员</w:t>
            </w:r>
          </w:p>
        </w:tc>
        <w:tc>
          <w:tcPr>
            <w:tcW w:w="2510" w:type="dxa"/>
            <w:shd w:val="clear" w:color="auto" w:fill="auto"/>
            <w:vAlign w:val="center"/>
          </w:tcPr>
          <w:p w14:paraId="5845BBB4">
            <w:pPr>
              <w:jc w:val="center"/>
              <w:rPr>
                <w:rFonts w:hint="eastAsia" w:ascii="宋体" w:hAnsi="宋体" w:eastAsia="宋体" w:cs="宋体"/>
                <w:kern w:val="2"/>
                <w:sz w:val="21"/>
                <w:szCs w:val="21"/>
                <w:lang w:val="en-US" w:eastAsia="zh-CN" w:bidi="ar-SA"/>
              </w:rPr>
            </w:pPr>
            <w:r>
              <w:rPr>
                <w:rFonts w:hint="eastAsia" w:ascii="宋体" w:hAnsi="宋体" w:cs="宋体"/>
                <w:color w:val="auto"/>
                <w:kern w:val="0"/>
                <w:szCs w:val="21"/>
                <w:lang w:val="en-US" w:eastAsia="zh-CN"/>
              </w:rPr>
              <w:t>协助调研和标准编写</w:t>
            </w:r>
          </w:p>
        </w:tc>
        <w:tc>
          <w:tcPr>
            <w:tcW w:w="1221" w:type="dxa"/>
            <w:shd w:val="clear" w:color="auto" w:fill="auto"/>
            <w:vAlign w:val="center"/>
          </w:tcPr>
          <w:p w14:paraId="5E94D6F4">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13648632236</w:t>
            </w:r>
          </w:p>
        </w:tc>
      </w:tr>
      <w:tr w14:paraId="3F6789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jc w:val="center"/>
        </w:trPr>
        <w:tc>
          <w:tcPr>
            <w:tcW w:w="631" w:type="dxa"/>
            <w:shd w:val="clear" w:color="auto" w:fill="auto"/>
            <w:vAlign w:val="center"/>
          </w:tcPr>
          <w:p w14:paraId="1B770569">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7</w:t>
            </w:r>
          </w:p>
        </w:tc>
        <w:tc>
          <w:tcPr>
            <w:tcW w:w="721" w:type="dxa"/>
            <w:shd w:val="clear" w:color="auto" w:fill="auto"/>
            <w:vAlign w:val="center"/>
          </w:tcPr>
          <w:p w14:paraId="67507BD7">
            <w:pPr>
              <w:jc w:val="center"/>
              <w:rPr>
                <w:rFonts w:hint="eastAsia" w:ascii="宋体" w:hAnsi="宋体" w:cs="宋体" w:eastAsiaTheme="minorEastAsia"/>
                <w:kern w:val="2"/>
                <w:sz w:val="21"/>
                <w:szCs w:val="21"/>
                <w:lang w:val="en-US" w:eastAsia="zh-CN" w:bidi="ar-SA"/>
              </w:rPr>
            </w:pPr>
            <w:r>
              <w:rPr>
                <w:rFonts w:hint="eastAsia" w:ascii="宋体" w:hAnsi="宋体" w:cs="宋体"/>
                <w:szCs w:val="21"/>
                <w:lang w:val="en-US" w:eastAsia="zh-CN"/>
              </w:rPr>
              <w:t>胡福初</w:t>
            </w:r>
          </w:p>
        </w:tc>
        <w:tc>
          <w:tcPr>
            <w:tcW w:w="2230" w:type="dxa"/>
            <w:shd w:val="clear" w:color="auto" w:fill="auto"/>
            <w:vAlign w:val="center"/>
          </w:tcPr>
          <w:p w14:paraId="3937DDEA">
            <w:pPr>
              <w:jc w:val="center"/>
              <w:rPr>
                <w:rFonts w:hint="eastAsia" w:ascii="宋体" w:hAnsi="宋体" w:cs="宋体" w:eastAsiaTheme="minorEastAsia"/>
                <w:kern w:val="2"/>
                <w:sz w:val="21"/>
                <w:szCs w:val="21"/>
                <w:lang w:val="en-US" w:eastAsia="zh-CN" w:bidi="ar-SA"/>
              </w:rPr>
            </w:pPr>
            <w:r>
              <w:rPr>
                <w:rFonts w:hint="eastAsia" w:ascii="宋体" w:hAnsi="宋体" w:cs="宋体"/>
                <w:szCs w:val="21"/>
                <w:lang w:val="en-US" w:eastAsia="zh-CN"/>
              </w:rPr>
              <w:t>海南省农业科学院热带果树研究所</w:t>
            </w:r>
          </w:p>
        </w:tc>
        <w:tc>
          <w:tcPr>
            <w:tcW w:w="932" w:type="dxa"/>
            <w:shd w:val="clear" w:color="auto" w:fill="auto"/>
            <w:vAlign w:val="center"/>
          </w:tcPr>
          <w:p w14:paraId="73CA3431">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副所长</w:t>
            </w:r>
          </w:p>
        </w:tc>
        <w:tc>
          <w:tcPr>
            <w:tcW w:w="1260" w:type="dxa"/>
            <w:shd w:val="clear" w:color="auto" w:fill="auto"/>
            <w:vAlign w:val="center"/>
          </w:tcPr>
          <w:p w14:paraId="4D5BC50C">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研究员</w:t>
            </w:r>
          </w:p>
        </w:tc>
        <w:tc>
          <w:tcPr>
            <w:tcW w:w="2510" w:type="dxa"/>
            <w:shd w:val="clear" w:color="auto" w:fill="auto"/>
            <w:vAlign w:val="center"/>
          </w:tcPr>
          <w:p w14:paraId="170D2A13">
            <w:pPr>
              <w:jc w:val="center"/>
              <w:rPr>
                <w:rFonts w:hint="default" w:ascii="宋体" w:hAnsi="宋体" w:cs="宋体" w:eastAsiaTheme="minorEastAsia"/>
                <w:color w:val="auto"/>
                <w:kern w:val="0"/>
                <w:sz w:val="21"/>
                <w:szCs w:val="21"/>
                <w:lang w:val="en-US" w:eastAsia="zh-CN" w:bidi="ar-SA"/>
              </w:rPr>
            </w:pPr>
            <w:r>
              <w:rPr>
                <w:rFonts w:hint="eastAsia" w:ascii="宋体" w:hAnsi="宋体" w:cs="宋体"/>
                <w:color w:val="auto"/>
                <w:kern w:val="0"/>
                <w:szCs w:val="21"/>
                <w:lang w:val="en-US" w:eastAsia="zh-CN"/>
              </w:rPr>
              <w:t>技术指导</w:t>
            </w:r>
          </w:p>
        </w:tc>
        <w:tc>
          <w:tcPr>
            <w:tcW w:w="1221" w:type="dxa"/>
            <w:shd w:val="clear" w:color="auto" w:fill="auto"/>
            <w:vAlign w:val="center"/>
          </w:tcPr>
          <w:p w14:paraId="432336C4">
            <w:pPr>
              <w:jc w:val="center"/>
              <w:rPr>
                <w:rFonts w:hint="default" w:ascii="宋体" w:hAnsi="宋体" w:eastAsia="宋体" w:cs="宋体"/>
                <w:kern w:val="2"/>
                <w:sz w:val="21"/>
                <w:szCs w:val="21"/>
                <w:lang w:val="en-US" w:eastAsia="zh-CN" w:bidi="ar-SA"/>
              </w:rPr>
            </w:pPr>
            <w:r>
              <w:rPr>
                <w:rFonts w:hint="eastAsia" w:ascii="宋体" w:hAnsi="宋体" w:cs="宋体"/>
                <w:szCs w:val="21"/>
                <w:lang w:val="en-US" w:eastAsia="zh-CN"/>
              </w:rPr>
              <w:t>15120625091</w:t>
            </w:r>
          </w:p>
        </w:tc>
      </w:tr>
      <w:tr w14:paraId="2050A9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jc w:val="center"/>
        </w:trPr>
        <w:tc>
          <w:tcPr>
            <w:tcW w:w="0" w:type="auto"/>
            <w:shd w:val="clear" w:color="auto" w:fill="auto"/>
            <w:vAlign w:val="center"/>
          </w:tcPr>
          <w:p w14:paraId="6445EC9F">
            <w:pPr>
              <w:jc w:val="center"/>
              <w:rPr>
                <w:rFonts w:hint="eastAsia" w:ascii="宋体" w:hAnsi="宋体" w:cs="宋体" w:eastAsiaTheme="minorEastAsia"/>
                <w:kern w:val="2"/>
                <w:sz w:val="21"/>
                <w:szCs w:val="21"/>
                <w:lang w:val="en-US" w:eastAsia="zh-CN" w:bidi="ar-SA"/>
              </w:rPr>
            </w:pPr>
            <w:r>
              <w:rPr>
                <w:rFonts w:hint="eastAsia" w:ascii="宋体" w:hAnsi="宋体" w:cs="宋体"/>
                <w:kern w:val="2"/>
                <w:sz w:val="21"/>
                <w:szCs w:val="21"/>
                <w:lang w:val="en-US" w:eastAsia="zh-CN" w:bidi="ar-SA"/>
              </w:rPr>
              <w:t>8</w:t>
            </w:r>
          </w:p>
        </w:tc>
        <w:tc>
          <w:tcPr>
            <w:tcW w:w="721" w:type="dxa"/>
            <w:shd w:val="clear" w:color="auto" w:fill="auto"/>
            <w:vAlign w:val="center"/>
          </w:tcPr>
          <w:p w14:paraId="0643F295">
            <w:pPr>
              <w:jc w:val="center"/>
              <w:rPr>
                <w:rFonts w:hint="eastAsia" w:ascii="宋体" w:hAnsi="宋体" w:cs="宋体" w:eastAsiaTheme="minorEastAsia"/>
                <w:kern w:val="2"/>
                <w:sz w:val="21"/>
                <w:szCs w:val="21"/>
                <w:lang w:val="en-US" w:eastAsia="zh-CN" w:bidi="ar-SA"/>
              </w:rPr>
            </w:pPr>
            <w:r>
              <w:rPr>
                <w:rFonts w:hint="eastAsia" w:ascii="宋体" w:hAnsi="宋体" w:cs="宋体"/>
                <w:szCs w:val="21"/>
                <w:lang w:val="en-US" w:eastAsia="zh-CN"/>
              </w:rPr>
              <w:t>王秀珍</w:t>
            </w:r>
          </w:p>
        </w:tc>
        <w:tc>
          <w:tcPr>
            <w:tcW w:w="2230" w:type="dxa"/>
            <w:shd w:val="clear" w:color="auto" w:fill="auto"/>
            <w:vAlign w:val="center"/>
          </w:tcPr>
          <w:p w14:paraId="23A5E97D">
            <w:pPr>
              <w:jc w:val="center"/>
              <w:rPr>
                <w:rFonts w:hint="eastAsia" w:ascii="宋体" w:hAnsi="宋体" w:cs="宋体" w:eastAsiaTheme="minorEastAsia"/>
                <w:kern w:val="2"/>
                <w:sz w:val="21"/>
                <w:szCs w:val="21"/>
                <w:lang w:val="en-US" w:eastAsia="zh-CN" w:bidi="ar-SA"/>
              </w:rPr>
            </w:pPr>
            <w:r>
              <w:rPr>
                <w:rFonts w:hint="eastAsia" w:ascii="宋体" w:hAnsi="宋体" w:cs="宋体"/>
                <w:szCs w:val="21"/>
                <w:lang w:val="en-US" w:eastAsia="zh-CN"/>
              </w:rPr>
              <w:t>海南省海口</w:t>
            </w:r>
            <w:r>
              <w:rPr>
                <w:rFonts w:hint="eastAsia" w:ascii="宋体" w:hAnsi="宋体" w:cs="宋体"/>
                <w:szCs w:val="21"/>
                <w:lang w:eastAsia="zh-CN"/>
              </w:rPr>
              <w:t>市气象局</w:t>
            </w:r>
          </w:p>
        </w:tc>
        <w:tc>
          <w:tcPr>
            <w:tcW w:w="932" w:type="dxa"/>
            <w:shd w:val="clear" w:color="auto" w:fill="auto"/>
            <w:vAlign w:val="center"/>
          </w:tcPr>
          <w:p w14:paraId="78516733">
            <w:pPr>
              <w:jc w:val="center"/>
              <w:rPr>
                <w:rFonts w:hint="default" w:ascii="宋体" w:hAnsi="宋体" w:eastAsia="宋体" w:cs="宋体"/>
                <w:kern w:val="2"/>
                <w:sz w:val="21"/>
                <w:szCs w:val="21"/>
                <w:lang w:val="en-US" w:eastAsia="zh-CN" w:bidi="ar-SA"/>
              </w:rPr>
            </w:pPr>
            <w:r>
              <w:rPr>
                <w:rFonts w:hint="eastAsia" w:ascii="宋体" w:hAnsi="宋体" w:cs="宋体"/>
                <w:kern w:val="2"/>
                <w:sz w:val="21"/>
                <w:szCs w:val="21"/>
                <w:lang w:val="en-US" w:eastAsia="zh-CN" w:bidi="ar-SA"/>
              </w:rPr>
              <w:t>无</w:t>
            </w:r>
          </w:p>
        </w:tc>
        <w:tc>
          <w:tcPr>
            <w:tcW w:w="1260" w:type="dxa"/>
            <w:shd w:val="clear" w:color="auto" w:fill="auto"/>
            <w:vAlign w:val="center"/>
          </w:tcPr>
          <w:p w14:paraId="0FFD3F06">
            <w:pPr>
              <w:jc w:val="center"/>
              <w:rPr>
                <w:rFonts w:hint="eastAsia" w:ascii="宋体" w:hAnsi="宋体" w:eastAsia="宋体" w:cs="宋体"/>
                <w:kern w:val="2"/>
                <w:sz w:val="21"/>
                <w:szCs w:val="21"/>
                <w:lang w:val="en-US" w:eastAsia="zh-CN" w:bidi="ar-SA"/>
              </w:rPr>
            </w:pPr>
            <w:r>
              <w:rPr>
                <w:rFonts w:hint="eastAsia" w:ascii="宋体" w:hAnsi="宋体" w:cs="宋体"/>
                <w:szCs w:val="21"/>
              </w:rPr>
              <w:t>工程师</w:t>
            </w:r>
          </w:p>
        </w:tc>
        <w:tc>
          <w:tcPr>
            <w:tcW w:w="2510" w:type="dxa"/>
            <w:shd w:val="clear" w:color="auto" w:fill="auto"/>
            <w:vAlign w:val="center"/>
          </w:tcPr>
          <w:p w14:paraId="5879F010">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搜集整理文献资料</w:t>
            </w:r>
          </w:p>
        </w:tc>
        <w:tc>
          <w:tcPr>
            <w:tcW w:w="1221" w:type="dxa"/>
            <w:shd w:val="clear" w:color="auto" w:fill="auto"/>
            <w:vAlign w:val="center"/>
          </w:tcPr>
          <w:p w14:paraId="118DD51A">
            <w:pPr>
              <w:jc w:val="center"/>
              <w:rPr>
                <w:rFonts w:hint="default" w:ascii="宋体" w:hAnsi="宋体" w:eastAsia="宋体" w:cs="宋体"/>
                <w:kern w:val="2"/>
                <w:sz w:val="21"/>
                <w:szCs w:val="21"/>
                <w:lang w:val="en-US" w:eastAsia="zh-CN" w:bidi="ar-SA"/>
              </w:rPr>
            </w:pPr>
            <w:r>
              <w:rPr>
                <w:rFonts w:hint="eastAsia" w:ascii="宋体" w:hAnsi="宋体" w:cs="宋体"/>
                <w:szCs w:val="21"/>
                <w:lang w:val="en-US" w:eastAsia="zh-CN"/>
              </w:rPr>
              <w:t>15120667389</w:t>
            </w:r>
          </w:p>
        </w:tc>
      </w:tr>
      <w:tr w14:paraId="68A517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jc w:val="center"/>
        </w:trPr>
        <w:tc>
          <w:tcPr>
            <w:tcW w:w="0" w:type="auto"/>
            <w:shd w:val="clear" w:color="auto" w:fill="auto"/>
            <w:vAlign w:val="center"/>
          </w:tcPr>
          <w:p w14:paraId="4ED949D1">
            <w:pPr>
              <w:jc w:val="center"/>
              <w:rPr>
                <w:rFonts w:hint="default" w:ascii="宋体" w:hAnsi="宋体" w:cs="宋体" w:eastAsiaTheme="minorEastAsia"/>
                <w:kern w:val="2"/>
                <w:sz w:val="21"/>
                <w:szCs w:val="21"/>
                <w:lang w:val="en-US" w:eastAsia="zh-CN" w:bidi="ar-SA"/>
              </w:rPr>
            </w:pPr>
            <w:r>
              <w:rPr>
                <w:rFonts w:hint="eastAsia" w:ascii="宋体" w:hAnsi="宋体" w:cs="宋体"/>
                <w:kern w:val="2"/>
                <w:sz w:val="21"/>
                <w:szCs w:val="21"/>
                <w:lang w:val="en-US" w:eastAsia="zh-CN" w:bidi="ar-SA"/>
              </w:rPr>
              <w:t>9</w:t>
            </w:r>
          </w:p>
        </w:tc>
        <w:tc>
          <w:tcPr>
            <w:tcW w:w="721" w:type="dxa"/>
            <w:shd w:val="clear" w:color="auto" w:fill="auto"/>
            <w:vAlign w:val="center"/>
          </w:tcPr>
          <w:p w14:paraId="41769B25">
            <w:pPr>
              <w:jc w:val="center"/>
              <w:rPr>
                <w:rFonts w:hint="eastAsia" w:ascii="宋体" w:hAnsi="宋体" w:cs="宋体" w:eastAsiaTheme="minorEastAsia"/>
                <w:kern w:val="2"/>
                <w:sz w:val="21"/>
                <w:szCs w:val="21"/>
                <w:lang w:val="en-US" w:eastAsia="zh-CN" w:bidi="ar-SA"/>
              </w:rPr>
            </w:pPr>
            <w:r>
              <w:rPr>
                <w:rFonts w:hint="eastAsia" w:ascii="宋体" w:hAnsi="宋体" w:cs="宋体"/>
                <w:szCs w:val="21"/>
                <w:lang w:val="en-US" w:eastAsia="zh-CN"/>
              </w:rPr>
              <w:t>吴昱芸</w:t>
            </w:r>
          </w:p>
        </w:tc>
        <w:tc>
          <w:tcPr>
            <w:tcW w:w="2230" w:type="dxa"/>
            <w:shd w:val="clear" w:color="auto" w:fill="auto"/>
            <w:vAlign w:val="center"/>
          </w:tcPr>
          <w:p w14:paraId="05706902">
            <w:pPr>
              <w:jc w:val="center"/>
              <w:rPr>
                <w:rFonts w:hint="eastAsia" w:ascii="宋体" w:hAnsi="宋体" w:cs="宋体" w:eastAsiaTheme="minorEastAsia"/>
                <w:kern w:val="2"/>
                <w:sz w:val="21"/>
                <w:szCs w:val="21"/>
                <w:lang w:val="en-US" w:eastAsia="zh-CN" w:bidi="ar-SA"/>
              </w:rPr>
            </w:pPr>
            <w:r>
              <w:rPr>
                <w:rFonts w:hint="eastAsia" w:ascii="宋体" w:hAnsi="宋体" w:cs="宋体"/>
                <w:szCs w:val="21"/>
                <w:lang w:val="en-US" w:eastAsia="zh-CN"/>
              </w:rPr>
              <w:t>海南省海口</w:t>
            </w:r>
            <w:r>
              <w:rPr>
                <w:rFonts w:hint="eastAsia" w:ascii="宋体" w:hAnsi="宋体" w:cs="宋体"/>
                <w:szCs w:val="21"/>
                <w:lang w:eastAsia="zh-CN"/>
              </w:rPr>
              <w:t>市气象局</w:t>
            </w:r>
          </w:p>
        </w:tc>
        <w:tc>
          <w:tcPr>
            <w:tcW w:w="932" w:type="dxa"/>
            <w:shd w:val="clear" w:color="auto" w:fill="auto"/>
            <w:vAlign w:val="center"/>
          </w:tcPr>
          <w:p w14:paraId="07929293">
            <w:pPr>
              <w:jc w:val="center"/>
              <w:rPr>
                <w:rFonts w:hint="default" w:ascii="宋体" w:hAnsi="宋体" w:eastAsia="宋体" w:cs="宋体"/>
                <w:kern w:val="2"/>
                <w:sz w:val="21"/>
                <w:szCs w:val="21"/>
                <w:lang w:val="en-US" w:eastAsia="zh-CN" w:bidi="ar-SA"/>
              </w:rPr>
            </w:pPr>
            <w:r>
              <w:rPr>
                <w:rFonts w:hint="eastAsia" w:ascii="宋体" w:hAnsi="宋体" w:cs="宋体"/>
                <w:szCs w:val="21"/>
                <w:lang w:val="en-US" w:eastAsia="zh-CN"/>
              </w:rPr>
              <w:t>无</w:t>
            </w:r>
          </w:p>
        </w:tc>
        <w:tc>
          <w:tcPr>
            <w:tcW w:w="1260" w:type="dxa"/>
            <w:shd w:val="clear" w:color="auto" w:fill="auto"/>
            <w:vAlign w:val="center"/>
          </w:tcPr>
          <w:p w14:paraId="0B5CA535">
            <w:pPr>
              <w:jc w:val="center"/>
              <w:rPr>
                <w:rFonts w:hint="eastAsia" w:ascii="宋体" w:hAnsi="宋体" w:cs="宋体" w:eastAsiaTheme="minorEastAsia"/>
                <w:kern w:val="2"/>
                <w:sz w:val="21"/>
                <w:szCs w:val="21"/>
                <w:lang w:val="en-US" w:eastAsia="zh-CN" w:bidi="ar-SA"/>
              </w:rPr>
            </w:pPr>
            <w:r>
              <w:rPr>
                <w:rFonts w:hint="eastAsia" w:ascii="宋体" w:hAnsi="宋体" w:cs="宋体"/>
                <w:szCs w:val="21"/>
              </w:rPr>
              <w:t>工程师</w:t>
            </w:r>
          </w:p>
        </w:tc>
        <w:tc>
          <w:tcPr>
            <w:tcW w:w="2510" w:type="dxa"/>
            <w:shd w:val="clear" w:color="auto" w:fill="auto"/>
            <w:vAlign w:val="center"/>
          </w:tcPr>
          <w:p w14:paraId="19CA879F">
            <w:pPr>
              <w:jc w:val="center"/>
              <w:rPr>
                <w:rFonts w:hint="eastAsia" w:ascii="宋体" w:hAnsi="宋体" w:eastAsia="宋体" w:cs="宋体"/>
                <w:kern w:val="2"/>
                <w:sz w:val="21"/>
                <w:szCs w:val="21"/>
                <w:lang w:val="en-US" w:eastAsia="zh-CN" w:bidi="ar-SA"/>
              </w:rPr>
            </w:pPr>
            <w:r>
              <w:rPr>
                <w:rFonts w:hint="eastAsia" w:ascii="宋体" w:hAnsi="宋体" w:cs="宋体"/>
                <w:szCs w:val="21"/>
                <w:lang w:val="en-US" w:eastAsia="zh-CN"/>
              </w:rPr>
              <w:t>协助调研</w:t>
            </w:r>
          </w:p>
        </w:tc>
        <w:tc>
          <w:tcPr>
            <w:tcW w:w="1221" w:type="dxa"/>
            <w:shd w:val="clear" w:color="auto" w:fill="auto"/>
            <w:vAlign w:val="center"/>
          </w:tcPr>
          <w:p w14:paraId="408FD962">
            <w:pPr>
              <w:jc w:val="center"/>
              <w:rPr>
                <w:rFonts w:hint="default" w:ascii="宋体" w:hAnsi="宋体" w:eastAsia="宋体" w:cs="宋体"/>
                <w:kern w:val="2"/>
                <w:sz w:val="21"/>
                <w:szCs w:val="21"/>
                <w:lang w:val="en-US" w:eastAsia="zh-CN" w:bidi="ar-SA"/>
              </w:rPr>
            </w:pPr>
            <w:r>
              <w:rPr>
                <w:rFonts w:hint="eastAsia" w:ascii="宋体" w:hAnsi="宋体" w:cs="宋体"/>
                <w:szCs w:val="21"/>
                <w:lang w:val="en-US" w:eastAsia="zh-CN"/>
              </w:rPr>
              <w:t>18789245889</w:t>
            </w:r>
          </w:p>
        </w:tc>
      </w:tr>
    </w:tbl>
    <w:p w14:paraId="1995B033">
      <w:pPr>
        <w:pStyle w:val="5"/>
        <w:spacing w:line="560" w:lineRule="exact"/>
        <w:ind w:firstLine="645"/>
        <w:rPr>
          <w:rFonts w:hint="eastAsia" w:ascii="黑体" w:hAnsi="黑体" w:eastAsia="黑体" w:cs="黑体"/>
          <w:color w:val="auto"/>
          <w:sz w:val="28"/>
          <w:szCs w:val="28"/>
        </w:rPr>
      </w:pPr>
      <w:r>
        <w:rPr>
          <w:rFonts w:hint="eastAsia" w:ascii="黑体" w:hAnsi="黑体" w:eastAsia="黑体" w:cs="黑体"/>
          <w:color w:val="auto"/>
          <w:sz w:val="28"/>
          <w:szCs w:val="28"/>
        </w:rPr>
        <w:t>二、制定标准的</w:t>
      </w:r>
      <w:r>
        <w:rPr>
          <w:rFonts w:hint="eastAsia" w:ascii="黑体" w:hAnsi="黑体" w:eastAsia="黑体" w:cs="黑体"/>
          <w:color w:val="auto"/>
          <w:sz w:val="28"/>
          <w:szCs w:val="28"/>
          <w:lang w:eastAsia="zh-CN"/>
        </w:rPr>
        <w:t>目的</w:t>
      </w:r>
      <w:r>
        <w:rPr>
          <w:rFonts w:hint="eastAsia" w:ascii="黑体" w:hAnsi="黑体" w:eastAsia="黑体" w:cs="黑体"/>
          <w:color w:val="auto"/>
          <w:sz w:val="28"/>
          <w:szCs w:val="28"/>
        </w:rPr>
        <w:t>和意义</w:t>
      </w:r>
    </w:p>
    <w:p w14:paraId="33F67811">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2" w:firstLineChars="200"/>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kern w:val="2"/>
          <w:sz w:val="24"/>
          <w:szCs w:val="24"/>
          <w:lang w:val="en-US" w:eastAsia="zh-CN" w:bidi="ar-SA"/>
        </w:rPr>
        <w:t>（</w:t>
      </w:r>
      <w:r>
        <w:rPr>
          <w:rFonts w:hint="eastAsia" w:ascii="宋体" w:hAnsi="宋体" w:eastAsia="宋体" w:cs="宋体"/>
          <w:b/>
          <w:bCs/>
          <w:color w:val="auto"/>
          <w:sz w:val="24"/>
          <w:szCs w:val="24"/>
          <w:lang w:val="en-US" w:eastAsia="zh-CN"/>
        </w:rPr>
        <w:t>一）政策背景</w:t>
      </w:r>
    </w:p>
    <w:p w14:paraId="410128C9">
      <w:pPr>
        <w:pStyle w:val="8"/>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560" w:lineRule="exact"/>
        <w:ind w:left="0" w:right="0" w:firstLine="480" w:firstLineChars="200"/>
        <w:textAlignment w:val="auto"/>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党中央高度重视气象工作与特色产业发展。在新中国气象事业70周年之际，习近平总书记作出重要指示，要求做到“监测精密、预报精准、服务精细”。2023年4</w:t>
      </w:r>
      <w:r>
        <w:rPr>
          <w:rFonts w:hint="eastAsia" w:ascii="Times New Roman" w:hAnsi="Times New Roman" w:eastAsia="宋体" w:cs="Times New Roman"/>
          <w:color w:val="auto"/>
          <w:kern w:val="2"/>
          <w:sz w:val="24"/>
          <w:szCs w:val="24"/>
          <w:lang w:val="en-US" w:eastAsia="zh-CN" w:bidi="ar-SA"/>
        </w:rPr>
        <w:t>月，习近平总书记在广东省茂名市柏桥村荔枝种植园考察时指出</w:t>
      </w:r>
      <w:r>
        <w:rPr>
          <w:rFonts w:hint="default" w:ascii="Times New Roman" w:hAnsi="Times New Roman" w:eastAsia="宋体" w:cs="Times New Roman"/>
          <w:color w:val="auto"/>
          <w:kern w:val="2"/>
          <w:sz w:val="24"/>
          <w:szCs w:val="24"/>
          <w:lang w:val="en-US" w:eastAsia="zh-CN" w:bidi="ar-SA"/>
        </w:rPr>
        <w:t>，</w:t>
      </w:r>
      <w:r>
        <w:rPr>
          <w:rFonts w:hint="eastAsia" w:ascii="Times New Roman" w:hAnsi="Times New Roman" w:eastAsia="宋体" w:cs="Times New Roman"/>
          <w:color w:val="auto"/>
          <w:kern w:val="2"/>
          <w:sz w:val="24"/>
          <w:szCs w:val="24"/>
          <w:lang w:val="en-US" w:eastAsia="zh-CN" w:bidi="ar-SA"/>
        </w:rPr>
        <w:t>发展特色产业是</w:t>
      </w:r>
      <w:r>
        <w:rPr>
          <w:rFonts w:hint="eastAsia" w:ascii="宋体" w:hAnsi="宋体" w:eastAsia="宋体" w:cs="宋体"/>
          <w:color w:val="auto"/>
          <w:kern w:val="2"/>
          <w:sz w:val="24"/>
          <w:szCs w:val="24"/>
          <w:lang w:val="en-US" w:eastAsia="zh-CN" w:bidi="ar-SA"/>
        </w:rPr>
        <w:t>实现乡村振兴的一条重要途径，要着力做好“土特产”文章，以产业振兴促进乡村全面振兴。国务院《气象高质量发展纲要（2022—2035年）》明确提出面向特色农产品优势区，加强农业气象灾害监测预报预警能力建设，强化特色农业气象服务。2026年中央一号文件要求强化农业防灾减灾体系建设。《中共中央 国务院关于支持海南全面深化改革开放的指导意见》明确提出做强做优热带特色高效农业，打造国家热带现代农业基地。2022年印发的《海南省热带特色高效农业全产业链培育发展三年（2022—2024）行动方案》中专门对荔枝产业提出：进一步扩大季节优势，走差异化发展之路；持续丰富品种结构，适度扩大无核荔枝等高端品种生产规模；培育“海南荔枝”公共区域品牌。</w:t>
      </w:r>
    </w:p>
    <w:p w14:paraId="164EBD14">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2" w:firstLineChars="200"/>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kern w:val="2"/>
          <w:sz w:val="24"/>
          <w:szCs w:val="24"/>
          <w:lang w:val="en-US" w:eastAsia="zh-CN" w:bidi="ar-SA"/>
        </w:rPr>
        <w:t>（</w:t>
      </w:r>
      <w:r>
        <w:rPr>
          <w:rFonts w:hint="eastAsia" w:ascii="宋体" w:hAnsi="宋体" w:eastAsia="宋体" w:cs="宋体"/>
          <w:b/>
          <w:bCs/>
          <w:color w:val="auto"/>
          <w:sz w:val="24"/>
          <w:szCs w:val="24"/>
          <w:lang w:val="en-US" w:eastAsia="zh-CN"/>
        </w:rPr>
        <w:t>二）产业现状与核心问题</w:t>
      </w:r>
    </w:p>
    <w:p w14:paraId="74BE3DD2">
      <w:pPr>
        <w:pStyle w:val="5"/>
        <w:spacing w:line="560" w:lineRule="exact"/>
        <w:ind w:firstLine="645"/>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海南凭借独特的热带气候资源优势，成为我国乃至北半球荔枝最早熟的优势产区。南部产区的‘桂早荔’最早可于3月中旬上市，与大陆产区形成鲜明时间差，‘无核荔枝’‘紫娘喜’虽晚些上市，但品质优，果形大受到市场高度认可。整体来看，海南荔枝具有上市早、价格好、效益高的显著优势。据统计，2024年海南省荔枝种植面积达33.8万亩，产量22.8万吨，产值高达30亿元。在全球气候变暖背景下，极端天气气候事件频发易发，荔枝种植面临多种气象灾害影响，主要包括枝梢老熟期至抽穗期暖害（低温诱导不充分），开花期寒害，开花期至成熟期连阴雨，坐果期至成熟期高温、干旱和暴雨、萌芽抽梢期至枝梢老熟期和坐果期至成熟期台风。以上气象灾害直接或间接影响荔枝成花枝率、产量与品质，对海南省荔枝产业构成重大威胁。相关研究认为，气候是影响荔枝收获面积最主要的因素。</w:t>
      </w:r>
    </w:p>
    <w:p w14:paraId="00EC5536">
      <w:pPr>
        <w:pStyle w:val="5"/>
        <w:spacing w:line="560" w:lineRule="exact"/>
        <w:ind w:firstLine="645"/>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在观测方面，国家和海南省荔枝产业技术体系是较早开展荔枝物候期及气象灾害观测的单位，积累了较为丰富的数据，并形成了一套观测体系。然而，在实际观测工作中也存在一些不足，主要表现为：一是气象要素观测不规范，缺乏标准化的仪器布设，观测环境选择有时也不具备代表性；二是部分生长状况观测指标的判定不够科学或是缺失，如“成花枝率”的计算方法是基于分类比例（A类成花率在75%以上；B类成花率为</w:t>
      </w:r>
      <w:r>
        <w:rPr>
          <w:rFonts w:hint="eastAsia" w:hAnsi="宋体" w:eastAsia="宋体" w:cs="宋体"/>
          <w:color w:val="auto"/>
          <w:kern w:val="2"/>
          <w:sz w:val="24"/>
          <w:szCs w:val="24"/>
          <w:lang w:val="en-US" w:eastAsia="zh-CN" w:bidi="ar-SA"/>
        </w:rPr>
        <w:t>25%—75%</w:t>
      </w:r>
      <w:r>
        <w:rPr>
          <w:rFonts w:hint="eastAsia" w:ascii="宋体" w:hAnsi="宋体" w:eastAsia="宋体" w:cs="宋体"/>
          <w:color w:val="auto"/>
          <w:kern w:val="2"/>
          <w:sz w:val="24"/>
          <w:szCs w:val="24"/>
          <w:lang w:val="en-US" w:eastAsia="zh-CN" w:bidi="ar-SA"/>
        </w:rPr>
        <w:t>；C类成花率为</w:t>
      </w:r>
      <w:r>
        <w:rPr>
          <w:rFonts w:hint="eastAsia" w:hAnsi="宋体" w:eastAsia="宋体" w:cs="宋体"/>
          <w:color w:val="auto"/>
          <w:kern w:val="2"/>
          <w:sz w:val="24"/>
          <w:szCs w:val="24"/>
          <w:lang w:val="en-US" w:eastAsia="zh-CN" w:bidi="ar-SA"/>
        </w:rPr>
        <w:t>0—25%</w:t>
      </w:r>
      <w:r>
        <w:rPr>
          <w:rFonts w:hint="eastAsia" w:ascii="宋体" w:hAnsi="宋体" w:eastAsia="宋体" w:cs="宋体"/>
          <w:color w:val="auto"/>
          <w:kern w:val="2"/>
          <w:sz w:val="24"/>
          <w:szCs w:val="24"/>
          <w:lang w:val="en-US" w:eastAsia="zh-CN" w:bidi="ar-SA"/>
        </w:rPr>
        <w:t>，体系要求以A类花所占比例为成花枝率），这与实际成花枝率不符；三是缺乏针对多重气象灾害对荔枝受害过程的观测。此外，多数荔枝生产企业和种植户虽也对荔枝开展农业气象观测工作，但观测</w:t>
      </w:r>
      <w:r>
        <w:rPr>
          <w:rFonts w:hint="eastAsia" w:hAnsi="宋体" w:eastAsia="宋体" w:cs="宋体"/>
          <w:color w:val="auto"/>
          <w:kern w:val="2"/>
          <w:sz w:val="24"/>
          <w:szCs w:val="24"/>
          <w:lang w:val="en-US" w:eastAsia="zh-CN" w:bidi="ar-SA"/>
        </w:rPr>
        <w:t>以目测为主</w:t>
      </w:r>
      <w:r>
        <w:rPr>
          <w:rFonts w:hint="eastAsia" w:ascii="宋体" w:hAnsi="宋体" w:eastAsia="宋体" w:cs="宋体"/>
          <w:color w:val="auto"/>
          <w:kern w:val="2"/>
          <w:sz w:val="24"/>
          <w:szCs w:val="24"/>
          <w:lang w:val="en-US" w:eastAsia="zh-CN" w:bidi="ar-SA"/>
        </w:rPr>
        <w:t>，且无统一的观测标准和规范。</w:t>
      </w:r>
    </w:p>
    <w:p w14:paraId="0034AFEB">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2" w:firstLineChars="200"/>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（三）标准制定意义</w:t>
      </w:r>
    </w:p>
    <w:p w14:paraId="24721D2F">
      <w:pPr>
        <w:pStyle w:val="8"/>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560" w:lineRule="exact"/>
        <w:ind w:left="0" w:right="0" w:firstLine="480" w:firstLineChars="200"/>
        <w:textAlignment w:val="auto"/>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开展系统、规范的荔枝农业气象观测工作，是精准识别气象灾害影响机理、提升预报预警能力、及时科学采取应对措施的前提条件。只有持续、规范的长时间序列观测资料，才能揭示不同物候期的主要致灾因子及其影响阈值，进而为农业防灾减灾提供科学依据。</w:t>
      </w:r>
    </w:p>
    <w:p w14:paraId="5A59D9AB">
      <w:pPr>
        <w:pStyle w:val="8"/>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560" w:lineRule="exact"/>
        <w:ind w:left="0" w:right="0" w:firstLine="480" w:firstLineChars="200"/>
        <w:textAlignment w:val="auto"/>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本标准的编制填补了荔枝农业气象观测技术规范的空白。标准的建立有利于规范荔枝物候期和生长状况的观测、产量和品质测定、气象要素观测、主要农业气象灾害观测和主要病虫害观测等技术实践，避免因观测标准缺失导致的数据不可比、方法不统一等问题，最大限度减少因观测不规范引发的服务偏差与资源浪费，从而有效提升荔枝气象防灾减灾的精准性与实效性。</w:t>
      </w:r>
    </w:p>
    <w:p w14:paraId="1A9C8BD2">
      <w:pPr>
        <w:pStyle w:val="8"/>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560" w:lineRule="exact"/>
        <w:ind w:left="0" w:right="0" w:firstLine="480" w:firstLineChars="200"/>
        <w:textAlignment w:val="auto"/>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本标准的意义在于为荔枝产区提供科学、统一的农业气象观测技术规范，精准识别各物候期的主要农业气象灾害，持续提升荔枝成花枝率、产量和品质的气象灾害预报预警能力，增强荔枝产业应对气候变化的适应能力。多产地荔枝气象服务调研实践表明，系统规范的农业气象观测与精准服务，能够有效支撑荔枝早熟上市、品质提升及品牌建设，并通过直通式气象服务与种植大户、合作社等新型经营主体联动，实现防灾减灾与产业增效的协同发展。本标准的制定将为海南省热带特色高效农业高质量发展及国家热带现代农业基地建设提供坚实的气象科技支撑。</w:t>
      </w:r>
    </w:p>
    <w:p w14:paraId="20ABBEEB">
      <w:pPr>
        <w:pStyle w:val="5"/>
        <w:spacing w:line="560" w:lineRule="exact"/>
        <w:ind w:firstLine="645"/>
        <w:rPr>
          <w:rFonts w:hint="eastAsia" w:ascii="黑体" w:hAnsi="黑体" w:eastAsia="黑体" w:cs="黑体"/>
          <w:color w:val="auto"/>
          <w:sz w:val="28"/>
          <w:szCs w:val="28"/>
        </w:rPr>
      </w:pPr>
      <w:r>
        <w:rPr>
          <w:rFonts w:hint="eastAsia" w:ascii="黑体" w:hAnsi="黑体" w:eastAsia="黑体" w:cs="黑体"/>
          <w:color w:val="auto"/>
          <w:sz w:val="28"/>
          <w:szCs w:val="28"/>
        </w:rPr>
        <w:t>三、</w:t>
      </w:r>
      <w:r>
        <w:rPr>
          <w:rFonts w:hint="eastAsia" w:ascii="黑体" w:hAnsi="黑体" w:eastAsia="黑体" w:cs="黑体"/>
          <w:color w:val="auto"/>
          <w:sz w:val="28"/>
          <w:szCs w:val="28"/>
          <w:lang w:eastAsia="zh-CN"/>
        </w:rPr>
        <w:t>编制</w:t>
      </w:r>
      <w:r>
        <w:rPr>
          <w:rFonts w:hint="eastAsia" w:ascii="黑体" w:hAnsi="黑体" w:eastAsia="黑体" w:cs="黑体"/>
          <w:color w:val="auto"/>
          <w:sz w:val="28"/>
          <w:szCs w:val="28"/>
        </w:rPr>
        <w:t>过程</w:t>
      </w:r>
    </w:p>
    <w:p w14:paraId="7C26BD8E">
      <w:pPr>
        <w:pStyle w:val="5"/>
        <w:spacing w:line="560" w:lineRule="exact"/>
        <w:ind w:firstLine="645"/>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2025年6月25日，收到《海南省市场监督管理局关于下达海南省2025年第一批地方标准制修订项目计划的通知》（</w:t>
      </w:r>
      <w:r>
        <w:rPr>
          <w:rFonts w:hint="eastAsia" w:hAnsi="宋体" w:eastAsia="宋体" w:cs="宋体"/>
          <w:color w:val="auto"/>
          <w:kern w:val="2"/>
          <w:sz w:val="24"/>
          <w:szCs w:val="24"/>
          <w:lang w:val="en-US" w:eastAsia="zh-CN" w:bidi="ar-SA"/>
        </w:rPr>
        <w:t>〔2025〕345号</w:t>
      </w:r>
      <w:r>
        <w:rPr>
          <w:rFonts w:hint="eastAsia" w:ascii="宋体" w:hAnsi="宋体" w:eastAsia="宋体" w:cs="宋体"/>
          <w:color w:val="auto"/>
          <w:kern w:val="2"/>
          <w:sz w:val="24"/>
          <w:szCs w:val="24"/>
          <w:lang w:val="en-US" w:eastAsia="zh-CN" w:bidi="ar-SA"/>
        </w:rPr>
        <w:t>）后，成立标准编制小组，成员有侯伟、陈哲、王祥和、陈小敏、张蕾、李焕玲、胡福初、王秀珍、吴昱芸。确定实施方案，并明确各自的任务分工，见表1。</w:t>
      </w:r>
    </w:p>
    <w:p w14:paraId="5A85E6BF">
      <w:pPr>
        <w:pStyle w:val="5"/>
        <w:spacing w:line="560" w:lineRule="exact"/>
        <w:ind w:firstLine="645"/>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标准起草过程：根据GB/T 1.1—2020《标准化工作导则 第1部分：标准化文件的结构和起草规则》、海南省的DB 46/T 74—2021《地方标准制修订工作规范》要求，按部就班制定本标准，前期编制过程简介如下：</w:t>
      </w:r>
    </w:p>
    <w:p w14:paraId="19142B0B">
      <w:pPr>
        <w:pStyle w:val="5"/>
        <w:spacing w:line="560" w:lineRule="exact"/>
        <w:ind w:firstLine="645"/>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（1）2025年6月，成立标准编制小组，制定详细工作进度计划，明确任务分工。</w:t>
      </w:r>
    </w:p>
    <w:p w14:paraId="326DC498">
      <w:pPr>
        <w:pStyle w:val="5"/>
        <w:spacing w:line="560" w:lineRule="exact"/>
        <w:ind w:firstLine="645"/>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（2）2025年7</w:t>
      </w:r>
      <w:r>
        <w:rPr>
          <w:rFonts w:hint="eastAsia" w:hAnsi="宋体" w:eastAsia="宋体" w:cs="宋体"/>
          <w:color w:val="auto"/>
          <w:kern w:val="2"/>
          <w:sz w:val="24"/>
          <w:szCs w:val="24"/>
          <w:lang w:val="en-US" w:eastAsia="zh-CN" w:bidi="ar-SA"/>
        </w:rPr>
        <w:t>—</w:t>
      </w:r>
      <w:r>
        <w:rPr>
          <w:rFonts w:hint="eastAsia" w:ascii="宋体" w:hAnsi="宋体" w:eastAsia="宋体" w:cs="宋体"/>
          <w:color w:val="auto"/>
          <w:kern w:val="2"/>
          <w:sz w:val="24"/>
          <w:szCs w:val="24"/>
          <w:lang w:val="en-US" w:eastAsia="zh-CN" w:bidi="ar-SA"/>
        </w:rPr>
        <w:t>11月，编制小组收集查阅相关方针政策、法律法规、国内外相关标准、文献等基础资料，系统梳理了国内外有关作物和果树的农业气象观测的研究进展与实践案例，结合海南省荔枝种植现状和热带气候特征，综合分析了海南省各荔枝主产区品种分布情况和主要农业气象灾害类型，选取海口、澄迈、琼海、文昌、陵水等荔枝种植基地，同国家和海南省荔枝产业技术体系岗位专家、企业管理员和个体户开展科学研究和实地验证</w:t>
      </w:r>
      <w:r>
        <w:rPr>
          <w:rFonts w:hint="eastAsia" w:hAnsi="宋体" w:eastAsia="宋体" w:cs="宋体"/>
          <w:color w:val="auto"/>
          <w:kern w:val="2"/>
          <w:sz w:val="24"/>
          <w:szCs w:val="24"/>
          <w:lang w:val="en-US" w:eastAsia="zh-CN" w:bidi="ar-SA"/>
        </w:rPr>
        <w:t>（图1）</w:t>
      </w:r>
      <w:r>
        <w:rPr>
          <w:rFonts w:hint="eastAsia" w:ascii="宋体" w:hAnsi="宋体" w:eastAsia="宋体" w:cs="宋体"/>
          <w:color w:val="auto"/>
          <w:kern w:val="2"/>
          <w:sz w:val="24"/>
          <w:szCs w:val="24"/>
          <w:lang w:val="en-US" w:eastAsia="zh-CN" w:bidi="ar-SA"/>
        </w:rPr>
        <w:t>。通过多源数据支撑技术规范的科学性与可行性，为技术规范提供实践支撑。针对标准主要技术内容，编制组通过内部研讨、向相关领域专家征求意见、电话咨询</w:t>
      </w:r>
      <w:r>
        <w:rPr>
          <w:rFonts w:hint="eastAsia" w:hAnsi="宋体" w:eastAsia="宋体" w:cs="宋体"/>
          <w:color w:val="auto"/>
          <w:kern w:val="2"/>
          <w:sz w:val="24"/>
          <w:szCs w:val="24"/>
          <w:lang w:val="en-US" w:eastAsia="zh-CN" w:bidi="ar-SA"/>
        </w:rPr>
        <w:t>、召开座谈会</w:t>
      </w:r>
      <w:r>
        <w:rPr>
          <w:rFonts w:hint="eastAsia" w:ascii="宋体" w:hAnsi="宋体" w:eastAsia="宋体" w:cs="宋体"/>
          <w:color w:val="auto"/>
          <w:kern w:val="2"/>
          <w:sz w:val="24"/>
          <w:szCs w:val="24"/>
          <w:lang w:val="en-US" w:eastAsia="zh-CN" w:bidi="ar-SA"/>
        </w:rPr>
        <w:t>等多种形式广泛征求建议，充分吸纳行业实践经验与学术研究成果</w:t>
      </w:r>
      <w:r>
        <w:rPr>
          <w:rFonts w:hint="eastAsia" w:hAnsi="宋体" w:eastAsia="宋体" w:cs="宋体"/>
          <w:color w:val="auto"/>
          <w:kern w:val="2"/>
          <w:sz w:val="24"/>
          <w:szCs w:val="24"/>
          <w:lang w:val="en-US" w:eastAsia="zh-CN" w:bidi="ar-SA"/>
        </w:rPr>
        <w:t>（图2）</w:t>
      </w:r>
      <w:r>
        <w:rPr>
          <w:rFonts w:hint="eastAsia" w:ascii="宋体" w:hAnsi="宋体" w:eastAsia="宋体" w:cs="宋体"/>
          <w:color w:val="auto"/>
          <w:kern w:val="2"/>
          <w:sz w:val="24"/>
          <w:szCs w:val="24"/>
          <w:lang w:val="en-US" w:eastAsia="zh-CN" w:bidi="ar-SA"/>
        </w:rPr>
        <w:t>。在此基础上，汇总整理荔枝农业气象观测的核心技术要求和规范，完成标准初稿的编制工作。</w:t>
      </w:r>
    </w:p>
    <w:p w14:paraId="5402CE54">
      <w:pPr>
        <w:pStyle w:val="5"/>
        <w:spacing w:line="560" w:lineRule="exact"/>
        <w:ind w:firstLine="645"/>
        <w:rPr>
          <w:rFonts w:hint="eastAsia" w:ascii="宋体" w:hAnsi="宋体" w:eastAsia="宋体" w:cs="宋体"/>
          <w:color w:val="FF0000"/>
          <w:sz w:val="24"/>
          <w:szCs w:val="24"/>
        </w:rPr>
      </w:pPr>
      <w:r>
        <w:rPr>
          <w:rFonts w:hint="eastAsia" w:ascii="宋体" w:hAnsi="宋体" w:eastAsia="宋体" w:cs="宋体"/>
          <w:color w:val="auto"/>
          <w:kern w:val="2"/>
          <w:sz w:val="24"/>
          <w:szCs w:val="24"/>
          <w:lang w:val="en-US" w:eastAsia="zh-CN" w:bidi="ar-SA"/>
        </w:rPr>
        <w:t>（</w:t>
      </w:r>
      <w:r>
        <w:rPr>
          <w:rFonts w:hint="eastAsia" w:hAnsi="宋体" w:eastAsia="宋体" w:cs="宋体"/>
          <w:color w:val="auto"/>
          <w:kern w:val="2"/>
          <w:sz w:val="24"/>
          <w:szCs w:val="24"/>
          <w:lang w:val="en-US" w:eastAsia="zh-CN" w:bidi="ar-SA"/>
        </w:rPr>
        <w:t>3</w:t>
      </w:r>
      <w:r>
        <w:rPr>
          <w:rFonts w:hint="eastAsia" w:ascii="宋体" w:hAnsi="宋体" w:eastAsia="宋体" w:cs="宋体"/>
          <w:color w:val="auto"/>
          <w:kern w:val="2"/>
          <w:sz w:val="24"/>
          <w:szCs w:val="24"/>
          <w:lang w:val="en-US" w:eastAsia="zh-CN" w:bidi="ar-SA"/>
        </w:rPr>
        <w:t>）2025年12月，编制小组逐字逐句讨论初稿，经修改后形成征求意见稿和编制说明。</w:t>
      </w:r>
      <w:r>
        <w:rPr>
          <w:rFonts w:hint="eastAsia" w:ascii="宋体" w:hAnsi="宋体" w:eastAsia="宋体" w:cs="宋体"/>
          <w:b/>
          <w:bCs/>
          <w:sz w:val="24"/>
          <w:szCs w:val="24"/>
        </w:rPr>
        <w:t xml:space="preserve"> </w:t>
      </w:r>
    </w:p>
    <w:p w14:paraId="79389CF9">
      <w:pPr>
        <w:pStyle w:val="5"/>
        <w:spacing w:line="560" w:lineRule="exact"/>
        <w:ind w:firstLine="645"/>
        <w:rPr>
          <w:rFonts w:hint="eastAsia" w:ascii="宋体" w:hAnsi="宋体" w:eastAsia="宋体" w:cs="宋体"/>
          <w:color w:val="auto"/>
          <w:kern w:val="2"/>
          <w:sz w:val="24"/>
          <w:szCs w:val="24"/>
          <w:lang w:val="en-US" w:eastAsia="zh-CN" w:bidi="ar-SA"/>
        </w:rPr>
      </w:pPr>
    </w:p>
    <w:p w14:paraId="52B195AA">
      <w:pPr>
        <w:pStyle w:val="5"/>
        <w:spacing w:line="240" w:lineRule="auto"/>
        <w:jc w:val="center"/>
        <w:rPr>
          <w:rFonts w:hint="eastAsia" w:hAnsi="宋体" w:eastAsia="宋体" w:cs="宋体"/>
          <w:color w:val="auto"/>
          <w:kern w:val="2"/>
          <w:sz w:val="24"/>
          <w:szCs w:val="24"/>
          <w:lang w:val="en-US" w:eastAsia="zh-CN" w:bidi="ar-SA"/>
        </w:rPr>
      </w:pPr>
      <w:r>
        <w:rPr>
          <w:rFonts w:hint="eastAsia" w:hAnsi="宋体" w:eastAsia="宋体" w:cs="宋体"/>
          <w:color w:val="auto"/>
          <w:kern w:val="2"/>
          <w:sz w:val="24"/>
          <w:szCs w:val="24"/>
          <w:lang w:val="en-US" w:eastAsia="zh-CN" w:bidi="ar-SA"/>
        </w:rPr>
        <w:drawing>
          <wp:inline distT="0" distB="0" distL="114300" distR="114300">
            <wp:extent cx="1868805" cy="2493010"/>
            <wp:effectExtent l="0" t="0" r="10795" b="8890"/>
            <wp:docPr id="5" name="图片 5" descr="微信图片_20250524190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505241901312"/>
                    <pic:cNvPicPr>
                      <a:picLocks noChangeAspect="1"/>
                    </pic:cNvPicPr>
                  </pic:nvPicPr>
                  <pic:blipFill>
                    <a:blip r:embed="rId4"/>
                    <a:stretch>
                      <a:fillRect/>
                    </a:stretch>
                  </pic:blipFill>
                  <pic:spPr>
                    <a:xfrm>
                      <a:off x="0" y="0"/>
                      <a:ext cx="1868805" cy="2493010"/>
                    </a:xfrm>
                    <a:prstGeom prst="rect">
                      <a:avLst/>
                    </a:prstGeom>
                  </pic:spPr>
                </pic:pic>
              </a:graphicData>
            </a:graphic>
          </wp:inline>
        </w:drawing>
      </w:r>
      <w:r>
        <w:rPr>
          <w:rFonts w:hint="eastAsia" w:hAnsi="宋体" w:eastAsia="宋体" w:cs="宋体"/>
          <w:color w:val="auto"/>
          <w:kern w:val="2"/>
          <w:sz w:val="24"/>
          <w:szCs w:val="24"/>
          <w:lang w:val="en-US" w:eastAsia="zh-CN" w:bidi="ar-SA"/>
        </w:rPr>
        <w:drawing>
          <wp:inline distT="0" distB="0" distL="114300" distR="114300">
            <wp:extent cx="3302635" cy="2477770"/>
            <wp:effectExtent l="0" t="0" r="12065" b="11430"/>
            <wp:docPr id="6" name="图片 6" descr="微信图片_2025052417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50524174013"/>
                    <pic:cNvPicPr>
                      <a:picLocks noChangeAspect="1"/>
                    </pic:cNvPicPr>
                  </pic:nvPicPr>
                  <pic:blipFill>
                    <a:blip r:embed="rId5"/>
                    <a:stretch>
                      <a:fillRect/>
                    </a:stretch>
                  </pic:blipFill>
                  <pic:spPr>
                    <a:xfrm>
                      <a:off x="0" y="0"/>
                      <a:ext cx="3302635" cy="2477770"/>
                    </a:xfrm>
                    <a:prstGeom prst="rect">
                      <a:avLst/>
                    </a:prstGeom>
                  </pic:spPr>
                </pic:pic>
              </a:graphicData>
            </a:graphic>
          </wp:inline>
        </w:drawing>
      </w:r>
    </w:p>
    <w:p w14:paraId="39765779">
      <w:pPr>
        <w:pStyle w:val="5"/>
        <w:spacing w:line="560" w:lineRule="exact"/>
        <w:rPr>
          <w:rFonts w:hint="eastAsia" w:hAnsi="宋体" w:eastAsia="宋体" w:cs="宋体"/>
          <w:color w:val="auto"/>
          <w:kern w:val="2"/>
          <w:sz w:val="24"/>
          <w:szCs w:val="24"/>
          <w:lang w:val="en-US" w:eastAsia="zh-CN" w:bidi="ar-SA"/>
        </w:rPr>
      </w:pPr>
      <w:r>
        <w:rPr>
          <w:rFonts w:hint="eastAsia" w:ascii="宋体" w:hAnsi="宋体" w:eastAsia="宋体" w:cs="宋体"/>
          <w:b/>
          <w:bCs/>
          <w:color w:val="auto"/>
          <w:sz w:val="24"/>
          <w:szCs w:val="24"/>
          <w:lang w:val="en-US" w:eastAsia="zh-CN"/>
        </w:rPr>
        <w:t>图1编制小组联合海南省荔枝产业技术体系岗位专家开展荔枝农业气象观测调研</w:t>
      </w:r>
    </w:p>
    <w:p w14:paraId="680D3960">
      <w:pPr>
        <w:pStyle w:val="5"/>
        <w:spacing w:line="560" w:lineRule="exact"/>
        <w:jc w:val="center"/>
        <w:rPr>
          <w:rFonts w:hint="eastAsia" w:hAnsi="宋体" w:eastAsia="宋体" w:cs="宋体"/>
          <w:color w:val="auto"/>
          <w:kern w:val="2"/>
          <w:sz w:val="21"/>
          <w:szCs w:val="21"/>
          <w:lang w:val="en-US" w:eastAsia="zh-CN" w:bidi="ar-SA"/>
        </w:rPr>
      </w:pPr>
      <w:r>
        <w:rPr>
          <w:rFonts w:hint="eastAsia" w:hAnsi="宋体" w:eastAsia="宋体" w:cs="宋体"/>
          <w:color w:val="auto"/>
          <w:kern w:val="2"/>
          <w:sz w:val="21"/>
          <w:szCs w:val="21"/>
          <w:lang w:val="en-US" w:eastAsia="zh-CN" w:bidi="ar-SA"/>
        </w:rPr>
        <w:t>注：第一张图调研地为陵水，第二张图调研地为海口</w:t>
      </w:r>
    </w:p>
    <w:p w14:paraId="5DACAE11">
      <w:pPr>
        <w:pStyle w:val="5"/>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hAnsi="宋体" w:eastAsia="宋体" w:cs="宋体"/>
          <w:color w:val="auto"/>
          <w:kern w:val="2"/>
          <w:sz w:val="21"/>
          <w:szCs w:val="21"/>
          <w:lang w:val="en-US" w:eastAsia="zh-CN" w:bidi="ar-SA"/>
        </w:rPr>
      </w:pPr>
      <w:r>
        <w:rPr>
          <w:rFonts w:hint="default" w:hAnsi="宋体" w:eastAsia="宋体" w:cs="宋体"/>
          <w:color w:val="auto"/>
          <w:kern w:val="2"/>
          <w:sz w:val="21"/>
          <w:szCs w:val="21"/>
          <w:lang w:val="en-US" w:eastAsia="zh-CN" w:bidi="ar-SA"/>
        </w:rPr>
        <w:drawing>
          <wp:inline distT="0" distB="0" distL="114300" distR="114300">
            <wp:extent cx="2191385" cy="2191385"/>
            <wp:effectExtent l="0" t="0" r="5715" b="5715"/>
            <wp:docPr id="7" name="图片 7" descr="2b464bdd81de0b3ad1675a4b98ec14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b464bdd81de0b3ad1675a4b98ec14e2"/>
                    <pic:cNvPicPr>
                      <a:picLocks noChangeAspect="1"/>
                    </pic:cNvPicPr>
                  </pic:nvPicPr>
                  <pic:blipFill>
                    <a:blip r:embed="rId6"/>
                    <a:stretch>
                      <a:fillRect/>
                    </a:stretch>
                  </pic:blipFill>
                  <pic:spPr>
                    <a:xfrm>
                      <a:off x="0" y="0"/>
                      <a:ext cx="2191385" cy="2191385"/>
                    </a:xfrm>
                    <a:prstGeom prst="rect">
                      <a:avLst/>
                    </a:prstGeom>
                  </pic:spPr>
                </pic:pic>
              </a:graphicData>
            </a:graphic>
          </wp:inline>
        </w:drawing>
      </w:r>
      <w:r>
        <w:rPr>
          <w:rFonts w:hint="default" w:hAnsi="宋体" w:eastAsia="宋体" w:cs="宋体"/>
          <w:color w:val="auto"/>
          <w:kern w:val="2"/>
          <w:sz w:val="21"/>
          <w:szCs w:val="21"/>
          <w:lang w:val="en-US" w:eastAsia="zh-CN" w:bidi="ar-SA"/>
        </w:rPr>
        <w:drawing>
          <wp:inline distT="0" distB="0" distL="114300" distR="114300">
            <wp:extent cx="3165475" cy="2181225"/>
            <wp:effectExtent l="0" t="0" r="9525" b="3175"/>
            <wp:docPr id="8" name="图片 8" descr="9bd83530310932c5434b59573057a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9bd83530310932c5434b59573057a506"/>
                    <pic:cNvPicPr>
                      <a:picLocks noChangeAspect="1"/>
                    </pic:cNvPicPr>
                  </pic:nvPicPr>
                  <pic:blipFill>
                    <a:blip r:embed="rId7"/>
                    <a:stretch>
                      <a:fillRect/>
                    </a:stretch>
                  </pic:blipFill>
                  <pic:spPr>
                    <a:xfrm>
                      <a:off x="0" y="0"/>
                      <a:ext cx="3165475" cy="2181225"/>
                    </a:xfrm>
                    <a:prstGeom prst="rect">
                      <a:avLst/>
                    </a:prstGeom>
                  </pic:spPr>
                </pic:pic>
              </a:graphicData>
            </a:graphic>
          </wp:inline>
        </w:drawing>
      </w:r>
    </w:p>
    <w:p w14:paraId="33465560">
      <w:pPr>
        <w:pStyle w:val="5"/>
        <w:spacing w:line="560" w:lineRule="exact"/>
        <w:rPr>
          <w:rFonts w:hint="default"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图2编制小组组织国家和海南省荔枝产业技术体系岗位专家在海口召开</w:t>
      </w:r>
      <w:r>
        <w:rPr>
          <w:rFonts w:hint="eastAsia" w:hAnsi="宋体" w:eastAsia="宋体" w:cs="宋体"/>
          <w:b/>
          <w:bCs/>
          <w:color w:val="auto"/>
          <w:sz w:val="24"/>
          <w:szCs w:val="24"/>
          <w:lang w:val="en-US" w:eastAsia="zh-CN"/>
        </w:rPr>
        <w:t>2次</w:t>
      </w:r>
      <w:r>
        <w:rPr>
          <w:rFonts w:hint="eastAsia" w:ascii="宋体" w:hAnsi="宋体" w:eastAsia="宋体" w:cs="宋体"/>
          <w:b/>
          <w:bCs/>
          <w:color w:val="auto"/>
          <w:sz w:val="24"/>
          <w:szCs w:val="24"/>
          <w:lang w:val="en-US" w:eastAsia="zh-CN"/>
        </w:rPr>
        <w:t>座谈会</w:t>
      </w:r>
    </w:p>
    <w:p w14:paraId="01A39BF7">
      <w:pPr>
        <w:pStyle w:val="5"/>
        <w:spacing w:line="560" w:lineRule="exact"/>
        <w:ind w:firstLine="645"/>
        <w:rPr>
          <w:rFonts w:hint="eastAsia" w:ascii="宋体" w:hAnsi="宋体" w:eastAsia="宋体" w:cs="宋体"/>
          <w:b/>
          <w:bCs/>
          <w:color w:val="auto"/>
          <w:kern w:val="2"/>
          <w:sz w:val="24"/>
          <w:szCs w:val="24"/>
          <w:lang w:val="en-US" w:eastAsia="zh-CN" w:bidi="ar-SA"/>
        </w:rPr>
      </w:pPr>
      <w:r>
        <w:rPr>
          <w:rFonts w:hint="eastAsia" w:ascii="宋体" w:hAnsi="宋体" w:eastAsia="宋体" w:cs="宋体"/>
          <w:b/>
          <w:bCs/>
          <w:color w:val="auto"/>
          <w:kern w:val="2"/>
          <w:sz w:val="24"/>
          <w:szCs w:val="24"/>
          <w:lang w:val="en-US" w:eastAsia="zh-CN" w:bidi="ar-SA"/>
        </w:rPr>
        <w:t>征求意见情况：</w:t>
      </w:r>
    </w:p>
    <w:p w14:paraId="2E040119">
      <w:pPr>
        <w:pStyle w:val="5"/>
        <w:spacing w:line="560" w:lineRule="exact"/>
        <w:ind w:firstLine="645"/>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2026</w:t>
      </w:r>
      <w:r>
        <w:rPr>
          <w:rFonts w:hint="eastAsia" w:ascii="宋体" w:hAnsi="宋体" w:eastAsia="宋体" w:cs="宋体"/>
          <w:color w:val="auto"/>
          <w:sz w:val="24"/>
          <w:szCs w:val="24"/>
          <w:lang w:eastAsia="zh-CN"/>
        </w:rPr>
        <w:t>年</w:t>
      </w:r>
      <w:r>
        <w:rPr>
          <w:rFonts w:hint="eastAsia" w:ascii="宋体" w:hAnsi="宋体" w:eastAsia="宋体" w:cs="宋体"/>
          <w:color w:val="auto"/>
          <w:sz w:val="24"/>
          <w:szCs w:val="24"/>
          <w:lang w:val="en-US" w:eastAsia="zh-CN"/>
        </w:rPr>
        <w:t>4</w:t>
      </w:r>
      <w:r>
        <w:rPr>
          <w:rFonts w:hint="eastAsia" w:ascii="宋体" w:hAnsi="宋体" w:eastAsia="宋体" w:cs="宋体"/>
          <w:color w:val="auto"/>
          <w:sz w:val="24"/>
          <w:szCs w:val="24"/>
          <w:lang w:eastAsia="zh-CN"/>
        </w:rPr>
        <w:t>月</w:t>
      </w:r>
      <w:r>
        <w:rPr>
          <w:rFonts w:hint="eastAsia" w:ascii="宋体" w:hAnsi="宋体" w:eastAsia="宋体" w:cs="宋体"/>
          <w:color w:val="auto"/>
          <w:sz w:val="24"/>
          <w:szCs w:val="24"/>
          <w:lang w:val="en-US" w:eastAsia="zh-CN"/>
        </w:rPr>
        <w:t>17日</w:t>
      </w:r>
      <w:r>
        <w:rPr>
          <w:rFonts w:hint="eastAsia" w:hAnsi="宋体" w:eastAsia="宋体" w:cs="宋体"/>
          <w:color w:val="auto"/>
          <w:sz w:val="24"/>
          <w:szCs w:val="24"/>
          <w:lang w:val="en-US" w:eastAsia="zh-CN"/>
        </w:rPr>
        <w:t>—</w:t>
      </w:r>
      <w:r>
        <w:rPr>
          <w:rFonts w:hint="eastAsia" w:ascii="宋体" w:hAnsi="宋体" w:eastAsia="宋体" w:cs="宋体"/>
          <w:color w:val="auto"/>
          <w:sz w:val="24"/>
          <w:szCs w:val="24"/>
          <w:lang w:val="en-US" w:eastAsia="zh-CN"/>
        </w:rPr>
        <w:t>24日</w:t>
      </w:r>
      <w:r>
        <w:rPr>
          <w:rFonts w:hint="eastAsia" w:ascii="宋体" w:hAnsi="宋体" w:eastAsia="宋体" w:cs="宋体"/>
          <w:color w:val="auto"/>
          <w:sz w:val="24"/>
          <w:szCs w:val="24"/>
          <w:lang w:eastAsia="zh-CN"/>
        </w:rPr>
        <w:t>，通过海南省气象局办公网向各直属单位以及各市、县、自治县气象局发函征求意见，征求意见期间共收到10条反馈</w:t>
      </w:r>
      <w:r>
        <w:rPr>
          <w:rFonts w:hint="eastAsia" w:hAnsi="宋体" w:eastAsia="宋体" w:cs="宋体"/>
          <w:color w:val="auto"/>
          <w:sz w:val="24"/>
          <w:szCs w:val="24"/>
          <w:lang w:eastAsia="zh-CN"/>
        </w:rPr>
        <w:t>（</w:t>
      </w:r>
      <w:r>
        <w:rPr>
          <w:rFonts w:hint="eastAsia" w:ascii="宋体" w:hAnsi="宋体" w:eastAsia="宋体" w:cs="宋体"/>
          <w:color w:val="auto"/>
          <w:sz w:val="24"/>
          <w:szCs w:val="24"/>
          <w:lang w:eastAsia="zh-CN"/>
        </w:rPr>
        <w:t>东方、澄迈、白沙、琼海、万宁、文昌、琼中、临高、气科所、信息中心</w:t>
      </w:r>
      <w:r>
        <w:rPr>
          <w:rFonts w:hint="eastAsia" w:hAnsi="宋体" w:eastAsia="宋体" w:cs="宋体"/>
          <w:color w:val="auto"/>
          <w:sz w:val="24"/>
          <w:szCs w:val="24"/>
          <w:lang w:eastAsia="zh-CN"/>
        </w:rPr>
        <w:t>）</w:t>
      </w:r>
      <w:r>
        <w:rPr>
          <w:rFonts w:hint="eastAsia" w:ascii="宋体" w:hAnsi="宋体" w:eastAsia="宋体" w:cs="宋体"/>
          <w:color w:val="auto"/>
          <w:sz w:val="24"/>
          <w:szCs w:val="24"/>
          <w:lang w:eastAsia="zh-CN"/>
        </w:rPr>
        <w:t>，反馈均为“无意见”</w:t>
      </w:r>
      <w:r>
        <w:rPr>
          <w:rFonts w:hint="eastAsia" w:hAnsi="宋体" w:eastAsia="宋体" w:cs="宋体"/>
          <w:color w:val="auto"/>
          <w:sz w:val="24"/>
          <w:szCs w:val="24"/>
          <w:lang w:eastAsia="zh-CN"/>
        </w:rPr>
        <w:t>（</w:t>
      </w:r>
      <w:r>
        <w:rPr>
          <w:rFonts w:hint="eastAsia" w:hAnsi="宋体" w:eastAsia="宋体" w:cs="宋体"/>
          <w:color w:val="auto"/>
          <w:sz w:val="24"/>
          <w:szCs w:val="24"/>
          <w:lang w:val="en-US" w:eastAsia="zh-CN"/>
        </w:rPr>
        <w:t>图3</w:t>
      </w:r>
      <w:r>
        <w:rPr>
          <w:rFonts w:hint="eastAsia" w:hAnsi="宋体" w:eastAsia="宋体" w:cs="宋体"/>
          <w:color w:val="auto"/>
          <w:sz w:val="24"/>
          <w:szCs w:val="24"/>
          <w:lang w:eastAsia="zh-CN"/>
        </w:rPr>
        <w:t>）</w:t>
      </w:r>
      <w:r>
        <w:rPr>
          <w:rFonts w:hint="eastAsia" w:ascii="宋体" w:hAnsi="宋体" w:eastAsia="宋体" w:cs="宋体"/>
          <w:color w:val="auto"/>
          <w:sz w:val="24"/>
          <w:szCs w:val="24"/>
          <w:lang w:eastAsia="zh-CN"/>
        </w:rPr>
        <w:t>。</w:t>
      </w:r>
    </w:p>
    <w:p w14:paraId="70EA6A54">
      <w:pPr>
        <w:pStyle w:val="5"/>
        <w:spacing w:line="560" w:lineRule="exact"/>
        <w:ind w:firstLine="645"/>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2026年4月</w:t>
      </w:r>
      <w:r>
        <w:rPr>
          <w:rFonts w:hint="eastAsia" w:ascii="宋体" w:hAnsi="宋体" w:eastAsia="宋体" w:cs="宋体"/>
          <w:color w:val="auto"/>
          <w:sz w:val="24"/>
          <w:szCs w:val="24"/>
          <w:lang w:val="en-US" w:eastAsia="zh-CN"/>
        </w:rPr>
        <w:t>28日</w:t>
      </w:r>
      <w:r>
        <w:rPr>
          <w:rFonts w:hint="eastAsia" w:ascii="宋体" w:hAnsi="宋体" w:eastAsia="宋体" w:cs="宋体"/>
          <w:color w:val="auto"/>
          <w:sz w:val="24"/>
          <w:szCs w:val="24"/>
          <w:lang w:eastAsia="zh-CN"/>
        </w:rPr>
        <w:t>，在</w:t>
      </w:r>
      <w:r>
        <w:rPr>
          <w:rFonts w:hint="eastAsia" w:ascii="宋体" w:hAnsi="宋体" w:eastAsia="宋体" w:cs="宋体"/>
          <w:color w:val="auto"/>
          <w:sz w:val="24"/>
          <w:szCs w:val="24"/>
          <w:lang w:val="en-US" w:eastAsia="zh-CN"/>
        </w:rPr>
        <w:t>海南省气象标准委员会</w:t>
      </w:r>
      <w:r>
        <w:rPr>
          <w:rFonts w:hint="eastAsia" w:ascii="宋体" w:hAnsi="宋体" w:eastAsia="宋体" w:cs="宋体"/>
          <w:color w:val="auto"/>
          <w:sz w:val="24"/>
          <w:szCs w:val="24"/>
          <w:lang w:eastAsia="zh-CN"/>
        </w:rPr>
        <w:t>微信工作群向29名气象标准化技术委员会全体委员征求意见，共收到0条意见</w:t>
      </w:r>
      <w:r>
        <w:rPr>
          <w:rFonts w:hint="eastAsia" w:hAnsi="宋体" w:eastAsia="宋体" w:cs="宋体"/>
          <w:color w:val="auto"/>
          <w:sz w:val="24"/>
          <w:szCs w:val="24"/>
          <w:lang w:eastAsia="zh-CN"/>
        </w:rPr>
        <w:t>（</w:t>
      </w:r>
      <w:r>
        <w:rPr>
          <w:rFonts w:hint="eastAsia" w:hAnsi="宋体" w:eastAsia="宋体" w:cs="宋体"/>
          <w:color w:val="auto"/>
          <w:sz w:val="24"/>
          <w:szCs w:val="24"/>
          <w:lang w:val="en-US" w:eastAsia="zh-CN"/>
        </w:rPr>
        <w:t>图4</w:t>
      </w:r>
      <w:r>
        <w:rPr>
          <w:rFonts w:hint="eastAsia" w:hAnsi="宋体" w:eastAsia="宋体" w:cs="宋体"/>
          <w:color w:val="auto"/>
          <w:sz w:val="24"/>
          <w:szCs w:val="24"/>
          <w:lang w:eastAsia="zh-CN"/>
        </w:rPr>
        <w:t>）</w:t>
      </w:r>
      <w:r>
        <w:rPr>
          <w:rFonts w:hint="eastAsia" w:ascii="宋体" w:hAnsi="宋体" w:eastAsia="宋体" w:cs="宋体"/>
          <w:color w:val="auto"/>
          <w:sz w:val="24"/>
          <w:szCs w:val="24"/>
          <w:lang w:eastAsia="zh-CN"/>
        </w:rPr>
        <w:t>。</w:t>
      </w:r>
    </w:p>
    <w:p w14:paraId="3D696277">
      <w:pPr>
        <w:pStyle w:val="5"/>
        <w:spacing w:line="560" w:lineRule="exact"/>
        <w:ind w:firstLine="645"/>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2026年5月18日，由起草单位牵头召开了标准征求意见会，会议邀请了海南大学热带农林学院、海南省气象科学研究所、海南省气象灾害防御技术中心、海南省气象发展保障中心相关专家。会上收到专家组意见64条意见，最终采纳意见58条，未采纳意见6条</w:t>
      </w:r>
      <w:r>
        <w:rPr>
          <w:rFonts w:hint="eastAsia" w:hAnsi="宋体" w:eastAsia="宋体" w:cs="宋体"/>
          <w:color w:val="auto"/>
          <w:sz w:val="24"/>
          <w:szCs w:val="24"/>
          <w:lang w:val="en-US" w:eastAsia="zh-CN"/>
        </w:rPr>
        <w:t>（图5）</w:t>
      </w:r>
      <w:r>
        <w:rPr>
          <w:rFonts w:hint="eastAsia" w:ascii="宋体" w:hAnsi="宋体" w:eastAsia="宋体" w:cs="宋体"/>
          <w:color w:val="auto"/>
          <w:sz w:val="24"/>
          <w:szCs w:val="24"/>
          <w:lang w:val="en-US" w:eastAsia="zh-CN"/>
        </w:rPr>
        <w:t>。</w:t>
      </w:r>
    </w:p>
    <w:p w14:paraId="18E06482">
      <w:pPr>
        <w:pStyle w:val="5"/>
        <w:spacing w:line="240" w:lineRule="auto"/>
        <w:ind w:firstLine="0"/>
        <w:jc w:val="center"/>
        <w:rPr>
          <w:rFonts w:hint="eastAsia" w:ascii="宋体" w:hAnsi="宋体" w:eastAsia="宋体" w:cs="宋体"/>
          <w:b/>
          <w:bCs/>
          <w:color w:val="auto"/>
          <w:sz w:val="24"/>
          <w:szCs w:val="24"/>
          <w:lang w:val="en-US" w:eastAsia="zh-CN"/>
        </w:rPr>
      </w:pPr>
      <w:r>
        <w:rPr>
          <w:rFonts w:hint="eastAsia" w:hAnsi="宋体" w:eastAsia="宋体" w:cs="宋体"/>
          <w:sz w:val="24"/>
          <w:szCs w:val="24"/>
        </w:rPr>
        <w:drawing>
          <wp:inline distT="0" distB="0" distL="114300" distR="114300">
            <wp:extent cx="5532755" cy="2776220"/>
            <wp:effectExtent l="0" t="0" r="10795" b="50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8"/>
                    <a:stretch>
                      <a:fillRect/>
                    </a:stretch>
                  </pic:blipFill>
                  <pic:spPr>
                    <a:xfrm>
                      <a:off x="0" y="0"/>
                      <a:ext cx="5532755" cy="2776220"/>
                    </a:xfrm>
                    <a:prstGeom prst="rect">
                      <a:avLst/>
                    </a:prstGeom>
                    <a:noFill/>
                    <a:ln>
                      <a:noFill/>
                    </a:ln>
                  </pic:spPr>
                </pic:pic>
              </a:graphicData>
            </a:graphic>
          </wp:inline>
        </w:drawing>
      </w:r>
      <w:r>
        <w:rPr>
          <w:rFonts w:hint="eastAsia" w:ascii="宋体" w:hAnsi="宋体" w:eastAsia="宋体" w:cs="宋体"/>
          <w:b/>
          <w:bCs/>
          <w:color w:val="auto"/>
          <w:sz w:val="24"/>
          <w:szCs w:val="24"/>
          <w:lang w:val="en-US" w:eastAsia="zh-CN"/>
        </w:rPr>
        <w:t>图</w:t>
      </w:r>
      <w:r>
        <w:rPr>
          <w:rFonts w:hint="eastAsia" w:hAnsi="宋体" w:eastAsia="宋体" w:cs="宋体"/>
          <w:b/>
          <w:bCs/>
          <w:color w:val="auto"/>
          <w:sz w:val="24"/>
          <w:szCs w:val="24"/>
          <w:lang w:val="en-US" w:eastAsia="zh-CN"/>
        </w:rPr>
        <w:t>3</w:t>
      </w:r>
      <w:r>
        <w:rPr>
          <w:rFonts w:hint="eastAsia" w:ascii="宋体" w:hAnsi="宋体" w:eastAsia="宋体" w:cs="宋体"/>
          <w:b/>
          <w:bCs/>
          <w:color w:val="auto"/>
          <w:sz w:val="24"/>
          <w:szCs w:val="24"/>
          <w:lang w:val="en-US" w:eastAsia="zh-CN"/>
        </w:rPr>
        <w:t>气政通办公网征求意见情况</w:t>
      </w:r>
    </w:p>
    <w:p w14:paraId="38976248">
      <w:pPr>
        <w:pStyle w:val="5"/>
        <w:spacing w:line="240" w:lineRule="auto"/>
        <w:ind w:firstLine="0"/>
        <w:jc w:val="center"/>
        <w:rPr>
          <w:rFonts w:hint="eastAsia" w:ascii="宋体" w:hAnsi="宋体" w:eastAsia="宋体" w:cs="宋体"/>
          <w:b/>
          <w:bCs/>
          <w:color w:val="auto"/>
          <w:sz w:val="24"/>
          <w:szCs w:val="24"/>
          <w:lang w:val="en-US" w:eastAsia="zh-CN"/>
        </w:rPr>
      </w:pPr>
    </w:p>
    <w:p w14:paraId="73F595E4">
      <w:pPr>
        <w:pStyle w:val="5"/>
        <w:keepNext w:val="0"/>
        <w:keepLines w:val="0"/>
        <w:pageBreakBefore w:val="0"/>
        <w:widowControl w:val="0"/>
        <w:kinsoku/>
        <w:wordWrap/>
        <w:overflowPunct/>
        <w:topLinePunct w:val="0"/>
        <w:autoSpaceDE/>
        <w:autoSpaceDN/>
        <w:bidi w:val="0"/>
        <w:adjustRightInd/>
        <w:snapToGrid/>
        <w:spacing w:line="240" w:lineRule="auto"/>
        <w:ind w:firstLine="0"/>
        <w:jc w:val="center"/>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drawing>
          <wp:inline distT="0" distB="0" distL="114300" distR="114300">
            <wp:extent cx="1593215" cy="3506470"/>
            <wp:effectExtent l="0" t="0" r="6985" b="11430"/>
            <wp:docPr id="1" name="图片 1" descr="d5a2741b4a801fa47c2b2db983a29c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5a2741b4a801fa47c2b2db983a29cd7"/>
                    <pic:cNvPicPr>
                      <a:picLocks noChangeAspect="1"/>
                    </pic:cNvPicPr>
                  </pic:nvPicPr>
                  <pic:blipFill>
                    <a:blip r:embed="rId9"/>
                    <a:stretch>
                      <a:fillRect/>
                    </a:stretch>
                  </pic:blipFill>
                  <pic:spPr>
                    <a:xfrm>
                      <a:off x="0" y="0"/>
                      <a:ext cx="1593215" cy="3506470"/>
                    </a:xfrm>
                    <a:prstGeom prst="rect">
                      <a:avLst/>
                    </a:prstGeom>
                  </pic:spPr>
                </pic:pic>
              </a:graphicData>
            </a:graphic>
          </wp:inline>
        </w:drawing>
      </w:r>
    </w:p>
    <w:p w14:paraId="20A903D3">
      <w:pPr>
        <w:pStyle w:val="5"/>
        <w:spacing w:line="560" w:lineRule="exact"/>
        <w:ind w:firstLine="0"/>
        <w:jc w:val="center"/>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图</w:t>
      </w:r>
      <w:r>
        <w:rPr>
          <w:rFonts w:hint="eastAsia" w:hAnsi="宋体" w:eastAsia="宋体" w:cs="宋体"/>
          <w:b/>
          <w:bCs/>
          <w:color w:val="auto"/>
          <w:sz w:val="24"/>
          <w:szCs w:val="24"/>
          <w:lang w:val="en-US" w:eastAsia="zh-CN"/>
        </w:rPr>
        <w:t>4</w:t>
      </w:r>
      <w:r>
        <w:rPr>
          <w:rFonts w:hint="eastAsia" w:ascii="宋体" w:hAnsi="宋体" w:eastAsia="宋体" w:cs="宋体"/>
          <w:b/>
          <w:bCs/>
          <w:color w:val="auto"/>
          <w:sz w:val="24"/>
          <w:szCs w:val="24"/>
          <w:lang w:val="en-US" w:eastAsia="zh-CN"/>
        </w:rPr>
        <w:t>海南省气象标准委员会征求意见情况</w:t>
      </w:r>
    </w:p>
    <w:p w14:paraId="2E12BE32">
      <w:pPr>
        <w:pStyle w:val="5"/>
        <w:keepNext w:val="0"/>
        <w:keepLines w:val="0"/>
        <w:pageBreakBefore w:val="0"/>
        <w:widowControl w:val="0"/>
        <w:kinsoku/>
        <w:wordWrap/>
        <w:overflowPunct/>
        <w:topLinePunct w:val="0"/>
        <w:autoSpaceDE/>
        <w:autoSpaceDN/>
        <w:bidi w:val="0"/>
        <w:adjustRightInd/>
        <w:snapToGrid/>
        <w:spacing w:line="240" w:lineRule="auto"/>
        <w:ind w:firstLine="646"/>
        <w:jc w:val="center"/>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drawing>
          <wp:inline distT="0" distB="0" distL="114300" distR="114300">
            <wp:extent cx="3328035" cy="2496185"/>
            <wp:effectExtent l="0" t="0" r="12065" b="5715"/>
            <wp:docPr id="3" name="图片 3" descr="36f025b5f588ec543d932a43d7c915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6f025b5f588ec543d932a43d7c915c9"/>
                    <pic:cNvPicPr>
                      <a:picLocks noChangeAspect="1"/>
                    </pic:cNvPicPr>
                  </pic:nvPicPr>
                  <pic:blipFill>
                    <a:blip r:embed="rId10"/>
                    <a:stretch>
                      <a:fillRect/>
                    </a:stretch>
                  </pic:blipFill>
                  <pic:spPr>
                    <a:xfrm>
                      <a:off x="0" y="0"/>
                      <a:ext cx="3328035" cy="2496185"/>
                    </a:xfrm>
                    <a:prstGeom prst="rect">
                      <a:avLst/>
                    </a:prstGeom>
                  </pic:spPr>
                </pic:pic>
              </a:graphicData>
            </a:graphic>
          </wp:inline>
        </w:drawing>
      </w:r>
    </w:p>
    <w:p w14:paraId="7927C877">
      <w:pPr>
        <w:pStyle w:val="5"/>
        <w:keepNext w:val="0"/>
        <w:keepLines w:val="0"/>
        <w:pageBreakBefore w:val="0"/>
        <w:widowControl/>
        <w:kinsoku/>
        <w:wordWrap/>
        <w:overflowPunct/>
        <w:topLinePunct w:val="0"/>
        <w:autoSpaceDE/>
        <w:autoSpaceDN/>
        <w:bidi w:val="0"/>
        <w:adjustRightInd/>
        <w:snapToGrid/>
        <w:spacing w:line="560" w:lineRule="exact"/>
        <w:ind w:firstLine="0"/>
        <w:jc w:val="center"/>
        <w:textAlignment w:val="auto"/>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val="en-US" w:eastAsia="zh-CN"/>
        </w:rPr>
        <w:t>图</w:t>
      </w:r>
      <w:r>
        <w:rPr>
          <w:rFonts w:hint="eastAsia" w:hAnsi="宋体" w:eastAsia="宋体" w:cs="宋体"/>
          <w:b/>
          <w:bCs/>
          <w:color w:val="auto"/>
          <w:sz w:val="24"/>
          <w:szCs w:val="24"/>
          <w:lang w:val="en-US" w:eastAsia="zh-CN"/>
        </w:rPr>
        <w:t>5</w:t>
      </w:r>
      <w:r>
        <w:rPr>
          <w:rFonts w:hint="eastAsia" w:ascii="宋体" w:hAnsi="宋体" w:eastAsia="宋体" w:cs="宋体"/>
          <w:b/>
          <w:bCs/>
          <w:color w:val="auto"/>
          <w:sz w:val="24"/>
          <w:szCs w:val="24"/>
          <w:lang w:val="en-US" w:eastAsia="zh-CN"/>
        </w:rPr>
        <w:t>征求意见会征求意见情况</w:t>
      </w:r>
    </w:p>
    <w:p w14:paraId="72A313CF">
      <w:pPr>
        <w:pStyle w:val="5"/>
        <w:numPr>
          <w:ilvl w:val="0"/>
          <w:numId w:val="0"/>
        </w:numPr>
        <w:spacing w:line="560" w:lineRule="exact"/>
        <w:ind w:firstLine="645" w:firstLineChars="0"/>
        <w:rPr>
          <w:rFonts w:hint="eastAsia" w:ascii="仿宋_GB2312" w:hAnsi="仿宋_GB2312" w:eastAsia="仿宋_GB2312" w:cs="仿宋_GB2312"/>
          <w:color w:val="auto"/>
          <w:sz w:val="28"/>
          <w:szCs w:val="28"/>
        </w:rPr>
      </w:pPr>
      <w:r>
        <w:rPr>
          <w:rFonts w:hint="eastAsia" w:ascii="黑体" w:hAnsi="黑体" w:eastAsia="黑体" w:cs="黑体"/>
          <w:color w:val="auto"/>
          <w:kern w:val="2"/>
          <w:sz w:val="28"/>
          <w:szCs w:val="28"/>
          <w:lang w:val="en-US" w:eastAsia="zh-CN" w:bidi="ar-SA"/>
        </w:rPr>
        <w:t>四、</w:t>
      </w:r>
      <w:r>
        <w:rPr>
          <w:rFonts w:hint="eastAsia" w:ascii="黑体" w:hAnsi="黑体" w:eastAsia="黑体" w:cs="黑体"/>
          <w:color w:val="auto"/>
          <w:sz w:val="28"/>
          <w:szCs w:val="28"/>
        </w:rPr>
        <w:t>制定标准的原则和依据，与现行法律、法规、标准的关系</w:t>
      </w:r>
    </w:p>
    <w:p w14:paraId="7244934D">
      <w:pPr>
        <w:pStyle w:val="2"/>
        <w:ind w:firstLine="640"/>
        <w:rPr>
          <w:rFonts w:ascii="宋体" w:hAnsi="宋体" w:eastAsia="宋体" w:cs="宋体"/>
          <w:sz w:val="24"/>
        </w:rPr>
      </w:pPr>
      <w:r>
        <w:rPr>
          <w:rFonts w:ascii="宋体" w:hAnsi="宋体" w:eastAsia="宋体" w:cs="宋体"/>
          <w:sz w:val="24"/>
        </w:rPr>
        <w:t>（一）编制原则</w:t>
      </w:r>
    </w:p>
    <w:p w14:paraId="36E31A2B">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rPr>
        <w:t>规范性：本标准依据GB/T 1.1—2020《标准化工作导则  第1部分：标准化文件的结构和起草规则》</w:t>
      </w:r>
      <w:r>
        <w:rPr>
          <w:rFonts w:hint="eastAsia" w:ascii="宋体" w:hAnsi="宋体" w:eastAsia="宋体" w:cs="宋体"/>
          <w:color w:val="auto"/>
          <w:sz w:val="24"/>
          <w:szCs w:val="24"/>
          <w:lang w:val="en-US" w:eastAsia="zh-CN"/>
        </w:rPr>
        <w:t>和</w:t>
      </w:r>
      <w:r>
        <w:rPr>
          <w:rFonts w:hint="eastAsia" w:ascii="宋体" w:hAnsi="宋体" w:eastAsia="宋体" w:cs="宋体"/>
          <w:color w:val="auto"/>
          <w:sz w:val="24"/>
          <w:szCs w:val="24"/>
        </w:rPr>
        <w:t>DB46/T 74—2021《地方标准制修订工作规范》等规范性文件制定。</w:t>
      </w:r>
    </w:p>
    <w:p w14:paraId="79564A21">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科学性：本标准的编制在充分调查研究的基础上，结合海南气候</w:t>
      </w:r>
      <w:r>
        <w:rPr>
          <w:rFonts w:hint="eastAsia" w:ascii="宋体" w:hAnsi="宋体" w:eastAsia="宋体" w:cs="宋体"/>
          <w:color w:val="auto"/>
          <w:sz w:val="24"/>
          <w:szCs w:val="24"/>
          <w:lang w:val="en-US" w:eastAsia="zh-CN"/>
        </w:rPr>
        <w:t>特征和荔枝种植现状</w:t>
      </w:r>
      <w:r>
        <w:rPr>
          <w:rFonts w:hint="eastAsia" w:ascii="宋体" w:hAnsi="宋体" w:eastAsia="宋体" w:cs="宋体"/>
          <w:color w:val="auto"/>
          <w:sz w:val="24"/>
          <w:szCs w:val="24"/>
        </w:rPr>
        <w:t>，参考现行</w:t>
      </w:r>
      <w:r>
        <w:rPr>
          <w:rFonts w:hint="eastAsia" w:ascii="宋体" w:hAnsi="宋体" w:eastAsia="宋体" w:cs="宋体"/>
          <w:color w:val="auto"/>
          <w:sz w:val="24"/>
          <w:szCs w:val="24"/>
          <w:lang w:val="en-US" w:eastAsia="zh-CN"/>
        </w:rPr>
        <w:t>有关</w:t>
      </w:r>
      <w:r>
        <w:rPr>
          <w:rFonts w:hint="eastAsia" w:ascii="宋体" w:hAnsi="宋体" w:eastAsia="宋体" w:cs="宋体"/>
          <w:color w:val="auto"/>
          <w:sz w:val="24"/>
          <w:szCs w:val="24"/>
        </w:rPr>
        <w:t>标准、相关技术文件</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文献</w:t>
      </w:r>
      <w:r>
        <w:rPr>
          <w:rFonts w:hint="eastAsia" w:ascii="宋体" w:hAnsi="宋体" w:eastAsia="宋体" w:cs="宋体"/>
          <w:color w:val="auto"/>
          <w:sz w:val="24"/>
          <w:szCs w:val="24"/>
        </w:rPr>
        <w:t>资料等制定。</w:t>
      </w:r>
    </w:p>
    <w:p w14:paraId="03B5A5B9">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t>适用性：本标准的制定</w:t>
      </w:r>
      <w:r>
        <w:rPr>
          <w:rFonts w:hint="eastAsia" w:ascii="宋体" w:hAnsi="宋体" w:eastAsia="宋体" w:cs="宋体"/>
          <w:color w:val="auto"/>
          <w:sz w:val="24"/>
          <w:szCs w:val="24"/>
          <w:lang w:val="en-US" w:eastAsia="zh-CN"/>
        </w:rPr>
        <w:t>是</w:t>
      </w:r>
      <w:r>
        <w:rPr>
          <w:rFonts w:hint="eastAsia" w:ascii="宋体" w:hAnsi="宋体" w:eastAsia="宋体" w:cs="宋体"/>
          <w:color w:val="auto"/>
          <w:sz w:val="24"/>
          <w:szCs w:val="24"/>
        </w:rPr>
        <w:t>建立在广泛的调研与系统的资料查阅基础之上</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同时也</w:t>
      </w:r>
      <w:r>
        <w:rPr>
          <w:rFonts w:hint="eastAsia" w:ascii="宋体" w:hAnsi="宋体" w:eastAsia="宋体" w:cs="宋体"/>
          <w:color w:val="auto"/>
          <w:sz w:val="24"/>
          <w:szCs w:val="24"/>
        </w:rPr>
        <w:t>充分权衡了观测工作量与技术可行性之间的关系</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显著提升标准的适用性，确保其在海南</w:t>
      </w:r>
      <w:r>
        <w:rPr>
          <w:rFonts w:hint="eastAsia" w:ascii="宋体" w:hAnsi="宋体" w:eastAsia="宋体" w:cs="宋体"/>
          <w:color w:val="auto"/>
          <w:sz w:val="24"/>
          <w:szCs w:val="24"/>
        </w:rPr>
        <w:t>落地</w:t>
      </w:r>
      <w:r>
        <w:rPr>
          <w:rFonts w:hint="eastAsia" w:ascii="宋体" w:hAnsi="宋体" w:eastAsia="宋体" w:cs="宋体"/>
          <w:color w:val="auto"/>
          <w:sz w:val="24"/>
          <w:szCs w:val="24"/>
          <w:lang w:val="en-US" w:eastAsia="zh-CN"/>
        </w:rPr>
        <w:t>应用</w:t>
      </w:r>
      <w:r>
        <w:rPr>
          <w:rFonts w:hint="eastAsia" w:ascii="宋体" w:hAnsi="宋体" w:eastAsia="宋体" w:cs="宋体"/>
          <w:color w:val="auto"/>
          <w:sz w:val="24"/>
          <w:szCs w:val="24"/>
        </w:rPr>
        <w:t>。</w:t>
      </w:r>
    </w:p>
    <w:p w14:paraId="1E5F87B4">
      <w:pPr>
        <w:pStyle w:val="5"/>
        <w:keepNext w:val="0"/>
        <w:keepLines w:val="0"/>
        <w:numPr>
          <w:ilvl w:val="0"/>
          <w:numId w:val="0"/>
        </w:numPr>
        <w:spacing w:line="560" w:lineRule="exact"/>
        <w:ind w:firstLine="482" w:firstLineChars="200"/>
        <w:rPr>
          <w:rFonts w:hint="eastAsia" w:ascii="宋体" w:hAnsi="宋体" w:eastAsia="宋体" w:cs="宋体"/>
          <w:b/>
          <w:bCs/>
          <w:color w:val="auto"/>
          <w:sz w:val="24"/>
          <w:szCs w:val="24"/>
        </w:rPr>
      </w:pPr>
      <w:r>
        <w:rPr>
          <w:rFonts w:hint="eastAsia" w:hAnsi="宋体" w:eastAsia="宋体" w:cs="宋体"/>
          <w:b/>
          <w:bCs/>
          <w:color w:val="auto"/>
          <w:sz w:val="24"/>
          <w:szCs w:val="24"/>
          <w:lang w:eastAsia="zh-CN"/>
        </w:rPr>
        <w:t>（</w:t>
      </w:r>
      <w:r>
        <w:rPr>
          <w:rFonts w:hint="eastAsia" w:hAnsi="宋体" w:eastAsia="宋体" w:cs="宋体"/>
          <w:b/>
          <w:bCs/>
          <w:color w:val="auto"/>
          <w:sz w:val="24"/>
          <w:szCs w:val="24"/>
          <w:lang w:val="en-US" w:eastAsia="zh-CN"/>
        </w:rPr>
        <w:t>二</w:t>
      </w:r>
      <w:r>
        <w:rPr>
          <w:rFonts w:hint="eastAsia" w:hAnsi="宋体" w:eastAsia="宋体" w:cs="宋体"/>
          <w:b/>
          <w:bCs/>
          <w:color w:val="auto"/>
          <w:sz w:val="24"/>
          <w:szCs w:val="24"/>
          <w:lang w:eastAsia="zh-CN"/>
        </w:rPr>
        <w:t>）</w:t>
      </w:r>
      <w:r>
        <w:rPr>
          <w:rFonts w:hint="eastAsia" w:ascii="宋体" w:hAnsi="宋体" w:eastAsia="宋体" w:cs="宋体"/>
          <w:b/>
          <w:bCs/>
          <w:color w:val="auto"/>
          <w:sz w:val="24"/>
          <w:szCs w:val="24"/>
        </w:rPr>
        <w:t>主要依据</w:t>
      </w:r>
    </w:p>
    <w:p w14:paraId="6E90F9A5">
      <w:pPr>
        <w:pStyle w:val="5"/>
        <w:keepNext w:val="0"/>
        <w:keepLines w:val="0"/>
        <w:widowControl w:val="0"/>
        <w:numPr>
          <w:ilvl w:val="0"/>
          <w:numId w:val="0"/>
        </w:numPr>
        <w:suppressLineNumbers w:val="0"/>
        <w:autoSpaceDE/>
        <w:autoSpaceDN/>
        <w:adjustRightInd/>
        <w:spacing w:before="0" w:beforeAutospacing="0" w:after="0" w:afterAutospacing="0" w:line="560" w:lineRule="exact"/>
        <w:ind w:left="0" w:right="0" w:firstLine="480" w:firstLineChars="200"/>
        <w:jc w:val="both"/>
        <w:rPr>
          <w:rFonts w:hint="eastAsia" w:ascii="宋体" w:hAnsi="宋体" w:eastAsia="宋体" w:cs="宋体"/>
          <w:color w:val="auto"/>
          <w:sz w:val="24"/>
          <w:szCs w:val="24"/>
          <w:lang w:val="en-US" w:eastAsia="zh-CN"/>
        </w:rPr>
      </w:pPr>
      <w:r>
        <w:rPr>
          <w:rFonts w:hint="eastAsia" w:ascii="宋体" w:hAnsi="宋体" w:eastAsia="宋体" w:cs="宋体"/>
          <w:color w:val="auto"/>
          <w:kern w:val="2"/>
          <w:sz w:val="24"/>
          <w:szCs w:val="24"/>
          <w:lang w:val="en-US" w:eastAsia="zh-CN" w:bidi="ar-SA"/>
        </w:rPr>
        <w:t>气象要素观测的观测项目、基本要求和观测方法参考了GB/T 33703—2017《自动气象站观测规范》；主要病虫害内容参考了</w:t>
      </w:r>
      <w:r>
        <w:rPr>
          <w:rFonts w:hint="eastAsia" w:ascii="宋体" w:hAnsi="宋体" w:eastAsia="宋体" w:cs="宋体"/>
          <w:color w:val="auto"/>
          <w:sz w:val="24"/>
          <w:szCs w:val="24"/>
          <w:lang w:val="en-US"/>
        </w:rPr>
        <w:t>NY/T 1478—2013</w:t>
      </w:r>
      <w:r>
        <w:rPr>
          <w:rFonts w:hint="eastAsia" w:ascii="宋体" w:hAnsi="宋体" w:eastAsia="宋体" w:cs="宋体"/>
          <w:color w:val="auto"/>
          <w:sz w:val="24"/>
          <w:szCs w:val="24"/>
          <w:lang w:val="en-US" w:eastAsia="zh-CN"/>
        </w:rPr>
        <w:t>《</w:t>
      </w:r>
      <w:r>
        <w:rPr>
          <w:rFonts w:hint="eastAsia" w:ascii="宋体" w:hAnsi="宋体" w:eastAsia="宋体" w:cs="宋体"/>
          <w:color w:val="auto"/>
          <w:sz w:val="24"/>
          <w:szCs w:val="24"/>
          <w:lang w:eastAsia="zh-CN"/>
        </w:rPr>
        <w:t>热带作物主要病虫害防治技术规程 荔枝</w:t>
      </w:r>
      <w:r>
        <w:rPr>
          <w:rFonts w:hint="eastAsia" w:ascii="宋体" w:hAnsi="宋体" w:eastAsia="宋体" w:cs="宋体"/>
          <w:color w:val="auto"/>
          <w:sz w:val="24"/>
          <w:szCs w:val="24"/>
          <w:lang w:val="en-US" w:eastAsia="zh-CN"/>
        </w:rPr>
        <w:t>》。</w:t>
      </w:r>
    </w:p>
    <w:p w14:paraId="5AABF496">
      <w:pPr>
        <w:pStyle w:val="5"/>
        <w:numPr>
          <w:ilvl w:val="0"/>
          <w:numId w:val="0"/>
        </w:numPr>
        <w:spacing w:line="560" w:lineRule="exact"/>
        <w:ind w:firstLine="482" w:firstLineChars="200"/>
        <w:rPr>
          <w:rFonts w:hint="eastAsia" w:ascii="宋体" w:hAnsi="宋体" w:eastAsia="宋体" w:cs="宋体"/>
          <w:b/>
          <w:bCs/>
          <w:color w:val="auto"/>
          <w:sz w:val="24"/>
          <w:szCs w:val="24"/>
        </w:rPr>
      </w:pPr>
      <w:r>
        <w:rPr>
          <w:rFonts w:hint="eastAsia" w:hAnsi="宋体" w:eastAsia="宋体" w:cs="宋体"/>
          <w:b/>
          <w:bCs/>
          <w:color w:val="auto"/>
          <w:sz w:val="24"/>
          <w:szCs w:val="24"/>
          <w:lang w:val="en-US" w:eastAsia="zh-CN"/>
        </w:rPr>
        <w:t>（三）</w:t>
      </w:r>
      <w:r>
        <w:rPr>
          <w:rFonts w:hint="eastAsia" w:ascii="宋体" w:hAnsi="宋体" w:eastAsia="宋体" w:cs="宋体"/>
          <w:b/>
          <w:bCs/>
          <w:color w:val="auto"/>
          <w:sz w:val="24"/>
          <w:szCs w:val="24"/>
        </w:rPr>
        <w:t>与现行法律法规、标准的关系</w:t>
      </w:r>
    </w:p>
    <w:p w14:paraId="52E83D89">
      <w:pPr>
        <w:pStyle w:val="5"/>
        <w:numPr>
          <w:ilvl w:val="0"/>
          <w:numId w:val="0"/>
        </w:numPr>
        <w:spacing w:line="560" w:lineRule="exact"/>
        <w:ind w:firstLine="480" w:firstLineChars="200"/>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本标准符合我国现行法律要求，遵守《中华人民共和国标准化法》《中华人民共和国气象法》等相关法律，遵守《中华人民共和国标准化法实施条例</w:t>
      </w:r>
      <w:r>
        <w:rPr>
          <w:rFonts w:hint="eastAsia" w:hAnsi="宋体" w:eastAsia="宋体" w:cs="宋体"/>
          <w:color w:val="auto"/>
          <w:kern w:val="2"/>
          <w:sz w:val="24"/>
          <w:szCs w:val="24"/>
          <w:lang w:val="en-US" w:eastAsia="zh-CN" w:bidi="ar-SA"/>
        </w:rPr>
        <w:t>》《</w:t>
      </w:r>
      <w:r>
        <w:rPr>
          <w:rFonts w:hint="eastAsia" w:ascii="宋体" w:hAnsi="宋体" w:eastAsia="宋体" w:cs="宋体"/>
          <w:color w:val="auto"/>
          <w:kern w:val="2"/>
          <w:sz w:val="24"/>
          <w:szCs w:val="24"/>
          <w:lang w:val="en-US" w:eastAsia="zh-CN" w:bidi="ar-SA"/>
        </w:rPr>
        <w:t>国家标准管理办法》等相关法规，与现行法律和标准协调一致。</w:t>
      </w:r>
    </w:p>
    <w:p w14:paraId="7F07F4B7">
      <w:pPr>
        <w:pStyle w:val="5"/>
        <w:numPr>
          <w:ilvl w:val="0"/>
          <w:numId w:val="0"/>
        </w:numPr>
        <w:spacing w:line="560" w:lineRule="exact"/>
        <w:ind w:firstLine="480" w:firstLineChars="200"/>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编制组也充分了解和对照《地方标准制定负面清单（2025 年版）》，认为不受影响。</w:t>
      </w:r>
    </w:p>
    <w:p w14:paraId="04E4DD25">
      <w:pPr>
        <w:pStyle w:val="5"/>
        <w:numPr>
          <w:ilvl w:val="0"/>
          <w:numId w:val="0"/>
        </w:numPr>
        <w:spacing w:line="560" w:lineRule="exact"/>
        <w:ind w:left="0" w:leftChars="0" w:firstLine="645" w:firstLineChars="0"/>
        <w:rPr>
          <w:rFonts w:hint="eastAsia" w:ascii="黑体" w:hAnsi="黑体" w:eastAsia="黑体" w:cs="黑体"/>
          <w:color w:val="auto"/>
          <w:sz w:val="28"/>
          <w:szCs w:val="28"/>
        </w:rPr>
      </w:pPr>
      <w:r>
        <w:rPr>
          <w:rFonts w:hint="eastAsia" w:ascii="黑体" w:hAnsi="黑体" w:eastAsia="黑体" w:cs="黑体"/>
          <w:color w:val="auto"/>
          <w:kern w:val="2"/>
          <w:sz w:val="28"/>
          <w:szCs w:val="28"/>
          <w:lang w:val="en-US" w:eastAsia="zh-CN" w:bidi="ar-SA"/>
        </w:rPr>
        <w:t>五、</w:t>
      </w:r>
      <w:r>
        <w:rPr>
          <w:rFonts w:hint="eastAsia" w:ascii="黑体" w:hAnsi="黑体" w:eastAsia="黑体" w:cs="黑体"/>
          <w:color w:val="auto"/>
          <w:sz w:val="28"/>
          <w:szCs w:val="28"/>
        </w:rPr>
        <w:t>主要条款的说明，主要技术指标、参数、试验验证的论述</w:t>
      </w:r>
    </w:p>
    <w:p w14:paraId="19A04578">
      <w:pPr>
        <w:pStyle w:val="5"/>
        <w:numPr>
          <w:ilvl w:val="0"/>
          <w:numId w:val="0"/>
        </w:numPr>
        <w:spacing w:line="560" w:lineRule="exact"/>
        <w:ind w:left="0" w:leftChars="0" w:firstLine="482" w:firstLineChars="200"/>
        <w:rPr>
          <w:rFonts w:hint="eastAsia" w:ascii="宋体" w:hAnsi="宋体" w:eastAsia="宋体" w:cs="宋体"/>
          <w:b/>
          <w:bCs/>
          <w:color w:val="auto"/>
          <w:sz w:val="24"/>
          <w:szCs w:val="24"/>
        </w:rPr>
      </w:pP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lang w:val="en-US" w:eastAsia="zh-CN"/>
        </w:rPr>
        <w:t>一</w:t>
      </w: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rPr>
        <w:t>主要条款</w:t>
      </w:r>
    </w:p>
    <w:p w14:paraId="0D575E78">
      <w:pPr>
        <w:pStyle w:val="5"/>
        <w:numPr>
          <w:ilvl w:val="0"/>
          <w:numId w:val="0"/>
        </w:numPr>
        <w:spacing w:line="560" w:lineRule="exact"/>
        <w:ind w:firstLineChars="200"/>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本标准的章节由范围、规范性引用文件、术语和定义、观测原则、观测地段和观测区、观测植株和观测枝、物候期观测、生长状况观测、产量和品质测定、气象要素观测、主要农业气象灾害观测、主要病虫害观测、农业气象观测簿填写组成。其中物候期观测、生长状况观测、产量和品质测定、气象要素观测、主要农业气象灾害观测、主要病虫害观测是本标准的主要技术内容。</w:t>
      </w:r>
    </w:p>
    <w:p w14:paraId="2CEA75E2">
      <w:pPr>
        <w:pStyle w:val="5"/>
        <w:numPr>
          <w:ilvl w:val="0"/>
          <w:numId w:val="0"/>
        </w:numPr>
        <w:spacing w:line="560" w:lineRule="exact"/>
        <w:ind w:left="0" w:leftChars="0" w:firstLine="482" w:firstLineChars="200"/>
        <w:rPr>
          <w:rFonts w:hint="eastAsia" w:ascii="宋体" w:hAnsi="宋体" w:eastAsia="宋体" w:cs="宋体"/>
          <w:b/>
          <w:bCs/>
          <w:color w:val="auto"/>
          <w:sz w:val="24"/>
          <w:szCs w:val="24"/>
        </w:rPr>
      </w:pP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lang w:val="en-US" w:eastAsia="zh-CN"/>
        </w:rPr>
        <w:t>二</w:t>
      </w: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rPr>
        <w:t>主要技术指标、参数</w:t>
      </w:r>
    </w:p>
    <w:p w14:paraId="6A818396">
      <w:pPr>
        <w:pStyle w:val="5"/>
        <w:numPr>
          <w:ilvl w:val="0"/>
          <w:numId w:val="0"/>
        </w:numPr>
        <w:spacing w:line="560" w:lineRule="exact"/>
        <w:ind w:left="0" w:leftChars="0" w:firstLine="480" w:firstLineChars="2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1.范围</w:t>
      </w:r>
    </w:p>
    <w:p w14:paraId="3009528E">
      <w:pPr>
        <w:pStyle w:val="5"/>
        <w:keepNext w:val="0"/>
        <w:keepLines w:val="0"/>
        <w:widowControl w:val="0"/>
        <w:numPr>
          <w:ilvl w:val="0"/>
          <w:numId w:val="0"/>
        </w:numPr>
        <w:suppressLineNumbers w:val="0"/>
        <w:autoSpaceDE/>
        <w:autoSpaceDN/>
        <w:adjustRightInd/>
        <w:spacing w:before="0" w:beforeAutospacing="0" w:after="0" w:afterAutospacing="0" w:line="560" w:lineRule="exact"/>
        <w:ind w:left="0" w:right="0" w:firstLine="480" w:firstLineChars="200"/>
        <w:jc w:val="both"/>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本文件规定了荔枝农业气象观测的术语和定义、观测原则、观测地段和观测区、观测植株和观测枝、物候期观测、生长状况观测、产量和品质测定、气象要素观测、主要农业气象灾害观测、主要病虫害观测、农业气象观测簿填写。</w:t>
      </w:r>
    </w:p>
    <w:p w14:paraId="3B5D8373">
      <w:pPr>
        <w:pStyle w:val="5"/>
        <w:keepNext w:val="0"/>
        <w:keepLines w:val="0"/>
        <w:widowControl w:val="0"/>
        <w:numPr>
          <w:ilvl w:val="0"/>
          <w:numId w:val="0"/>
        </w:numPr>
        <w:suppressLineNumbers w:val="0"/>
        <w:autoSpaceDE/>
        <w:autoSpaceDN/>
        <w:adjustRightInd/>
        <w:spacing w:before="0" w:beforeAutospacing="0" w:after="0" w:afterAutospacing="0" w:line="560" w:lineRule="exact"/>
        <w:ind w:left="0" w:right="0" w:firstLine="480" w:firstLineChars="200"/>
        <w:jc w:val="both"/>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本文件适用于荔枝农业气象观测业务、管理、服务和研究。</w:t>
      </w:r>
    </w:p>
    <w:p w14:paraId="310AEEE9">
      <w:pPr>
        <w:pStyle w:val="5"/>
        <w:numPr>
          <w:ilvl w:val="-1"/>
          <w:numId w:val="0"/>
        </w:numPr>
        <w:spacing w:line="560" w:lineRule="exact"/>
        <w:ind w:left="0" w:leftChars="0" w:firstLine="480" w:firstLineChars="200"/>
        <w:rPr>
          <w:rFonts w:hint="eastAsia" w:ascii="宋体" w:hAnsi="宋体" w:eastAsia="宋体" w:cs="宋体"/>
          <w:color w:val="auto"/>
          <w:sz w:val="24"/>
          <w:szCs w:val="24"/>
          <w:lang w:val="en-US" w:eastAsia="zh-CN"/>
        </w:rPr>
      </w:pPr>
      <w:r>
        <w:rPr>
          <w:rFonts w:hint="eastAsia" w:hAnsi="宋体" w:eastAsia="宋体" w:cs="宋体"/>
          <w:color w:val="auto"/>
          <w:sz w:val="24"/>
          <w:szCs w:val="24"/>
          <w:lang w:val="en-US" w:eastAsia="zh-CN"/>
        </w:rPr>
        <w:t>2.</w:t>
      </w:r>
      <w:r>
        <w:rPr>
          <w:rFonts w:hint="eastAsia" w:ascii="宋体" w:hAnsi="宋体" w:eastAsia="宋体" w:cs="宋体"/>
          <w:color w:val="auto"/>
          <w:sz w:val="24"/>
          <w:szCs w:val="24"/>
          <w:lang w:val="en-US" w:eastAsia="zh-CN"/>
        </w:rPr>
        <w:t>规范性引用文件</w:t>
      </w:r>
    </w:p>
    <w:p w14:paraId="696E1E97">
      <w:pPr>
        <w:pStyle w:val="5"/>
        <w:numPr>
          <w:ilvl w:val="0"/>
          <w:numId w:val="0"/>
        </w:numPr>
        <w:spacing w:line="560" w:lineRule="exact"/>
        <w:ind w:leftChars="0" w:firstLine="480" w:firstLineChars="200"/>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本标准涉及的内容主要引用：</w:t>
      </w:r>
    </w:p>
    <w:p w14:paraId="17F2BF63">
      <w:pPr>
        <w:pStyle w:val="5"/>
        <w:keepNext w:val="0"/>
        <w:keepLines w:val="0"/>
        <w:widowControl/>
        <w:numPr>
          <w:ilvl w:val="0"/>
          <w:numId w:val="0"/>
        </w:numPr>
        <w:suppressLineNumbers w:val="0"/>
        <w:autoSpaceDE w:val="0"/>
        <w:autoSpaceDN w:val="0"/>
        <w:adjustRightInd/>
        <w:spacing w:before="0" w:beforeAutospacing="0" w:after="0" w:afterAutospacing="0" w:line="560" w:lineRule="exact"/>
        <w:ind w:left="0" w:leftChars="0" w:right="0" w:firstLine="480" w:firstLineChars="200"/>
        <w:jc w:val="both"/>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GB/T 33703—2017 自动气象站观测规范</w:t>
      </w:r>
    </w:p>
    <w:p w14:paraId="3E45F080">
      <w:pPr>
        <w:pStyle w:val="5"/>
        <w:keepNext w:val="0"/>
        <w:keepLines w:val="0"/>
        <w:widowControl/>
        <w:numPr>
          <w:ilvl w:val="0"/>
          <w:numId w:val="0"/>
        </w:numPr>
        <w:suppressLineNumbers w:val="0"/>
        <w:autoSpaceDE w:val="0"/>
        <w:autoSpaceDN w:val="0"/>
        <w:adjustRightInd/>
        <w:spacing w:before="0" w:beforeAutospacing="0" w:after="0" w:afterAutospacing="0" w:line="560" w:lineRule="exact"/>
        <w:ind w:left="0" w:leftChars="0" w:right="0" w:firstLine="480" w:firstLineChars="200"/>
        <w:jc w:val="both"/>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NY/T 1478—2013 热带作物主要病虫害防治技术规程 荔枝</w:t>
      </w:r>
    </w:p>
    <w:p w14:paraId="6EF6694D">
      <w:pPr>
        <w:pStyle w:val="5"/>
        <w:numPr>
          <w:ilvl w:val="0"/>
          <w:numId w:val="0"/>
        </w:numPr>
        <w:spacing w:line="560" w:lineRule="exact"/>
        <w:ind w:left="645" w:leftChars="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3.术语和定义</w:t>
      </w:r>
    </w:p>
    <w:p w14:paraId="606037E6">
      <w:pPr>
        <w:pStyle w:val="4"/>
        <w:spacing w:before="196" w:line="221" w:lineRule="auto"/>
        <w:jc w:val="center"/>
        <w:rPr>
          <w:rFonts w:hint="eastAsia"/>
          <w:spacing w:val="-4"/>
          <w:sz w:val="24"/>
          <w:szCs w:val="24"/>
          <w:lang w:val="en-US" w:eastAsia="zh-CN"/>
        </w:rPr>
      </w:pPr>
      <w:r>
        <w:rPr>
          <w:rFonts w:hint="eastAsia"/>
          <w:spacing w:val="-4"/>
          <w:sz w:val="24"/>
          <w:szCs w:val="24"/>
          <w:lang w:val="en-US" w:eastAsia="zh-CN"/>
        </w:rPr>
        <w:t>表2</w:t>
      </w:r>
      <w:r>
        <w:rPr>
          <w:rFonts w:hint="eastAsia"/>
          <w:spacing w:val="-4"/>
          <w:sz w:val="24"/>
          <w:szCs w:val="24"/>
          <w:lang w:val="en-US" w:eastAsia="zh-CN"/>
        </w:rPr>
        <w:tab/>
      </w:r>
      <w:r>
        <w:rPr>
          <w:rFonts w:hint="eastAsia"/>
          <w:spacing w:val="-4"/>
          <w:sz w:val="24"/>
          <w:szCs w:val="24"/>
          <w:lang w:val="en-US" w:eastAsia="zh-CN"/>
        </w:rPr>
        <w:t>本标准文件列入的术语、定义及说明</w:t>
      </w:r>
    </w:p>
    <w:tbl>
      <w:tblPr>
        <w:tblStyle w:val="10"/>
        <w:tblW w:w="0" w:type="auto"/>
        <w:tblInd w:w="35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8"/>
        <w:gridCol w:w="1538"/>
        <w:gridCol w:w="6010"/>
      </w:tblGrid>
      <w:tr w14:paraId="57F27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tcPr>
          <w:p w14:paraId="54C56609">
            <w:pPr>
              <w:keepNext w:val="0"/>
              <w:keepLines w:val="0"/>
              <w:suppressLineNumbers w:val="0"/>
              <w:spacing w:before="0" w:beforeAutospacing="0" w:after="0" w:afterAutospacing="0"/>
              <w:ind w:left="0" w:right="0"/>
              <w:jc w:val="center"/>
              <w:rPr>
                <w:rFonts w:hint="eastAsia"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序号</w:t>
            </w:r>
          </w:p>
        </w:tc>
        <w:tc>
          <w:tcPr>
            <w:tcW w:w="1538" w:type="dxa"/>
          </w:tcPr>
          <w:p w14:paraId="2DEFC31E">
            <w:pPr>
              <w:keepNext w:val="0"/>
              <w:keepLines w:val="0"/>
              <w:suppressLineNumbers w:val="0"/>
              <w:spacing w:before="0" w:beforeAutospacing="0" w:after="0" w:afterAutospacing="0"/>
              <w:ind w:left="0" w:right="0"/>
              <w:jc w:val="center"/>
              <w:rPr>
                <w:rFonts w:hint="eastAsia"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术语</w:t>
            </w:r>
          </w:p>
        </w:tc>
        <w:tc>
          <w:tcPr>
            <w:tcW w:w="6010" w:type="dxa"/>
          </w:tcPr>
          <w:p w14:paraId="09C9CC70">
            <w:pPr>
              <w:keepNext w:val="0"/>
              <w:keepLines w:val="0"/>
              <w:suppressLineNumbers w:val="0"/>
              <w:spacing w:before="0" w:beforeAutospacing="0" w:after="0" w:afterAutospacing="0"/>
              <w:ind w:left="0" w:right="0"/>
              <w:jc w:val="center"/>
              <w:rPr>
                <w:rFonts w:hint="eastAsia"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定义及说明</w:t>
            </w:r>
          </w:p>
        </w:tc>
      </w:tr>
      <w:tr w14:paraId="3C6F3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7E2A50A1">
            <w:pPr>
              <w:keepNext w:val="0"/>
              <w:keepLines w:val="0"/>
              <w:suppressLineNumbers w:val="0"/>
              <w:spacing w:before="0" w:beforeAutospacing="0" w:after="0" w:afterAutospacing="0"/>
              <w:ind w:left="0" w:right="0"/>
              <w:jc w:val="center"/>
              <w:rPr>
                <w:rFonts w:hint="eastAsia"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1</w:t>
            </w:r>
          </w:p>
        </w:tc>
        <w:tc>
          <w:tcPr>
            <w:tcW w:w="1538" w:type="dxa"/>
            <w:vAlign w:val="center"/>
          </w:tcPr>
          <w:p w14:paraId="07AA0F85">
            <w:pPr>
              <w:keepNext w:val="0"/>
              <w:keepLines w:val="0"/>
              <w:suppressLineNumbers w:val="0"/>
              <w:spacing w:before="0" w:beforeAutospacing="0" w:after="0" w:afterAutospacing="0"/>
              <w:ind w:left="0" w:right="0"/>
              <w:jc w:val="center"/>
              <w:rPr>
                <w:rFonts w:hint="default"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观测地段</w:t>
            </w:r>
          </w:p>
        </w:tc>
        <w:tc>
          <w:tcPr>
            <w:tcW w:w="6010" w:type="dxa"/>
          </w:tcPr>
          <w:p w14:paraId="31EDFFE2">
            <w:pPr>
              <w:pStyle w:val="8"/>
              <w:keepNext w:val="0"/>
              <w:keepLines w:val="0"/>
              <w:widowControl/>
              <w:suppressLineNumbers w:val="0"/>
              <w:autoSpaceDE w:val="0"/>
              <w:autoSpaceDN w:val="0"/>
              <w:adjustRightInd/>
              <w:spacing w:before="0" w:beforeAutospacing="0" w:after="0" w:afterAutospacing="0" w:line="240" w:lineRule="auto"/>
              <w:ind w:left="0" w:right="0"/>
              <w:jc w:val="both"/>
              <w:rPr>
                <w:rFonts w:hint="default"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定期进行作物生育状况观测的相对固定的田间样地。[来源：QX/T 299-2015,3.2]</w:t>
            </w:r>
          </w:p>
        </w:tc>
      </w:tr>
      <w:tr w14:paraId="3DB8C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7B48FB3D">
            <w:pPr>
              <w:keepNext w:val="0"/>
              <w:keepLines w:val="0"/>
              <w:suppressLineNumbers w:val="0"/>
              <w:spacing w:before="0" w:beforeAutospacing="0" w:after="0" w:afterAutospacing="0"/>
              <w:ind w:left="0" w:right="0"/>
              <w:jc w:val="center"/>
              <w:rPr>
                <w:rFonts w:hint="eastAsia"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2</w:t>
            </w:r>
          </w:p>
        </w:tc>
        <w:tc>
          <w:tcPr>
            <w:tcW w:w="1538" w:type="dxa"/>
            <w:vAlign w:val="center"/>
          </w:tcPr>
          <w:p w14:paraId="49EB9799">
            <w:pPr>
              <w:keepNext w:val="0"/>
              <w:keepLines w:val="0"/>
              <w:suppressLineNumbers w:val="0"/>
              <w:spacing w:before="0" w:beforeAutospacing="0" w:after="0" w:afterAutospacing="0"/>
              <w:ind w:left="0" w:right="0"/>
              <w:jc w:val="center"/>
              <w:rPr>
                <w:rFonts w:hint="default"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结果母枝</w:t>
            </w:r>
          </w:p>
        </w:tc>
        <w:tc>
          <w:tcPr>
            <w:tcW w:w="6010" w:type="dxa"/>
          </w:tcPr>
          <w:p w14:paraId="40F8C2F0">
            <w:pPr>
              <w:pStyle w:val="18"/>
              <w:widowControl/>
              <w:numPr>
                <w:ilvl w:val="0"/>
                <w:numId w:val="0"/>
              </w:numPr>
              <w:tabs>
                <w:tab w:val="left" w:pos="420"/>
                <w:tab w:val="clear" w:pos="360"/>
              </w:tabs>
              <w:rPr>
                <w:rFonts w:hint="eastAsia"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荔枝着生混合芽、抽生结果枝的一年生枝。</w:t>
            </w:r>
          </w:p>
        </w:tc>
      </w:tr>
      <w:tr w14:paraId="1C02C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0834ED6F">
            <w:pPr>
              <w:keepNext w:val="0"/>
              <w:keepLines w:val="0"/>
              <w:suppressLineNumbers w:val="0"/>
              <w:spacing w:before="0" w:beforeAutospacing="0" w:after="0" w:afterAutospacing="0"/>
              <w:ind w:left="0" w:right="0"/>
              <w:jc w:val="center"/>
              <w:rPr>
                <w:rFonts w:hint="eastAsia"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3</w:t>
            </w:r>
          </w:p>
        </w:tc>
        <w:tc>
          <w:tcPr>
            <w:tcW w:w="1538" w:type="dxa"/>
            <w:vAlign w:val="center"/>
          </w:tcPr>
          <w:p w14:paraId="76256666">
            <w:pPr>
              <w:keepNext w:val="0"/>
              <w:keepLines w:val="0"/>
              <w:suppressLineNumbers w:val="0"/>
              <w:spacing w:before="0" w:beforeAutospacing="0" w:after="0" w:afterAutospacing="0"/>
              <w:ind w:left="0" w:right="0"/>
              <w:jc w:val="center"/>
              <w:rPr>
                <w:rFonts w:hint="default"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物候期</w:t>
            </w:r>
          </w:p>
        </w:tc>
        <w:tc>
          <w:tcPr>
            <w:tcW w:w="6010" w:type="dxa"/>
          </w:tcPr>
          <w:p w14:paraId="082975B2">
            <w:pPr>
              <w:pStyle w:val="8"/>
              <w:keepNext w:val="0"/>
              <w:keepLines w:val="0"/>
              <w:widowControl/>
              <w:numPr>
                <w:ilvl w:val="0"/>
                <w:numId w:val="0"/>
              </w:numPr>
              <w:suppressLineNumbers w:val="0"/>
              <w:tabs>
                <w:tab w:val="left" w:pos="420"/>
              </w:tabs>
              <w:adjustRightInd/>
              <w:spacing w:before="0" w:beforeAutospacing="0" w:after="0" w:afterAutospacing="0" w:line="240" w:lineRule="auto"/>
              <w:ind w:left="0" w:right="0"/>
              <w:jc w:val="both"/>
              <w:rPr>
                <w:rFonts w:hint="default"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结果母枝从萌芽抽梢到果实成熟出现外部形态变化的日期，包括萌芽抽梢、枝梢老熟、白点、抽穗、开花、坐果、成熟等时期。</w:t>
            </w:r>
          </w:p>
        </w:tc>
      </w:tr>
      <w:tr w14:paraId="588D7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3BC16CFF">
            <w:pPr>
              <w:keepNext w:val="0"/>
              <w:keepLines w:val="0"/>
              <w:suppressLineNumbers w:val="0"/>
              <w:spacing w:before="0" w:beforeAutospacing="0" w:after="0" w:afterAutospacing="0"/>
              <w:ind w:left="0" w:right="0"/>
              <w:jc w:val="center"/>
              <w:rPr>
                <w:rFonts w:hint="eastAsia"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4</w:t>
            </w:r>
          </w:p>
        </w:tc>
        <w:tc>
          <w:tcPr>
            <w:tcW w:w="1538" w:type="dxa"/>
            <w:vAlign w:val="center"/>
          </w:tcPr>
          <w:p w14:paraId="1E45759E">
            <w:pPr>
              <w:keepNext w:val="0"/>
              <w:keepLines w:val="0"/>
              <w:suppressLineNumbers w:val="0"/>
              <w:spacing w:before="0" w:beforeAutospacing="0" w:after="0" w:afterAutospacing="0"/>
              <w:ind w:left="0" w:right="0"/>
              <w:jc w:val="center"/>
              <w:rPr>
                <w:rFonts w:hint="default"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白点</w:t>
            </w:r>
          </w:p>
        </w:tc>
        <w:tc>
          <w:tcPr>
            <w:tcW w:w="6010" w:type="dxa"/>
          </w:tcPr>
          <w:p w14:paraId="2BE928CE">
            <w:pPr>
              <w:pStyle w:val="8"/>
              <w:keepNext w:val="0"/>
              <w:keepLines w:val="0"/>
              <w:widowControl/>
              <w:numPr>
                <w:ilvl w:val="0"/>
                <w:numId w:val="0"/>
              </w:numPr>
              <w:suppressLineNumbers w:val="0"/>
              <w:tabs>
                <w:tab w:val="left" w:pos="420"/>
              </w:tabs>
              <w:adjustRightInd/>
              <w:spacing w:before="0" w:beforeAutospacing="0" w:after="0" w:afterAutospacing="0" w:line="240" w:lineRule="auto"/>
              <w:ind w:left="0" w:right="0"/>
              <w:jc w:val="both"/>
              <w:rPr>
                <w:rFonts w:hint="default"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荔枝经过成花诱导后形成的花原基，肉眼可见似小米粒状白色茸毛体。</w:t>
            </w:r>
          </w:p>
        </w:tc>
      </w:tr>
      <w:tr w14:paraId="6D17F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716A1472">
            <w:pPr>
              <w:keepNext w:val="0"/>
              <w:keepLines w:val="0"/>
              <w:suppressLineNumbers w:val="0"/>
              <w:spacing w:before="0" w:beforeAutospacing="0" w:after="0" w:afterAutospacing="0"/>
              <w:ind w:left="0" w:right="0"/>
              <w:jc w:val="center"/>
              <w:rPr>
                <w:rFonts w:hint="eastAsia"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5</w:t>
            </w:r>
          </w:p>
        </w:tc>
        <w:tc>
          <w:tcPr>
            <w:tcW w:w="1538" w:type="dxa"/>
            <w:vAlign w:val="center"/>
          </w:tcPr>
          <w:p w14:paraId="6F9301DA">
            <w:pPr>
              <w:keepNext w:val="0"/>
              <w:keepLines w:val="0"/>
              <w:suppressLineNumbers w:val="0"/>
              <w:spacing w:before="0" w:beforeAutospacing="0" w:after="0" w:afterAutospacing="0"/>
              <w:ind w:left="0" w:right="0"/>
              <w:jc w:val="center"/>
              <w:rPr>
                <w:rFonts w:hint="default"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成花枝率</w:t>
            </w:r>
          </w:p>
        </w:tc>
        <w:tc>
          <w:tcPr>
            <w:tcW w:w="6010" w:type="dxa"/>
          </w:tcPr>
          <w:p w14:paraId="409FDEEA">
            <w:pPr>
              <w:pStyle w:val="8"/>
              <w:keepNext w:val="0"/>
              <w:keepLines w:val="0"/>
              <w:widowControl/>
              <w:numPr>
                <w:ilvl w:val="0"/>
                <w:numId w:val="0"/>
              </w:numPr>
              <w:suppressLineNumbers w:val="0"/>
              <w:tabs>
                <w:tab w:val="left" w:pos="420"/>
              </w:tabs>
              <w:adjustRightInd/>
              <w:spacing w:before="0" w:beforeAutospacing="0" w:after="0" w:afterAutospacing="0" w:line="240" w:lineRule="auto"/>
              <w:ind w:left="0" w:right="0"/>
              <w:jc w:val="both"/>
              <w:rPr>
                <w:rFonts w:hint="default"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成花枝数占全部枝梢数的百分比。</w:t>
            </w:r>
          </w:p>
        </w:tc>
      </w:tr>
      <w:tr w14:paraId="33887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14C6D21F">
            <w:pPr>
              <w:keepNext w:val="0"/>
              <w:keepLines w:val="0"/>
              <w:suppressLineNumbers w:val="0"/>
              <w:spacing w:before="0" w:beforeAutospacing="0" w:after="0" w:afterAutospacing="0"/>
              <w:ind w:left="0" w:right="0"/>
              <w:jc w:val="center"/>
              <w:rPr>
                <w:rFonts w:hint="eastAsia"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6</w:t>
            </w:r>
          </w:p>
        </w:tc>
        <w:tc>
          <w:tcPr>
            <w:tcW w:w="1538" w:type="dxa"/>
            <w:vAlign w:val="center"/>
          </w:tcPr>
          <w:p w14:paraId="7FD668B7">
            <w:pPr>
              <w:keepNext w:val="0"/>
              <w:keepLines w:val="0"/>
              <w:suppressLineNumbers w:val="0"/>
              <w:spacing w:before="0" w:beforeAutospacing="0" w:after="0" w:afterAutospacing="0"/>
              <w:ind w:left="0" w:right="0"/>
              <w:jc w:val="center"/>
              <w:rPr>
                <w:rFonts w:hint="default" w:ascii="宋体" w:hAnsi="宋体" w:eastAsia="宋体" w:cs="Times New Roman"/>
                <w:kern w:val="0"/>
                <w:sz w:val="21"/>
                <w:szCs w:val="20"/>
                <w:lang w:val="en-US" w:eastAsia="zh-CN" w:bidi="ar"/>
              </w:rPr>
            </w:pPr>
            <w:bookmarkStart w:id="0" w:name="OLE_LINK1"/>
            <w:r>
              <w:rPr>
                <w:rFonts w:hint="eastAsia" w:ascii="宋体" w:hAnsi="宋体" w:eastAsia="宋体" w:cs="Times New Roman"/>
                <w:kern w:val="0"/>
                <w:sz w:val="21"/>
                <w:szCs w:val="20"/>
                <w:lang w:val="en-US" w:eastAsia="zh-CN" w:bidi="ar"/>
              </w:rPr>
              <w:t>落果率</w:t>
            </w:r>
            <w:bookmarkEnd w:id="0"/>
          </w:p>
        </w:tc>
        <w:tc>
          <w:tcPr>
            <w:tcW w:w="6010" w:type="dxa"/>
          </w:tcPr>
          <w:p w14:paraId="5E1F44E8">
            <w:pPr>
              <w:pStyle w:val="8"/>
              <w:keepNext w:val="0"/>
              <w:keepLines w:val="0"/>
              <w:widowControl/>
              <w:numPr>
                <w:ilvl w:val="0"/>
                <w:numId w:val="0"/>
              </w:numPr>
              <w:suppressLineNumbers w:val="0"/>
              <w:tabs>
                <w:tab w:val="left" w:pos="420"/>
              </w:tabs>
              <w:adjustRightInd/>
              <w:spacing w:before="0" w:beforeAutospacing="0" w:after="0" w:afterAutospacing="0" w:line="240" w:lineRule="auto"/>
              <w:ind w:left="0" w:right="0"/>
              <w:jc w:val="both"/>
              <w:rPr>
                <w:rFonts w:hint="default"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果实脱落数占初始总果数的百分比。</w:t>
            </w:r>
          </w:p>
        </w:tc>
      </w:tr>
      <w:tr w14:paraId="621D5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8" w:type="dxa"/>
            <w:vAlign w:val="center"/>
          </w:tcPr>
          <w:p w14:paraId="4643886B">
            <w:pPr>
              <w:keepNext w:val="0"/>
              <w:keepLines w:val="0"/>
              <w:suppressLineNumbers w:val="0"/>
              <w:spacing w:before="0" w:beforeAutospacing="0" w:after="0" w:afterAutospacing="0"/>
              <w:ind w:left="0" w:right="0"/>
              <w:jc w:val="center"/>
              <w:rPr>
                <w:rFonts w:hint="eastAsia"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7</w:t>
            </w:r>
          </w:p>
        </w:tc>
        <w:tc>
          <w:tcPr>
            <w:tcW w:w="1538" w:type="dxa"/>
            <w:vAlign w:val="center"/>
          </w:tcPr>
          <w:p w14:paraId="73F8E01F">
            <w:pPr>
              <w:keepNext w:val="0"/>
              <w:keepLines w:val="0"/>
              <w:suppressLineNumbers w:val="0"/>
              <w:spacing w:before="0" w:beforeAutospacing="0" w:after="0" w:afterAutospacing="0"/>
              <w:ind w:left="0" w:right="0"/>
              <w:jc w:val="center"/>
              <w:rPr>
                <w:rFonts w:hint="default"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农业气象灾害</w:t>
            </w:r>
          </w:p>
        </w:tc>
        <w:tc>
          <w:tcPr>
            <w:tcW w:w="6010" w:type="dxa"/>
          </w:tcPr>
          <w:p w14:paraId="19728CE2">
            <w:pPr>
              <w:pStyle w:val="8"/>
              <w:keepNext w:val="0"/>
              <w:keepLines w:val="0"/>
              <w:widowControl/>
              <w:numPr>
                <w:ilvl w:val="0"/>
                <w:numId w:val="0"/>
              </w:numPr>
              <w:suppressLineNumbers w:val="0"/>
              <w:tabs>
                <w:tab w:val="left" w:pos="420"/>
              </w:tabs>
              <w:adjustRightInd/>
              <w:spacing w:before="0" w:beforeAutospacing="0" w:after="0" w:afterAutospacing="0" w:line="240" w:lineRule="auto"/>
              <w:ind w:left="0" w:right="0"/>
              <w:jc w:val="both"/>
              <w:rPr>
                <w:rFonts w:hint="default" w:ascii="宋体" w:hAnsi="宋体" w:eastAsia="宋体" w:cs="Times New Roman"/>
                <w:kern w:val="0"/>
                <w:sz w:val="21"/>
                <w:szCs w:val="20"/>
                <w:lang w:val="en-US" w:eastAsia="zh-CN" w:bidi="ar"/>
              </w:rPr>
            </w:pPr>
            <w:r>
              <w:rPr>
                <w:rFonts w:hint="eastAsia" w:ascii="宋体" w:hAnsi="宋体" w:eastAsia="宋体" w:cs="Times New Roman"/>
                <w:kern w:val="0"/>
                <w:sz w:val="21"/>
                <w:szCs w:val="20"/>
                <w:lang w:val="en-US" w:eastAsia="zh-CN" w:bidi="ar"/>
              </w:rPr>
              <w:t xml:space="preserve">农业生产过程中对农业生物、农业设施、农业环境、农事活动等造成损害的不利气象事件和现象。[来源：QX/T 787—2025,3.1] </w:t>
            </w:r>
          </w:p>
        </w:tc>
      </w:tr>
    </w:tbl>
    <w:p w14:paraId="432218E2">
      <w:pPr>
        <w:pStyle w:val="5"/>
        <w:widowControl/>
        <w:numPr>
          <w:ilvl w:val="0"/>
          <w:numId w:val="0"/>
        </w:numPr>
        <w:spacing w:line="560" w:lineRule="exact"/>
        <w:ind w:left="0" w:leftChars="0" w:firstLine="480" w:firstLineChars="200"/>
        <w:rPr>
          <w:rFonts w:hint="eastAsia" w:ascii="宋体" w:hAnsi="宋体" w:eastAsia="宋体" w:cs="宋体"/>
          <w:color w:val="auto"/>
          <w:sz w:val="24"/>
          <w:szCs w:val="24"/>
          <w:lang w:val="en-US" w:eastAsia="zh-CN"/>
        </w:rPr>
      </w:pPr>
      <w:r>
        <w:rPr>
          <w:rFonts w:hint="eastAsia" w:ascii="宋体" w:hAnsi="宋体" w:eastAsia="宋体" w:cs="宋体"/>
          <w:color w:val="auto"/>
          <w:kern w:val="2"/>
          <w:sz w:val="24"/>
          <w:szCs w:val="24"/>
          <w:lang w:val="en-US" w:eastAsia="zh-CN" w:bidi="ar-SA"/>
        </w:rPr>
        <w:t>4.观测原则</w:t>
      </w:r>
    </w:p>
    <w:p w14:paraId="18A87872">
      <w:pPr>
        <w:pStyle w:val="5"/>
        <w:keepNext w:val="0"/>
        <w:keepLines w:val="0"/>
        <w:widowControl w:val="0"/>
        <w:numPr>
          <w:ilvl w:val="0"/>
          <w:numId w:val="0"/>
        </w:numPr>
        <w:suppressLineNumbers w:val="0"/>
        <w:autoSpaceDE/>
        <w:autoSpaceDN/>
        <w:adjustRightInd/>
        <w:spacing w:before="0" w:beforeAutospacing="0" w:after="0" w:afterAutospacing="0" w:line="560" w:lineRule="exact"/>
        <w:ind w:left="0" w:right="0" w:firstLine="480" w:firstLineChars="200"/>
        <w:jc w:val="both"/>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规定了荔枝农业气象观测的平行观测和点面结合原则。平行观测需同时观测荔枝物候期、生长状况、受害情况、产量、品质和生长环境的气象要素，若观测地段的气象条件与气象观测场的气象条件相似时，气象观测场的气象观测数据可作为平行观测中的气象要素。点面结合应在相对固定的观测地段对荔枝物候期、农业气象灾害、病虫害进行观测，若发生重大农业气象灾害和病虫害时可扩大范围开展区域性调查，以弥补单个观测地段资料的局限性。</w:t>
      </w:r>
    </w:p>
    <w:p w14:paraId="4204507C">
      <w:pPr>
        <w:pStyle w:val="5"/>
        <w:widowControl/>
        <w:numPr>
          <w:ilvl w:val="0"/>
          <w:numId w:val="0"/>
        </w:numPr>
        <w:spacing w:line="560" w:lineRule="exact"/>
        <w:ind w:left="0" w:leftChars="0" w:firstLine="480" w:firstLineChars="2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5.观测地段和观测区</w:t>
      </w:r>
    </w:p>
    <w:p w14:paraId="70BE911A">
      <w:pPr>
        <w:pStyle w:val="5"/>
        <w:widowControl/>
        <w:numPr>
          <w:ilvl w:val="0"/>
          <w:numId w:val="0"/>
        </w:numPr>
        <w:spacing w:line="560" w:lineRule="exact"/>
        <w:ind w:left="0" w:leftChars="0" w:firstLine="480" w:firstLineChars="200"/>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规定了如何选取观测地段和观测区。观测地段应选择能代表当地气候、土壤、地形、栽培管理方式和生产水平的荔枝果园，且观测地段一经选定，应保持长期稳定，确需调整的，应选择邻近地段作为观测地段。观测地段的荔枝品种应是当地种植面积大，经济效益好，普遍推广的优良品种。观测区应在观测地段内且不少于三个。</w:t>
      </w:r>
    </w:p>
    <w:p w14:paraId="1FA71C38">
      <w:pPr>
        <w:pStyle w:val="5"/>
        <w:widowControl/>
        <w:numPr>
          <w:ilvl w:val="0"/>
          <w:numId w:val="0"/>
        </w:numPr>
        <w:spacing w:line="560" w:lineRule="exact"/>
        <w:ind w:left="0" w:leftChars="0" w:firstLine="480" w:firstLineChars="2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6.观测植株和观测枝</w:t>
      </w:r>
    </w:p>
    <w:p w14:paraId="4720046D">
      <w:pPr>
        <w:pStyle w:val="5"/>
        <w:widowControl/>
        <w:numPr>
          <w:ilvl w:val="0"/>
          <w:numId w:val="0"/>
        </w:numPr>
        <w:spacing w:line="560" w:lineRule="exact"/>
        <w:ind w:left="0" w:leftChars="0" w:firstLine="480" w:firstLineChars="200"/>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规定了如何选取观测植株和观测枝。观测植株应在每个观测区选择不少于</w:t>
      </w:r>
      <w:r>
        <w:rPr>
          <w:rFonts w:hint="default" w:ascii="宋体" w:hAnsi="宋体" w:eastAsia="宋体" w:cs="宋体"/>
          <w:color w:val="auto"/>
          <w:sz w:val="24"/>
          <w:szCs w:val="24"/>
          <w:lang w:val="en-US" w:eastAsia="zh-CN"/>
        </w:rPr>
        <w:t>5</w:t>
      </w:r>
      <w:r>
        <w:rPr>
          <w:rFonts w:hint="eastAsia" w:ascii="宋体" w:hAnsi="宋体" w:eastAsia="宋体" w:cs="宋体"/>
          <w:color w:val="auto"/>
          <w:sz w:val="24"/>
          <w:szCs w:val="24"/>
          <w:lang w:val="en-US" w:eastAsia="zh-CN"/>
        </w:rPr>
        <w:t>株品种相同、树势相近、结果性能稳定、生长状况基本一致的荔枝，若有因重大气象灾害或病虫害导致树势明显减弱的植株，可就近选取其他植株替换。观测枝则在观测植株树冠的东、南、西、北不同方位各选一个生长健壮、无病虫害、枝形中等的结果母枝。</w:t>
      </w:r>
    </w:p>
    <w:p w14:paraId="124EB89C">
      <w:pPr>
        <w:pStyle w:val="5"/>
        <w:numPr>
          <w:ilvl w:val="0"/>
          <w:numId w:val="0"/>
        </w:numPr>
        <w:spacing w:line="560" w:lineRule="exact"/>
        <w:ind w:left="0" w:leftChars="0" w:firstLine="480" w:firstLineChars="2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7.物候期观测</w:t>
      </w:r>
    </w:p>
    <w:p w14:paraId="5142A810">
      <w:pPr>
        <w:pStyle w:val="5"/>
        <w:widowControl/>
        <w:numPr>
          <w:ilvl w:val="0"/>
          <w:numId w:val="0"/>
        </w:numPr>
        <w:spacing w:line="560" w:lineRule="exact"/>
        <w:ind w:left="0" w:leftChars="0" w:firstLine="480" w:firstLineChars="2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规定了观测内容、观测时间、物候期确定和特殊情况处理。观测内容根据荔枝物候期的形态特征将物候期分为萌芽抽梢期、枝梢老熟期、白点期、抽穗期、开花期、坐果期和成熟期。观测时间从萌芽抽梢期开始到成熟期结束，萌芽抽梢期至枝梢老熟期可在每旬观测一次，临近白点期至成熟期需隔日观测，物候期内时间较长的可进行旬中和旬末观测。物候期确定因物候期不同而不同，萌芽抽梢期和枝梢老熟期以75%的枝条进入该物候期判断植株进入物候期的日期；白点期、抽穗期、开花期和坐果期则以25%的枝条进入该物候期判断植株进入物候期始期的日期，达到50%的日期为普遍期，</w:t>
      </w:r>
      <w:r>
        <w:rPr>
          <w:rFonts w:hint="eastAsia" w:hAnsi="宋体" w:eastAsia="宋体" w:cs="宋体"/>
          <w:color w:val="auto"/>
          <w:sz w:val="24"/>
          <w:szCs w:val="24"/>
          <w:lang w:val="en-US" w:eastAsia="zh-CN"/>
        </w:rPr>
        <w:t>此处</w:t>
      </w:r>
      <w:r>
        <w:rPr>
          <w:rFonts w:hint="eastAsia" w:ascii="宋体" w:hAnsi="宋体" w:eastAsia="宋体" w:cs="宋体"/>
          <w:color w:val="auto"/>
          <w:sz w:val="24"/>
          <w:szCs w:val="24"/>
          <w:lang w:val="en-US" w:eastAsia="zh-CN"/>
        </w:rPr>
        <w:t>观测到普遍期为止；成熟期则以50%结果母枝上的果实成熟时判断植株进入成熟期的日期。观测地段群体物候期以进入该物候期的观测植株数占总的观测植株数的百分比确定。特殊情况处理则是当出现特殊情况时，按有关规定处理。</w:t>
      </w:r>
    </w:p>
    <w:p w14:paraId="1F3C29CF">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8.生长状况观测</w:t>
      </w:r>
    </w:p>
    <w:p w14:paraId="37A9E3D1">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规定了观测枝生长量测定、成花枝率和落果率测定、植株密度测定和生长状况评定。观测枝生长量测定是观测枝从萌芽抽</w:t>
      </w:r>
      <w:r>
        <w:rPr>
          <w:rFonts w:hint="eastAsia" w:hAnsi="宋体" w:eastAsia="宋体" w:cs="宋体"/>
          <w:color w:val="auto"/>
          <w:sz w:val="24"/>
          <w:szCs w:val="24"/>
          <w:lang w:val="en-US" w:eastAsia="zh-CN"/>
        </w:rPr>
        <w:t>梢</w:t>
      </w:r>
      <w:r>
        <w:rPr>
          <w:rFonts w:hint="eastAsia" w:ascii="宋体" w:hAnsi="宋体" w:eastAsia="宋体" w:cs="宋体"/>
          <w:color w:val="auto"/>
          <w:sz w:val="24"/>
          <w:szCs w:val="24"/>
          <w:lang w:val="en-US" w:eastAsia="zh-CN"/>
        </w:rPr>
        <w:t>期至枝梢老熟期，每旬末测量一次长度、粗度和叶片数。成花枝率和落果率测定</w:t>
      </w:r>
      <w:r>
        <w:rPr>
          <w:rFonts w:hint="eastAsia" w:hAnsi="宋体" w:eastAsia="宋体" w:cs="宋体"/>
          <w:color w:val="auto"/>
          <w:sz w:val="24"/>
          <w:szCs w:val="24"/>
          <w:lang w:val="en-US" w:eastAsia="zh-CN"/>
        </w:rPr>
        <w:t>均在观测地段的观测枝上进行，成花枝率是观测地段进入开花期的观测枝数占观测枝总数的百分比，落果率是观测地段脱落的果实数占初始坐果后的总果实数的百分比。植株密度的测定则是在观测地段随机抽取4×4的植株，分别测量出相近植株的株距和行距并求平均值，最终计算每公顷株数。生长状况评定则在物候期观测中根据枝梢、叶片、顶芽等生长状况，病虫害情况等分三类进行评定。</w:t>
      </w:r>
    </w:p>
    <w:p w14:paraId="4ECCCF82">
      <w:pPr>
        <w:pStyle w:val="5"/>
        <w:keepNext w:val="0"/>
        <w:keepLines w:val="0"/>
        <w:pageBreakBefore w:val="0"/>
        <w:widowControl/>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9.产量和品质分析</w:t>
      </w:r>
    </w:p>
    <w:p w14:paraId="4280C585">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规定了产量测定和品质测定。</w:t>
      </w:r>
      <w:r>
        <w:rPr>
          <w:rFonts w:hint="eastAsia" w:hAnsi="宋体" w:eastAsia="宋体" w:cs="宋体"/>
          <w:color w:val="auto"/>
          <w:sz w:val="24"/>
          <w:szCs w:val="24"/>
          <w:lang w:val="en-US" w:eastAsia="zh-CN"/>
        </w:rPr>
        <w:t>产量测定有</w:t>
      </w:r>
      <w:r>
        <w:rPr>
          <w:rFonts w:hint="eastAsia" w:ascii="宋体" w:hAnsi="宋体" w:eastAsia="宋体" w:cs="宋体"/>
          <w:color w:val="auto"/>
          <w:sz w:val="24"/>
          <w:szCs w:val="24"/>
          <w:lang w:val="en-US" w:eastAsia="zh-CN"/>
        </w:rPr>
        <w:t>单株产量（千克）</w:t>
      </w:r>
      <w:r>
        <w:rPr>
          <w:rFonts w:hint="eastAsia" w:hAnsi="宋体" w:eastAsia="宋体" w:cs="宋体"/>
          <w:color w:val="auto"/>
          <w:sz w:val="24"/>
          <w:szCs w:val="24"/>
          <w:lang w:val="en-US" w:eastAsia="zh-CN"/>
        </w:rPr>
        <w:t>、</w:t>
      </w:r>
      <w:r>
        <w:rPr>
          <w:rFonts w:hint="eastAsia" w:ascii="宋体" w:hAnsi="宋体" w:eastAsia="宋体" w:cs="宋体"/>
          <w:color w:val="auto"/>
          <w:sz w:val="24"/>
          <w:szCs w:val="24"/>
          <w:lang w:val="en-US" w:eastAsia="zh-CN"/>
        </w:rPr>
        <w:t>观测地段产量（吨）</w:t>
      </w:r>
      <w:r>
        <w:rPr>
          <w:rFonts w:hint="eastAsia" w:hAnsi="宋体" w:eastAsia="宋体" w:cs="宋体"/>
          <w:color w:val="auto"/>
          <w:sz w:val="24"/>
          <w:szCs w:val="24"/>
          <w:lang w:val="en-US" w:eastAsia="zh-CN"/>
        </w:rPr>
        <w:t>和</w:t>
      </w:r>
      <w:r>
        <w:rPr>
          <w:rFonts w:hint="eastAsia" w:ascii="宋体" w:hAnsi="宋体" w:eastAsia="宋体" w:cs="宋体"/>
          <w:color w:val="auto"/>
          <w:sz w:val="24"/>
          <w:szCs w:val="24"/>
          <w:lang w:val="en-US" w:eastAsia="zh-CN"/>
        </w:rPr>
        <w:t>观测地段理论单产（吨/公顷）</w:t>
      </w:r>
      <w:r>
        <w:rPr>
          <w:rFonts w:hint="eastAsia" w:hAnsi="宋体" w:eastAsia="宋体" w:cs="宋体"/>
          <w:color w:val="auto"/>
          <w:sz w:val="24"/>
          <w:szCs w:val="24"/>
          <w:lang w:val="en-US" w:eastAsia="zh-CN"/>
        </w:rPr>
        <w:t>。品质测定有单果重（克）、果实横径（cm）和纵径（cm）。</w:t>
      </w:r>
    </w:p>
    <w:p w14:paraId="38120E51">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10.气象要素观测</w:t>
      </w:r>
    </w:p>
    <w:p w14:paraId="33568A05">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规定了气象要素观测项目。</w:t>
      </w:r>
      <w:r>
        <w:rPr>
          <w:rFonts w:hint="eastAsia" w:hAnsi="宋体" w:eastAsia="宋体" w:cs="宋体"/>
          <w:color w:val="auto"/>
          <w:sz w:val="24"/>
          <w:szCs w:val="24"/>
          <w:lang w:val="en-US" w:eastAsia="zh-CN"/>
        </w:rPr>
        <w:t>观测项目</w:t>
      </w:r>
      <w:r>
        <w:rPr>
          <w:rFonts w:hint="eastAsia" w:ascii="宋体" w:hAnsi="宋体" w:eastAsia="宋体" w:cs="宋体"/>
          <w:color w:val="auto"/>
          <w:sz w:val="24"/>
          <w:szCs w:val="24"/>
          <w:lang w:val="en-US" w:eastAsia="zh-CN"/>
        </w:rPr>
        <w:t>包括气温、相对湿度、风向、风速、降水量、地温、日照、辐射以及其他气象要素，基本要求和观测方法应符合GB/T 33703—2017的第4章和第5章的要求</w:t>
      </w:r>
      <w:r>
        <w:rPr>
          <w:rFonts w:hint="eastAsia" w:hAnsi="宋体" w:eastAsia="宋体" w:cs="宋体"/>
          <w:color w:val="auto"/>
          <w:sz w:val="24"/>
          <w:szCs w:val="24"/>
          <w:lang w:val="en-US" w:eastAsia="zh-CN"/>
        </w:rPr>
        <w:t>。</w:t>
      </w:r>
    </w:p>
    <w:p w14:paraId="1B5302B0">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11.主要农业气象灾害观测</w:t>
      </w:r>
    </w:p>
    <w:p w14:paraId="0C02A507">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规定了主要农业气象灾害、观测时间和地段、观测内容。</w:t>
      </w:r>
      <w:r>
        <w:rPr>
          <w:rFonts w:hint="eastAsia" w:hAnsi="宋体" w:eastAsia="宋体" w:cs="宋体"/>
          <w:color w:val="auto"/>
          <w:sz w:val="24"/>
          <w:szCs w:val="24"/>
          <w:lang w:val="en-US" w:eastAsia="zh-CN"/>
        </w:rPr>
        <w:t>主要农业气象灾害包括对荔枝影响大、涉及范围广、发生频率高的暖害、寒害、连阴雨、高温、干旱、暴雨、台风等，采用实地调查和访问相结合的方法。观测时间和地段要求观测地段在物候期观测时同时进行农业气象灾害观测，灾害性天气宜当天观测，自植株受害开始至受害症状不再加重为止，若发生影响大、范围广的农业气象灾害时还可适当扩大观测地段范围，宜在灾害发生当天/第二天和灾害症状不再加重时各调查一次。观测内容应包括灾害名称、受害起止日期、天气气候情况、受害症状和受害百分率。</w:t>
      </w:r>
    </w:p>
    <w:p w14:paraId="79BCEAFA">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12.主要病虫害观测</w:t>
      </w:r>
    </w:p>
    <w:p w14:paraId="1E5C8A94">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规定了主要病虫害、观测时间和地段、观测内容。主要病虫害</w:t>
      </w:r>
      <w:r>
        <w:rPr>
          <w:rFonts w:hint="eastAsia" w:hAnsi="宋体" w:eastAsia="宋体" w:cs="宋体"/>
          <w:color w:val="auto"/>
          <w:sz w:val="24"/>
          <w:szCs w:val="24"/>
          <w:lang w:val="en-US" w:eastAsia="zh-CN"/>
        </w:rPr>
        <w:t>包括病害和虫害，其中主要病害有</w:t>
      </w:r>
      <w:r>
        <w:rPr>
          <w:rFonts w:hint="eastAsia" w:ascii="宋体" w:hAnsi="宋体" w:eastAsia="宋体" w:cs="宋体"/>
          <w:color w:val="auto"/>
          <w:sz w:val="24"/>
          <w:szCs w:val="24"/>
          <w:lang w:val="en-US" w:eastAsia="zh-CN"/>
        </w:rPr>
        <w:t>炭疽病、藻斑病、叶斑病、酸腐病、霜疫病等。主要虫害有荔枝蒂蛀虫、荔枝蝽、尺蠖、卷叶蛾类、蚧壳虫、瘿螨、吸果夜蛾、叶瘿蚊、叶螨等。</w:t>
      </w:r>
      <w:r>
        <w:rPr>
          <w:rFonts w:hint="eastAsia" w:hAnsi="宋体" w:eastAsia="宋体" w:cs="宋体"/>
          <w:color w:val="auto"/>
          <w:sz w:val="24"/>
          <w:szCs w:val="24"/>
          <w:lang w:val="en-US" w:eastAsia="zh-CN"/>
        </w:rPr>
        <w:t>观测时间和地段要求观测地段物候期观测时同时进行病虫害观测，以观测地段为主开展观测，当病虫害发生后宜当天观测，直至病虫害不再蔓延或加重为止。若有病虫害大发生时可适当扩大观测地段范围。观测内容有病虫害名称、危害起止日期、受害症状和天气情况。</w:t>
      </w:r>
    </w:p>
    <w:p w14:paraId="0D78B6DA">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13.农业气象观测簿填写</w:t>
      </w:r>
    </w:p>
    <w:p w14:paraId="1A512B06">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规定了荔枝农业气象观测簿的填写要求。</w:t>
      </w:r>
    </w:p>
    <w:p w14:paraId="1F8FE9DB">
      <w:pPr>
        <w:pStyle w:val="5"/>
        <w:numPr>
          <w:ilvl w:val="0"/>
          <w:numId w:val="0"/>
        </w:numPr>
        <w:spacing w:line="560" w:lineRule="exact"/>
        <w:ind w:left="645" w:leftChars="0"/>
        <w:rPr>
          <w:rFonts w:hint="eastAsia" w:ascii="宋体" w:hAnsi="宋体" w:eastAsia="宋体" w:cs="宋体"/>
          <w:b/>
          <w:bCs/>
          <w:color w:val="auto"/>
          <w:sz w:val="24"/>
          <w:szCs w:val="24"/>
        </w:rPr>
      </w:pP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lang w:val="en-US" w:eastAsia="zh-CN"/>
        </w:rPr>
        <w:t>三</w:t>
      </w: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rPr>
        <w:t>试验验证的论述</w:t>
      </w:r>
    </w:p>
    <w:p w14:paraId="35E89F7B">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本</w:t>
      </w:r>
      <w:r>
        <w:rPr>
          <w:rFonts w:hint="eastAsia" w:ascii="宋体" w:hAnsi="宋体" w:eastAsia="宋体" w:cs="宋体"/>
          <w:color w:val="auto"/>
          <w:sz w:val="24"/>
          <w:szCs w:val="24"/>
          <w:lang w:val="en-US" w:eastAsia="zh-CN"/>
        </w:rPr>
        <w:t>标准</w:t>
      </w:r>
      <w:r>
        <w:rPr>
          <w:rFonts w:hint="eastAsia" w:ascii="宋体" w:hAnsi="宋体" w:eastAsia="宋体" w:cs="宋体"/>
          <w:color w:val="auto"/>
          <w:sz w:val="24"/>
          <w:szCs w:val="24"/>
        </w:rPr>
        <w:t>文件</w:t>
      </w:r>
      <w:r>
        <w:rPr>
          <w:rFonts w:hint="eastAsia" w:ascii="宋体" w:hAnsi="宋体" w:eastAsia="宋体" w:cs="宋体"/>
          <w:color w:val="auto"/>
          <w:sz w:val="24"/>
          <w:szCs w:val="24"/>
          <w:lang w:val="en-US" w:eastAsia="zh-CN"/>
        </w:rPr>
        <w:t>基于海南省气象部门、国家和海南省荔枝产业技术体系开展的常年荔枝农业气象观测工作，并进行了广泛的调研和科学试验编制。</w:t>
      </w:r>
    </w:p>
    <w:p w14:paraId="10B2AF11">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1.物候期观测</w:t>
      </w:r>
    </w:p>
    <w:p w14:paraId="6FAAD0A4">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经多年荔枝观测显示，影响荔枝产量和品质的重要物候期是从结果母枝萌芽抽梢期开始一直持续到成熟期，这个时期</w:t>
      </w:r>
      <w:r>
        <w:rPr>
          <w:rFonts w:hint="eastAsia" w:hAnsi="宋体" w:eastAsia="宋体" w:cs="宋体"/>
          <w:color w:val="auto"/>
          <w:sz w:val="24"/>
          <w:szCs w:val="24"/>
          <w:lang w:val="en-US" w:eastAsia="zh-CN"/>
        </w:rPr>
        <w:t>是荔枝由营养生长转向生殖生长的关键期，</w:t>
      </w:r>
      <w:r>
        <w:rPr>
          <w:rFonts w:hint="eastAsia" w:ascii="宋体" w:hAnsi="宋体" w:eastAsia="宋体" w:cs="宋体"/>
          <w:color w:val="auto"/>
          <w:sz w:val="24"/>
          <w:szCs w:val="24"/>
          <w:lang w:val="en-US" w:eastAsia="zh-CN"/>
        </w:rPr>
        <w:t>气候条件对荔枝</w:t>
      </w:r>
      <w:r>
        <w:rPr>
          <w:rFonts w:hint="eastAsia" w:hAnsi="宋体" w:eastAsia="宋体" w:cs="宋体"/>
          <w:color w:val="auto"/>
          <w:sz w:val="24"/>
          <w:szCs w:val="24"/>
          <w:lang w:val="en-US" w:eastAsia="zh-CN"/>
        </w:rPr>
        <w:t>成花、产量和品质的</w:t>
      </w:r>
      <w:r>
        <w:rPr>
          <w:rFonts w:hint="eastAsia" w:ascii="宋体" w:hAnsi="宋体" w:eastAsia="宋体" w:cs="宋体"/>
          <w:color w:val="auto"/>
          <w:sz w:val="24"/>
          <w:szCs w:val="24"/>
          <w:lang w:val="en-US" w:eastAsia="zh-CN"/>
        </w:rPr>
        <w:t>影响极其重要。为此，我们界定荔枝物候期分别为萌芽抽梢期、枝梢老熟期、白点期、抽穗期、开花期、坐果期和成熟期</w:t>
      </w:r>
      <w:r>
        <w:rPr>
          <w:rFonts w:hint="eastAsia" w:hAnsi="宋体" w:eastAsia="宋体" w:cs="宋体"/>
          <w:color w:val="auto"/>
          <w:sz w:val="24"/>
          <w:szCs w:val="24"/>
          <w:lang w:val="en-US" w:eastAsia="zh-CN"/>
        </w:rPr>
        <w:t>（图6）</w:t>
      </w:r>
      <w:r>
        <w:rPr>
          <w:rFonts w:hint="eastAsia" w:ascii="宋体" w:hAnsi="宋体" w:eastAsia="宋体" w:cs="宋体"/>
          <w:color w:val="auto"/>
          <w:sz w:val="24"/>
          <w:szCs w:val="24"/>
          <w:lang w:val="en-US" w:eastAsia="zh-CN"/>
        </w:rPr>
        <w:t>。考虑到萌芽抽梢期至枝梢老熟期时间相对较长（与气温有关，气温高老熟快，气温低老熟慢），故此期间观测时间为每旬观测一次。白点期、抽穗期、开花期、坐果期和成熟期是</w:t>
      </w:r>
      <w:r>
        <w:rPr>
          <w:rFonts w:hint="eastAsia" w:hAnsi="宋体" w:eastAsia="宋体" w:cs="宋体"/>
          <w:color w:val="auto"/>
          <w:sz w:val="24"/>
          <w:szCs w:val="24"/>
          <w:lang w:val="en-US" w:eastAsia="zh-CN"/>
        </w:rPr>
        <w:t>重要</w:t>
      </w:r>
      <w:r>
        <w:rPr>
          <w:rFonts w:hint="eastAsia" w:ascii="宋体" w:hAnsi="宋体" w:eastAsia="宋体" w:cs="宋体"/>
          <w:color w:val="auto"/>
          <w:sz w:val="24"/>
          <w:szCs w:val="24"/>
          <w:lang w:val="en-US" w:eastAsia="zh-CN"/>
        </w:rPr>
        <w:t>物候期，临近这些物候期需隔日观测。确定</w:t>
      </w:r>
      <w:r>
        <w:rPr>
          <w:rFonts w:hint="eastAsia" w:hAnsi="宋体" w:eastAsia="宋体" w:cs="宋体"/>
          <w:color w:val="auto"/>
          <w:sz w:val="24"/>
          <w:szCs w:val="24"/>
          <w:lang w:val="en-US" w:eastAsia="zh-CN"/>
        </w:rPr>
        <w:t>进入</w:t>
      </w:r>
      <w:r>
        <w:rPr>
          <w:rFonts w:hint="eastAsia" w:ascii="宋体" w:hAnsi="宋体" w:eastAsia="宋体" w:cs="宋体"/>
          <w:color w:val="auto"/>
          <w:sz w:val="24"/>
          <w:szCs w:val="24"/>
          <w:lang w:val="en-US" w:eastAsia="zh-CN"/>
        </w:rPr>
        <w:t>物候期的比例参考国家和海南省荔枝产业技术体系多年的观测工作经验确定。</w:t>
      </w:r>
    </w:p>
    <w:p w14:paraId="7BBD4E07">
      <w:pPr>
        <w:pStyle w:val="5"/>
        <w:keepNext w:val="0"/>
        <w:keepLines w:val="0"/>
        <w:pageBreakBefore w:val="0"/>
        <w:widowControl/>
        <w:numPr>
          <w:ilvl w:val="0"/>
          <w:numId w:val="0"/>
        </w:numPr>
        <w:kinsoku/>
        <w:wordWrap/>
        <w:overflowPunct/>
        <w:topLinePunct w:val="0"/>
        <w:autoSpaceDE/>
        <w:autoSpaceDN/>
        <w:bidi w:val="0"/>
        <w:adjustRightInd/>
        <w:snapToGrid/>
        <w:spacing w:line="240" w:lineRule="auto"/>
        <w:ind w:left="0" w:leftChars="0" w:firstLine="0" w:firstLineChars="0"/>
        <w:textAlignment w:val="auto"/>
        <w:rPr>
          <w:rFonts w:hint="eastAsia" w:ascii="宋体" w:hAnsi="宋体" w:eastAsia="宋体" w:cs="宋体"/>
          <w:color w:val="auto"/>
          <w:sz w:val="24"/>
          <w:szCs w:val="24"/>
          <w:lang w:val="en-US" w:eastAsia="zh-CN"/>
        </w:rPr>
      </w:pPr>
      <w:r>
        <w:drawing>
          <wp:inline distT="0" distB="0" distL="114300" distR="114300">
            <wp:extent cx="5534660" cy="1931670"/>
            <wp:effectExtent l="0" t="0" r="2540" b="1143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1"/>
                    <a:stretch>
                      <a:fillRect/>
                    </a:stretch>
                  </pic:blipFill>
                  <pic:spPr>
                    <a:xfrm>
                      <a:off x="0" y="0"/>
                      <a:ext cx="5534660" cy="1931670"/>
                    </a:xfrm>
                    <a:prstGeom prst="rect">
                      <a:avLst/>
                    </a:prstGeom>
                    <a:noFill/>
                    <a:ln>
                      <a:noFill/>
                    </a:ln>
                  </pic:spPr>
                </pic:pic>
              </a:graphicData>
            </a:graphic>
          </wp:inline>
        </w:drawing>
      </w:r>
    </w:p>
    <w:p w14:paraId="39FAEDBC">
      <w:pPr>
        <w:pStyle w:val="5"/>
        <w:keepNext w:val="0"/>
        <w:keepLines w:val="0"/>
        <w:pageBreakBefore w:val="0"/>
        <w:widowControl/>
        <w:numPr>
          <w:ilvl w:val="0"/>
          <w:numId w:val="0"/>
        </w:numPr>
        <w:kinsoku/>
        <w:wordWrap/>
        <w:overflowPunct/>
        <w:topLinePunct w:val="0"/>
        <w:autoSpaceDE/>
        <w:autoSpaceDN/>
        <w:bidi w:val="0"/>
        <w:adjustRightInd/>
        <w:snapToGrid/>
        <w:spacing w:line="240" w:lineRule="auto"/>
        <w:jc w:val="center"/>
        <w:textAlignment w:val="auto"/>
        <w:rPr>
          <w:rFonts w:hint="default"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图6</w:t>
      </w:r>
      <w:r>
        <w:rPr>
          <w:rFonts w:hint="eastAsia" w:hAnsi="宋体" w:eastAsia="宋体" w:cs="宋体"/>
          <w:b/>
          <w:bCs/>
          <w:color w:val="auto"/>
          <w:sz w:val="24"/>
          <w:szCs w:val="24"/>
          <w:lang w:val="en-US" w:eastAsia="zh-CN"/>
        </w:rPr>
        <w:t xml:space="preserve"> 妃子笑物候期进程图</w:t>
      </w:r>
    </w:p>
    <w:p w14:paraId="33A73785">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2.生长状况观测</w:t>
      </w:r>
    </w:p>
    <w:p w14:paraId="674B9D75">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结果母枝的长度、粗度和叶片数对后期成花和坐果影响很大，这是表征结果母枝营养状况的最直观指标，其与管理措施和气象条件密切相关</w:t>
      </w:r>
      <w:r>
        <w:rPr>
          <w:rFonts w:hint="eastAsia" w:hAnsi="宋体" w:eastAsia="宋体" w:cs="宋体"/>
          <w:color w:val="auto"/>
          <w:sz w:val="24"/>
          <w:szCs w:val="24"/>
          <w:lang w:val="en-US" w:eastAsia="zh-CN"/>
        </w:rPr>
        <w:t>（图7）</w:t>
      </w:r>
      <w:r>
        <w:rPr>
          <w:rFonts w:hint="eastAsia" w:ascii="宋体" w:hAnsi="宋体" w:eastAsia="宋体" w:cs="宋体"/>
          <w:color w:val="auto"/>
          <w:sz w:val="24"/>
          <w:szCs w:val="24"/>
          <w:lang w:val="en-US" w:eastAsia="zh-CN"/>
        </w:rPr>
        <w:t>。我们选取测定</w:t>
      </w:r>
      <w:r>
        <w:rPr>
          <w:rFonts w:hint="eastAsia" w:hAnsi="宋体" w:eastAsia="宋体" w:cs="宋体"/>
          <w:color w:val="auto"/>
          <w:sz w:val="24"/>
          <w:szCs w:val="24"/>
          <w:lang w:val="en-US" w:eastAsia="zh-CN"/>
        </w:rPr>
        <w:t>东、南、西、北四个方位</w:t>
      </w:r>
      <w:r>
        <w:rPr>
          <w:rFonts w:hint="eastAsia" w:ascii="宋体" w:hAnsi="宋体" w:eastAsia="宋体" w:cs="宋体"/>
          <w:color w:val="auto"/>
          <w:sz w:val="24"/>
          <w:szCs w:val="24"/>
          <w:lang w:val="en-US" w:eastAsia="zh-CN"/>
        </w:rPr>
        <w:t>观测枝的长度、粗度和叶片数可有效评估</w:t>
      </w:r>
      <w:r>
        <w:rPr>
          <w:rFonts w:hint="eastAsia" w:hAnsi="宋体" w:eastAsia="宋体" w:cs="宋体"/>
          <w:color w:val="auto"/>
          <w:sz w:val="24"/>
          <w:szCs w:val="24"/>
          <w:lang w:val="en-US" w:eastAsia="zh-CN"/>
        </w:rPr>
        <w:t>在热带地区不同方位下观测枝</w:t>
      </w:r>
      <w:r>
        <w:rPr>
          <w:rFonts w:hint="eastAsia" w:ascii="宋体" w:hAnsi="宋体" w:eastAsia="宋体" w:cs="宋体"/>
          <w:color w:val="auto"/>
          <w:sz w:val="24"/>
          <w:szCs w:val="24"/>
          <w:lang w:val="en-US" w:eastAsia="zh-CN"/>
        </w:rPr>
        <w:t>后期成花和坐果潜力。成花枝率和落果率是荔枝成花情况和落果情况的直接体现，暖害不利于荔枝成花；高温、干旱、暴雨</w:t>
      </w:r>
      <w:r>
        <w:rPr>
          <w:rFonts w:hint="eastAsia" w:hAnsi="宋体" w:eastAsia="宋体" w:cs="宋体"/>
          <w:color w:val="auto"/>
          <w:sz w:val="24"/>
          <w:szCs w:val="24"/>
          <w:lang w:val="en-US" w:eastAsia="zh-CN"/>
        </w:rPr>
        <w:t>和</w:t>
      </w:r>
      <w:r>
        <w:rPr>
          <w:rFonts w:hint="eastAsia" w:ascii="宋体" w:hAnsi="宋体" w:eastAsia="宋体" w:cs="宋体"/>
          <w:color w:val="auto"/>
          <w:sz w:val="24"/>
          <w:szCs w:val="24"/>
          <w:lang w:val="en-US" w:eastAsia="zh-CN"/>
        </w:rPr>
        <w:t>台风将加剧荔枝落果，测定成花枝率和落果率可有效评估不利气象灾害的影响机制和阈值。植株密度的测定可作为观测地段</w:t>
      </w:r>
      <w:r>
        <w:rPr>
          <w:rFonts w:hint="eastAsia" w:hAnsi="宋体" w:eastAsia="宋体" w:cs="宋体"/>
          <w:color w:val="auto"/>
          <w:sz w:val="24"/>
          <w:szCs w:val="24"/>
          <w:lang w:val="en-US" w:eastAsia="zh-CN"/>
        </w:rPr>
        <w:t>荔枝对光温水资源的利用效率，并作为</w:t>
      </w:r>
      <w:r>
        <w:rPr>
          <w:rFonts w:hint="eastAsia" w:ascii="宋体" w:hAnsi="宋体" w:eastAsia="宋体" w:cs="宋体"/>
          <w:color w:val="auto"/>
          <w:sz w:val="24"/>
          <w:szCs w:val="24"/>
          <w:lang w:val="en-US" w:eastAsia="zh-CN"/>
        </w:rPr>
        <w:t>理论单产的计算依据。此外，在物候期观测中对生长状况的评定有利于掌握植株生长状况，以评估气象灾害和病虫害影响。</w:t>
      </w:r>
    </w:p>
    <w:p w14:paraId="5C6508D0">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pPr>
      <w:r>
        <w:drawing>
          <wp:inline distT="0" distB="0" distL="114300" distR="114300">
            <wp:extent cx="2729230" cy="1538605"/>
            <wp:effectExtent l="0" t="0" r="1270" b="1079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2"/>
                    <a:stretch>
                      <a:fillRect/>
                    </a:stretch>
                  </pic:blipFill>
                  <pic:spPr>
                    <a:xfrm>
                      <a:off x="0" y="0"/>
                      <a:ext cx="2729230" cy="1538605"/>
                    </a:xfrm>
                    <a:prstGeom prst="rect">
                      <a:avLst/>
                    </a:prstGeom>
                    <a:noFill/>
                    <a:ln>
                      <a:noFill/>
                    </a:ln>
                  </pic:spPr>
                </pic:pic>
              </a:graphicData>
            </a:graphic>
          </wp:inline>
        </w:drawing>
      </w:r>
    </w:p>
    <w:p w14:paraId="0487E0FB">
      <w:pPr>
        <w:keepNext w:val="0"/>
        <w:keepLines w:val="0"/>
        <w:widowControl/>
        <w:suppressLineNumbers w:val="0"/>
        <w:jc w:val="center"/>
        <w:rPr>
          <w:rFonts w:hint="eastAsia" w:ascii="宋体" w:hAnsi="宋体" w:eastAsia="宋体" w:cs="宋体"/>
          <w:b/>
          <w:bCs/>
          <w:color w:val="auto"/>
          <w:kern w:val="2"/>
          <w:sz w:val="24"/>
          <w:szCs w:val="24"/>
          <w:lang w:val="en-US" w:eastAsia="zh-CN" w:bidi="ar-SA"/>
        </w:rPr>
      </w:pPr>
      <w:r>
        <w:rPr>
          <w:rFonts w:hint="eastAsia" w:ascii="宋体" w:hAnsi="宋体" w:eastAsia="宋体" w:cs="宋体"/>
          <w:b/>
          <w:bCs/>
          <w:color w:val="auto"/>
          <w:kern w:val="2"/>
          <w:sz w:val="24"/>
          <w:szCs w:val="24"/>
          <w:lang w:val="en-US" w:eastAsia="zh-CN" w:bidi="ar-SA"/>
        </w:rPr>
        <w:t>图7 健壮且完全老熟的结果母枝</w:t>
      </w:r>
    </w:p>
    <w:p w14:paraId="687044C0">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eastAsiaTheme="minorEastAsia"/>
          <w:lang w:val="en-US" w:eastAsia="zh-CN"/>
        </w:rPr>
      </w:pPr>
    </w:p>
    <w:p w14:paraId="0BF2F0C1">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3.产量和品质测定</w:t>
      </w:r>
    </w:p>
    <w:p w14:paraId="31B03D56">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对单株产量（千克）、观测地段产量（吨）和理论单产（吨/公顷）的测定可作为气象灾害影响</w:t>
      </w:r>
      <w:r>
        <w:rPr>
          <w:rFonts w:hint="eastAsia" w:hAnsi="宋体" w:eastAsia="宋体" w:cs="宋体"/>
          <w:color w:val="auto"/>
          <w:sz w:val="24"/>
          <w:szCs w:val="24"/>
          <w:lang w:val="en-US" w:eastAsia="zh-CN"/>
        </w:rPr>
        <w:t>产量</w:t>
      </w:r>
      <w:r>
        <w:rPr>
          <w:rFonts w:hint="eastAsia" w:ascii="宋体" w:hAnsi="宋体" w:eastAsia="宋体" w:cs="宋体"/>
          <w:color w:val="auto"/>
          <w:sz w:val="24"/>
          <w:szCs w:val="24"/>
          <w:lang w:val="en-US" w:eastAsia="zh-CN"/>
        </w:rPr>
        <w:t>评估的重要依据。对品质（单果重、果实横径和纵径）的测定有利于评估气象灾害对荔枝</w:t>
      </w:r>
      <w:r>
        <w:rPr>
          <w:rFonts w:hint="eastAsia" w:hAnsi="宋体" w:eastAsia="宋体" w:cs="宋体"/>
          <w:color w:val="auto"/>
          <w:sz w:val="24"/>
          <w:szCs w:val="24"/>
          <w:lang w:val="en-US" w:eastAsia="zh-CN"/>
        </w:rPr>
        <w:t>品质</w:t>
      </w:r>
      <w:r>
        <w:rPr>
          <w:rFonts w:hint="eastAsia" w:ascii="宋体" w:hAnsi="宋体" w:eastAsia="宋体" w:cs="宋体"/>
          <w:color w:val="auto"/>
          <w:sz w:val="24"/>
          <w:szCs w:val="24"/>
          <w:lang w:val="en-US" w:eastAsia="zh-CN"/>
        </w:rPr>
        <w:t>的影响。</w:t>
      </w:r>
    </w:p>
    <w:p w14:paraId="7C2588EB">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4.主要农业气象灾害观测</w:t>
      </w:r>
    </w:p>
    <w:p w14:paraId="6A75C262">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default" w:hAnsi="宋体" w:eastAsia="宋体" w:cs="宋体"/>
          <w:color w:val="auto"/>
          <w:sz w:val="24"/>
          <w:szCs w:val="24"/>
          <w:lang w:val="en-US" w:eastAsia="zh-CN"/>
        </w:rPr>
      </w:pPr>
      <w:r>
        <w:rPr>
          <w:rFonts w:hint="eastAsia" w:ascii="宋体" w:hAnsi="宋体" w:eastAsia="宋体" w:cs="宋体"/>
          <w:color w:val="auto"/>
          <w:sz w:val="24"/>
          <w:szCs w:val="24"/>
          <w:lang w:val="en-US" w:eastAsia="zh-CN"/>
        </w:rPr>
        <w:t>经过前期大量的观测和研究工作，选定对荔枝影响大，涉及范围广、发生频率高的暖害、寒害、连阴雨、高温、干旱、暴雨、台风作为主要农业气象灾害</w:t>
      </w:r>
      <w:r>
        <w:rPr>
          <w:rFonts w:hint="eastAsia" w:hAnsi="宋体" w:eastAsia="宋体" w:cs="宋体"/>
          <w:color w:val="auto"/>
          <w:sz w:val="24"/>
          <w:szCs w:val="24"/>
          <w:lang w:val="en-US" w:eastAsia="zh-CN"/>
        </w:rPr>
        <w:t>（图8）</w:t>
      </w:r>
      <w:r>
        <w:rPr>
          <w:rFonts w:hint="eastAsia" w:ascii="宋体" w:hAnsi="宋体" w:eastAsia="宋体" w:cs="宋体"/>
          <w:color w:val="auto"/>
          <w:sz w:val="24"/>
          <w:szCs w:val="24"/>
          <w:lang w:val="en-US" w:eastAsia="zh-CN"/>
        </w:rPr>
        <w:t>。</w:t>
      </w:r>
      <w:r>
        <w:rPr>
          <w:rFonts w:hint="eastAsia" w:hAnsi="宋体" w:eastAsia="宋体" w:cs="宋体"/>
          <w:color w:val="auto"/>
          <w:sz w:val="24"/>
          <w:szCs w:val="24"/>
          <w:lang w:val="en-US" w:eastAsia="zh-CN"/>
        </w:rPr>
        <w:t>同时也</w:t>
      </w:r>
      <w:r>
        <w:rPr>
          <w:rFonts w:hint="eastAsia" w:ascii="宋体" w:hAnsi="宋体" w:eastAsia="宋体" w:cs="宋体"/>
          <w:color w:val="auto"/>
          <w:sz w:val="24"/>
          <w:szCs w:val="24"/>
          <w:lang w:val="en-US" w:eastAsia="zh-CN"/>
        </w:rPr>
        <w:t>对观测时间和地段、观测内容进行了界定，以期更全面观测记录气象灾害发生发展过程。</w:t>
      </w:r>
      <w:r>
        <w:rPr>
          <w:rFonts w:hint="eastAsia" w:hAnsi="宋体" w:eastAsia="宋体" w:cs="宋体"/>
          <w:color w:val="auto"/>
          <w:sz w:val="24"/>
          <w:szCs w:val="24"/>
          <w:lang w:val="en-US" w:eastAsia="zh-CN"/>
        </w:rPr>
        <w:t>在观测内容中的天气气候情况，以暖害为例，编制小组选取枝梢老熟期至抽穗期的日均气温、日最低气温和日最高气温作为过程特征量，低于某阈值日均气温/日最低气温累积日数和高于某阈值日最高气温累积日数作为过程累积时间的考虑不仅是基于长期观测经验，也是基于多年多品种的荔枝成花枝率和气象观测试验分析获得。研究认为暖害影响荔枝成花枝率的主要气象因子不仅仅有日最低气温和日均气温，而日最高气温对成花的抑制作用也非常明显（图9）。当然，这也与荔枝品种有关，比如‘无核荔枝’的有效低温在10℃以下，‘紫娘喜’的有效低温在15℃以下，而‘妃子笑’的有效低温则在18℃以下。</w:t>
      </w:r>
    </w:p>
    <w:p w14:paraId="15EC826B">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pPr>
      <w:r>
        <w:rPr>
          <w:sz w:val="21"/>
        </w:rPr>
        <mc:AlternateContent>
          <mc:Choice Requires="wps">
            <w:drawing>
              <wp:anchor distT="0" distB="0" distL="114300" distR="114300" simplePos="0" relativeHeight="251660288" behindDoc="0" locked="0" layoutInCell="1" allowOverlap="1">
                <wp:simplePos x="0" y="0"/>
                <wp:positionH relativeFrom="column">
                  <wp:posOffset>5111115</wp:posOffset>
                </wp:positionH>
                <wp:positionV relativeFrom="paragraph">
                  <wp:posOffset>175895</wp:posOffset>
                </wp:positionV>
                <wp:extent cx="272415" cy="323850"/>
                <wp:effectExtent l="4445" t="5080" r="15240" b="13970"/>
                <wp:wrapNone/>
                <wp:docPr id="16" name="文本框 16"/>
                <wp:cNvGraphicFramePr/>
                <a:graphic xmlns:a="http://schemas.openxmlformats.org/drawingml/2006/main">
                  <a:graphicData uri="http://schemas.microsoft.com/office/word/2010/wordprocessingShape">
                    <wps:wsp>
                      <wps:cNvSpPr txBox="1"/>
                      <wps:spPr>
                        <a:xfrm>
                          <a:off x="0" y="0"/>
                          <a:ext cx="272415" cy="323850"/>
                        </a:xfrm>
                        <a:prstGeom prst="rect">
                          <a:avLst/>
                        </a:prstGeom>
                        <a:solidFill>
                          <a:schemeClr val="bg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14:paraId="382CF095">
                            <w:pPr>
                              <w:keepNext w:val="0"/>
                              <w:keepLines w:val="0"/>
                              <w:pageBreakBefore w:val="0"/>
                              <w:widowControl w:val="0"/>
                              <w:kinsoku/>
                              <w:wordWrap/>
                              <w:overflowPunct/>
                              <w:topLinePunct w:val="0"/>
                              <w:bidi w:val="0"/>
                              <w:adjustRightInd/>
                              <w:snapToGrid/>
                              <w:spacing w:line="240" w:lineRule="atLeast"/>
                              <w:jc w:val="left"/>
                              <w:textAlignment w:val="auto"/>
                              <w:rPr>
                                <w:rFonts w:hint="default" w:ascii="Times New Roman" w:hAnsi="Times New Roman" w:cs="Times New Roman" w:eastAsiaTheme="minorEastAsia"/>
                                <w:b/>
                                <w:bCs/>
                                <w:color w:val="auto"/>
                                <w:sz w:val="24"/>
                                <w:szCs w:val="24"/>
                                <w:lang w:val="en-US" w:eastAsia="zh-CN"/>
                              </w:rPr>
                            </w:pPr>
                            <w:r>
                              <w:rPr>
                                <w:rFonts w:hint="eastAsia" w:ascii="Times New Roman" w:hAnsi="Times New Roman" w:cs="Times New Roman"/>
                                <w:b/>
                                <w:bCs/>
                                <w:color w:val="auto"/>
                                <w:sz w:val="24"/>
                                <w:szCs w:val="24"/>
                                <w:lang w:val="en-US" w:eastAsia="zh-CN"/>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2.45pt;margin-top:13.85pt;height:25.5pt;width:21.45pt;z-index:251660288;mso-width-relative:page;mso-height-relative:page;" fillcolor="#FFFFFF [3212]" filled="t" stroked="t" coordsize="21600,21600" o:gfxdata="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EMK+xzYAAAACQEAAA8A&#10;AAAAAAAAAQAgAAAAIgAAAGRycy9kb3ducmV2LnhtbFBLAQIUABQAAAAIAIdO4kCTewClUAIAALkE&#10;AAAOAAAAAAAAAAEAIAAAACcBAABkcnMvZTJvRG9jLnhtbFBLBQYAAAAABgAGAFkBAADpBQAAAAA=&#10;">
                <v:fill on="t" focussize="0,0"/>
                <v:stroke weight="0.5pt" color="#FFFFFF [3212]" joinstyle="round"/>
                <v:imagedata o:title=""/>
                <o:lock v:ext="edit" aspectratio="f"/>
                <v:textbox>
                  <w:txbxContent>
                    <w:p w14:paraId="382CF095">
                      <w:pPr>
                        <w:keepNext w:val="0"/>
                        <w:keepLines w:val="0"/>
                        <w:pageBreakBefore w:val="0"/>
                        <w:widowControl w:val="0"/>
                        <w:kinsoku/>
                        <w:wordWrap/>
                        <w:overflowPunct/>
                        <w:topLinePunct w:val="0"/>
                        <w:bidi w:val="0"/>
                        <w:adjustRightInd/>
                        <w:snapToGrid/>
                        <w:spacing w:line="240" w:lineRule="atLeast"/>
                        <w:jc w:val="left"/>
                        <w:textAlignment w:val="auto"/>
                        <w:rPr>
                          <w:rFonts w:hint="default" w:ascii="Times New Roman" w:hAnsi="Times New Roman" w:cs="Times New Roman" w:eastAsiaTheme="minorEastAsia"/>
                          <w:b/>
                          <w:bCs/>
                          <w:color w:val="auto"/>
                          <w:sz w:val="24"/>
                          <w:szCs w:val="24"/>
                          <w:lang w:val="en-US" w:eastAsia="zh-CN"/>
                        </w:rPr>
                      </w:pPr>
                      <w:r>
                        <w:rPr>
                          <w:rFonts w:hint="eastAsia" w:ascii="Times New Roman" w:hAnsi="Times New Roman" w:cs="Times New Roman"/>
                          <w:b/>
                          <w:bCs/>
                          <w:color w:val="auto"/>
                          <w:sz w:val="24"/>
                          <w:szCs w:val="24"/>
                          <w:lang w:val="en-US" w:eastAsia="zh-CN"/>
                        </w:rPr>
                        <w:t>b</w:t>
                      </w:r>
                    </w:p>
                  </w:txbxContent>
                </v:textbox>
              </v:shape>
            </w:pict>
          </mc:Fallback>
        </mc:AlternateContent>
      </w:r>
      <w:r>
        <w:rPr>
          <w:sz w:val="21"/>
        </w:rPr>
        <mc:AlternateContent>
          <mc:Choice Requires="wps">
            <w:drawing>
              <wp:anchor distT="0" distB="0" distL="114300" distR="114300" simplePos="0" relativeHeight="251659264" behindDoc="0" locked="0" layoutInCell="1" allowOverlap="1">
                <wp:simplePos x="0" y="0"/>
                <wp:positionH relativeFrom="column">
                  <wp:posOffset>2300605</wp:posOffset>
                </wp:positionH>
                <wp:positionV relativeFrom="paragraph">
                  <wp:posOffset>222885</wp:posOffset>
                </wp:positionV>
                <wp:extent cx="272415" cy="323850"/>
                <wp:effectExtent l="4445" t="5080" r="15240" b="13970"/>
                <wp:wrapNone/>
                <wp:docPr id="15" name="文本框 15"/>
                <wp:cNvGraphicFramePr/>
                <a:graphic xmlns:a="http://schemas.openxmlformats.org/drawingml/2006/main">
                  <a:graphicData uri="http://schemas.microsoft.com/office/word/2010/wordprocessingShape">
                    <wps:wsp>
                      <wps:cNvSpPr txBox="1"/>
                      <wps:spPr>
                        <a:xfrm>
                          <a:off x="1144905" y="4770120"/>
                          <a:ext cx="272415" cy="323850"/>
                        </a:xfrm>
                        <a:prstGeom prst="rect">
                          <a:avLst/>
                        </a:prstGeom>
                        <a:solidFill>
                          <a:schemeClr val="bg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14:paraId="5C6F8F12">
                            <w:pPr>
                              <w:keepNext w:val="0"/>
                              <w:keepLines w:val="0"/>
                              <w:pageBreakBefore w:val="0"/>
                              <w:widowControl w:val="0"/>
                              <w:kinsoku/>
                              <w:wordWrap/>
                              <w:overflowPunct/>
                              <w:topLinePunct w:val="0"/>
                              <w:bidi w:val="0"/>
                              <w:adjustRightInd/>
                              <w:snapToGrid/>
                              <w:spacing w:line="240" w:lineRule="atLeast"/>
                              <w:jc w:val="left"/>
                              <w:textAlignment w:val="auto"/>
                              <w:rPr>
                                <w:rFonts w:hint="default" w:ascii="Times New Roman" w:hAnsi="Times New Roman" w:cs="Times New Roman" w:eastAsiaTheme="minorEastAsia"/>
                                <w:b/>
                                <w:bCs/>
                                <w:color w:val="auto"/>
                                <w:sz w:val="24"/>
                                <w:szCs w:val="24"/>
                                <w:lang w:val="en-US" w:eastAsia="zh-CN"/>
                              </w:rPr>
                            </w:pPr>
                            <w:r>
                              <w:rPr>
                                <w:rFonts w:hint="default" w:ascii="Times New Roman" w:hAnsi="Times New Roman" w:cs="Times New Roman"/>
                                <w:b/>
                                <w:bCs/>
                                <w:color w:val="auto"/>
                                <w:sz w:val="24"/>
                                <w:szCs w:val="24"/>
                                <w:lang w:val="en-US" w:eastAsia="zh-CN"/>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1.15pt;margin-top:17.55pt;height:25.5pt;width:21.45pt;z-index:251659264;mso-width-relative:page;mso-height-relative:page;" fillcolor="#FFFFFF [3212]" filled="t" stroked="t" coordsize="21600,21600" o:gfxdata="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1Dq9NcA&#10;AAAJAQAADwAAAAAAAAABACAAAAAiAAAAZHJzL2Rvd25yZXYueG1sUEsBAhQAFAAAAAgAh07iQGYA&#10;iEhZAgAAxQQAAA4AAAAAAAAAAQAgAAAAJgEAAGRycy9lMm9Eb2MueG1sUEsFBgAAAAAGAAYAWQEA&#10;APEFAAAAAA==&#10;">
                <v:fill on="t" focussize="0,0"/>
                <v:stroke weight="0.5pt" color="#FFFFFF [3212]" joinstyle="round"/>
                <v:imagedata o:title=""/>
                <o:lock v:ext="edit" aspectratio="f"/>
                <v:textbox>
                  <w:txbxContent>
                    <w:p w14:paraId="5C6F8F12">
                      <w:pPr>
                        <w:keepNext w:val="0"/>
                        <w:keepLines w:val="0"/>
                        <w:pageBreakBefore w:val="0"/>
                        <w:widowControl w:val="0"/>
                        <w:kinsoku/>
                        <w:wordWrap/>
                        <w:overflowPunct/>
                        <w:topLinePunct w:val="0"/>
                        <w:bidi w:val="0"/>
                        <w:adjustRightInd/>
                        <w:snapToGrid/>
                        <w:spacing w:line="240" w:lineRule="atLeast"/>
                        <w:jc w:val="left"/>
                        <w:textAlignment w:val="auto"/>
                        <w:rPr>
                          <w:rFonts w:hint="default" w:ascii="Times New Roman" w:hAnsi="Times New Roman" w:cs="Times New Roman" w:eastAsiaTheme="minorEastAsia"/>
                          <w:b/>
                          <w:bCs/>
                          <w:color w:val="auto"/>
                          <w:sz w:val="24"/>
                          <w:szCs w:val="24"/>
                          <w:lang w:val="en-US" w:eastAsia="zh-CN"/>
                        </w:rPr>
                      </w:pPr>
                      <w:r>
                        <w:rPr>
                          <w:rFonts w:hint="default" w:ascii="Times New Roman" w:hAnsi="Times New Roman" w:cs="Times New Roman"/>
                          <w:b/>
                          <w:bCs/>
                          <w:color w:val="auto"/>
                          <w:sz w:val="24"/>
                          <w:szCs w:val="24"/>
                          <w:lang w:val="en-US" w:eastAsia="zh-CN"/>
                        </w:rPr>
                        <w:t>a</w:t>
                      </w:r>
                    </w:p>
                  </w:txbxContent>
                </v:textbox>
              </v:shape>
            </w:pict>
          </mc:Fallback>
        </mc:AlternateContent>
      </w:r>
      <w:r>
        <w:drawing>
          <wp:inline distT="0" distB="0" distL="114300" distR="114300">
            <wp:extent cx="2774315" cy="1794510"/>
            <wp:effectExtent l="0" t="0" r="6985" b="889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3"/>
                    <a:stretch>
                      <a:fillRect/>
                    </a:stretch>
                  </pic:blipFill>
                  <pic:spPr>
                    <a:xfrm>
                      <a:off x="0" y="0"/>
                      <a:ext cx="2774315" cy="179451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621280" cy="1817370"/>
            <wp:effectExtent l="0" t="0" r="7620" b="1143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14"/>
                    <a:stretch>
                      <a:fillRect/>
                    </a:stretch>
                  </pic:blipFill>
                  <pic:spPr>
                    <a:xfrm>
                      <a:off x="0" y="0"/>
                      <a:ext cx="2621280" cy="1817370"/>
                    </a:xfrm>
                    <a:prstGeom prst="rect">
                      <a:avLst/>
                    </a:prstGeom>
                    <a:noFill/>
                    <a:ln>
                      <a:noFill/>
                    </a:ln>
                  </pic:spPr>
                </pic:pic>
              </a:graphicData>
            </a:graphic>
          </wp:inline>
        </w:drawing>
      </w:r>
    </w:p>
    <w:p w14:paraId="68548D83">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pPr>
      <w:r>
        <w:rPr>
          <w:sz w:val="21"/>
        </w:rPr>
        <mc:AlternateContent>
          <mc:Choice Requires="wps">
            <w:drawing>
              <wp:anchor distT="0" distB="0" distL="114300" distR="114300" simplePos="0" relativeHeight="251662336" behindDoc="0" locked="0" layoutInCell="1" allowOverlap="1">
                <wp:simplePos x="0" y="0"/>
                <wp:positionH relativeFrom="column">
                  <wp:posOffset>5086350</wp:posOffset>
                </wp:positionH>
                <wp:positionV relativeFrom="paragraph">
                  <wp:posOffset>170815</wp:posOffset>
                </wp:positionV>
                <wp:extent cx="272415" cy="323850"/>
                <wp:effectExtent l="4445" t="5080" r="15240" b="13970"/>
                <wp:wrapNone/>
                <wp:docPr id="19" name="文本框 19"/>
                <wp:cNvGraphicFramePr/>
                <a:graphic xmlns:a="http://schemas.openxmlformats.org/drawingml/2006/main">
                  <a:graphicData uri="http://schemas.microsoft.com/office/word/2010/wordprocessingShape">
                    <wps:wsp>
                      <wps:cNvSpPr txBox="1"/>
                      <wps:spPr>
                        <a:xfrm>
                          <a:off x="0" y="0"/>
                          <a:ext cx="272415" cy="323850"/>
                        </a:xfrm>
                        <a:prstGeom prst="rect">
                          <a:avLst/>
                        </a:prstGeom>
                        <a:solidFill>
                          <a:schemeClr val="bg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14:paraId="492513AE">
                            <w:pPr>
                              <w:keepNext w:val="0"/>
                              <w:keepLines w:val="0"/>
                              <w:pageBreakBefore w:val="0"/>
                              <w:widowControl w:val="0"/>
                              <w:kinsoku/>
                              <w:wordWrap/>
                              <w:overflowPunct/>
                              <w:topLinePunct w:val="0"/>
                              <w:bidi w:val="0"/>
                              <w:adjustRightInd/>
                              <w:snapToGrid/>
                              <w:spacing w:line="240" w:lineRule="atLeast"/>
                              <w:jc w:val="left"/>
                              <w:textAlignment w:val="auto"/>
                              <w:rPr>
                                <w:rFonts w:hint="default" w:ascii="Times New Roman" w:hAnsi="Times New Roman" w:cs="Times New Roman" w:eastAsiaTheme="minorEastAsia"/>
                                <w:b/>
                                <w:bCs/>
                                <w:color w:val="auto"/>
                                <w:sz w:val="24"/>
                                <w:szCs w:val="24"/>
                                <w:lang w:val="en-US" w:eastAsia="zh-CN"/>
                              </w:rPr>
                            </w:pPr>
                            <w:r>
                              <w:rPr>
                                <w:rFonts w:hint="eastAsia" w:ascii="Times New Roman" w:hAnsi="Times New Roman" w:cs="Times New Roman"/>
                                <w:b/>
                                <w:bCs/>
                                <w:color w:val="auto"/>
                                <w:sz w:val="24"/>
                                <w:szCs w:val="24"/>
                                <w:lang w:val="en-US" w:eastAsia="zh-CN"/>
                              </w:rPr>
                              <w:t>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0.5pt;margin-top:13.45pt;height:25.5pt;width:21.45pt;z-index:251662336;mso-width-relative:page;mso-height-relative:page;" fillcolor="#FFFFFF [3212]" filled="t" stroked="t" coordsize="21600,21600" o:gfxdata="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CArJdF2QAAAAkBAAAP&#10;AAAAAAAAAAEAIAAAACIAAABkcnMvZG93bnJldi54bWxQSwECFAAUAAAACACHTuJA0py3F1ACAAC5&#10;BAAADgAAAAAAAAABACAAAAAoAQAAZHJzL2Uyb0RvYy54bWxQSwUGAAAAAAYABgBZAQAA6gUAAAAA&#10;">
                <v:fill on="t" focussize="0,0"/>
                <v:stroke weight="0.5pt" color="#FFFFFF [3212]" joinstyle="round"/>
                <v:imagedata o:title=""/>
                <o:lock v:ext="edit" aspectratio="f"/>
                <v:textbox>
                  <w:txbxContent>
                    <w:p w14:paraId="492513AE">
                      <w:pPr>
                        <w:keepNext w:val="0"/>
                        <w:keepLines w:val="0"/>
                        <w:pageBreakBefore w:val="0"/>
                        <w:widowControl w:val="0"/>
                        <w:kinsoku/>
                        <w:wordWrap/>
                        <w:overflowPunct/>
                        <w:topLinePunct w:val="0"/>
                        <w:bidi w:val="0"/>
                        <w:adjustRightInd/>
                        <w:snapToGrid/>
                        <w:spacing w:line="240" w:lineRule="atLeast"/>
                        <w:jc w:val="left"/>
                        <w:textAlignment w:val="auto"/>
                        <w:rPr>
                          <w:rFonts w:hint="default" w:ascii="Times New Roman" w:hAnsi="Times New Roman" w:cs="Times New Roman" w:eastAsiaTheme="minorEastAsia"/>
                          <w:b/>
                          <w:bCs/>
                          <w:color w:val="auto"/>
                          <w:sz w:val="24"/>
                          <w:szCs w:val="24"/>
                          <w:lang w:val="en-US" w:eastAsia="zh-CN"/>
                        </w:rPr>
                      </w:pPr>
                      <w:r>
                        <w:rPr>
                          <w:rFonts w:hint="eastAsia" w:ascii="Times New Roman" w:hAnsi="Times New Roman" w:cs="Times New Roman"/>
                          <w:b/>
                          <w:bCs/>
                          <w:color w:val="auto"/>
                          <w:sz w:val="24"/>
                          <w:szCs w:val="24"/>
                          <w:lang w:val="en-US" w:eastAsia="zh-CN"/>
                        </w:rPr>
                        <w:t>d</w:t>
                      </w:r>
                    </w:p>
                  </w:txbxContent>
                </v:textbox>
              </v:shape>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2423160</wp:posOffset>
                </wp:positionH>
                <wp:positionV relativeFrom="paragraph">
                  <wp:posOffset>187960</wp:posOffset>
                </wp:positionV>
                <wp:extent cx="272415" cy="323850"/>
                <wp:effectExtent l="4445" t="5080" r="15240" b="13970"/>
                <wp:wrapNone/>
                <wp:docPr id="17" name="文本框 17"/>
                <wp:cNvGraphicFramePr/>
                <a:graphic xmlns:a="http://schemas.openxmlformats.org/drawingml/2006/main">
                  <a:graphicData uri="http://schemas.microsoft.com/office/word/2010/wordprocessingShape">
                    <wps:wsp>
                      <wps:cNvSpPr txBox="1"/>
                      <wps:spPr>
                        <a:xfrm>
                          <a:off x="0" y="0"/>
                          <a:ext cx="272415" cy="323850"/>
                        </a:xfrm>
                        <a:prstGeom prst="rect">
                          <a:avLst/>
                        </a:prstGeom>
                        <a:solidFill>
                          <a:schemeClr val="bg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14:paraId="4C08B6AA">
                            <w:pPr>
                              <w:keepNext w:val="0"/>
                              <w:keepLines w:val="0"/>
                              <w:pageBreakBefore w:val="0"/>
                              <w:widowControl w:val="0"/>
                              <w:kinsoku/>
                              <w:wordWrap/>
                              <w:overflowPunct/>
                              <w:topLinePunct w:val="0"/>
                              <w:bidi w:val="0"/>
                              <w:adjustRightInd/>
                              <w:snapToGrid/>
                              <w:spacing w:line="240" w:lineRule="atLeast"/>
                              <w:jc w:val="left"/>
                              <w:textAlignment w:val="auto"/>
                              <w:rPr>
                                <w:rFonts w:hint="default" w:ascii="Times New Roman" w:hAnsi="Times New Roman" w:cs="Times New Roman" w:eastAsiaTheme="minorEastAsia"/>
                                <w:b/>
                                <w:bCs/>
                                <w:color w:val="auto"/>
                                <w:sz w:val="24"/>
                                <w:szCs w:val="24"/>
                                <w:lang w:val="en-US" w:eastAsia="zh-CN"/>
                              </w:rPr>
                            </w:pPr>
                            <w:r>
                              <w:rPr>
                                <w:rFonts w:hint="eastAsia" w:ascii="Times New Roman" w:hAnsi="Times New Roman" w:cs="Times New Roman"/>
                                <w:b/>
                                <w:bCs/>
                                <w:color w:val="auto"/>
                                <w:sz w:val="24"/>
                                <w:szCs w:val="24"/>
                                <w:lang w:val="en-US" w:eastAsia="zh-CN"/>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0.8pt;margin-top:14.8pt;height:25.5pt;width:21.45pt;z-index:251661312;mso-width-relative:page;mso-height-relative:page;" fillcolor="#FFFFFF [3212]" filled="t" stroked="t" coordsize="21600,21600" o:gfxdata="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iQnxi2QAAAAkBAAAP&#10;AAAAAAAAAAEAIAAAACIAAABkcnMvZG93bnJldi54bWxQSwECFAAUAAAACACHTuJAdcMG1FACAAC5&#10;BAAADgAAAAAAAAABACAAAAAoAQAAZHJzL2Uyb0RvYy54bWxQSwUGAAAAAAYABgBZAQAA6gUAAAAA&#10;">
                <v:fill on="t" focussize="0,0"/>
                <v:stroke weight="0.5pt" color="#FFFFFF [3212]" joinstyle="round"/>
                <v:imagedata o:title=""/>
                <o:lock v:ext="edit" aspectratio="f"/>
                <v:textbox>
                  <w:txbxContent>
                    <w:p w14:paraId="4C08B6AA">
                      <w:pPr>
                        <w:keepNext w:val="0"/>
                        <w:keepLines w:val="0"/>
                        <w:pageBreakBefore w:val="0"/>
                        <w:widowControl w:val="0"/>
                        <w:kinsoku/>
                        <w:wordWrap/>
                        <w:overflowPunct/>
                        <w:topLinePunct w:val="0"/>
                        <w:bidi w:val="0"/>
                        <w:adjustRightInd/>
                        <w:snapToGrid/>
                        <w:spacing w:line="240" w:lineRule="atLeast"/>
                        <w:jc w:val="left"/>
                        <w:textAlignment w:val="auto"/>
                        <w:rPr>
                          <w:rFonts w:hint="default" w:ascii="Times New Roman" w:hAnsi="Times New Roman" w:cs="Times New Roman" w:eastAsiaTheme="minorEastAsia"/>
                          <w:b/>
                          <w:bCs/>
                          <w:color w:val="auto"/>
                          <w:sz w:val="24"/>
                          <w:szCs w:val="24"/>
                          <w:lang w:val="en-US" w:eastAsia="zh-CN"/>
                        </w:rPr>
                      </w:pPr>
                      <w:r>
                        <w:rPr>
                          <w:rFonts w:hint="eastAsia" w:ascii="Times New Roman" w:hAnsi="Times New Roman" w:cs="Times New Roman"/>
                          <w:b/>
                          <w:bCs/>
                          <w:color w:val="auto"/>
                          <w:sz w:val="24"/>
                          <w:szCs w:val="24"/>
                          <w:lang w:val="en-US" w:eastAsia="zh-CN"/>
                        </w:rPr>
                        <w:t>c</w:t>
                      </w:r>
                    </w:p>
                  </w:txbxContent>
                </v:textbox>
              </v:shape>
            </w:pict>
          </mc:Fallback>
        </mc:AlternateContent>
      </w:r>
      <w:r>
        <w:rPr>
          <w:rFonts w:hint="eastAsia"/>
          <w:lang w:val="en-US" w:eastAsia="zh-CN"/>
        </w:rPr>
        <w:t xml:space="preserve"> </w:t>
      </w:r>
      <w:r>
        <w:drawing>
          <wp:inline distT="0" distB="0" distL="114300" distR="114300">
            <wp:extent cx="2689225" cy="1781810"/>
            <wp:effectExtent l="0" t="0" r="3175" b="889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5"/>
                    <a:stretch>
                      <a:fillRect/>
                    </a:stretch>
                  </pic:blipFill>
                  <pic:spPr>
                    <a:xfrm>
                      <a:off x="0" y="0"/>
                      <a:ext cx="2689225" cy="178181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626360" cy="1782445"/>
            <wp:effectExtent l="0" t="0" r="2540" b="8255"/>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16"/>
                    <a:stretch>
                      <a:fillRect/>
                    </a:stretch>
                  </pic:blipFill>
                  <pic:spPr>
                    <a:xfrm>
                      <a:off x="0" y="0"/>
                      <a:ext cx="2626360" cy="1782445"/>
                    </a:xfrm>
                    <a:prstGeom prst="rect">
                      <a:avLst/>
                    </a:prstGeom>
                    <a:noFill/>
                    <a:ln>
                      <a:noFill/>
                    </a:ln>
                  </pic:spPr>
                </pic:pic>
              </a:graphicData>
            </a:graphic>
          </wp:inline>
        </w:drawing>
      </w:r>
    </w:p>
    <w:p w14:paraId="3A1BAD16">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pPr>
      <w:r>
        <w:rPr>
          <w:sz w:val="21"/>
        </w:rPr>
        <mc:AlternateContent>
          <mc:Choice Requires="wps">
            <w:drawing>
              <wp:anchor distT="0" distB="0" distL="114300" distR="114300" simplePos="0" relativeHeight="251664384" behindDoc="0" locked="0" layoutInCell="1" allowOverlap="1">
                <wp:simplePos x="0" y="0"/>
                <wp:positionH relativeFrom="column">
                  <wp:posOffset>5008880</wp:posOffset>
                </wp:positionH>
                <wp:positionV relativeFrom="paragraph">
                  <wp:posOffset>83820</wp:posOffset>
                </wp:positionV>
                <wp:extent cx="272415" cy="323850"/>
                <wp:effectExtent l="4445" t="5080" r="15240" b="13970"/>
                <wp:wrapNone/>
                <wp:docPr id="23" name="文本框 23"/>
                <wp:cNvGraphicFramePr/>
                <a:graphic xmlns:a="http://schemas.openxmlformats.org/drawingml/2006/main">
                  <a:graphicData uri="http://schemas.microsoft.com/office/word/2010/wordprocessingShape">
                    <wps:wsp>
                      <wps:cNvSpPr txBox="1"/>
                      <wps:spPr>
                        <a:xfrm>
                          <a:off x="0" y="0"/>
                          <a:ext cx="272415" cy="323850"/>
                        </a:xfrm>
                        <a:prstGeom prst="rect">
                          <a:avLst/>
                        </a:prstGeom>
                        <a:solidFill>
                          <a:schemeClr val="bg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14:paraId="06EFC2A7">
                            <w:pPr>
                              <w:keepNext w:val="0"/>
                              <w:keepLines w:val="0"/>
                              <w:pageBreakBefore w:val="0"/>
                              <w:widowControl w:val="0"/>
                              <w:kinsoku/>
                              <w:wordWrap/>
                              <w:overflowPunct/>
                              <w:topLinePunct w:val="0"/>
                              <w:bidi w:val="0"/>
                              <w:adjustRightInd/>
                              <w:snapToGrid/>
                              <w:spacing w:line="240" w:lineRule="atLeast"/>
                              <w:jc w:val="left"/>
                              <w:textAlignment w:val="auto"/>
                              <w:rPr>
                                <w:rFonts w:hint="default" w:ascii="Times New Roman" w:hAnsi="Times New Roman" w:cs="Times New Roman" w:eastAsiaTheme="minorEastAsia"/>
                                <w:b/>
                                <w:bCs/>
                                <w:color w:val="auto"/>
                                <w:sz w:val="24"/>
                                <w:szCs w:val="24"/>
                                <w:lang w:val="en-US" w:eastAsia="zh-CN"/>
                              </w:rPr>
                            </w:pPr>
                            <w:r>
                              <w:rPr>
                                <w:rFonts w:hint="eastAsia" w:ascii="Times New Roman" w:hAnsi="Times New Roman" w:cs="Times New Roman"/>
                                <w:b/>
                                <w:bCs/>
                                <w:color w:val="auto"/>
                                <w:sz w:val="24"/>
                                <w:szCs w:val="24"/>
                                <w:lang w:val="en-US" w:eastAsia="zh-CN"/>
                              </w:rPr>
                              <w:t>f</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4.4pt;margin-top:6.6pt;height:25.5pt;width:21.45pt;z-index:251664384;mso-width-relative:page;mso-height-relative:page;" fillcolor="#FFFFFF [3212]" filled="t" stroked="t" coordsize="21600,21600" o:gfxdata="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FUHFKLXAAAACQEAAA8A&#10;AAAAAAAAAQAgAAAAIgAAAGRycy9kb3ducmV2LnhtbFBLAQIUABQAAAAIAIdO4kCz5EUQUQIAALkE&#10;AAAOAAAAAAAAAAEAIAAAACYBAABkcnMvZTJvRG9jLnhtbFBLBQYAAAAABgAGAFkBAADpBQAAAAA=&#10;">
                <v:fill on="t" focussize="0,0"/>
                <v:stroke weight="0.5pt" color="#FFFFFF [3212]" joinstyle="round"/>
                <v:imagedata o:title=""/>
                <o:lock v:ext="edit" aspectratio="f"/>
                <v:textbox>
                  <w:txbxContent>
                    <w:p w14:paraId="06EFC2A7">
                      <w:pPr>
                        <w:keepNext w:val="0"/>
                        <w:keepLines w:val="0"/>
                        <w:pageBreakBefore w:val="0"/>
                        <w:widowControl w:val="0"/>
                        <w:kinsoku/>
                        <w:wordWrap/>
                        <w:overflowPunct/>
                        <w:topLinePunct w:val="0"/>
                        <w:bidi w:val="0"/>
                        <w:adjustRightInd/>
                        <w:snapToGrid/>
                        <w:spacing w:line="240" w:lineRule="atLeast"/>
                        <w:jc w:val="left"/>
                        <w:textAlignment w:val="auto"/>
                        <w:rPr>
                          <w:rFonts w:hint="default" w:ascii="Times New Roman" w:hAnsi="Times New Roman" w:cs="Times New Roman" w:eastAsiaTheme="minorEastAsia"/>
                          <w:b/>
                          <w:bCs/>
                          <w:color w:val="auto"/>
                          <w:sz w:val="24"/>
                          <w:szCs w:val="24"/>
                          <w:lang w:val="en-US" w:eastAsia="zh-CN"/>
                        </w:rPr>
                      </w:pPr>
                      <w:r>
                        <w:rPr>
                          <w:rFonts w:hint="eastAsia" w:ascii="Times New Roman" w:hAnsi="Times New Roman" w:cs="Times New Roman"/>
                          <w:b/>
                          <w:bCs/>
                          <w:color w:val="auto"/>
                          <w:sz w:val="24"/>
                          <w:szCs w:val="24"/>
                          <w:lang w:val="en-US" w:eastAsia="zh-CN"/>
                        </w:rPr>
                        <w:t>f</w:t>
                      </w:r>
                    </w:p>
                  </w:txbxContent>
                </v:textbox>
              </v:shape>
            </w:pict>
          </mc:Fallback>
        </mc:AlternateContent>
      </w:r>
      <w:r>
        <w:rPr>
          <w:sz w:val="21"/>
        </w:rPr>
        <mc:AlternateContent>
          <mc:Choice Requires="wps">
            <w:drawing>
              <wp:anchor distT="0" distB="0" distL="114300" distR="114300" simplePos="0" relativeHeight="251663360" behindDoc="0" locked="0" layoutInCell="1" allowOverlap="1">
                <wp:simplePos x="0" y="0"/>
                <wp:positionH relativeFrom="column">
                  <wp:posOffset>2390775</wp:posOffset>
                </wp:positionH>
                <wp:positionV relativeFrom="paragraph">
                  <wp:posOffset>71755</wp:posOffset>
                </wp:positionV>
                <wp:extent cx="272415" cy="323850"/>
                <wp:effectExtent l="4445" t="5080" r="15240" b="13970"/>
                <wp:wrapNone/>
                <wp:docPr id="22" name="文本框 22"/>
                <wp:cNvGraphicFramePr/>
                <a:graphic xmlns:a="http://schemas.openxmlformats.org/drawingml/2006/main">
                  <a:graphicData uri="http://schemas.microsoft.com/office/word/2010/wordprocessingShape">
                    <wps:wsp>
                      <wps:cNvSpPr txBox="1"/>
                      <wps:spPr>
                        <a:xfrm>
                          <a:off x="0" y="0"/>
                          <a:ext cx="272415" cy="323850"/>
                        </a:xfrm>
                        <a:prstGeom prst="rect">
                          <a:avLst/>
                        </a:prstGeom>
                        <a:solidFill>
                          <a:schemeClr val="bg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14:paraId="7E60AD25">
                            <w:pPr>
                              <w:keepNext w:val="0"/>
                              <w:keepLines w:val="0"/>
                              <w:pageBreakBefore w:val="0"/>
                              <w:widowControl w:val="0"/>
                              <w:kinsoku/>
                              <w:wordWrap/>
                              <w:overflowPunct/>
                              <w:topLinePunct w:val="0"/>
                              <w:bidi w:val="0"/>
                              <w:adjustRightInd/>
                              <w:snapToGrid/>
                              <w:spacing w:line="240" w:lineRule="atLeast"/>
                              <w:jc w:val="left"/>
                              <w:textAlignment w:val="auto"/>
                              <w:rPr>
                                <w:rFonts w:hint="default" w:ascii="Times New Roman" w:hAnsi="Times New Roman" w:cs="Times New Roman" w:eastAsiaTheme="minorEastAsia"/>
                                <w:b/>
                                <w:bCs/>
                                <w:color w:val="auto"/>
                                <w:sz w:val="24"/>
                                <w:szCs w:val="24"/>
                                <w:lang w:val="en-US" w:eastAsia="zh-CN"/>
                              </w:rPr>
                            </w:pPr>
                            <w:r>
                              <w:rPr>
                                <w:rFonts w:hint="eastAsia" w:ascii="Times New Roman" w:hAnsi="Times New Roman" w:cs="Times New Roman"/>
                                <w:b/>
                                <w:bCs/>
                                <w:color w:val="auto"/>
                                <w:sz w:val="24"/>
                                <w:szCs w:val="24"/>
                                <w:lang w:val="en-US" w:eastAsia="zh-CN"/>
                              </w:rPr>
                              <w: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8.25pt;margin-top:5.65pt;height:25.5pt;width:21.45pt;z-index:251663360;mso-width-relative:page;mso-height-relative:page;" fillcolor="#FFFFFF [3212]" filled="t" stroked="t" coordsize="21600,21600" o:gfxdata="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xjAv22AAAAAkBAAAP&#10;AAAAAAAAAAEAIAAAACIAAABkcnMvZG93bnJldi54bWxQSwECFAAUAAAACACHTuJAVVxDYVECAAC5&#10;BAAADgAAAAAAAAABACAAAAAnAQAAZHJzL2Uyb0RvYy54bWxQSwUGAAAAAAYABgBZAQAA6gUAAAAA&#10;">
                <v:fill on="t" focussize="0,0"/>
                <v:stroke weight="0.5pt" color="#FFFFFF [3212]" joinstyle="round"/>
                <v:imagedata o:title=""/>
                <o:lock v:ext="edit" aspectratio="f"/>
                <v:textbox>
                  <w:txbxContent>
                    <w:p w14:paraId="7E60AD25">
                      <w:pPr>
                        <w:keepNext w:val="0"/>
                        <w:keepLines w:val="0"/>
                        <w:pageBreakBefore w:val="0"/>
                        <w:widowControl w:val="0"/>
                        <w:kinsoku/>
                        <w:wordWrap/>
                        <w:overflowPunct/>
                        <w:topLinePunct w:val="0"/>
                        <w:bidi w:val="0"/>
                        <w:adjustRightInd/>
                        <w:snapToGrid/>
                        <w:spacing w:line="240" w:lineRule="atLeast"/>
                        <w:jc w:val="left"/>
                        <w:textAlignment w:val="auto"/>
                        <w:rPr>
                          <w:rFonts w:hint="default" w:ascii="Times New Roman" w:hAnsi="Times New Roman" w:cs="Times New Roman" w:eastAsiaTheme="minorEastAsia"/>
                          <w:b/>
                          <w:bCs/>
                          <w:color w:val="auto"/>
                          <w:sz w:val="24"/>
                          <w:szCs w:val="24"/>
                          <w:lang w:val="en-US" w:eastAsia="zh-CN"/>
                        </w:rPr>
                      </w:pPr>
                      <w:r>
                        <w:rPr>
                          <w:rFonts w:hint="eastAsia" w:ascii="Times New Roman" w:hAnsi="Times New Roman" w:cs="Times New Roman"/>
                          <w:b/>
                          <w:bCs/>
                          <w:color w:val="auto"/>
                          <w:sz w:val="24"/>
                          <w:szCs w:val="24"/>
                          <w:lang w:val="en-US" w:eastAsia="zh-CN"/>
                        </w:rPr>
                        <w:t>e</w:t>
                      </w:r>
                    </w:p>
                  </w:txbxContent>
                </v:textbox>
              </v:shape>
            </w:pict>
          </mc:Fallback>
        </mc:AlternateContent>
      </w:r>
      <w:r>
        <w:drawing>
          <wp:inline distT="0" distB="0" distL="114300" distR="114300">
            <wp:extent cx="2733675" cy="1765935"/>
            <wp:effectExtent l="0" t="0" r="9525" b="12065"/>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17"/>
                    <a:stretch>
                      <a:fillRect/>
                    </a:stretch>
                  </pic:blipFill>
                  <pic:spPr>
                    <a:xfrm>
                      <a:off x="0" y="0"/>
                      <a:ext cx="2733675" cy="176593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615565" cy="1770380"/>
            <wp:effectExtent l="0" t="0" r="635" b="762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18"/>
                    <a:stretch>
                      <a:fillRect/>
                    </a:stretch>
                  </pic:blipFill>
                  <pic:spPr>
                    <a:xfrm>
                      <a:off x="0" y="0"/>
                      <a:ext cx="2615565" cy="1770380"/>
                    </a:xfrm>
                    <a:prstGeom prst="rect">
                      <a:avLst/>
                    </a:prstGeom>
                    <a:noFill/>
                    <a:ln>
                      <a:noFill/>
                    </a:ln>
                  </pic:spPr>
                </pic:pic>
              </a:graphicData>
            </a:graphic>
          </wp:inline>
        </w:drawing>
      </w:r>
    </w:p>
    <w:p w14:paraId="3F49495F">
      <w:pPr>
        <w:pStyle w:val="5"/>
        <w:spacing w:line="560" w:lineRule="exact"/>
        <w:jc w:val="center"/>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图8荔枝主要农业气象灾害</w:t>
      </w:r>
    </w:p>
    <w:p w14:paraId="174F3B24">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注：a为成花诱导期间暖害造成抽生营养梢；b为前期受寒害影响，坐果初期明显落果；c为花期连阴雨后出现沤花；d为果</w:t>
      </w:r>
      <w:bookmarkStart w:id="1" w:name="_GoBack"/>
      <w:bookmarkEnd w:id="1"/>
      <w:r>
        <w:rPr>
          <w:rFonts w:hint="eastAsia"/>
          <w:lang w:val="en-US" w:eastAsia="zh-CN"/>
        </w:rPr>
        <w:t>实生长期高温干旱造成荔枝假熟；e为暴雨后果实开裂；f为台风造成荔枝倒斜甚至死亡</w:t>
      </w:r>
    </w:p>
    <w:p w14:paraId="21FC33F5">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pPr>
      <w:r>
        <w:drawing>
          <wp:inline distT="0" distB="0" distL="114300" distR="114300">
            <wp:extent cx="3076575" cy="2263775"/>
            <wp:effectExtent l="0" t="0" r="952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9"/>
                    <a:stretch>
                      <a:fillRect/>
                    </a:stretch>
                  </pic:blipFill>
                  <pic:spPr>
                    <a:xfrm>
                      <a:off x="0" y="0"/>
                      <a:ext cx="3076575" cy="2263775"/>
                    </a:xfrm>
                    <a:prstGeom prst="rect">
                      <a:avLst/>
                    </a:prstGeom>
                    <a:noFill/>
                    <a:ln>
                      <a:noFill/>
                    </a:ln>
                  </pic:spPr>
                </pic:pic>
              </a:graphicData>
            </a:graphic>
          </wp:inline>
        </w:drawing>
      </w:r>
    </w:p>
    <w:p w14:paraId="28E1839B">
      <w:pPr>
        <w:pStyle w:val="5"/>
        <w:spacing w:line="560" w:lineRule="exact"/>
        <w:jc w:val="center"/>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图</w:t>
      </w:r>
      <w:r>
        <w:rPr>
          <w:rFonts w:hint="eastAsia" w:hAnsi="宋体" w:eastAsia="宋体" w:cs="宋体"/>
          <w:b/>
          <w:bCs/>
          <w:color w:val="auto"/>
          <w:sz w:val="24"/>
          <w:szCs w:val="24"/>
          <w:lang w:val="en-US" w:eastAsia="zh-CN"/>
        </w:rPr>
        <w:t>9 2011—2024年海南省8个妃子笑示范园</w:t>
      </w:r>
      <w:r>
        <w:rPr>
          <w:rFonts w:hint="eastAsia" w:ascii="宋体" w:hAnsi="宋体" w:eastAsia="宋体" w:cs="宋体"/>
          <w:b/>
          <w:bCs/>
          <w:color w:val="auto"/>
          <w:sz w:val="24"/>
          <w:szCs w:val="24"/>
          <w:lang w:val="en-US" w:eastAsia="zh-CN"/>
        </w:rPr>
        <w:t>气象因子与成花枝率的相关分析</w:t>
      </w:r>
    </w:p>
    <w:p w14:paraId="5E999619">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lang w:val="en-US" w:eastAsia="zh-CN"/>
        </w:rPr>
      </w:pPr>
      <w:r>
        <w:rPr>
          <w:rFonts w:hint="default"/>
          <w:lang w:val="en-US" w:eastAsia="zh-CN"/>
        </w:rPr>
        <w:t>HA：高温积热；CA：低温积寒；Pre：降水量；SD：日照时数：RH：空气相对湿度；Fr：成花枝率</w:t>
      </w:r>
    </w:p>
    <w:p w14:paraId="321F2B10">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5.主要病虫害观测</w:t>
      </w:r>
    </w:p>
    <w:p w14:paraId="7C64230B">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考虑到荔枝病害和虫害的发生发展与气象条件密切相关，本标准中加入了主要病虫害的观测内容，以期深入研究影响病虫害发生发展的有利和不利气象条件，为后期的病虫害绿色防控提供科学依据。</w:t>
      </w:r>
    </w:p>
    <w:p w14:paraId="096503E2">
      <w:pPr>
        <w:pStyle w:val="5"/>
        <w:numPr>
          <w:ilvl w:val="0"/>
          <w:numId w:val="2"/>
        </w:numPr>
        <w:spacing w:line="560" w:lineRule="exact"/>
        <w:ind w:firstLine="645" w:firstLineChars="0"/>
        <w:rPr>
          <w:rFonts w:hint="eastAsia" w:ascii="黑体" w:hAnsi="黑体" w:eastAsia="黑体" w:cs="黑体"/>
          <w:kern w:val="2"/>
          <w:sz w:val="28"/>
          <w:szCs w:val="20"/>
          <w:lang w:val="en-US" w:eastAsia="zh-CN" w:bidi="ar-SA"/>
        </w:rPr>
      </w:pPr>
      <w:r>
        <w:rPr>
          <w:rFonts w:hint="eastAsia" w:ascii="黑体" w:hAnsi="黑体" w:eastAsia="黑体" w:cs="黑体"/>
          <w:kern w:val="2"/>
          <w:sz w:val="28"/>
          <w:szCs w:val="20"/>
          <w:lang w:val="en-US" w:eastAsia="zh-CN" w:bidi="ar-SA"/>
        </w:rPr>
        <w:t>标准中如果涉及专利，应有明确的知识产权说明</w:t>
      </w:r>
    </w:p>
    <w:p w14:paraId="212B4C6F">
      <w:pPr>
        <w:pStyle w:val="5"/>
        <w:numPr>
          <w:ilvl w:val="0"/>
          <w:numId w:val="0"/>
        </w:numPr>
        <w:spacing w:line="560" w:lineRule="exact"/>
        <w:ind w:left="0" w:leftChars="0" w:firstLine="480" w:firstLineChars="2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无。</w:t>
      </w:r>
    </w:p>
    <w:p w14:paraId="54F58C72">
      <w:pPr>
        <w:pStyle w:val="5"/>
        <w:numPr>
          <w:ilvl w:val="0"/>
          <w:numId w:val="0"/>
        </w:numPr>
        <w:spacing w:line="560" w:lineRule="exact"/>
        <w:ind w:firstLine="645" w:firstLineChars="0"/>
        <w:rPr>
          <w:rFonts w:hint="eastAsia" w:ascii="黑体" w:hAnsi="黑体" w:eastAsia="黑体" w:cs="黑体"/>
          <w:sz w:val="28"/>
          <w:szCs w:val="20"/>
          <w:lang w:val="en-US" w:eastAsia="zh-CN"/>
        </w:rPr>
      </w:pPr>
      <w:r>
        <w:rPr>
          <w:rFonts w:hint="eastAsia" w:ascii="黑体" w:hAnsi="黑体" w:eastAsia="黑体" w:cs="黑体"/>
          <w:kern w:val="2"/>
          <w:sz w:val="28"/>
          <w:szCs w:val="20"/>
          <w:lang w:val="en-US" w:eastAsia="zh-CN" w:bidi="ar-SA"/>
        </w:rPr>
        <w:t>七、</w:t>
      </w:r>
      <w:r>
        <w:rPr>
          <w:rFonts w:hint="eastAsia" w:ascii="黑体" w:hAnsi="黑体" w:eastAsia="黑体" w:cs="黑体"/>
          <w:sz w:val="28"/>
          <w:szCs w:val="20"/>
        </w:rPr>
        <w:t>公平竞争审查</w:t>
      </w:r>
      <w:r>
        <w:rPr>
          <w:rFonts w:hint="eastAsia" w:ascii="黑体" w:hAnsi="黑体" w:eastAsia="黑体" w:cs="黑体"/>
          <w:sz w:val="28"/>
          <w:szCs w:val="20"/>
          <w:lang w:val="en-US" w:eastAsia="zh-CN"/>
        </w:rPr>
        <w:t>情况</w:t>
      </w:r>
    </w:p>
    <w:p w14:paraId="390A0E38">
      <w:pPr>
        <w:pStyle w:val="5"/>
        <w:keepNext w:val="0"/>
        <w:keepLines w:val="0"/>
        <w:pageBreakBefore w:val="0"/>
        <w:widowControl/>
        <w:numPr>
          <w:ilvl w:val="0"/>
          <w:numId w:val="0"/>
        </w:numPr>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按照《公平竞争审查条例》规定逐条进行审查，未含有限制或者变相限制市场准入和退出、限制或者变相限制商品要素自由流动、影响经营者生产经营成本、影响经营者生产经营行为等内容，符合《公平竞争审查条例》有关规定。</w:t>
      </w:r>
    </w:p>
    <w:p w14:paraId="4BC42E9C">
      <w:pPr>
        <w:pStyle w:val="5"/>
        <w:numPr>
          <w:ilvl w:val="0"/>
          <w:numId w:val="3"/>
        </w:numPr>
        <w:spacing w:line="560" w:lineRule="exact"/>
        <w:ind w:firstLine="645"/>
        <w:rPr>
          <w:rFonts w:hint="eastAsia" w:ascii="黑体" w:hAnsi="黑体" w:eastAsia="黑体" w:cs="黑体"/>
          <w:color w:val="auto"/>
          <w:sz w:val="28"/>
          <w:szCs w:val="28"/>
        </w:rPr>
      </w:pPr>
      <w:r>
        <w:rPr>
          <w:rFonts w:hint="eastAsia" w:ascii="黑体" w:hAnsi="黑体" w:eastAsia="黑体" w:cs="黑体"/>
          <w:color w:val="auto"/>
          <w:sz w:val="28"/>
          <w:szCs w:val="28"/>
        </w:rPr>
        <w:t>重大意见分歧的处理依据和结果</w:t>
      </w:r>
    </w:p>
    <w:p w14:paraId="2647BE20">
      <w:pPr>
        <w:pStyle w:val="5"/>
        <w:keepNext w:val="0"/>
        <w:keepLines w:val="0"/>
        <w:pageBreakBefore w:val="0"/>
        <w:widowControl/>
        <w:numPr>
          <w:ilvl w:val="0"/>
          <w:numId w:val="0"/>
        </w:numPr>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无。</w:t>
      </w:r>
    </w:p>
    <w:p w14:paraId="52755CA5">
      <w:pPr>
        <w:pStyle w:val="5"/>
        <w:numPr>
          <w:ilvl w:val="0"/>
          <w:numId w:val="3"/>
        </w:numPr>
        <w:spacing w:line="560" w:lineRule="exact"/>
        <w:ind w:left="0" w:leftChars="0" w:firstLine="645" w:firstLineChars="0"/>
        <w:rPr>
          <w:rFonts w:hint="eastAsia" w:ascii="黑体" w:hAnsi="黑体" w:eastAsia="黑体" w:cs="黑体"/>
          <w:color w:val="auto"/>
          <w:sz w:val="28"/>
          <w:szCs w:val="28"/>
        </w:rPr>
      </w:pPr>
      <w:r>
        <w:rPr>
          <w:rFonts w:hint="eastAsia" w:ascii="黑体" w:hAnsi="黑体" w:eastAsia="黑体" w:cs="黑体"/>
          <w:color w:val="auto"/>
          <w:sz w:val="28"/>
          <w:szCs w:val="28"/>
        </w:rPr>
        <w:t>采用国际标准或国外先进标准的，说明采标程度，以及国内外同类标准水平的对比情况</w:t>
      </w:r>
    </w:p>
    <w:p w14:paraId="79CD098D">
      <w:pPr>
        <w:pStyle w:val="5"/>
        <w:keepNext w:val="0"/>
        <w:keepLines w:val="0"/>
        <w:pageBreakBefore w:val="0"/>
        <w:widowControl/>
        <w:numPr>
          <w:ilvl w:val="0"/>
          <w:numId w:val="0"/>
        </w:numPr>
        <w:kinsoku/>
        <w:wordWrap/>
        <w:overflowPunct/>
        <w:topLinePunct w:val="0"/>
        <w:autoSpaceDE/>
        <w:autoSpaceDN/>
        <w:bidi w:val="0"/>
        <w:adjustRightInd/>
        <w:snapToGrid/>
        <w:spacing w:line="560" w:lineRule="exact"/>
        <w:ind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无。</w:t>
      </w:r>
    </w:p>
    <w:p w14:paraId="268C8493">
      <w:pPr>
        <w:pStyle w:val="5"/>
        <w:numPr>
          <w:ilvl w:val="0"/>
          <w:numId w:val="3"/>
        </w:numPr>
        <w:spacing w:line="560" w:lineRule="exact"/>
        <w:ind w:left="0" w:leftChars="0" w:firstLine="645" w:firstLineChars="0"/>
        <w:rPr>
          <w:rFonts w:hint="eastAsia" w:ascii="黑体" w:hAnsi="黑体" w:eastAsia="黑体" w:cs="黑体"/>
          <w:color w:val="auto"/>
          <w:sz w:val="28"/>
          <w:szCs w:val="28"/>
          <w:lang w:eastAsia="zh-CN"/>
        </w:rPr>
      </w:pPr>
      <w:r>
        <w:rPr>
          <w:rFonts w:hint="eastAsia" w:ascii="黑体" w:hAnsi="黑体" w:eastAsia="黑体" w:cs="黑体"/>
          <w:color w:val="auto"/>
          <w:sz w:val="28"/>
          <w:szCs w:val="28"/>
          <w:lang w:eastAsia="zh-CN"/>
        </w:rPr>
        <w:t>推广实施</w:t>
      </w:r>
    </w:p>
    <w:p w14:paraId="108DE58B">
      <w:pPr>
        <w:pStyle w:val="5"/>
        <w:keepNext w:val="0"/>
        <w:keepLines w:val="0"/>
        <w:pageBreakBefore w:val="0"/>
        <w:widowControl/>
        <w:numPr>
          <w:ilvl w:val="0"/>
          <w:numId w:val="0"/>
        </w:numPr>
        <w:kinsoku/>
        <w:wordWrap/>
        <w:overflowPunct/>
        <w:topLinePunct w:val="0"/>
        <w:autoSpaceDE/>
        <w:autoSpaceDN/>
        <w:bidi w:val="0"/>
        <w:adjustRightInd/>
        <w:snapToGrid/>
        <w:spacing w:line="560" w:lineRule="exact"/>
        <w:ind w:leftChars="0" w:firstLineChars="200"/>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（一）政策措施</w:t>
      </w:r>
    </w:p>
    <w:p w14:paraId="6E886261">
      <w:pPr>
        <w:pStyle w:val="5"/>
        <w:widowControl/>
        <w:numPr>
          <w:ilvl w:val="0"/>
          <w:numId w:val="0"/>
        </w:numPr>
        <w:spacing w:line="560" w:lineRule="exact"/>
        <w:ind w:firstLineChars="200"/>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由海南省气候中心牵头，联合中国热带农业科学院热带作物品种资源研究所、海南省农业科学院热带果树研究所、海南省海口市气象局共同出台标准实施配套政策和文件。力求海南省气象部门和农业主管部门将本标准培训纳入业务培训计划，明确培训要求；海南省气候中心牵头成立由行业专家、技术骨干组成的技术指导小组，制定相关规定；海南省气象局政策法规处明确监督检查职责，确保各项措施落地，保障标准规范实施。</w:t>
      </w:r>
    </w:p>
    <w:p w14:paraId="425226FF">
      <w:pPr>
        <w:pStyle w:val="5"/>
        <w:keepNext w:val="0"/>
        <w:keepLines w:val="0"/>
        <w:pageBreakBefore w:val="0"/>
        <w:widowControl/>
        <w:numPr>
          <w:ilvl w:val="0"/>
          <w:numId w:val="0"/>
        </w:numPr>
        <w:kinsoku/>
        <w:wordWrap/>
        <w:overflowPunct/>
        <w:topLinePunct w:val="0"/>
        <w:autoSpaceDE/>
        <w:autoSpaceDN/>
        <w:bidi w:val="0"/>
        <w:adjustRightInd/>
        <w:snapToGrid/>
        <w:spacing w:line="560" w:lineRule="exact"/>
        <w:ind w:leftChars="0" w:firstLineChars="200"/>
        <w:textAlignment w:val="auto"/>
        <w:rPr>
          <w:rFonts w:hint="default"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（二）实施</w:t>
      </w:r>
      <w:r>
        <w:rPr>
          <w:rFonts w:hint="eastAsia" w:hAnsi="宋体" w:eastAsia="宋体" w:cs="宋体"/>
          <w:b/>
          <w:bCs/>
          <w:color w:val="auto"/>
          <w:sz w:val="24"/>
          <w:szCs w:val="24"/>
          <w:lang w:val="en-US" w:eastAsia="zh-CN"/>
        </w:rPr>
        <w:t>计划</w:t>
      </w:r>
    </w:p>
    <w:p w14:paraId="2467B6AA">
      <w:pPr>
        <w:pStyle w:val="5"/>
        <w:widowControl/>
        <w:numPr>
          <w:ilvl w:val="0"/>
          <w:numId w:val="0"/>
        </w:numPr>
        <w:spacing w:line="560" w:lineRule="exact"/>
        <w:ind w:firstLineChars="200"/>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重点开展三方面工作：一是宣贯培训，采用线上线下相结合的方式，每年至少开展1次专项培训，覆盖重要荔枝种植企业和大户；二是技术指导，通过培训、电话、微信等方式提供咨询指导，举办业务技术交流会，分享先进经验和应用成果；三是监督检查，由标准起草单位负责监督检查标准执行情况，并收集标准执行过程中的问题和建议，以便进一步完善。</w:t>
      </w:r>
    </w:p>
    <w:p w14:paraId="0245C26C">
      <w:pPr>
        <w:pStyle w:val="5"/>
        <w:keepNext w:val="0"/>
        <w:keepLines w:val="0"/>
        <w:pageBreakBefore w:val="0"/>
        <w:widowControl/>
        <w:numPr>
          <w:ilvl w:val="0"/>
          <w:numId w:val="0"/>
        </w:numPr>
        <w:kinsoku/>
        <w:wordWrap/>
        <w:overflowPunct/>
        <w:topLinePunct w:val="0"/>
        <w:autoSpaceDE/>
        <w:autoSpaceDN/>
        <w:bidi w:val="0"/>
        <w:adjustRightInd/>
        <w:snapToGrid/>
        <w:spacing w:line="560" w:lineRule="exact"/>
        <w:ind w:leftChars="0" w:firstLineChars="200"/>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（三）配套资金</w:t>
      </w:r>
    </w:p>
    <w:p w14:paraId="6AFAC706">
      <w:pPr>
        <w:pStyle w:val="5"/>
        <w:widowControl/>
        <w:numPr>
          <w:ilvl w:val="0"/>
          <w:numId w:val="0"/>
        </w:numPr>
        <w:spacing w:line="560" w:lineRule="exact"/>
        <w:ind w:firstLineChars="200"/>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统筹各类资金，保障标准推广实施。重点保障培训组织、技术指导小组建设、业务交流会举办及监督检查等相关工作经费。</w:t>
      </w:r>
    </w:p>
    <w:p w14:paraId="68D4B384">
      <w:pPr>
        <w:keepNext w:val="0"/>
        <w:keepLines w:val="0"/>
        <w:pageBreakBefore w:val="0"/>
        <w:widowControl w:val="0"/>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auto"/>
          <w:sz w:val="32"/>
          <w:szCs w:val="32"/>
        </w:rPr>
      </w:pPr>
      <w:r>
        <w:rPr>
          <w:rFonts w:hint="eastAsia" w:ascii="黑体" w:hAnsi="黑体" w:eastAsia="黑体" w:cs="黑体"/>
          <w:color w:val="auto"/>
          <w:sz w:val="32"/>
          <w:szCs w:val="32"/>
          <w:lang w:eastAsia="zh-CN"/>
        </w:rPr>
        <w:t>十</w:t>
      </w:r>
      <w:r>
        <w:rPr>
          <w:rFonts w:hint="eastAsia" w:ascii="黑体" w:hAnsi="黑体" w:eastAsia="黑体" w:cs="黑体"/>
          <w:color w:val="auto"/>
          <w:sz w:val="32"/>
          <w:szCs w:val="32"/>
          <w:lang w:val="en-US" w:eastAsia="zh-CN"/>
        </w:rPr>
        <w:t>一</w:t>
      </w:r>
      <w:r>
        <w:rPr>
          <w:rFonts w:hint="eastAsia" w:ascii="黑体" w:hAnsi="黑体" w:eastAsia="黑体" w:cs="黑体"/>
          <w:color w:val="auto"/>
          <w:sz w:val="32"/>
          <w:szCs w:val="32"/>
        </w:rPr>
        <w:t>、其他应说明的事项</w:t>
      </w:r>
    </w:p>
    <w:p w14:paraId="1B3015CF">
      <w:pPr>
        <w:pStyle w:val="5"/>
        <w:widowControl/>
        <w:numPr>
          <w:ilvl w:val="0"/>
          <w:numId w:val="0"/>
        </w:numPr>
        <w:spacing w:line="560" w:lineRule="exact"/>
        <w:ind w:firstLineChars="200"/>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无。</w:t>
      </w:r>
    </w:p>
    <w:p w14:paraId="3F4F38E3"/>
    <w:sectPr>
      <w:pgSz w:w="11906" w:h="16838"/>
      <w:pgMar w:top="2098" w:right="1587" w:bottom="2098" w:left="158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323D2CB-CF2A-4C75-9FBC-9A929208FE7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1A255A75-33A2-4E23-8A40-C189114C4FD6}"/>
  </w:font>
  <w:font w:name="楷体_GB2312">
    <w:altName w:val="楷体"/>
    <w:panose1 w:val="02010609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embedRegular r:id="rId3" w:fontKey="{313ED251-93DE-4292-827C-85C06D0750BF}"/>
  </w:font>
  <w:font w:name="方正小标宋简体">
    <w:panose1 w:val="02010600010101010101"/>
    <w:charset w:val="86"/>
    <w:family w:val="auto"/>
    <w:pitch w:val="default"/>
    <w:sig w:usb0="00000001" w:usb1="080E0000" w:usb2="00000000" w:usb3="00000000" w:csb0="00040000" w:csb1="00000000"/>
    <w:embedRegular r:id="rId4" w:fontKey="{DA139716-9F9A-4387-9DEE-A1F502FCB78E}"/>
  </w:font>
  <w:font w:name="仿宋_GB2312">
    <w:panose1 w:val="02010609030101010101"/>
    <w:charset w:val="86"/>
    <w:family w:val="auto"/>
    <w:pitch w:val="default"/>
    <w:sig w:usb0="00000001" w:usb1="080E0000" w:usb2="00000000" w:usb3="00000000" w:csb0="00040000" w:csb1="00000000"/>
    <w:embedRegular r:id="rId5" w:fontKey="{58883879-C398-40F9-A8AC-44187E332D8A}"/>
  </w:font>
  <w:font w:name="WPSEMBED1">
    <w:panose1 w:val="02010609030101010101"/>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29EEAE"/>
    <w:multiLevelType w:val="singleLevel"/>
    <w:tmpl w:val="A429EEAE"/>
    <w:lvl w:ilvl="0" w:tentative="0">
      <w:start w:val="8"/>
      <w:numFmt w:val="chineseCounting"/>
      <w:suff w:val="nothing"/>
      <w:lvlText w:val="%1、"/>
      <w:lvlJc w:val="left"/>
      <w:rPr>
        <w:rFonts w:hint="eastAsia"/>
        <w:b/>
        <w:bCs/>
      </w:rPr>
    </w:lvl>
  </w:abstractNum>
  <w:abstractNum w:abstractNumId="1">
    <w:nsid w:val="B4D6E0D7"/>
    <w:multiLevelType w:val="singleLevel"/>
    <w:tmpl w:val="B4D6E0D7"/>
    <w:lvl w:ilvl="0" w:tentative="0">
      <w:start w:val="6"/>
      <w:numFmt w:val="chineseCounting"/>
      <w:suff w:val="nothing"/>
      <w:lvlText w:val="%1、"/>
      <w:lvlJc w:val="left"/>
      <w:rPr>
        <w:rFonts w:hint="eastAsia"/>
      </w:rPr>
    </w:lvl>
  </w:abstractNum>
  <w:abstractNum w:abstractNumId="2">
    <w:nsid w:val="51DCEB96"/>
    <w:multiLevelType w:val="multilevel"/>
    <w:tmpl w:val="51DCEB96"/>
    <w:lvl w:ilvl="0" w:tentative="0">
      <w:start w:val="1"/>
      <w:numFmt w:val="lowerLetter"/>
      <w:pStyle w:val="19"/>
      <w:lvlText w:val="%1)"/>
      <w:lvlJc w:val="left"/>
      <w:pPr>
        <w:tabs>
          <w:tab w:val="left" w:pos="851"/>
        </w:tabs>
        <w:ind w:left="851" w:hanging="426"/>
      </w:pPr>
      <w:rPr>
        <w:rFonts w:hint="eastAsia" w:ascii="宋体" w:hAnsi="Times New Roman" w:eastAsia="宋体" w:cs="宋体"/>
        <w:sz w:val="21"/>
      </w:rPr>
    </w:lvl>
    <w:lvl w:ilvl="1" w:tentative="0">
      <w:start w:val="1"/>
      <w:numFmt w:val="decimal"/>
      <w:lvlText w:val="%2)"/>
      <w:lvlJc w:val="left"/>
      <w:pPr>
        <w:tabs>
          <w:tab w:val="left" w:pos="1276"/>
        </w:tabs>
        <w:ind w:left="1276" w:hanging="425"/>
      </w:pPr>
      <w:rPr>
        <w:rFonts w:hint="eastAsia" w:ascii="宋体" w:hAnsi="Times New Roman" w:eastAsia="宋体" w:cs="宋体"/>
        <w:sz w:val="21"/>
      </w:rPr>
    </w:lvl>
    <w:lvl w:ilvl="2" w:tentative="0">
      <w:start w:val="1"/>
      <w:numFmt w:val="decimal"/>
      <w:lvlText w:val="(%3)"/>
      <w:lvlJc w:val="left"/>
      <w:pPr>
        <w:ind w:left="1702" w:hanging="425"/>
      </w:pPr>
      <w:rPr>
        <w:rFonts w:hint="eastAsia" w:ascii="宋体" w:hAnsi="Times New Roman" w:eastAsia="宋体" w:cs="宋体"/>
        <w:sz w:val="21"/>
      </w:rPr>
    </w:lvl>
    <w:lvl w:ilvl="3" w:tentative="0">
      <w:start w:val="1"/>
      <w:numFmt w:val="decimal"/>
      <w:lvlText w:val="%4."/>
      <w:lvlJc w:val="left"/>
      <w:pPr>
        <w:tabs>
          <w:tab w:val="left" w:pos="2100"/>
        </w:tabs>
        <w:ind w:left="2099" w:hanging="419"/>
      </w:pPr>
    </w:lvl>
    <w:lvl w:ilvl="4" w:tentative="0">
      <w:start w:val="1"/>
      <w:numFmt w:val="lowerLetter"/>
      <w:lvlText w:val="%5)"/>
      <w:lvlJc w:val="left"/>
      <w:pPr>
        <w:tabs>
          <w:tab w:val="left" w:pos="2520"/>
        </w:tabs>
        <w:ind w:left="2519" w:hanging="419"/>
      </w:pPr>
    </w:lvl>
    <w:lvl w:ilvl="5" w:tentative="0">
      <w:start w:val="1"/>
      <w:numFmt w:val="lowerRoman"/>
      <w:lvlText w:val="%6."/>
      <w:lvlJc w:val="right"/>
      <w:pPr>
        <w:tabs>
          <w:tab w:val="left" w:pos="2940"/>
        </w:tabs>
        <w:ind w:left="2939" w:hanging="419"/>
      </w:pPr>
    </w:lvl>
    <w:lvl w:ilvl="6" w:tentative="0">
      <w:start w:val="1"/>
      <w:numFmt w:val="decimal"/>
      <w:lvlText w:val="%7."/>
      <w:lvlJc w:val="left"/>
      <w:pPr>
        <w:tabs>
          <w:tab w:val="left" w:pos="3360"/>
        </w:tabs>
        <w:ind w:left="3359" w:hanging="419"/>
      </w:pPr>
    </w:lvl>
    <w:lvl w:ilvl="7" w:tentative="0">
      <w:start w:val="1"/>
      <w:numFmt w:val="lowerLetter"/>
      <w:lvlText w:val="%8)"/>
      <w:lvlJc w:val="left"/>
      <w:pPr>
        <w:tabs>
          <w:tab w:val="left" w:pos="3780"/>
        </w:tabs>
        <w:ind w:left="3779" w:hanging="419"/>
      </w:pPr>
    </w:lvl>
    <w:lvl w:ilvl="8" w:tentative="0">
      <w:start w:val="1"/>
      <w:numFmt w:val="lowerRoman"/>
      <w:lvlText w:val="%9."/>
      <w:lvlJc w:val="right"/>
      <w:pPr>
        <w:tabs>
          <w:tab w:val="left" w:pos="4200"/>
        </w:tabs>
        <w:ind w:left="4199" w:hanging="419"/>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6"/>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DA0933"/>
    <w:rsid w:val="01A0528F"/>
    <w:rsid w:val="021A270B"/>
    <w:rsid w:val="02295499"/>
    <w:rsid w:val="02D533B3"/>
    <w:rsid w:val="034B6875"/>
    <w:rsid w:val="0365604C"/>
    <w:rsid w:val="03874A2A"/>
    <w:rsid w:val="05934296"/>
    <w:rsid w:val="061939CF"/>
    <w:rsid w:val="06760107"/>
    <w:rsid w:val="07135810"/>
    <w:rsid w:val="073D63F2"/>
    <w:rsid w:val="07EF359B"/>
    <w:rsid w:val="08420AFA"/>
    <w:rsid w:val="0A394FF2"/>
    <w:rsid w:val="0A432ABB"/>
    <w:rsid w:val="0AA9127F"/>
    <w:rsid w:val="0CCE479B"/>
    <w:rsid w:val="0CF81905"/>
    <w:rsid w:val="0D0A383C"/>
    <w:rsid w:val="0D3F6A29"/>
    <w:rsid w:val="0DC566A4"/>
    <w:rsid w:val="0EE96807"/>
    <w:rsid w:val="0F1727CE"/>
    <w:rsid w:val="0F3A3F41"/>
    <w:rsid w:val="0F7554C5"/>
    <w:rsid w:val="102B0279"/>
    <w:rsid w:val="10A968B3"/>
    <w:rsid w:val="10C1060B"/>
    <w:rsid w:val="110E48E7"/>
    <w:rsid w:val="12287FF4"/>
    <w:rsid w:val="1291752C"/>
    <w:rsid w:val="12D4333E"/>
    <w:rsid w:val="12E3308D"/>
    <w:rsid w:val="14681A9C"/>
    <w:rsid w:val="14747E06"/>
    <w:rsid w:val="14860A50"/>
    <w:rsid w:val="15C81304"/>
    <w:rsid w:val="171D319E"/>
    <w:rsid w:val="17DC655D"/>
    <w:rsid w:val="17E46617"/>
    <w:rsid w:val="17E957EA"/>
    <w:rsid w:val="18AB7EE0"/>
    <w:rsid w:val="191C4BB7"/>
    <w:rsid w:val="19B802BF"/>
    <w:rsid w:val="1A132F57"/>
    <w:rsid w:val="1BCC18A5"/>
    <w:rsid w:val="1BFB1DE3"/>
    <w:rsid w:val="1CE51653"/>
    <w:rsid w:val="1D805EA0"/>
    <w:rsid w:val="1DD041F4"/>
    <w:rsid w:val="1EE6220E"/>
    <w:rsid w:val="1F003FE9"/>
    <w:rsid w:val="1F781E6E"/>
    <w:rsid w:val="20070078"/>
    <w:rsid w:val="20871940"/>
    <w:rsid w:val="20C547DB"/>
    <w:rsid w:val="20FD2D5C"/>
    <w:rsid w:val="21B06830"/>
    <w:rsid w:val="21B61F52"/>
    <w:rsid w:val="21E169EA"/>
    <w:rsid w:val="21F244B0"/>
    <w:rsid w:val="2275323C"/>
    <w:rsid w:val="22837AA1"/>
    <w:rsid w:val="22AD1A45"/>
    <w:rsid w:val="238D5279"/>
    <w:rsid w:val="24DB47BF"/>
    <w:rsid w:val="262F7150"/>
    <w:rsid w:val="267628A6"/>
    <w:rsid w:val="26D3007C"/>
    <w:rsid w:val="274543E0"/>
    <w:rsid w:val="279A4887"/>
    <w:rsid w:val="27C6721A"/>
    <w:rsid w:val="27FE5BF3"/>
    <w:rsid w:val="282D1BD1"/>
    <w:rsid w:val="28C550A6"/>
    <w:rsid w:val="291E1746"/>
    <w:rsid w:val="2A092F82"/>
    <w:rsid w:val="2A2158AB"/>
    <w:rsid w:val="2A562572"/>
    <w:rsid w:val="2AB32276"/>
    <w:rsid w:val="2AE279A6"/>
    <w:rsid w:val="2B067E60"/>
    <w:rsid w:val="2B141BDE"/>
    <w:rsid w:val="2BA860B6"/>
    <w:rsid w:val="2C8E4DC5"/>
    <w:rsid w:val="2CEB696E"/>
    <w:rsid w:val="2D0A13DA"/>
    <w:rsid w:val="2EC20BF9"/>
    <w:rsid w:val="2F195FB7"/>
    <w:rsid w:val="2F2F6CBA"/>
    <w:rsid w:val="2F486EA2"/>
    <w:rsid w:val="2FF764FF"/>
    <w:rsid w:val="30977539"/>
    <w:rsid w:val="30FE04DD"/>
    <w:rsid w:val="310807BF"/>
    <w:rsid w:val="315410DA"/>
    <w:rsid w:val="326466B8"/>
    <w:rsid w:val="3278671A"/>
    <w:rsid w:val="33341945"/>
    <w:rsid w:val="33A06FA0"/>
    <w:rsid w:val="33BD44EC"/>
    <w:rsid w:val="34142C4F"/>
    <w:rsid w:val="352B2DCA"/>
    <w:rsid w:val="355904C4"/>
    <w:rsid w:val="35891A89"/>
    <w:rsid w:val="35A87141"/>
    <w:rsid w:val="36411E95"/>
    <w:rsid w:val="36490ADA"/>
    <w:rsid w:val="36AA4753"/>
    <w:rsid w:val="377F7D9C"/>
    <w:rsid w:val="37A23C7A"/>
    <w:rsid w:val="37A37842"/>
    <w:rsid w:val="37CF05C2"/>
    <w:rsid w:val="396A4FBD"/>
    <w:rsid w:val="398F777C"/>
    <w:rsid w:val="39A64A35"/>
    <w:rsid w:val="39AE74C6"/>
    <w:rsid w:val="39DD11A6"/>
    <w:rsid w:val="3A4C0CF9"/>
    <w:rsid w:val="3A966BD7"/>
    <w:rsid w:val="3B212110"/>
    <w:rsid w:val="3B5D5510"/>
    <w:rsid w:val="3C225536"/>
    <w:rsid w:val="3C7A5BC5"/>
    <w:rsid w:val="3CD47558"/>
    <w:rsid w:val="3D8949C3"/>
    <w:rsid w:val="3FB76397"/>
    <w:rsid w:val="4057049F"/>
    <w:rsid w:val="41B2267C"/>
    <w:rsid w:val="437433D4"/>
    <w:rsid w:val="43D77A54"/>
    <w:rsid w:val="44507BCB"/>
    <w:rsid w:val="454C21C0"/>
    <w:rsid w:val="45981162"/>
    <w:rsid w:val="46FB2958"/>
    <w:rsid w:val="471362A9"/>
    <w:rsid w:val="47580E87"/>
    <w:rsid w:val="4889710F"/>
    <w:rsid w:val="48ED1CCD"/>
    <w:rsid w:val="49A7237B"/>
    <w:rsid w:val="49E57DCA"/>
    <w:rsid w:val="49EE36C7"/>
    <w:rsid w:val="4AD34D74"/>
    <w:rsid w:val="4ADD4AB8"/>
    <w:rsid w:val="4B071B45"/>
    <w:rsid w:val="4B5E5C58"/>
    <w:rsid w:val="4C806F95"/>
    <w:rsid w:val="4D152A86"/>
    <w:rsid w:val="4D283CA5"/>
    <w:rsid w:val="4DAB4735"/>
    <w:rsid w:val="4DAE3B7E"/>
    <w:rsid w:val="4E2712F4"/>
    <w:rsid w:val="4E4A5082"/>
    <w:rsid w:val="4E8F6979"/>
    <w:rsid w:val="4FEF67C5"/>
    <w:rsid w:val="511A161C"/>
    <w:rsid w:val="5164091A"/>
    <w:rsid w:val="518E7DF8"/>
    <w:rsid w:val="519434E5"/>
    <w:rsid w:val="51AD3034"/>
    <w:rsid w:val="523D0079"/>
    <w:rsid w:val="52BF11C4"/>
    <w:rsid w:val="52E41F0D"/>
    <w:rsid w:val="532A26DA"/>
    <w:rsid w:val="5443314E"/>
    <w:rsid w:val="54494F1F"/>
    <w:rsid w:val="54B025BC"/>
    <w:rsid w:val="54D6549C"/>
    <w:rsid w:val="54E23F51"/>
    <w:rsid w:val="54FD7FFE"/>
    <w:rsid w:val="55227EE5"/>
    <w:rsid w:val="558923BE"/>
    <w:rsid w:val="55D123D3"/>
    <w:rsid w:val="56126990"/>
    <w:rsid w:val="567734B6"/>
    <w:rsid w:val="56854F86"/>
    <w:rsid w:val="56CF7EF9"/>
    <w:rsid w:val="57256823"/>
    <w:rsid w:val="57EC0F27"/>
    <w:rsid w:val="58660B1F"/>
    <w:rsid w:val="58E15450"/>
    <w:rsid w:val="5975743C"/>
    <w:rsid w:val="59C64484"/>
    <w:rsid w:val="5A5020B9"/>
    <w:rsid w:val="5B021D88"/>
    <w:rsid w:val="5B3A58BA"/>
    <w:rsid w:val="5BCC5A39"/>
    <w:rsid w:val="5C3B4B22"/>
    <w:rsid w:val="5C5B6DBD"/>
    <w:rsid w:val="5CB2371A"/>
    <w:rsid w:val="5D8A3C7A"/>
    <w:rsid w:val="5DE20515"/>
    <w:rsid w:val="5ED36388"/>
    <w:rsid w:val="5F3B384B"/>
    <w:rsid w:val="60CE3C62"/>
    <w:rsid w:val="61B73BDF"/>
    <w:rsid w:val="61D23DEE"/>
    <w:rsid w:val="626C70F7"/>
    <w:rsid w:val="62B372C6"/>
    <w:rsid w:val="62E43D52"/>
    <w:rsid w:val="63340B4D"/>
    <w:rsid w:val="654725D5"/>
    <w:rsid w:val="65B03390"/>
    <w:rsid w:val="669924E4"/>
    <w:rsid w:val="66CF5501"/>
    <w:rsid w:val="66D53242"/>
    <w:rsid w:val="672136C2"/>
    <w:rsid w:val="672777C9"/>
    <w:rsid w:val="67845D48"/>
    <w:rsid w:val="67E564E7"/>
    <w:rsid w:val="68983EEB"/>
    <w:rsid w:val="695E2C6C"/>
    <w:rsid w:val="699C4FFF"/>
    <w:rsid w:val="69B942E8"/>
    <w:rsid w:val="69BF6DD2"/>
    <w:rsid w:val="6A4D6295"/>
    <w:rsid w:val="6A8A23D9"/>
    <w:rsid w:val="6B730C63"/>
    <w:rsid w:val="6BE53B62"/>
    <w:rsid w:val="6BFB1C7D"/>
    <w:rsid w:val="6C1D2802"/>
    <w:rsid w:val="6D010E1A"/>
    <w:rsid w:val="6D663299"/>
    <w:rsid w:val="6DA84338"/>
    <w:rsid w:val="6DEF4C69"/>
    <w:rsid w:val="6F3C270D"/>
    <w:rsid w:val="6F601138"/>
    <w:rsid w:val="6F767B31"/>
    <w:rsid w:val="6FAA4F3F"/>
    <w:rsid w:val="6FCE54FF"/>
    <w:rsid w:val="70442F3F"/>
    <w:rsid w:val="707D256A"/>
    <w:rsid w:val="70EF7FF6"/>
    <w:rsid w:val="71472E54"/>
    <w:rsid w:val="71B07FF4"/>
    <w:rsid w:val="72F44A27"/>
    <w:rsid w:val="72FD0EB2"/>
    <w:rsid w:val="7327565C"/>
    <w:rsid w:val="73864F88"/>
    <w:rsid w:val="739509AF"/>
    <w:rsid w:val="73A14D62"/>
    <w:rsid w:val="73A225C1"/>
    <w:rsid w:val="74024296"/>
    <w:rsid w:val="74096AED"/>
    <w:rsid w:val="74F16FC8"/>
    <w:rsid w:val="753A5CAD"/>
    <w:rsid w:val="7619378D"/>
    <w:rsid w:val="76EE0B02"/>
    <w:rsid w:val="77FA5292"/>
    <w:rsid w:val="781C7039"/>
    <w:rsid w:val="78727045"/>
    <w:rsid w:val="78AC009F"/>
    <w:rsid w:val="78C47284"/>
    <w:rsid w:val="791E61F1"/>
    <w:rsid w:val="7A3B22B0"/>
    <w:rsid w:val="7A9B6742"/>
    <w:rsid w:val="7B540DA9"/>
    <w:rsid w:val="7BB17113"/>
    <w:rsid w:val="7BCC6F38"/>
    <w:rsid w:val="7C8A4953"/>
    <w:rsid w:val="7CB5279E"/>
    <w:rsid w:val="7CC502A1"/>
    <w:rsid w:val="7CCB0AFF"/>
    <w:rsid w:val="7D673788"/>
    <w:rsid w:val="7DF13B34"/>
    <w:rsid w:val="7E7057E0"/>
    <w:rsid w:val="7EB370A4"/>
    <w:rsid w:val="7EC34622"/>
    <w:rsid w:val="7FE57F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qFormat/>
    <w:uiPriority w:val="9"/>
    <w:pPr>
      <w:keepNext/>
      <w:keepLines/>
      <w:spacing w:line="560" w:lineRule="exact"/>
      <w:ind w:firstLine="200"/>
      <w:outlineLvl w:val="1"/>
    </w:pPr>
    <w:rPr>
      <w:rFonts w:hint="eastAsia" w:eastAsia="楷体_GB2312"/>
      <w:sz w:val="32"/>
    </w:rPr>
  </w:style>
  <w:style w:type="paragraph" w:styleId="3">
    <w:name w:val="heading 3"/>
    <w:basedOn w:val="1"/>
    <w:next w:val="1"/>
    <w:qFormat/>
    <w:uiPriority w:val="0"/>
    <w:pPr>
      <w:keepNext/>
      <w:keepLines/>
      <w:outlineLvl w:val="2"/>
    </w:pPr>
    <w:rPr>
      <w:bCs/>
      <w:szCs w:val="32"/>
    </w:rPr>
  </w:style>
  <w:style w:type="character" w:default="1" w:styleId="11">
    <w:name w:val="Default Paragraph Font"/>
    <w:semiHidden/>
    <w:qFormat/>
    <w:uiPriority w:val="0"/>
  </w:style>
  <w:style w:type="table" w:default="1" w:styleId="9">
    <w:name w:val="Normal Table"/>
    <w:semiHidden/>
    <w:qFormat/>
    <w:uiPriority w:val="0"/>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4">
    <w:name w:val="Body Text"/>
    <w:basedOn w:val="1"/>
    <w:semiHidden/>
    <w:qFormat/>
    <w:uiPriority w:val="0"/>
    <w:rPr>
      <w:rFonts w:ascii="黑体" w:hAnsi="黑体" w:eastAsia="黑体" w:cs="黑体"/>
      <w:sz w:val="28"/>
      <w:szCs w:val="28"/>
      <w:lang w:val="en-US" w:eastAsia="en-US" w:bidi="ar-SA"/>
    </w:rPr>
  </w:style>
  <w:style w:type="paragraph" w:styleId="5">
    <w:name w:val="Plain Text"/>
    <w:basedOn w:val="1"/>
    <w:unhideWhenUsed/>
    <w:qFormat/>
    <w:uiPriority w:val="99"/>
    <w:rPr>
      <w:rFonts w:ascii="宋体" w:hAnsi="Courier New"/>
      <w:szCs w:val="21"/>
    </w:rPr>
  </w:style>
  <w:style w:type="paragraph" w:styleId="6">
    <w:name w:val="footer"/>
    <w:basedOn w:val="1"/>
    <w:qFormat/>
    <w:uiPriority w:val="0"/>
    <w:pPr>
      <w:tabs>
        <w:tab w:val="center" w:pos="4153"/>
        <w:tab w:val="right" w:pos="8306"/>
      </w:tabs>
      <w:snapToGrid w:val="0"/>
      <w:jc w:val="left"/>
    </w:pPr>
    <w:rPr>
      <w:sz w:val="18"/>
      <w:szCs w:val="18"/>
    </w:rPr>
  </w:style>
  <w:style w:type="paragraph" w:styleId="7">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0"/>
    <w:rPr>
      <w:sz w:val="24"/>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Table Text"/>
    <w:basedOn w:val="1"/>
    <w:semiHidden/>
    <w:qFormat/>
    <w:uiPriority w:val="0"/>
    <w:rPr>
      <w:rFonts w:ascii="宋体" w:hAnsi="宋体" w:eastAsia="宋体" w:cs="宋体"/>
      <w:sz w:val="18"/>
      <w:szCs w:val="18"/>
      <w:lang w:val="en-US" w:eastAsia="en-US" w:bidi="ar-SA"/>
    </w:rPr>
  </w:style>
  <w:style w:type="table" w:customStyle="1" w:styleId="13">
    <w:name w:val="Table Normal"/>
    <w:semiHidden/>
    <w:unhideWhenUsed/>
    <w:qFormat/>
    <w:uiPriority w:val="0"/>
    <w:tblPr>
      <w:tblCellMar>
        <w:top w:w="0" w:type="dxa"/>
        <w:left w:w="0" w:type="dxa"/>
        <w:bottom w:w="0" w:type="dxa"/>
        <w:right w:w="0" w:type="dxa"/>
      </w:tblCellMar>
    </w:tblPr>
  </w:style>
  <w:style w:type="paragraph" w:customStyle="1" w:styleId="14">
    <w:name w:val="my正文"/>
    <w:basedOn w:val="1"/>
    <w:qFormat/>
    <w:uiPriority w:val="0"/>
    <w:pPr>
      <w:spacing w:line="360" w:lineRule="auto"/>
      <w:ind w:firstLine="480" w:firstLineChars="200"/>
    </w:pPr>
    <w:rPr>
      <w:kern w:val="0"/>
      <w:sz w:val="24"/>
      <w:szCs w:val="20"/>
    </w:rPr>
  </w:style>
  <w:style w:type="paragraph" w:customStyle="1" w:styleId="15">
    <w:name w:val="标准文件_段"/>
    <w:basedOn w:val="1"/>
    <w:link w:val="16"/>
    <w:qFormat/>
    <w:uiPriority w:val="0"/>
    <w:pPr>
      <w:keepNext w:val="0"/>
      <w:keepLines w:val="0"/>
      <w:widowControl/>
      <w:suppressLineNumbers w:val="0"/>
      <w:autoSpaceDE w:val="0"/>
      <w:autoSpaceDN w:val="0"/>
      <w:adjustRightInd/>
      <w:spacing w:before="0" w:beforeAutospacing="0" w:after="0" w:afterAutospacing="0" w:line="240" w:lineRule="auto"/>
      <w:ind w:left="0" w:right="0" w:firstLine="200" w:firstLineChars="200"/>
      <w:jc w:val="both"/>
    </w:pPr>
    <w:rPr>
      <w:rFonts w:hint="default" w:ascii="Times New Roman" w:hAnsi="Times New Roman" w:eastAsia="宋体" w:cs="Times New Roman"/>
      <w:kern w:val="0"/>
      <w:sz w:val="21"/>
      <w:szCs w:val="20"/>
      <w:lang w:val="en-US" w:eastAsia="zh-CN" w:bidi="ar"/>
    </w:rPr>
  </w:style>
  <w:style w:type="character" w:customStyle="1" w:styleId="16">
    <w:name w:val="标准文件_段 Char"/>
    <w:basedOn w:val="11"/>
    <w:link w:val="15"/>
    <w:qFormat/>
    <w:uiPriority w:val="0"/>
    <w:rPr>
      <w:rFonts w:hint="default" w:ascii="Times New Roman" w:hAnsi="Times New Roman" w:cs="Times New Roman"/>
      <w:sz w:val="21"/>
    </w:rPr>
  </w:style>
  <w:style w:type="paragraph" w:customStyle="1" w:styleId="17">
    <w:name w:val="标准文件_附录表标题"/>
    <w:basedOn w:val="1"/>
    <w:next w:val="1"/>
    <w:qFormat/>
    <w:uiPriority w:val="0"/>
    <w:pPr>
      <w:widowControl/>
      <w:adjustRightInd w:val="0"/>
      <w:snapToGrid w:val="0"/>
      <w:spacing w:before="50" w:beforeLines="50" w:after="50" w:afterLines="50"/>
      <w:jc w:val="center"/>
    </w:pPr>
    <w:rPr>
      <w:rFonts w:hint="eastAsia" w:ascii="黑体" w:hAnsi="Times New Roman" w:eastAsia="黑体"/>
      <w:kern w:val="21"/>
      <w:szCs w:val="20"/>
    </w:rPr>
  </w:style>
  <w:style w:type="paragraph" w:customStyle="1" w:styleId="18">
    <w:name w:val="标准文件_术语条一"/>
    <w:basedOn w:val="1"/>
    <w:next w:val="1"/>
    <w:qFormat/>
    <w:uiPriority w:val="0"/>
    <w:pPr>
      <w:keepNext w:val="0"/>
      <w:keepLines w:val="0"/>
      <w:widowControl/>
      <w:suppressLineNumbers w:val="0"/>
      <w:tabs>
        <w:tab w:val="left" w:pos="360"/>
      </w:tabs>
      <w:adjustRightInd/>
      <w:spacing w:before="0" w:beforeAutospacing="0" w:after="0" w:afterAutospacing="0" w:line="240" w:lineRule="auto"/>
      <w:ind w:left="0" w:right="0" w:firstLine="0"/>
      <w:jc w:val="both"/>
    </w:pPr>
    <w:rPr>
      <w:rFonts w:hint="eastAsia" w:ascii="宋体" w:hAnsi="Times New Roman" w:eastAsia="宋体" w:cs="Times New Roman"/>
      <w:kern w:val="0"/>
      <w:sz w:val="21"/>
      <w:szCs w:val="20"/>
      <w:lang w:val="en-US" w:eastAsia="zh-CN" w:bidi="ar"/>
    </w:rPr>
  </w:style>
  <w:style w:type="paragraph" w:customStyle="1" w:styleId="19">
    <w:name w:val="标准文件_字母编号列项（一级）"/>
    <w:basedOn w:val="1"/>
    <w:qFormat/>
    <w:uiPriority w:val="0"/>
    <w:pPr>
      <w:keepNext w:val="0"/>
      <w:keepLines w:val="0"/>
      <w:widowControl/>
      <w:numPr>
        <w:ilvl w:val="0"/>
        <w:numId w:val="1"/>
      </w:numPr>
      <w:suppressLineNumbers w:val="0"/>
      <w:adjustRightInd/>
      <w:spacing w:before="0" w:beforeAutospacing="0" w:after="0" w:afterAutospacing="0" w:line="240" w:lineRule="auto"/>
      <w:ind w:left="851" w:right="0" w:hanging="426"/>
      <w:jc w:val="both"/>
    </w:pPr>
    <w:rPr>
      <w:rFonts w:hint="eastAsia" w:ascii="宋体" w:hAnsi="Times New Roman" w:eastAsia="宋体" w:cs="Times New Roman"/>
      <w:kern w:val="0"/>
      <w:sz w:val="21"/>
      <w:szCs w:val="20"/>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contractReview xmlns="http://schemas.wps.cn/vas-ai-hub/contract-review">
  <reviewItems>
    <reviewItem>
      <errorID>8898a652-dd0d-4aa2-8a65-f140d27487ac</errorID>
      <errorWord>花枝</errorWord>
      <group>L1_Word</group>
      <groupName>字词问题</groupName>
      <ability>L2_Typo</ability>
      <abilityName>字词错误</abilityName>
      <candidateList>
        <item>枝</item>
      </candidateList>
      <explain/>
      <paraID>74BE3DD2</paraID>
      <start>311</start>
      <end>313</end>
      <status>unmodified</status>
      <modifiedWord/>
      <trackRevisions>false</trackRevisions>
    </reviewItem>
    <reviewItem>
      <errorID>afabc6c2-6f74-4b6a-806a-e98f9962e164</errorID>
      <errorWord>法律、法规</errorWord>
      <group>L1_Word</group>
      <groupName>字词问题</groupName>
      <ability>L2_Typo</ability>
      <abilityName>字词错误</abilityName>
      <candidateList>
        <item>法律法规</item>
      </candidateList>
      <explain/>
      <paraID>72A313CF</paraID>
      <start>16</start>
      <end>21</end>
      <status>unmodified</status>
      <modifiedWord/>
      <trackRevisions>false</trackRevisions>
    </reviewItem>
    <reviewItem>
      <errorID>8b63fe1d-bd78-435b-884a-64b27b54b321</errorID>
      <errorWord>总的</errorWord>
      <group>L1_Word</group>
      <groupName>字词问题</groupName>
      <ability>L2_Typo</ability>
      <abilityName>字词错误</abilityName>
      <candidateList>
        <item>总</item>
      </candidateList>
      <explain/>
      <paraID>5142A810</paraID>
      <start>329</start>
      <end>331</end>
      <status>unmodified</status>
      <modifiedWord/>
      <trackRevisions>false</trackRevisions>
    </reviewItem>
    <reviewItem>
      <errorID>46c4c708-00a1-48ec-ad20-a335b74bb2d9</errorID>
      <errorWord>花枝</errorWord>
      <group>L1_Word</group>
      <groupName>字词问题</groupName>
      <ability>L2_Typo</ability>
      <abilityName>字词错误</abilityName>
      <candidateList>
        <item>枝</item>
      </candidateList>
      <explain/>
      <paraID>6A75C262</paraID>
      <start>244</start>
      <end>246</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27210a1-114b-4e37-8b1b-94bd33adf26e}">
  <ds:schemaRefs/>
</ds:datastoreItem>
</file>

<file path=docProps/app.xml><?xml version="1.0" encoding="utf-8"?>
<Properties xmlns="http://schemas.openxmlformats.org/officeDocument/2006/extended-properties" xmlns:vt="http://schemas.openxmlformats.org/officeDocument/2006/docPropsVTypes">
  <Template>Normal.dotm</Template>
  <Pages>18</Pages>
  <Words>8361</Words>
  <Characters>8712</Characters>
  <Lines>0</Lines>
  <Paragraphs>0</Paragraphs>
  <TotalTime>36</TotalTime>
  <ScaleCrop>false</ScaleCrop>
  <LinksUpToDate>false</LinksUpToDate>
  <CharactersWithSpaces>8743</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2026-02-28T08:09:00Z</dcterms:created>
  <dc:creator>Lenovo</dc:creator>
  <cp:lastModifiedBy>侯伟</cp:lastModifiedBy>
  <dcterms:modified xsi:type="dcterms:W3CDTF">2026-05-29T00:23:30Z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KSOTemplateDocerSaveRecord">
    <vt:lpwstr>eyJoZGlkIjoiNDkyODE2NjdhOTBmMjlmMmYzN2RmMDk3NGE5NDJiNTgiLCJ1c2VySWQiOiI1MjkyMzA4MTkifQ==</vt:lpwstr>
  </property>
  <property fmtid="{D5CDD505-2E9C-101B-9397-08002B2CF9AE}" pid="4" name="ICV">
    <vt:lpwstr>310C38FDFE6A4497BF583558F6B13C37_12</vt:lpwstr>
  </property>
</Properties>
</file>