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7FE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《海南糟粕醋质量通则》编制说明</w:t>
      </w:r>
    </w:p>
    <w:p w14:paraId="54A1CB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CA506A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atLeast"/>
        <w:ind w:left="0" w:leftChars="0" w:right="0" w:firstLine="640" w:firstLineChars="200"/>
        <w:jc w:val="both"/>
        <w:textAlignment w:val="auto"/>
        <w:rPr>
          <w:rFonts w:hint="default" w:ascii="国标黑体-GB/T 2312" w:hAnsi="国标黑体-GB/T 2312" w:eastAsia="国标黑体-GB/T 2312" w:cs="国标黑体-GB/T 2312"/>
          <w:kern w:val="2"/>
          <w:sz w:val="32"/>
          <w:szCs w:val="32"/>
          <w:woUserID w:val="1"/>
        </w:rPr>
      </w:pPr>
      <w:r>
        <w:rPr>
          <w:rFonts w:hint="default" w:ascii="国标黑体-GB/T 2312" w:hAnsi="国标黑体-GB/T 2312" w:eastAsia="国标黑体-GB/T 2312" w:cs="国标黑体-GB/T 2312"/>
          <w:kern w:val="2"/>
          <w:sz w:val="32"/>
          <w:szCs w:val="32"/>
          <w:lang w:val="en-US" w:eastAsia="zh-CN" w:bidi="ar"/>
          <w:woUserID w:val="1"/>
        </w:rPr>
        <w:t>一、工作简况</w:t>
      </w:r>
    </w:p>
    <w:p w14:paraId="69B8577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atLeast"/>
        <w:ind w:left="0" w:leftChars="0" w:right="0" w:firstLine="640" w:firstLineChars="200"/>
        <w:jc w:val="both"/>
        <w:textAlignment w:val="auto"/>
        <w:rPr>
          <w:rFonts w:hint="eastAsia" w:ascii="楷体" w:hAnsi="楷体" w:eastAsia="楷体" w:cs="楷体"/>
          <w:kern w:val="2"/>
          <w:sz w:val="32"/>
          <w:szCs w:val="32"/>
          <w:woUserID w:val="1"/>
        </w:rPr>
      </w:pPr>
      <w:r>
        <w:rPr>
          <w:rFonts w:hint="eastAsia" w:ascii="楷体" w:hAnsi="楷体" w:eastAsia="楷体" w:cs="楷体"/>
          <w:kern w:val="2"/>
          <w:sz w:val="32"/>
          <w:szCs w:val="32"/>
          <w:lang w:val="en-US" w:eastAsia="zh-CN" w:bidi="ar"/>
          <w:woUserID w:val="1"/>
        </w:rPr>
        <w:t>（一）标准名称</w:t>
      </w:r>
    </w:p>
    <w:p w14:paraId="1976658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atLeast"/>
        <w:ind w:left="0" w:leftChars="0" w:right="0" w:firstLine="640" w:firstLineChars="200"/>
        <w:jc w:val="both"/>
        <w:textAlignment w:val="auto"/>
        <w:rPr>
          <w:rFonts w:hint="default" w:ascii="方正仿宋_GB2312" w:hAnsi="方正仿宋_GB2312" w:eastAsia="方正仿宋_GB2312" w:cs="方正仿宋_GB2312"/>
          <w:kern w:val="2"/>
          <w:sz w:val="32"/>
          <w:szCs w:val="32"/>
          <w:lang w:bidi="ar"/>
          <w:woUserID w:val="1"/>
        </w:rPr>
      </w:pPr>
      <w:r>
        <w:rPr>
          <w:rFonts w:hint="default" w:ascii="方正仿宋_GB2312" w:hAnsi="方正仿宋_GB2312" w:eastAsia="方正仿宋_GB2312" w:cs="方正仿宋_GB2312"/>
          <w:kern w:val="2"/>
          <w:sz w:val="32"/>
          <w:szCs w:val="32"/>
          <w:lang w:val="en-US" w:eastAsia="zh-CN" w:bidi="ar"/>
          <w:woUserID w:val="1"/>
        </w:rPr>
        <w:t>《</w:t>
      </w:r>
      <w:r>
        <w:rPr>
          <w:rFonts w:hint="default" w:ascii="方正仿宋_GB2312" w:hAnsi="方正仿宋_GB2312" w:eastAsia="方正仿宋_GB2312" w:cs="方正仿宋_GB2312"/>
          <w:sz w:val="32"/>
          <w:szCs w:val="32"/>
          <w:lang w:bidi="ar"/>
          <w:woUserID w:val="1"/>
        </w:rPr>
        <w:t>海南糟粕醋质量通则</w:t>
      </w:r>
      <w:r>
        <w:rPr>
          <w:rFonts w:hint="default" w:ascii="方正仿宋_GB2312" w:hAnsi="方正仿宋_GB2312" w:eastAsia="方正仿宋_GB2312" w:cs="方正仿宋_GB2312"/>
          <w:kern w:val="2"/>
          <w:sz w:val="32"/>
          <w:szCs w:val="32"/>
          <w:lang w:val="en-US" w:eastAsia="zh-CN" w:bidi="ar"/>
          <w:woUserID w:val="1"/>
        </w:rPr>
        <w:t>》</w:t>
      </w:r>
    </w:p>
    <w:p w14:paraId="0EED9AC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atLeast"/>
        <w:ind w:left="0" w:leftChars="0" w:right="0" w:firstLine="640" w:firstLineChars="200"/>
        <w:jc w:val="both"/>
        <w:textAlignment w:val="auto"/>
        <w:rPr>
          <w:rFonts w:hint="default" w:ascii="楷体" w:hAnsi="楷体" w:eastAsia="楷体" w:cs="楷体"/>
          <w:kern w:val="2"/>
          <w:sz w:val="32"/>
          <w:szCs w:val="32"/>
          <w:lang w:val="en-US" w:eastAsia="zh-CN" w:bidi="ar"/>
          <w:woUserID w:val="1"/>
        </w:rPr>
      </w:pPr>
      <w:r>
        <w:rPr>
          <w:rFonts w:hint="default" w:ascii="楷体" w:hAnsi="楷体" w:eastAsia="楷体" w:cs="楷体"/>
          <w:kern w:val="2"/>
          <w:sz w:val="32"/>
          <w:szCs w:val="32"/>
          <w:lang w:val="en-US" w:eastAsia="zh-CN" w:bidi="ar"/>
          <w:woUserID w:val="1"/>
        </w:rPr>
        <w:t>（二）任务来源（项目计划号）</w:t>
      </w:r>
    </w:p>
    <w:p w14:paraId="3E4FB66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atLeast"/>
        <w:ind w:left="0" w:leftChars="0" w:right="0" w:firstLine="640" w:firstLineChars="200"/>
        <w:jc w:val="both"/>
        <w:textAlignment w:val="auto"/>
        <w:rPr>
          <w:rFonts w:hint="default" w:ascii="方正仿宋_GB2312" w:hAnsi="方正仿宋_GB2312" w:eastAsia="方正仿宋_GB2312" w:cs="方正仿宋_GB2312"/>
          <w:kern w:val="2"/>
          <w:sz w:val="32"/>
          <w:szCs w:val="32"/>
          <w:woUserID w:val="1"/>
        </w:rPr>
      </w:pPr>
      <w:r>
        <w:rPr>
          <w:rFonts w:hint="default" w:ascii="方正仿宋_GB2312" w:hAnsi="方正仿宋_GB2312" w:eastAsia="方正仿宋_GB2312" w:cs="方正仿宋_GB2312"/>
          <w:kern w:val="2"/>
          <w:sz w:val="32"/>
          <w:szCs w:val="32"/>
          <w:lang w:val="en-US" w:eastAsia="zh-CN" w:bidi="ar"/>
          <w:woUserID w:val="1"/>
        </w:rPr>
        <w:t>任务来源于海南省市场监督管理局2026年度第一批地方标准制修订项目计划，项目编号为2026-Z0</w:t>
      </w:r>
      <w:r>
        <w:rPr>
          <w:rFonts w:hint="default" w:ascii="方正仿宋_GB2312" w:hAnsi="方正仿宋_GB2312" w:eastAsia="方正仿宋_GB2312" w:cs="方正仿宋_GB2312"/>
          <w:kern w:val="2"/>
          <w:sz w:val="32"/>
          <w:szCs w:val="32"/>
          <w:lang w:eastAsia="zh-CN" w:bidi="ar"/>
          <w:woUserID w:val="1"/>
        </w:rPr>
        <w:t>09</w:t>
      </w:r>
      <w:r>
        <w:rPr>
          <w:rFonts w:hint="eastAsia" w:ascii="方正仿宋_GB2312" w:hAnsi="方正仿宋_GB2312" w:eastAsia="方正仿宋_GB2312" w:cs="方正仿宋_GB2312"/>
          <w:kern w:val="2"/>
          <w:sz w:val="32"/>
          <w:szCs w:val="32"/>
          <w:lang w:eastAsia="zh-CN" w:bidi="ar"/>
          <w:woUserID w:val="1"/>
        </w:rPr>
        <w:t>。</w:t>
      </w:r>
    </w:p>
    <w:p w14:paraId="385EC4D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atLeast"/>
        <w:ind w:left="0" w:leftChars="0" w:right="0" w:firstLine="640" w:firstLineChars="200"/>
        <w:jc w:val="both"/>
        <w:textAlignment w:val="auto"/>
        <w:rPr>
          <w:rFonts w:hint="default" w:ascii="楷体" w:hAnsi="楷体" w:eastAsia="楷体" w:cs="楷体"/>
          <w:kern w:val="2"/>
          <w:sz w:val="32"/>
          <w:szCs w:val="32"/>
          <w:lang w:val="en-US" w:eastAsia="zh-CN" w:bidi="ar"/>
          <w:woUserID w:val="1"/>
        </w:rPr>
      </w:pPr>
      <w:r>
        <w:rPr>
          <w:rFonts w:hint="default" w:ascii="楷体" w:hAnsi="楷体" w:eastAsia="楷体" w:cs="楷体"/>
          <w:kern w:val="2"/>
          <w:sz w:val="32"/>
          <w:szCs w:val="32"/>
          <w:lang w:val="en-US" w:eastAsia="zh-CN" w:bidi="ar"/>
          <w:woUserID w:val="1"/>
        </w:rPr>
        <w:t>（三）提出单位、归口单位</w:t>
      </w:r>
    </w:p>
    <w:p w14:paraId="09F520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atLeast"/>
        <w:ind w:left="0" w:leftChars="0" w:right="0" w:firstLine="640" w:firstLineChars="200"/>
        <w:jc w:val="both"/>
        <w:textAlignment w:val="auto"/>
        <w:rPr>
          <w:rFonts w:hint="default" w:ascii="方正仿宋_GB2312" w:hAnsi="方正仿宋_GB2312" w:eastAsia="方正仿宋_GB2312" w:cs="方正仿宋_GB2312"/>
          <w:kern w:val="2"/>
          <w:sz w:val="32"/>
          <w:szCs w:val="32"/>
          <w:woUserID w:val="1"/>
        </w:rPr>
      </w:pPr>
      <w:r>
        <w:rPr>
          <w:rFonts w:hint="default" w:ascii="方正仿宋_GB2312" w:hAnsi="方正仿宋_GB2312" w:eastAsia="方正仿宋_GB2312" w:cs="方正仿宋_GB2312"/>
          <w:kern w:val="2"/>
          <w:sz w:val="32"/>
          <w:szCs w:val="32"/>
          <w:lang w:val="en-US" w:eastAsia="zh-CN" w:bidi="ar"/>
          <w:woUserID w:val="1"/>
        </w:rPr>
        <w:t>由海南省市场监督管理局提出并归口</w:t>
      </w:r>
    </w:p>
    <w:p w14:paraId="3EC61FC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atLeast"/>
        <w:ind w:left="0" w:leftChars="0" w:right="0" w:firstLine="640" w:firstLineChars="200"/>
        <w:jc w:val="both"/>
        <w:textAlignment w:val="auto"/>
        <w:rPr>
          <w:rFonts w:hint="default" w:ascii="楷体" w:hAnsi="楷体" w:eastAsia="楷体" w:cs="楷体"/>
          <w:kern w:val="2"/>
          <w:sz w:val="32"/>
          <w:szCs w:val="32"/>
          <w:lang w:val="en-US" w:eastAsia="zh-CN" w:bidi="ar"/>
          <w:woUserID w:val="1"/>
        </w:rPr>
      </w:pPr>
      <w:r>
        <w:rPr>
          <w:rFonts w:hint="default" w:ascii="楷体" w:hAnsi="楷体" w:eastAsia="楷体" w:cs="楷体"/>
          <w:kern w:val="2"/>
          <w:sz w:val="32"/>
          <w:szCs w:val="32"/>
          <w:lang w:val="en-US" w:eastAsia="zh-CN" w:bidi="ar"/>
          <w:woUserID w:val="1"/>
        </w:rPr>
        <w:t>（四）起草单位</w:t>
      </w:r>
    </w:p>
    <w:p w14:paraId="17C41A7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atLeast"/>
        <w:ind w:left="0" w:leftChars="0" w:right="0" w:firstLine="640" w:firstLineChars="200"/>
        <w:jc w:val="both"/>
        <w:textAlignment w:val="auto"/>
        <w:rPr>
          <w:rFonts w:hint="default" w:ascii="方正仿宋_GB2312" w:hAnsi="方正仿宋_GB2312" w:eastAsia="方正仿宋_GB2312" w:cs="方正仿宋_GB2312"/>
          <w:kern w:val="2"/>
          <w:sz w:val="32"/>
          <w:szCs w:val="32"/>
          <w:woUserID w:val="1"/>
        </w:rPr>
      </w:pPr>
      <w:r>
        <w:rPr>
          <w:rFonts w:hint="default" w:ascii="方正仿宋_GB2312" w:hAnsi="方正仿宋_GB2312" w:eastAsia="方正仿宋_GB2312" w:cs="方正仿宋_GB2312"/>
          <w:kern w:val="2"/>
          <w:sz w:val="32"/>
          <w:szCs w:val="32"/>
          <w:lang w:val="en-US" w:eastAsia="zh-CN" w:bidi="ar"/>
          <w:woUserID w:val="1"/>
        </w:rPr>
        <w:t>海南省检验检测研究院</w:t>
      </w:r>
    </w:p>
    <w:p w14:paraId="264C84A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atLeast"/>
        <w:ind w:left="0" w:leftChars="0" w:right="0" w:firstLine="640" w:firstLineChars="200"/>
        <w:jc w:val="both"/>
        <w:textAlignment w:val="auto"/>
        <w:rPr>
          <w:rFonts w:hint="default" w:ascii="楷体" w:hAnsi="楷体" w:eastAsia="楷体" w:cs="楷体"/>
          <w:kern w:val="2"/>
          <w:sz w:val="32"/>
          <w:szCs w:val="32"/>
          <w:lang w:val="en-US" w:eastAsia="zh-CN" w:bidi="ar"/>
          <w:woUserID w:val="1"/>
        </w:rPr>
      </w:pPr>
      <w:r>
        <w:rPr>
          <w:rFonts w:hint="default" w:ascii="楷体" w:hAnsi="楷体" w:eastAsia="楷体" w:cs="楷体"/>
          <w:kern w:val="2"/>
          <w:sz w:val="32"/>
          <w:szCs w:val="32"/>
          <w:lang w:val="en-US" w:eastAsia="zh-CN" w:bidi="ar"/>
          <w:woUserID w:val="1"/>
        </w:rPr>
        <w:t>（五）单位地址</w:t>
      </w:r>
    </w:p>
    <w:p w14:paraId="5CB2441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atLeast"/>
        <w:ind w:left="0" w:leftChars="0" w:right="0" w:firstLine="640" w:firstLineChars="200"/>
        <w:jc w:val="both"/>
        <w:textAlignment w:val="auto"/>
        <w:rPr>
          <w:rFonts w:hint="default" w:ascii="方正仿宋_GB2312" w:hAnsi="方正仿宋_GB2312" w:eastAsia="方正仿宋_GB2312" w:cs="方正仿宋_GB2312"/>
          <w:kern w:val="2"/>
          <w:sz w:val="32"/>
          <w:szCs w:val="32"/>
          <w:woUserID w:val="1"/>
        </w:rPr>
      </w:pPr>
      <w:r>
        <w:rPr>
          <w:rFonts w:hint="default" w:ascii="方正仿宋_GB2312" w:hAnsi="方正仿宋_GB2312" w:eastAsia="方正仿宋_GB2312" w:cs="方正仿宋_GB2312"/>
          <w:kern w:val="2"/>
          <w:sz w:val="32"/>
          <w:szCs w:val="32"/>
          <w:lang w:val="en-US" w:eastAsia="zh-CN" w:bidi="ar"/>
          <w:woUserID w:val="1"/>
        </w:rPr>
        <w:t>海南省海口市美兰区蓝天路46号</w:t>
      </w:r>
    </w:p>
    <w:p w14:paraId="09B71D9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atLeast"/>
        <w:ind w:left="0" w:leftChars="0" w:right="0" w:firstLine="640" w:firstLineChars="200"/>
        <w:jc w:val="both"/>
        <w:textAlignment w:val="auto"/>
        <w:rPr>
          <w:rFonts w:hint="default" w:ascii="方正楷体_GB2312" w:hAnsi="方正楷体_GB2312" w:eastAsia="方正楷体_GB2312" w:cs="方正楷体_GB2312"/>
          <w:kern w:val="2"/>
          <w:sz w:val="32"/>
          <w:szCs w:val="32"/>
          <w:woUserID w:val="1"/>
        </w:rPr>
      </w:pPr>
      <w:r>
        <w:rPr>
          <w:rFonts w:hint="default" w:ascii="楷体" w:hAnsi="楷体" w:eastAsia="楷体" w:cs="楷体"/>
          <w:kern w:val="2"/>
          <w:sz w:val="32"/>
          <w:szCs w:val="32"/>
          <w:lang w:val="en-US" w:eastAsia="zh-CN" w:bidi="ar"/>
          <w:woUserID w:val="1"/>
        </w:rPr>
        <w:t>（六）参与起草单位</w:t>
      </w:r>
      <w:bookmarkStart w:id="0" w:name="_GoBack"/>
      <w:bookmarkEnd w:id="0"/>
    </w:p>
    <w:p w14:paraId="246B2B8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atLeast"/>
        <w:ind w:left="0" w:leftChars="0" w:right="0" w:firstLine="640" w:firstLineChars="200"/>
        <w:jc w:val="both"/>
        <w:textAlignment w:val="auto"/>
        <w:rPr>
          <w:rFonts w:hint="default" w:ascii="方正仿宋_GB2312" w:hAnsi="方正仿宋_GB2312" w:eastAsia="方正仿宋_GB2312" w:cs="方正仿宋_GB2312"/>
          <w:kern w:val="2"/>
          <w:sz w:val="32"/>
          <w:szCs w:val="32"/>
          <w:woUserID w:val="1"/>
        </w:rPr>
      </w:pPr>
      <w:r>
        <w:rPr>
          <w:rFonts w:hint="eastAsia" w:ascii="仿宋_GB2312" w:hAnsi="仿宋_GB2312" w:eastAsia="仿宋_GB2312" w:cs="仿宋_GB2312"/>
          <w:sz w:val="32"/>
          <w:szCs w:val="32"/>
          <w:lang w:val="en-US" w:eastAsia="zh-CN"/>
          <w:woUserID w:val="1"/>
        </w:rPr>
        <w:t>本标准由海南省检验检测研究院、海南省市场监督管理局联合起草。</w:t>
      </w:r>
    </w:p>
    <w:p w14:paraId="31C784F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atLeast"/>
        <w:ind w:left="0" w:leftChars="0" w:right="0" w:firstLine="640" w:firstLineChars="200"/>
        <w:jc w:val="both"/>
        <w:textAlignment w:val="auto"/>
        <w:rPr>
          <w:rFonts w:hint="default" w:ascii="楷体" w:hAnsi="楷体" w:eastAsia="楷体" w:cs="楷体"/>
          <w:kern w:val="2"/>
          <w:sz w:val="32"/>
          <w:szCs w:val="32"/>
          <w:lang w:val="en-US" w:eastAsia="zh-CN" w:bidi="ar"/>
          <w:woUserID w:val="1"/>
        </w:rPr>
      </w:pPr>
      <w:r>
        <w:rPr>
          <w:rFonts w:hint="default" w:ascii="楷体" w:hAnsi="楷体" w:eastAsia="楷体" w:cs="楷体"/>
          <w:kern w:val="2"/>
          <w:sz w:val="32"/>
          <w:szCs w:val="32"/>
          <w:lang w:val="en-US" w:eastAsia="zh-CN" w:bidi="ar"/>
          <w:woUserID w:val="1"/>
        </w:rPr>
        <w:t>（七）标准起草人</w:t>
      </w:r>
    </w:p>
    <w:p w14:paraId="500B732A">
      <w:pPr>
        <w:keepNext w:val="0"/>
        <w:keepLines w:val="0"/>
        <w:widowControl w:val="0"/>
        <w:suppressLineNumbers w:val="0"/>
        <w:autoSpaceDE w:val="0"/>
        <w:autoSpaceDN w:val="0"/>
        <w:spacing w:before="0" w:beforeAutospacing="0" w:after="0" w:afterAutospacing="0" w:line="560" w:lineRule="atLeast"/>
        <w:ind w:left="0" w:leftChars="0" w:right="0" w:firstLine="0" w:firstLineChars="0"/>
        <w:jc w:val="center"/>
        <w:rPr>
          <w:rFonts w:hint="eastAsia" w:ascii="方正小标宋简体" w:hAnsi="方正小标宋简体" w:eastAsia="方正小标宋简体" w:cs="方正小标宋简体"/>
          <w:bCs/>
          <w:kern w:val="2"/>
          <w:sz w:val="24"/>
          <w:szCs w:val="24"/>
          <w:woUserID w:val="1"/>
        </w:rPr>
      </w:pPr>
      <w:r>
        <w:rPr>
          <w:rFonts w:hint="eastAsia" w:ascii="方正小标宋简体" w:hAnsi="方正小标宋简体" w:eastAsia="方正小标宋简体" w:cs="方正小标宋简体"/>
          <w:bCs/>
          <w:kern w:val="2"/>
          <w:sz w:val="24"/>
          <w:szCs w:val="24"/>
          <w:lang w:val="en-US" w:eastAsia="zh-CN" w:bidi="ar"/>
          <w:woUserID w:val="1"/>
        </w:rPr>
        <w:t>表1 起草人员信息及任务分工</w:t>
      </w: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 w:type="dxa"/>
          <w:bottom w:w="0" w:type="dxa"/>
          <w:right w:w="10" w:type="dxa"/>
        </w:tblCellMar>
      </w:tblPr>
      <w:tblGrid>
        <w:gridCol w:w="525"/>
        <w:gridCol w:w="1046"/>
        <w:gridCol w:w="1112"/>
        <w:gridCol w:w="1080"/>
        <w:gridCol w:w="1179"/>
        <w:gridCol w:w="1343"/>
        <w:gridCol w:w="1288"/>
        <w:gridCol w:w="1288"/>
      </w:tblGrid>
      <w:tr w14:paraId="7035F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572" w:hRule="atLeast"/>
        </w:trPr>
        <w:tc>
          <w:tcPr>
            <w:tcW w:w="296" w:type="pct"/>
            <w:tcBorders>
              <w:top w:val="single" w:color="auto" w:sz="4" w:space="0"/>
              <w:left w:val="single" w:color="auto" w:sz="4" w:space="0"/>
              <w:bottom w:val="single" w:color="auto" w:sz="4" w:space="0"/>
              <w:right w:val="single" w:color="auto" w:sz="4" w:space="0"/>
            </w:tcBorders>
            <w:shd w:val="clear" w:color="auto" w:fill="auto"/>
            <w:vAlign w:val="center"/>
          </w:tcPr>
          <w:p w14:paraId="12E3BFF2">
            <w:pPr>
              <w:keepNext w:val="0"/>
              <w:keepLines w:val="0"/>
              <w:widowControl/>
              <w:suppressLineNumbers w:val="0"/>
              <w:autoSpaceDE w:val="0"/>
              <w:autoSpaceDN w:val="0"/>
              <w:spacing w:before="0" w:beforeAutospacing="0" w:after="0" w:afterAutospacing="0" w:line="560" w:lineRule="atLeast"/>
              <w:ind w:left="0" w:right="0"/>
              <w:jc w:val="center"/>
              <w:textAlignment w:val="center"/>
              <w:rPr>
                <w:rFonts w:hint="eastAsia" w:ascii="仿宋_GB2312" w:hAnsi="宋体" w:eastAsia="仿宋_GB2312" w:cs="仿宋_GB2312"/>
                <w:b/>
                <w:bCs/>
                <w:i w:val="0"/>
                <w:iCs w:val="0"/>
                <w:color w:val="000000"/>
                <w:kern w:val="0"/>
                <w:sz w:val="24"/>
                <w:szCs w:val="24"/>
                <w:woUserID w:val="1"/>
              </w:rPr>
            </w:pPr>
            <w:r>
              <w:rPr>
                <w:rFonts w:hint="eastAsia" w:ascii="仿宋_GB2312" w:hAnsi="宋体" w:eastAsia="仿宋_GB2312" w:cs="仿宋_GB2312"/>
                <w:b/>
                <w:bCs/>
                <w:i w:val="0"/>
                <w:iCs w:val="0"/>
                <w:color w:val="000000"/>
                <w:kern w:val="0"/>
                <w:sz w:val="24"/>
                <w:szCs w:val="24"/>
                <w:lang w:val="en-US" w:eastAsia="zh-CN" w:bidi="ar"/>
                <w:woUserID w:val="1"/>
              </w:rPr>
              <w:t>序号</w:t>
            </w:r>
          </w:p>
        </w:tc>
        <w:tc>
          <w:tcPr>
            <w:tcW w:w="590" w:type="pct"/>
            <w:tcBorders>
              <w:top w:val="single" w:color="auto" w:sz="4" w:space="0"/>
              <w:left w:val="nil"/>
              <w:bottom w:val="single" w:color="auto" w:sz="4" w:space="0"/>
              <w:right w:val="single" w:color="auto" w:sz="4" w:space="0"/>
            </w:tcBorders>
            <w:shd w:val="clear" w:color="auto" w:fill="auto"/>
            <w:vAlign w:val="center"/>
          </w:tcPr>
          <w:p w14:paraId="645E27BC">
            <w:pPr>
              <w:keepNext w:val="0"/>
              <w:keepLines w:val="0"/>
              <w:widowControl/>
              <w:suppressLineNumbers w:val="0"/>
              <w:autoSpaceDE w:val="0"/>
              <w:autoSpaceDN w:val="0"/>
              <w:spacing w:before="0" w:beforeAutospacing="0" w:after="0" w:afterAutospacing="0" w:line="560" w:lineRule="atLeast"/>
              <w:ind w:left="0" w:right="0"/>
              <w:jc w:val="center"/>
              <w:textAlignment w:val="center"/>
              <w:rPr>
                <w:rFonts w:hint="eastAsia" w:ascii="仿宋_GB2312" w:hAnsi="宋体" w:eastAsia="仿宋_GB2312" w:cs="仿宋_GB2312"/>
                <w:b/>
                <w:bCs/>
                <w:i w:val="0"/>
                <w:iCs w:val="0"/>
                <w:color w:val="000000"/>
                <w:kern w:val="0"/>
                <w:sz w:val="24"/>
                <w:szCs w:val="24"/>
                <w:woUserID w:val="1"/>
              </w:rPr>
            </w:pPr>
            <w:r>
              <w:rPr>
                <w:rFonts w:hint="eastAsia" w:ascii="仿宋_GB2312" w:hAnsi="宋体" w:eastAsia="仿宋_GB2312" w:cs="仿宋_GB2312"/>
                <w:b/>
                <w:bCs/>
                <w:i w:val="0"/>
                <w:iCs w:val="0"/>
                <w:color w:val="000000"/>
                <w:kern w:val="0"/>
                <w:sz w:val="24"/>
                <w:szCs w:val="24"/>
                <w:lang w:val="en-US" w:eastAsia="zh-CN" w:bidi="ar"/>
                <w:woUserID w:val="1"/>
              </w:rPr>
              <w:t>姓名</w:t>
            </w:r>
          </w:p>
        </w:tc>
        <w:tc>
          <w:tcPr>
            <w:tcW w:w="627" w:type="pct"/>
            <w:tcBorders>
              <w:top w:val="single" w:color="auto" w:sz="4" w:space="0"/>
              <w:left w:val="nil"/>
              <w:bottom w:val="single" w:color="auto" w:sz="4" w:space="0"/>
              <w:right w:val="single" w:color="auto" w:sz="4" w:space="0"/>
            </w:tcBorders>
            <w:shd w:val="clear" w:color="auto" w:fill="auto"/>
            <w:vAlign w:val="center"/>
          </w:tcPr>
          <w:p w14:paraId="274661B2">
            <w:pPr>
              <w:keepNext w:val="0"/>
              <w:keepLines w:val="0"/>
              <w:widowControl/>
              <w:suppressLineNumbers w:val="0"/>
              <w:autoSpaceDE w:val="0"/>
              <w:autoSpaceDN w:val="0"/>
              <w:spacing w:before="0" w:beforeAutospacing="0" w:after="0" w:afterAutospacing="0" w:line="560" w:lineRule="atLeast"/>
              <w:ind w:left="0" w:right="0"/>
              <w:jc w:val="center"/>
              <w:textAlignment w:val="center"/>
              <w:rPr>
                <w:rFonts w:hint="eastAsia" w:ascii="仿宋_GB2312" w:hAnsi="宋体" w:eastAsia="仿宋_GB2312" w:cs="仿宋_GB2312"/>
                <w:b/>
                <w:bCs/>
                <w:i w:val="0"/>
                <w:iCs w:val="0"/>
                <w:color w:val="000000"/>
                <w:kern w:val="0"/>
                <w:sz w:val="24"/>
                <w:szCs w:val="24"/>
                <w:woUserID w:val="1"/>
              </w:rPr>
            </w:pPr>
            <w:r>
              <w:rPr>
                <w:rFonts w:hint="eastAsia" w:ascii="仿宋_GB2312" w:hAnsi="宋体" w:eastAsia="仿宋_GB2312" w:cs="仿宋_GB2312"/>
                <w:b/>
                <w:bCs/>
                <w:i w:val="0"/>
                <w:iCs w:val="0"/>
                <w:color w:val="000000"/>
                <w:kern w:val="0"/>
                <w:sz w:val="24"/>
                <w:szCs w:val="24"/>
                <w:lang w:val="en-US" w:eastAsia="zh-CN" w:bidi="ar"/>
                <w:woUserID w:val="1"/>
              </w:rPr>
              <w:t>单位</w:t>
            </w:r>
          </w:p>
        </w:tc>
        <w:tc>
          <w:tcPr>
            <w:tcW w:w="609" w:type="pct"/>
            <w:tcBorders>
              <w:top w:val="single" w:color="auto" w:sz="4" w:space="0"/>
              <w:left w:val="nil"/>
              <w:bottom w:val="single" w:color="auto" w:sz="4" w:space="0"/>
              <w:right w:val="single" w:color="auto" w:sz="4" w:space="0"/>
            </w:tcBorders>
            <w:shd w:val="clear" w:color="auto" w:fill="auto"/>
            <w:vAlign w:val="center"/>
          </w:tcPr>
          <w:p w14:paraId="78249AC0">
            <w:pPr>
              <w:keepNext w:val="0"/>
              <w:keepLines w:val="0"/>
              <w:widowControl/>
              <w:suppressLineNumbers w:val="0"/>
              <w:autoSpaceDE w:val="0"/>
              <w:autoSpaceDN w:val="0"/>
              <w:spacing w:before="0" w:beforeAutospacing="0" w:after="0" w:afterAutospacing="0" w:line="560" w:lineRule="atLeast"/>
              <w:ind w:left="0" w:right="0"/>
              <w:jc w:val="center"/>
              <w:textAlignment w:val="center"/>
              <w:rPr>
                <w:rFonts w:hint="eastAsia" w:ascii="仿宋_GB2312" w:hAnsi="宋体" w:eastAsia="仿宋_GB2312" w:cs="仿宋_GB2312"/>
                <w:b/>
                <w:bCs/>
                <w:i w:val="0"/>
                <w:iCs w:val="0"/>
                <w:color w:val="000000"/>
                <w:kern w:val="0"/>
                <w:sz w:val="24"/>
                <w:szCs w:val="24"/>
                <w:woUserID w:val="1"/>
              </w:rPr>
            </w:pPr>
            <w:r>
              <w:rPr>
                <w:rFonts w:hint="eastAsia" w:ascii="仿宋_GB2312" w:hAnsi="宋体" w:eastAsia="仿宋_GB2312" w:cs="仿宋_GB2312"/>
                <w:b/>
                <w:bCs/>
                <w:i w:val="0"/>
                <w:iCs w:val="0"/>
                <w:color w:val="000000"/>
                <w:kern w:val="0"/>
                <w:sz w:val="24"/>
                <w:szCs w:val="24"/>
                <w:lang w:val="en-US" w:eastAsia="zh-CN" w:bidi="ar"/>
                <w:woUserID w:val="1"/>
              </w:rPr>
              <w:t>职务</w:t>
            </w:r>
          </w:p>
        </w:tc>
        <w:tc>
          <w:tcPr>
            <w:tcW w:w="665" w:type="pct"/>
            <w:tcBorders>
              <w:top w:val="single" w:color="auto" w:sz="4" w:space="0"/>
              <w:left w:val="nil"/>
              <w:bottom w:val="single" w:color="auto" w:sz="4" w:space="0"/>
              <w:right w:val="single" w:color="auto" w:sz="4" w:space="0"/>
            </w:tcBorders>
            <w:shd w:val="clear" w:color="auto" w:fill="auto"/>
            <w:vAlign w:val="center"/>
          </w:tcPr>
          <w:p w14:paraId="7477BA23">
            <w:pPr>
              <w:keepNext w:val="0"/>
              <w:keepLines w:val="0"/>
              <w:widowControl/>
              <w:suppressLineNumbers w:val="0"/>
              <w:autoSpaceDE w:val="0"/>
              <w:autoSpaceDN w:val="0"/>
              <w:spacing w:before="0" w:beforeAutospacing="0" w:after="0" w:afterAutospacing="0" w:line="560" w:lineRule="atLeast"/>
              <w:ind w:left="0" w:right="0"/>
              <w:jc w:val="center"/>
              <w:textAlignment w:val="center"/>
              <w:rPr>
                <w:rFonts w:hint="eastAsia" w:ascii="仿宋_GB2312" w:hAnsi="宋体" w:eastAsia="仿宋_GB2312" w:cs="仿宋_GB2312"/>
                <w:b/>
                <w:bCs/>
                <w:i w:val="0"/>
                <w:iCs w:val="0"/>
                <w:color w:val="000000"/>
                <w:kern w:val="0"/>
                <w:sz w:val="24"/>
                <w:szCs w:val="24"/>
                <w:woUserID w:val="1"/>
              </w:rPr>
            </w:pPr>
            <w:r>
              <w:rPr>
                <w:rFonts w:hint="eastAsia" w:ascii="仿宋_GB2312" w:hAnsi="宋体" w:eastAsia="仿宋_GB2312" w:cs="仿宋_GB2312"/>
                <w:b/>
                <w:bCs/>
                <w:i w:val="0"/>
                <w:iCs w:val="0"/>
                <w:color w:val="000000"/>
                <w:kern w:val="0"/>
                <w:sz w:val="24"/>
                <w:szCs w:val="24"/>
                <w:lang w:val="en-US" w:eastAsia="zh-CN" w:bidi="ar"/>
                <w:woUserID w:val="1"/>
              </w:rPr>
              <w:t>职称</w:t>
            </w:r>
          </w:p>
        </w:tc>
        <w:tc>
          <w:tcPr>
            <w:tcW w:w="757" w:type="pct"/>
            <w:tcBorders>
              <w:top w:val="single" w:color="auto" w:sz="4" w:space="0"/>
              <w:left w:val="nil"/>
              <w:bottom w:val="single" w:color="auto" w:sz="4" w:space="0"/>
              <w:right w:val="single" w:color="auto" w:sz="4" w:space="0"/>
            </w:tcBorders>
            <w:shd w:val="clear" w:color="auto" w:fill="auto"/>
            <w:vAlign w:val="center"/>
          </w:tcPr>
          <w:p w14:paraId="576285B6">
            <w:pPr>
              <w:keepNext w:val="0"/>
              <w:keepLines w:val="0"/>
              <w:widowControl/>
              <w:suppressLineNumbers w:val="0"/>
              <w:autoSpaceDE w:val="0"/>
              <w:autoSpaceDN w:val="0"/>
              <w:spacing w:before="0" w:beforeAutospacing="0" w:after="0" w:afterAutospacing="0" w:line="560" w:lineRule="atLeast"/>
              <w:ind w:left="0" w:right="0"/>
              <w:jc w:val="center"/>
              <w:textAlignment w:val="center"/>
              <w:rPr>
                <w:rFonts w:hint="eastAsia" w:ascii="仿宋_GB2312" w:hAnsi="宋体" w:eastAsia="仿宋_GB2312" w:cs="仿宋_GB2312"/>
                <w:b/>
                <w:bCs/>
                <w:i w:val="0"/>
                <w:iCs w:val="0"/>
                <w:color w:val="000000"/>
                <w:kern w:val="0"/>
                <w:sz w:val="24"/>
                <w:szCs w:val="24"/>
                <w:woUserID w:val="1"/>
              </w:rPr>
            </w:pPr>
            <w:r>
              <w:rPr>
                <w:rFonts w:hint="eastAsia" w:ascii="仿宋_GB2312" w:hAnsi="宋体" w:eastAsia="仿宋_GB2312" w:cs="仿宋_GB2312"/>
                <w:b/>
                <w:bCs/>
                <w:i w:val="0"/>
                <w:iCs w:val="0"/>
                <w:color w:val="000000"/>
                <w:kern w:val="0"/>
                <w:sz w:val="24"/>
                <w:szCs w:val="24"/>
                <w:lang w:val="en-US" w:eastAsia="zh-CN" w:bidi="ar"/>
                <w:woUserID w:val="1"/>
              </w:rPr>
              <w:t>任务分工</w:t>
            </w:r>
          </w:p>
        </w:tc>
        <w:tc>
          <w:tcPr>
            <w:tcW w:w="726" w:type="pct"/>
            <w:tcBorders>
              <w:top w:val="single" w:color="auto" w:sz="4" w:space="0"/>
              <w:left w:val="nil"/>
              <w:bottom w:val="single" w:color="auto" w:sz="4" w:space="0"/>
              <w:right w:val="single" w:color="auto" w:sz="4" w:space="0"/>
            </w:tcBorders>
            <w:shd w:val="clear" w:color="auto" w:fill="auto"/>
            <w:vAlign w:val="center"/>
          </w:tcPr>
          <w:p w14:paraId="488BD885">
            <w:pPr>
              <w:keepNext w:val="0"/>
              <w:keepLines w:val="0"/>
              <w:widowControl/>
              <w:suppressLineNumbers w:val="0"/>
              <w:autoSpaceDE w:val="0"/>
              <w:autoSpaceDN w:val="0"/>
              <w:spacing w:before="0" w:beforeAutospacing="0" w:after="0" w:afterAutospacing="0" w:line="560" w:lineRule="atLeast"/>
              <w:ind w:left="0" w:right="0"/>
              <w:jc w:val="center"/>
              <w:textAlignment w:val="center"/>
              <w:rPr>
                <w:rFonts w:hint="eastAsia" w:ascii="仿宋_GB2312" w:hAnsi="宋体" w:eastAsia="仿宋_GB2312" w:cs="仿宋_GB2312"/>
                <w:b/>
                <w:bCs/>
                <w:i w:val="0"/>
                <w:iCs w:val="0"/>
                <w:color w:val="000000"/>
                <w:kern w:val="0"/>
                <w:sz w:val="24"/>
                <w:szCs w:val="24"/>
                <w:woUserID w:val="1"/>
              </w:rPr>
            </w:pPr>
            <w:r>
              <w:rPr>
                <w:rFonts w:hint="eastAsia" w:ascii="仿宋_GB2312" w:hAnsi="宋体" w:eastAsia="仿宋_GB2312" w:cs="仿宋_GB2312"/>
                <w:b/>
                <w:bCs/>
                <w:i w:val="0"/>
                <w:iCs w:val="0"/>
                <w:color w:val="000000"/>
                <w:kern w:val="0"/>
                <w:sz w:val="24"/>
                <w:szCs w:val="24"/>
                <w:lang w:val="en-US" w:eastAsia="zh-CN" w:bidi="ar"/>
                <w:woUserID w:val="1"/>
              </w:rPr>
              <w:t>联系方式</w:t>
            </w:r>
          </w:p>
        </w:tc>
        <w:tc>
          <w:tcPr>
            <w:tcW w:w="726" w:type="pct"/>
            <w:tcBorders>
              <w:top w:val="single" w:color="auto" w:sz="4" w:space="0"/>
              <w:left w:val="nil"/>
              <w:bottom w:val="single" w:color="auto" w:sz="4" w:space="0"/>
              <w:right w:val="single" w:color="auto" w:sz="4" w:space="0"/>
            </w:tcBorders>
            <w:shd w:val="clear" w:color="auto" w:fill="auto"/>
            <w:vAlign w:val="center"/>
          </w:tcPr>
          <w:p w14:paraId="0288D422">
            <w:pPr>
              <w:keepNext w:val="0"/>
              <w:keepLines w:val="0"/>
              <w:widowControl/>
              <w:suppressLineNumbers w:val="0"/>
              <w:autoSpaceDE w:val="0"/>
              <w:autoSpaceDN w:val="0"/>
              <w:spacing w:before="0" w:beforeAutospacing="0" w:after="0" w:afterAutospacing="0" w:line="560" w:lineRule="atLeast"/>
              <w:ind w:left="0" w:right="0"/>
              <w:jc w:val="center"/>
              <w:textAlignment w:val="center"/>
              <w:rPr>
                <w:rFonts w:hint="eastAsia" w:ascii="仿宋_GB2312" w:hAnsi="宋体" w:eastAsia="仿宋_GB2312" w:cs="仿宋_GB2312"/>
                <w:b/>
                <w:bCs/>
                <w:i w:val="0"/>
                <w:iCs w:val="0"/>
                <w:color w:val="000000"/>
                <w:kern w:val="0"/>
                <w:sz w:val="24"/>
                <w:szCs w:val="24"/>
                <w:woUserID w:val="1"/>
              </w:rPr>
            </w:pPr>
            <w:r>
              <w:rPr>
                <w:rFonts w:hint="eastAsia" w:ascii="仿宋_GB2312" w:hAnsi="宋体" w:eastAsia="仿宋_GB2312" w:cs="仿宋_GB2312"/>
                <w:b/>
                <w:bCs/>
                <w:i w:val="0"/>
                <w:iCs w:val="0"/>
                <w:color w:val="000000"/>
                <w:kern w:val="0"/>
                <w:sz w:val="24"/>
                <w:szCs w:val="24"/>
                <w:lang w:val="en-US" w:eastAsia="zh-CN" w:bidi="ar"/>
                <w:woUserID w:val="1"/>
              </w:rPr>
              <w:t>签名</w:t>
            </w:r>
          </w:p>
        </w:tc>
      </w:tr>
      <w:tr w14:paraId="0ACA3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4" w:hRule="atLeast"/>
        </w:trPr>
        <w:tc>
          <w:tcPr>
            <w:tcW w:w="296" w:type="pct"/>
            <w:tcBorders>
              <w:top w:val="single" w:color="auto" w:sz="4" w:space="0"/>
              <w:left w:val="single" w:color="auto" w:sz="4" w:space="0"/>
              <w:bottom w:val="single" w:color="auto" w:sz="4" w:space="0"/>
              <w:right w:val="single" w:color="auto" w:sz="4" w:space="0"/>
            </w:tcBorders>
            <w:shd w:val="clear" w:color="auto" w:fill="auto"/>
            <w:vAlign w:val="center"/>
          </w:tcPr>
          <w:p w14:paraId="47518C4B">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590" w:type="pct"/>
            <w:tcBorders>
              <w:top w:val="single" w:color="auto" w:sz="4" w:space="0"/>
              <w:left w:val="nil"/>
              <w:bottom w:val="single" w:color="auto" w:sz="4" w:space="0"/>
              <w:right w:val="single" w:color="auto" w:sz="4" w:space="0"/>
            </w:tcBorders>
            <w:shd w:val="clear" w:color="auto" w:fill="auto"/>
            <w:vAlign w:val="center"/>
          </w:tcPr>
          <w:p w14:paraId="136BC646">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627" w:type="pct"/>
            <w:tcBorders>
              <w:top w:val="single" w:color="auto" w:sz="4" w:space="0"/>
              <w:left w:val="nil"/>
              <w:bottom w:val="single" w:color="auto" w:sz="4" w:space="0"/>
              <w:right w:val="single" w:color="auto" w:sz="4" w:space="0"/>
            </w:tcBorders>
            <w:shd w:val="clear" w:color="auto" w:fill="auto"/>
            <w:vAlign w:val="center"/>
          </w:tcPr>
          <w:p w14:paraId="3D3A35CF">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609" w:type="pct"/>
            <w:tcBorders>
              <w:top w:val="single" w:color="auto" w:sz="4" w:space="0"/>
              <w:left w:val="nil"/>
              <w:bottom w:val="single" w:color="auto" w:sz="4" w:space="0"/>
              <w:right w:val="single" w:color="auto" w:sz="4" w:space="0"/>
            </w:tcBorders>
            <w:shd w:val="clear" w:color="auto" w:fill="auto"/>
            <w:vAlign w:val="center"/>
          </w:tcPr>
          <w:p w14:paraId="49EC3C8E">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eastAsia" w:ascii="Times New Roman" w:hAnsi="Times New Roman" w:eastAsia="宋体" w:cs="Times New Roman"/>
                <w:i w:val="0"/>
                <w:iCs w:val="0"/>
                <w:color w:val="000000"/>
                <w:kern w:val="0"/>
                <w:sz w:val="21"/>
                <w:szCs w:val="21"/>
                <w:woUserID w:val="1"/>
              </w:rPr>
            </w:pPr>
          </w:p>
        </w:tc>
        <w:tc>
          <w:tcPr>
            <w:tcW w:w="665" w:type="pct"/>
            <w:tcBorders>
              <w:top w:val="single" w:color="auto" w:sz="4" w:space="0"/>
              <w:left w:val="nil"/>
              <w:bottom w:val="single" w:color="auto" w:sz="4" w:space="0"/>
              <w:right w:val="single" w:color="auto" w:sz="4" w:space="0"/>
            </w:tcBorders>
            <w:shd w:val="clear" w:color="auto" w:fill="auto"/>
            <w:vAlign w:val="center"/>
          </w:tcPr>
          <w:p w14:paraId="64C96EDE">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757" w:type="pct"/>
            <w:tcBorders>
              <w:top w:val="single" w:color="auto" w:sz="4" w:space="0"/>
              <w:left w:val="nil"/>
              <w:bottom w:val="single" w:color="auto" w:sz="4" w:space="0"/>
              <w:right w:val="single" w:color="auto" w:sz="4" w:space="0"/>
            </w:tcBorders>
            <w:shd w:val="clear" w:color="auto" w:fill="auto"/>
            <w:vAlign w:val="center"/>
          </w:tcPr>
          <w:p w14:paraId="3A0BF09B">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726" w:type="pct"/>
            <w:tcBorders>
              <w:top w:val="single" w:color="auto" w:sz="4" w:space="0"/>
              <w:left w:val="nil"/>
              <w:bottom w:val="single" w:color="auto" w:sz="4" w:space="0"/>
              <w:right w:val="single" w:color="auto" w:sz="4" w:space="0"/>
            </w:tcBorders>
            <w:shd w:val="clear" w:color="auto" w:fill="auto"/>
            <w:vAlign w:val="center"/>
          </w:tcPr>
          <w:p w14:paraId="3EBD575A">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726" w:type="pct"/>
            <w:tcBorders>
              <w:top w:val="single" w:color="auto" w:sz="4" w:space="0"/>
              <w:left w:val="nil"/>
              <w:bottom w:val="single" w:color="auto" w:sz="4" w:space="0"/>
              <w:right w:val="single" w:color="auto" w:sz="4" w:space="0"/>
            </w:tcBorders>
            <w:shd w:val="clear" w:color="auto" w:fill="auto"/>
            <w:vAlign w:val="center"/>
          </w:tcPr>
          <w:p w14:paraId="47785A5E">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r>
      <w:tr w14:paraId="41BC8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780" w:hRule="atLeast"/>
        </w:trPr>
        <w:tc>
          <w:tcPr>
            <w:tcW w:w="296" w:type="pct"/>
            <w:tcBorders>
              <w:top w:val="single" w:color="auto" w:sz="4" w:space="0"/>
              <w:left w:val="single" w:color="auto" w:sz="4" w:space="0"/>
              <w:bottom w:val="single" w:color="auto" w:sz="4" w:space="0"/>
              <w:right w:val="single" w:color="auto" w:sz="4" w:space="0"/>
            </w:tcBorders>
            <w:shd w:val="clear" w:color="auto" w:fill="auto"/>
            <w:vAlign w:val="center"/>
          </w:tcPr>
          <w:p w14:paraId="576E1857">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590" w:type="pct"/>
            <w:tcBorders>
              <w:top w:val="single" w:color="auto" w:sz="4" w:space="0"/>
              <w:left w:val="nil"/>
              <w:bottom w:val="single" w:color="auto" w:sz="4" w:space="0"/>
              <w:right w:val="single" w:color="auto" w:sz="4" w:space="0"/>
            </w:tcBorders>
            <w:shd w:val="clear" w:color="auto" w:fill="auto"/>
            <w:vAlign w:val="center"/>
          </w:tcPr>
          <w:p w14:paraId="1A6060B0">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627" w:type="pct"/>
            <w:tcBorders>
              <w:top w:val="single" w:color="auto" w:sz="4" w:space="0"/>
              <w:left w:val="nil"/>
              <w:bottom w:val="single" w:color="auto" w:sz="4" w:space="0"/>
              <w:right w:val="single" w:color="auto" w:sz="4" w:space="0"/>
            </w:tcBorders>
            <w:shd w:val="clear" w:color="auto" w:fill="auto"/>
            <w:vAlign w:val="center"/>
          </w:tcPr>
          <w:p w14:paraId="1F055166">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609" w:type="pct"/>
            <w:tcBorders>
              <w:top w:val="single" w:color="auto" w:sz="4" w:space="0"/>
              <w:left w:val="nil"/>
              <w:bottom w:val="single" w:color="auto" w:sz="4" w:space="0"/>
              <w:right w:val="single" w:color="auto" w:sz="4" w:space="0"/>
            </w:tcBorders>
            <w:shd w:val="clear" w:color="auto" w:fill="auto"/>
            <w:vAlign w:val="center"/>
          </w:tcPr>
          <w:p w14:paraId="2B95B22C">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665" w:type="pct"/>
            <w:tcBorders>
              <w:top w:val="single" w:color="auto" w:sz="4" w:space="0"/>
              <w:left w:val="nil"/>
              <w:bottom w:val="single" w:color="auto" w:sz="4" w:space="0"/>
              <w:right w:val="single" w:color="auto" w:sz="4" w:space="0"/>
            </w:tcBorders>
            <w:shd w:val="clear" w:color="auto" w:fill="auto"/>
            <w:vAlign w:val="center"/>
          </w:tcPr>
          <w:p w14:paraId="5DAA141F">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757" w:type="pct"/>
            <w:tcBorders>
              <w:top w:val="single" w:color="auto" w:sz="4" w:space="0"/>
              <w:left w:val="nil"/>
              <w:bottom w:val="single" w:color="auto" w:sz="4" w:space="0"/>
              <w:right w:val="single" w:color="auto" w:sz="4" w:space="0"/>
            </w:tcBorders>
            <w:shd w:val="clear" w:color="auto" w:fill="auto"/>
            <w:vAlign w:val="center"/>
          </w:tcPr>
          <w:p w14:paraId="0620EDD0">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726" w:type="pct"/>
            <w:tcBorders>
              <w:top w:val="single" w:color="auto" w:sz="4" w:space="0"/>
              <w:left w:val="nil"/>
              <w:bottom w:val="single" w:color="auto" w:sz="4" w:space="0"/>
              <w:right w:val="single" w:color="auto" w:sz="4" w:space="0"/>
            </w:tcBorders>
            <w:shd w:val="clear" w:color="auto" w:fill="auto"/>
            <w:vAlign w:val="center"/>
          </w:tcPr>
          <w:p w14:paraId="1FA3EF8A">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726" w:type="pct"/>
            <w:tcBorders>
              <w:top w:val="single" w:color="auto" w:sz="4" w:space="0"/>
              <w:left w:val="nil"/>
              <w:bottom w:val="single" w:color="auto" w:sz="4" w:space="0"/>
              <w:right w:val="single" w:color="auto" w:sz="4" w:space="0"/>
            </w:tcBorders>
            <w:shd w:val="clear" w:color="auto" w:fill="auto"/>
            <w:vAlign w:val="center"/>
          </w:tcPr>
          <w:p w14:paraId="2D58540E">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r>
      <w:tr w14:paraId="15B25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736" w:hRule="atLeast"/>
        </w:trPr>
        <w:tc>
          <w:tcPr>
            <w:tcW w:w="296" w:type="pct"/>
            <w:tcBorders>
              <w:top w:val="single" w:color="auto" w:sz="4" w:space="0"/>
              <w:left w:val="single" w:color="auto" w:sz="4" w:space="0"/>
              <w:bottom w:val="single" w:color="auto" w:sz="4" w:space="0"/>
              <w:right w:val="single" w:color="auto" w:sz="4" w:space="0"/>
            </w:tcBorders>
            <w:shd w:val="clear" w:color="auto" w:fill="auto"/>
            <w:vAlign w:val="center"/>
          </w:tcPr>
          <w:p w14:paraId="0F1B4350">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590" w:type="pct"/>
            <w:tcBorders>
              <w:top w:val="single" w:color="auto" w:sz="4" w:space="0"/>
              <w:left w:val="nil"/>
              <w:bottom w:val="single" w:color="auto" w:sz="4" w:space="0"/>
              <w:right w:val="single" w:color="auto" w:sz="4" w:space="0"/>
            </w:tcBorders>
            <w:shd w:val="clear" w:color="auto" w:fill="auto"/>
            <w:vAlign w:val="center"/>
          </w:tcPr>
          <w:p w14:paraId="73853E01">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627" w:type="pct"/>
            <w:tcBorders>
              <w:top w:val="single" w:color="auto" w:sz="4" w:space="0"/>
              <w:left w:val="nil"/>
              <w:bottom w:val="single" w:color="auto" w:sz="4" w:space="0"/>
              <w:right w:val="single" w:color="auto" w:sz="4" w:space="0"/>
            </w:tcBorders>
            <w:shd w:val="clear" w:color="auto" w:fill="auto"/>
            <w:vAlign w:val="center"/>
          </w:tcPr>
          <w:p w14:paraId="7843F11A">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609" w:type="pct"/>
            <w:tcBorders>
              <w:top w:val="single" w:color="auto" w:sz="4" w:space="0"/>
              <w:left w:val="nil"/>
              <w:bottom w:val="single" w:color="auto" w:sz="4" w:space="0"/>
              <w:right w:val="single" w:color="auto" w:sz="4" w:space="0"/>
            </w:tcBorders>
            <w:shd w:val="clear" w:color="auto" w:fill="auto"/>
            <w:vAlign w:val="center"/>
          </w:tcPr>
          <w:p w14:paraId="47229B33">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665" w:type="pct"/>
            <w:tcBorders>
              <w:top w:val="single" w:color="auto" w:sz="4" w:space="0"/>
              <w:left w:val="nil"/>
              <w:bottom w:val="single" w:color="auto" w:sz="4" w:space="0"/>
              <w:right w:val="single" w:color="auto" w:sz="4" w:space="0"/>
            </w:tcBorders>
            <w:shd w:val="clear" w:color="auto" w:fill="auto"/>
            <w:vAlign w:val="center"/>
          </w:tcPr>
          <w:p w14:paraId="4321CC8D">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757" w:type="pct"/>
            <w:tcBorders>
              <w:top w:val="single" w:color="auto" w:sz="4" w:space="0"/>
              <w:left w:val="nil"/>
              <w:bottom w:val="single" w:color="auto" w:sz="4" w:space="0"/>
              <w:right w:val="single" w:color="auto" w:sz="4" w:space="0"/>
            </w:tcBorders>
            <w:shd w:val="clear" w:color="auto" w:fill="auto"/>
            <w:vAlign w:val="center"/>
          </w:tcPr>
          <w:p w14:paraId="00D7A215">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726" w:type="pct"/>
            <w:tcBorders>
              <w:top w:val="single" w:color="auto" w:sz="4" w:space="0"/>
              <w:left w:val="nil"/>
              <w:bottom w:val="single" w:color="auto" w:sz="4" w:space="0"/>
              <w:right w:val="single" w:color="auto" w:sz="4" w:space="0"/>
            </w:tcBorders>
            <w:shd w:val="clear" w:color="auto" w:fill="auto"/>
            <w:vAlign w:val="center"/>
          </w:tcPr>
          <w:p w14:paraId="393D6DDA">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726" w:type="pct"/>
            <w:tcBorders>
              <w:top w:val="single" w:color="auto" w:sz="4" w:space="0"/>
              <w:left w:val="nil"/>
              <w:bottom w:val="single" w:color="auto" w:sz="4" w:space="0"/>
              <w:right w:val="single" w:color="auto" w:sz="4" w:space="0"/>
            </w:tcBorders>
            <w:shd w:val="clear" w:color="auto" w:fill="auto"/>
            <w:vAlign w:val="center"/>
          </w:tcPr>
          <w:p w14:paraId="5EFE4F62">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r>
      <w:tr w14:paraId="09240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trPr>
        <w:tc>
          <w:tcPr>
            <w:tcW w:w="296" w:type="pct"/>
            <w:tcBorders>
              <w:top w:val="single" w:color="auto" w:sz="4" w:space="0"/>
              <w:left w:val="single" w:color="auto" w:sz="4" w:space="0"/>
              <w:bottom w:val="single" w:color="auto" w:sz="4" w:space="0"/>
              <w:right w:val="single" w:color="auto" w:sz="4" w:space="0"/>
            </w:tcBorders>
            <w:shd w:val="clear" w:color="auto" w:fill="auto"/>
            <w:vAlign w:val="center"/>
          </w:tcPr>
          <w:p w14:paraId="7CE01CA2">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590" w:type="pct"/>
            <w:tcBorders>
              <w:top w:val="single" w:color="auto" w:sz="4" w:space="0"/>
              <w:left w:val="nil"/>
              <w:bottom w:val="single" w:color="auto" w:sz="4" w:space="0"/>
              <w:right w:val="single" w:color="auto" w:sz="4" w:space="0"/>
            </w:tcBorders>
            <w:shd w:val="clear" w:color="auto" w:fill="auto"/>
            <w:vAlign w:val="center"/>
          </w:tcPr>
          <w:p w14:paraId="188E9F5F">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627" w:type="pct"/>
            <w:tcBorders>
              <w:top w:val="single" w:color="auto" w:sz="4" w:space="0"/>
              <w:left w:val="nil"/>
              <w:bottom w:val="single" w:color="auto" w:sz="4" w:space="0"/>
              <w:right w:val="single" w:color="auto" w:sz="4" w:space="0"/>
            </w:tcBorders>
            <w:shd w:val="clear" w:color="auto" w:fill="auto"/>
            <w:vAlign w:val="center"/>
          </w:tcPr>
          <w:p w14:paraId="123B7982">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609" w:type="pct"/>
            <w:tcBorders>
              <w:top w:val="single" w:color="auto" w:sz="4" w:space="0"/>
              <w:left w:val="nil"/>
              <w:bottom w:val="single" w:color="auto" w:sz="4" w:space="0"/>
              <w:right w:val="single" w:color="auto" w:sz="4" w:space="0"/>
            </w:tcBorders>
            <w:shd w:val="clear" w:color="auto" w:fill="auto"/>
            <w:vAlign w:val="center"/>
          </w:tcPr>
          <w:p w14:paraId="62F83CEC">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665" w:type="pct"/>
            <w:tcBorders>
              <w:top w:val="single" w:color="auto" w:sz="4" w:space="0"/>
              <w:left w:val="nil"/>
              <w:bottom w:val="single" w:color="auto" w:sz="4" w:space="0"/>
              <w:right w:val="single" w:color="auto" w:sz="4" w:space="0"/>
            </w:tcBorders>
            <w:shd w:val="clear" w:color="auto" w:fill="auto"/>
            <w:vAlign w:val="center"/>
          </w:tcPr>
          <w:p w14:paraId="2E8F8E8C">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757" w:type="pct"/>
            <w:tcBorders>
              <w:top w:val="single" w:color="auto" w:sz="4" w:space="0"/>
              <w:left w:val="nil"/>
              <w:bottom w:val="single" w:color="auto" w:sz="4" w:space="0"/>
              <w:right w:val="single" w:color="auto" w:sz="4" w:space="0"/>
            </w:tcBorders>
            <w:shd w:val="clear" w:color="auto" w:fill="auto"/>
            <w:vAlign w:val="center"/>
          </w:tcPr>
          <w:p w14:paraId="31794C9E">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726" w:type="pct"/>
            <w:tcBorders>
              <w:top w:val="single" w:color="auto" w:sz="4" w:space="0"/>
              <w:left w:val="nil"/>
              <w:bottom w:val="single" w:color="auto" w:sz="4" w:space="0"/>
              <w:right w:val="single" w:color="auto" w:sz="4" w:space="0"/>
            </w:tcBorders>
            <w:shd w:val="clear" w:color="auto" w:fill="auto"/>
            <w:vAlign w:val="center"/>
          </w:tcPr>
          <w:p w14:paraId="3CBDAAA8">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726" w:type="pct"/>
            <w:tcBorders>
              <w:top w:val="single" w:color="auto" w:sz="4" w:space="0"/>
              <w:left w:val="nil"/>
              <w:bottom w:val="single" w:color="auto" w:sz="4" w:space="0"/>
              <w:right w:val="single" w:color="auto" w:sz="4" w:space="0"/>
            </w:tcBorders>
            <w:shd w:val="clear" w:color="auto" w:fill="auto"/>
            <w:vAlign w:val="center"/>
          </w:tcPr>
          <w:p w14:paraId="08EE08A6">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r>
      <w:tr w14:paraId="59BB2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99" w:hRule="atLeast"/>
        </w:trPr>
        <w:tc>
          <w:tcPr>
            <w:tcW w:w="296" w:type="pct"/>
            <w:tcBorders>
              <w:top w:val="single" w:color="auto" w:sz="4" w:space="0"/>
              <w:left w:val="single" w:color="auto" w:sz="4" w:space="0"/>
              <w:bottom w:val="single" w:color="auto" w:sz="4" w:space="0"/>
              <w:right w:val="single" w:color="auto" w:sz="4" w:space="0"/>
            </w:tcBorders>
            <w:shd w:val="clear" w:color="auto" w:fill="auto"/>
            <w:vAlign w:val="center"/>
          </w:tcPr>
          <w:p w14:paraId="7E9A2CBE">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eastAsia" w:ascii="Times New Roman" w:hAnsi="Times New Roman" w:eastAsia="宋体" w:cs="Times New Roman"/>
                <w:i w:val="0"/>
                <w:iCs w:val="0"/>
                <w:color w:val="000000"/>
                <w:kern w:val="0"/>
                <w:sz w:val="21"/>
                <w:szCs w:val="21"/>
                <w:woUserID w:val="1"/>
              </w:rPr>
            </w:pPr>
          </w:p>
        </w:tc>
        <w:tc>
          <w:tcPr>
            <w:tcW w:w="590" w:type="pct"/>
            <w:tcBorders>
              <w:top w:val="single" w:color="auto" w:sz="4" w:space="0"/>
              <w:left w:val="nil"/>
              <w:bottom w:val="single" w:color="auto" w:sz="4" w:space="0"/>
              <w:right w:val="single" w:color="auto" w:sz="4" w:space="0"/>
            </w:tcBorders>
            <w:shd w:val="clear" w:color="auto" w:fill="auto"/>
            <w:vAlign w:val="center"/>
          </w:tcPr>
          <w:p w14:paraId="57334BD1">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627" w:type="pct"/>
            <w:tcBorders>
              <w:top w:val="single" w:color="auto" w:sz="4" w:space="0"/>
              <w:left w:val="nil"/>
              <w:bottom w:val="single" w:color="auto" w:sz="4" w:space="0"/>
              <w:right w:val="single" w:color="auto" w:sz="4" w:space="0"/>
            </w:tcBorders>
            <w:shd w:val="clear" w:color="auto" w:fill="auto"/>
            <w:vAlign w:val="center"/>
          </w:tcPr>
          <w:p w14:paraId="2FF43F12">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609" w:type="pct"/>
            <w:tcBorders>
              <w:top w:val="single" w:color="auto" w:sz="4" w:space="0"/>
              <w:left w:val="nil"/>
              <w:bottom w:val="single" w:color="auto" w:sz="4" w:space="0"/>
              <w:right w:val="single" w:color="auto" w:sz="4" w:space="0"/>
            </w:tcBorders>
            <w:shd w:val="clear" w:color="auto" w:fill="auto"/>
            <w:vAlign w:val="center"/>
          </w:tcPr>
          <w:p w14:paraId="5E12D9CF">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665" w:type="pct"/>
            <w:tcBorders>
              <w:top w:val="single" w:color="auto" w:sz="4" w:space="0"/>
              <w:left w:val="nil"/>
              <w:bottom w:val="single" w:color="auto" w:sz="4" w:space="0"/>
              <w:right w:val="single" w:color="auto" w:sz="4" w:space="0"/>
            </w:tcBorders>
            <w:shd w:val="clear" w:color="auto" w:fill="auto"/>
            <w:vAlign w:val="center"/>
          </w:tcPr>
          <w:p w14:paraId="2696FE02">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757" w:type="pct"/>
            <w:tcBorders>
              <w:top w:val="single" w:color="auto" w:sz="4" w:space="0"/>
              <w:left w:val="nil"/>
              <w:bottom w:val="single" w:color="auto" w:sz="4" w:space="0"/>
              <w:right w:val="single" w:color="auto" w:sz="4" w:space="0"/>
            </w:tcBorders>
            <w:shd w:val="clear" w:color="auto" w:fill="auto"/>
            <w:vAlign w:val="center"/>
          </w:tcPr>
          <w:p w14:paraId="0BDE1AAC">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726" w:type="pct"/>
            <w:tcBorders>
              <w:top w:val="single" w:color="auto" w:sz="4" w:space="0"/>
              <w:left w:val="nil"/>
              <w:bottom w:val="single" w:color="auto" w:sz="4" w:space="0"/>
              <w:right w:val="single" w:color="auto" w:sz="4" w:space="0"/>
            </w:tcBorders>
            <w:shd w:val="clear" w:color="auto" w:fill="auto"/>
            <w:vAlign w:val="center"/>
          </w:tcPr>
          <w:p w14:paraId="4125DC7D">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c>
          <w:tcPr>
            <w:tcW w:w="726" w:type="pct"/>
            <w:tcBorders>
              <w:top w:val="single" w:color="auto" w:sz="4" w:space="0"/>
              <w:left w:val="nil"/>
              <w:bottom w:val="single" w:color="auto" w:sz="4" w:space="0"/>
              <w:right w:val="single" w:color="auto" w:sz="4" w:space="0"/>
            </w:tcBorders>
            <w:shd w:val="clear" w:color="auto" w:fill="auto"/>
            <w:vAlign w:val="center"/>
          </w:tcPr>
          <w:p w14:paraId="245C947C">
            <w:pPr>
              <w:keepNext w:val="0"/>
              <w:keepLines w:val="0"/>
              <w:widowControl/>
              <w:suppressLineNumbers w:val="0"/>
              <w:autoSpaceDE w:val="0"/>
              <w:autoSpaceDN w:val="0"/>
              <w:spacing w:before="0" w:beforeAutospacing="0" w:after="0" w:afterAutospacing="0" w:line="560" w:lineRule="atLeast"/>
              <w:ind w:left="0" w:leftChars="0" w:right="0" w:firstLine="420" w:firstLineChars="200"/>
              <w:jc w:val="center"/>
              <w:textAlignment w:val="center"/>
              <w:rPr>
                <w:rFonts w:hint="default" w:ascii="Times New Roman" w:hAnsi="Times New Roman" w:eastAsia="宋体" w:cs="Times New Roman"/>
                <w:i w:val="0"/>
                <w:iCs w:val="0"/>
                <w:color w:val="000000"/>
                <w:kern w:val="0"/>
                <w:sz w:val="21"/>
                <w:szCs w:val="21"/>
                <w:woUserID w:val="1"/>
              </w:rPr>
            </w:pPr>
          </w:p>
        </w:tc>
      </w:tr>
    </w:tbl>
    <w:p w14:paraId="5EC51038">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国标黑体-GB/T 2312" w:hAnsi="国标黑体-GB/T 2312" w:eastAsia="国标黑体-GB/T 2312" w:cs="国标黑体-GB/T 2312"/>
          <w:kern w:val="2"/>
          <w:sz w:val="32"/>
          <w:szCs w:val="32"/>
          <w:woUserID w:val="1"/>
        </w:rPr>
      </w:pPr>
      <w:r>
        <w:rPr>
          <w:rFonts w:hint="default" w:ascii="国标黑体-GB/T 2312" w:hAnsi="国标黑体-GB/T 2312" w:eastAsia="国标黑体-GB/T 2312" w:cs="国标黑体-GB/T 2312"/>
          <w:kern w:val="2"/>
          <w:sz w:val="32"/>
          <w:szCs w:val="32"/>
          <w:lang w:val="en-US" w:eastAsia="zh-CN" w:bidi="ar"/>
          <w:woUserID w:val="1"/>
        </w:rPr>
        <w:t>二、编制标准目的和意义</w:t>
      </w:r>
    </w:p>
    <w:p w14:paraId="052B510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kern w:val="2"/>
          <w:sz w:val="32"/>
          <w:szCs w:val="32"/>
          <w:woUserID w:val="1"/>
        </w:rPr>
      </w:pPr>
      <w:r>
        <w:rPr>
          <w:rFonts w:hint="eastAsia" w:ascii="楷体_GB2312" w:hAnsi="楷体_GB2312" w:eastAsia="楷体_GB2312" w:cs="楷体_GB2312"/>
          <w:b w:val="0"/>
          <w:bCs w:val="0"/>
          <w:kern w:val="2"/>
          <w:sz w:val="32"/>
          <w:szCs w:val="32"/>
          <w:lang w:val="en-US" w:eastAsia="zh-CN" w:bidi="ar"/>
          <w:woUserID w:val="1"/>
        </w:rPr>
        <w:t>（一）项目背景</w:t>
      </w:r>
      <w:r>
        <w:rPr>
          <w:rFonts w:hint="eastAsia" w:ascii="楷体_GB2312" w:hAnsi="楷体_GB2312" w:eastAsia="楷体_GB2312" w:cs="楷体_GB2312"/>
          <w:b w:val="0"/>
          <w:bCs w:val="0"/>
          <w:kern w:val="2"/>
          <w:sz w:val="32"/>
          <w:szCs w:val="32"/>
          <w:lang w:eastAsia="zh-CN" w:bidi="ar"/>
          <w:woUserID w:val="1"/>
        </w:rPr>
        <w:t>及意义</w:t>
      </w:r>
    </w:p>
    <w:p w14:paraId="45719460">
      <w:pPr>
        <w:keepNext w:val="0"/>
        <w:keepLines w:val="0"/>
        <w:widowControl w:val="0"/>
        <w:suppressLineNumbers w:val="0"/>
        <w:autoSpaceDE/>
        <w:autoSpaceDN/>
        <w:spacing w:before="0" w:beforeAutospacing="0" w:after="0" w:afterAutospacing="0" w:line="560" w:lineRule="exact"/>
        <w:ind w:left="0" w:right="0" w:firstLine="640" w:firstLineChars="200"/>
        <w:jc w:val="left"/>
        <w:rPr>
          <w:rFonts w:hint="eastAsia" w:ascii="仿宋_GB2312" w:hAnsi="仿宋_GB2312" w:eastAsia="仿宋_GB2312" w:cs="仿宋_GB2312"/>
          <w:kern w:val="2"/>
          <w:sz w:val="32"/>
          <w:szCs w:val="32"/>
          <w:lang w:val="en-US" w:eastAsia="zh-CN" w:bidi="ar"/>
          <w:woUserID w:val="1"/>
        </w:rPr>
      </w:pPr>
      <w:r>
        <w:rPr>
          <w:rFonts w:hint="eastAsia" w:ascii="仿宋_GB2312" w:hAnsi="仿宋_GB2312" w:eastAsia="仿宋_GB2312" w:cs="仿宋_GB2312"/>
          <w:kern w:val="2"/>
          <w:sz w:val="32"/>
          <w:szCs w:val="32"/>
          <w:lang w:val="en-US" w:eastAsia="zh-CN" w:bidi="ar"/>
          <w:woUserID w:val="1"/>
        </w:rPr>
        <w:t>海南糟粕醋发源于文昌市铺前镇，其历史可追溯至百年以前，是沿海百姓在酿酒与渔猎劳作中形成的饮食智慧结晶。其传统制法工艺讲究自然发酵，核心在于以酒曲入甑，将蒸熟的米饭经糖化、酒化后，在特定温湿度下由酵母菌与乳酸菌共同作用完成醋酸转化，再经熬煮、调兑蒜头油与辣椒油等工序，最终形成色泽乳白、酸辣鲜香、风味独特的汤料。当前，糟粕醋已从街头小吃蜕变为海南特色食品产业的新兴力量。借助海南自贸港的政策东风，糟粕醋正以文化符号的身份迅速出海，越来越多糟粕醋品牌开始落地海外市场，出口至美国、加拿大、澳大利亚、新西兰等多个国家和地区。其制作技艺相继被列入文昌市、海口市级非物质文化遗产名录，正积极向省级、国家级非遗推进。</w:t>
      </w:r>
    </w:p>
    <w:p w14:paraId="4A027DD0">
      <w:pPr>
        <w:keepNext w:val="0"/>
        <w:keepLines w:val="0"/>
        <w:widowControl w:val="0"/>
        <w:suppressLineNumbers w:val="0"/>
        <w:autoSpaceDE/>
        <w:autoSpaceDN/>
        <w:spacing w:before="0" w:beforeAutospacing="0" w:after="0" w:afterAutospacing="0" w:line="560" w:lineRule="exact"/>
        <w:ind w:left="0" w:right="0" w:firstLine="640" w:firstLineChars="200"/>
        <w:jc w:val="left"/>
        <w:rPr>
          <w:rFonts w:hint="eastAsia" w:ascii="仿宋_GB2312" w:hAnsi="仿宋_GB2312" w:eastAsia="仿宋_GB2312" w:cs="仿宋_GB2312"/>
          <w:kern w:val="2"/>
          <w:sz w:val="32"/>
          <w:szCs w:val="32"/>
          <w:lang w:bidi="ar"/>
          <w:woUserID w:val="1"/>
        </w:rPr>
      </w:pPr>
      <w:r>
        <w:rPr>
          <w:rFonts w:hint="eastAsia" w:ascii="仿宋_GB2312" w:hAnsi="仿宋_GB2312" w:eastAsia="仿宋_GB2312" w:cs="仿宋_GB2312"/>
          <w:kern w:val="2"/>
          <w:sz w:val="32"/>
          <w:szCs w:val="32"/>
          <w:lang w:val="en-US" w:eastAsia="zh-CN" w:bidi="ar"/>
          <w:woUserID w:val="1"/>
        </w:rPr>
        <w:t>目前，海南糟粕醋作为独具海南地域特色的传统发酵食品，是省政府推进的重点产业，成为我省特色食品产业的重要增长点。但由于产业起步晚，大部分</w:t>
      </w:r>
      <w:r>
        <w:rPr>
          <w:rFonts w:hint="eastAsia" w:ascii="仿宋_GB2312" w:hAnsi="仿宋_GB2312" w:eastAsia="仿宋_GB2312" w:cs="仿宋_GB2312"/>
          <w:kern w:val="2"/>
          <w:sz w:val="32"/>
          <w:szCs w:val="32"/>
          <w:lang w:eastAsia="zh-CN" w:bidi="ar"/>
          <w:woUserID w:val="1"/>
        </w:rPr>
        <w:t>生产</w:t>
      </w:r>
      <w:r>
        <w:rPr>
          <w:rFonts w:hint="eastAsia" w:ascii="仿宋_GB2312" w:hAnsi="仿宋_GB2312" w:eastAsia="仿宋_GB2312" w:cs="仿宋_GB2312"/>
          <w:kern w:val="2"/>
          <w:sz w:val="32"/>
          <w:szCs w:val="32"/>
          <w:lang w:val="en-US" w:eastAsia="zh-CN" w:bidi="ar"/>
          <w:woUserID w:val="1"/>
        </w:rPr>
        <w:t>企业</w:t>
      </w:r>
      <w:r>
        <w:rPr>
          <w:rFonts w:hint="eastAsia" w:ascii="仿宋_GB2312" w:hAnsi="仿宋_GB2312" w:eastAsia="仿宋_GB2312" w:cs="仿宋_GB2312"/>
          <w:kern w:val="2"/>
          <w:sz w:val="32"/>
          <w:szCs w:val="32"/>
          <w:lang w:eastAsia="zh-CN" w:bidi="ar"/>
          <w:woUserID w:val="1"/>
        </w:rPr>
        <w:t>规模不大、工业化程度不高、质量控制水平有限、品牌意识薄弱</w:t>
      </w:r>
      <w:r>
        <w:rPr>
          <w:rFonts w:hint="eastAsia" w:ascii="仿宋_GB2312" w:hAnsi="仿宋_GB2312" w:eastAsia="仿宋_GB2312" w:cs="仿宋_GB2312"/>
          <w:kern w:val="2"/>
          <w:sz w:val="32"/>
          <w:szCs w:val="32"/>
          <w:lang w:val="en-US" w:eastAsia="zh-CN" w:bidi="ar"/>
          <w:woUserID w:val="1"/>
        </w:rPr>
        <w:t>，</w:t>
      </w:r>
      <w:r>
        <w:rPr>
          <w:rFonts w:hint="eastAsia" w:ascii="仿宋_GB2312" w:hAnsi="仿宋_GB2312" w:eastAsia="仿宋_GB2312" w:cs="仿宋_GB2312"/>
          <w:kern w:val="2"/>
          <w:sz w:val="32"/>
          <w:szCs w:val="32"/>
          <w:lang w:eastAsia="zh-CN" w:bidi="ar"/>
          <w:woUserID w:val="1"/>
        </w:rPr>
        <w:t>仍处于发展的起步</w:t>
      </w:r>
      <w:r>
        <w:rPr>
          <w:rFonts w:hint="eastAsia" w:ascii="仿宋_GB2312" w:hAnsi="仿宋_GB2312" w:eastAsia="仿宋_GB2312" w:cs="仿宋_GB2312"/>
          <w:kern w:val="2"/>
          <w:sz w:val="32"/>
          <w:szCs w:val="32"/>
          <w:lang w:val="en-US" w:eastAsia="zh-CN" w:bidi="ar"/>
          <w:woUserID w:val="1"/>
        </w:rPr>
        <w:t>阶段。</w:t>
      </w:r>
      <w:r>
        <w:rPr>
          <w:rFonts w:hint="eastAsia" w:ascii="仿宋_GB2312" w:hAnsi="仿宋_GB2312" w:eastAsia="仿宋_GB2312" w:cs="仿宋_GB2312"/>
          <w:kern w:val="2"/>
          <w:sz w:val="32"/>
          <w:szCs w:val="32"/>
          <w:lang w:eastAsia="zh-CN" w:bidi="ar"/>
          <w:woUserID w:val="1"/>
        </w:rPr>
        <w:t>为高位推动海南糟粕醋产业发展，省政府于2025年7月印发</w:t>
      </w:r>
      <w:r>
        <w:rPr>
          <w:rFonts w:hint="eastAsia" w:ascii="仿宋_GB2312" w:hAnsi="仿宋_GB2312" w:eastAsia="仿宋_GB2312" w:cs="仿宋_GB2312"/>
          <w:kern w:val="2"/>
          <w:sz w:val="32"/>
          <w:szCs w:val="32"/>
          <w:lang w:val="en-US" w:eastAsia="zh-CN" w:bidi="ar"/>
          <w:woUserID w:val="1"/>
        </w:rPr>
        <w:t>《海南省推进糟粕醋产业高质量发展实施方案（2025—2030年）》，将标准建设列为核心任务</w:t>
      </w:r>
      <w:r>
        <w:rPr>
          <w:rFonts w:hint="eastAsia" w:ascii="仿宋_GB2312" w:hAnsi="仿宋_GB2312" w:eastAsia="仿宋_GB2312" w:cs="仿宋_GB2312"/>
          <w:kern w:val="2"/>
          <w:sz w:val="32"/>
          <w:szCs w:val="32"/>
          <w:lang w:eastAsia="zh-CN" w:bidi="ar"/>
          <w:woUserID w:val="1"/>
        </w:rPr>
        <w:t>。</w:t>
      </w:r>
      <w:r>
        <w:rPr>
          <w:rFonts w:hint="eastAsia" w:ascii="仿宋_GB2312" w:hAnsi="仿宋_GB2312" w:eastAsia="仿宋_GB2312" w:cs="仿宋_GB2312"/>
          <w:kern w:val="2"/>
          <w:sz w:val="32"/>
          <w:szCs w:val="32"/>
          <w:lang w:bidi="ar"/>
          <w:woUserID w:val="1"/>
        </w:rPr>
        <w:t>2025年12月，省质量强省建设协调推进工作领导小组办公室印发了《海南糟粕醋全产业链高质量发展标准体系建设实施方案》，要求围绕海南糟粕醋全产业链高质量发展标准体系构建的基础与通用、产地与原料、生产与加工、质量与安全、包装与储运、销售与服务六大标准建设领域，加快建设标准化体系，实现海南糟粕醋全产业高质量发展急需标准的全覆盖。2026年3月，海南省推进糟粕醋产业高质量发展工作专班办公室印发了《海南省推进糟粕醋产业高质量发展2026 年工作要点》，明确组织制定《海南糟粕醋及其制品质量通则》《海南糟粕醋术语与产品分类》等地方标准。其中海南糟粕醋质量通则是质量与安全领域的急用标准，以解决产品质量控制和市场规范有标可循的核心问题，</w:t>
      </w:r>
      <w:r>
        <w:rPr>
          <w:rFonts w:hint="eastAsia" w:ascii="仿宋_GB2312" w:hAnsi="仿宋_GB2312" w:eastAsia="仿宋_GB2312" w:cs="仿宋_GB2312"/>
          <w:kern w:val="2"/>
          <w:sz w:val="32"/>
          <w:szCs w:val="32"/>
          <w:lang w:val="en-US" w:eastAsia="zh-CN" w:bidi="ar"/>
          <w:woUserID w:val="1"/>
        </w:rPr>
        <w:t>对规范生产、保障安全、提升竞争力具有重要意义</w:t>
      </w:r>
      <w:r>
        <w:rPr>
          <w:rFonts w:hint="eastAsia" w:ascii="仿宋_GB2312" w:hAnsi="仿宋_GB2312" w:eastAsia="仿宋_GB2312" w:cs="仿宋_GB2312"/>
          <w:kern w:val="2"/>
          <w:sz w:val="32"/>
          <w:szCs w:val="32"/>
          <w:lang w:bidi="ar"/>
          <w:woUserID w:val="1"/>
        </w:rPr>
        <w:t>。</w:t>
      </w:r>
    </w:p>
    <w:p w14:paraId="6F3A00D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b w:val="0"/>
          <w:bCs w:val="0"/>
          <w:kern w:val="2"/>
          <w:sz w:val="32"/>
          <w:szCs w:val="32"/>
          <w:lang w:val="en-US" w:eastAsia="zh-CN" w:bidi="ar"/>
          <w:woUserID w:val="1"/>
        </w:rPr>
      </w:pPr>
      <w:r>
        <w:rPr>
          <w:rFonts w:hint="eastAsia" w:ascii="楷体_GB2312" w:hAnsi="楷体_GB2312" w:eastAsia="楷体_GB2312" w:cs="楷体_GB2312"/>
          <w:b w:val="0"/>
          <w:bCs w:val="0"/>
          <w:kern w:val="2"/>
          <w:sz w:val="32"/>
          <w:szCs w:val="32"/>
          <w:lang w:val="en-US" w:eastAsia="zh-CN" w:bidi="ar"/>
          <w:woUserID w:val="1"/>
        </w:rPr>
        <w:t>（二）项目所属产业基本情况</w:t>
      </w:r>
    </w:p>
    <w:p w14:paraId="3846435F">
      <w:pPr>
        <w:keepNext w:val="0"/>
        <w:keepLines w:val="0"/>
        <w:widowControl w:val="0"/>
        <w:suppressLineNumbers w:val="0"/>
        <w:autoSpaceDE/>
        <w:autoSpaceDN/>
        <w:spacing w:before="0" w:beforeAutospacing="0" w:after="0" w:afterAutospacing="0" w:line="560" w:lineRule="exact"/>
        <w:ind w:left="0" w:right="0" w:firstLine="640" w:firstLineChars="200"/>
        <w:jc w:val="left"/>
        <w:rPr>
          <w:rFonts w:hint="eastAsia" w:ascii="仿宋_GB2312" w:hAnsi="仿宋_GB2312" w:eastAsia="仿宋_GB2312" w:cs="仿宋_GB2312"/>
          <w:kern w:val="2"/>
          <w:sz w:val="32"/>
          <w:szCs w:val="32"/>
          <w:lang w:val="en-US" w:eastAsia="zh-CN" w:bidi="ar"/>
          <w:woUserID w:val="1"/>
        </w:rPr>
      </w:pPr>
      <w:r>
        <w:rPr>
          <w:rFonts w:hint="eastAsia" w:ascii="仿宋_GB2312" w:hAnsi="仿宋_GB2312" w:eastAsia="仿宋_GB2312" w:cs="仿宋_GB2312"/>
          <w:kern w:val="2"/>
          <w:sz w:val="32"/>
          <w:szCs w:val="32"/>
          <w:lang w:val="en-US" w:eastAsia="zh-CN" w:bidi="ar"/>
          <w:woUserID w:val="1"/>
        </w:rPr>
        <w:t>海南糟粕醋作为我省地方特色食品，产品涵盖调味品、方便食品</w:t>
      </w:r>
      <w:r>
        <w:rPr>
          <w:rFonts w:hint="default" w:ascii="仿宋_GB2312" w:hAnsi="仿宋_GB2312" w:eastAsia="仿宋_GB2312" w:cs="仿宋_GB2312"/>
          <w:kern w:val="2"/>
          <w:sz w:val="32"/>
          <w:szCs w:val="32"/>
          <w:lang w:eastAsia="zh-CN" w:bidi="ar"/>
          <w:woUserID w:val="1"/>
        </w:rPr>
        <w:t>以及饮料等众多领域</w:t>
      </w:r>
      <w:r>
        <w:rPr>
          <w:rFonts w:hint="eastAsia" w:ascii="仿宋_GB2312" w:hAnsi="仿宋_GB2312" w:eastAsia="仿宋_GB2312" w:cs="仿宋_GB2312"/>
          <w:kern w:val="2"/>
          <w:sz w:val="32"/>
          <w:szCs w:val="32"/>
          <w:lang w:val="en-US" w:eastAsia="zh-CN" w:bidi="ar"/>
          <w:woUserID w:val="1"/>
        </w:rPr>
        <w:t>，以满足不同消费者的需求。截至2025年上半年，海南省与糟粕醋相关的生产、餐饮主体超过270家，其中一半以上是近5年新成立的品牌，海南糟粕醋行业产值增长势头迅猛。</w:t>
      </w:r>
      <w:r>
        <w:rPr>
          <w:rFonts w:hint="default" w:ascii="仿宋_GB2312" w:hAnsi="仿宋_GB2312" w:eastAsia="仿宋_GB2312" w:cs="仿宋_GB2312"/>
          <w:kern w:val="2"/>
          <w:sz w:val="32"/>
          <w:szCs w:val="32"/>
          <w:lang w:eastAsia="zh-CN" w:bidi="ar"/>
          <w:woUserID w:val="1"/>
        </w:rPr>
        <w:t>目前，</w:t>
      </w:r>
      <w:r>
        <w:rPr>
          <w:rFonts w:hint="eastAsia" w:ascii="仿宋_GB2312" w:hAnsi="仿宋_GB2312" w:eastAsia="仿宋_GB2312" w:cs="仿宋_GB2312"/>
          <w:kern w:val="2"/>
          <w:sz w:val="32"/>
          <w:szCs w:val="32"/>
          <w:lang w:val="en-US" w:eastAsia="zh-CN" w:bidi="ar"/>
          <w:woUserID w:val="1"/>
        </w:rPr>
        <w:t>海南省共有海南糟粕醋生产、餐饮主体共 270 余家，其中获得食品生产许可证的企业</w:t>
      </w:r>
      <w:r>
        <w:rPr>
          <w:rFonts w:hint="default" w:ascii="仿宋_GB2312" w:hAnsi="仿宋_GB2312" w:eastAsia="仿宋_GB2312" w:cs="仿宋_GB2312"/>
          <w:kern w:val="2"/>
          <w:sz w:val="32"/>
          <w:szCs w:val="32"/>
          <w:lang w:eastAsia="zh-CN" w:bidi="ar"/>
          <w:woUserID w:val="1"/>
        </w:rPr>
        <w:t>20余</w:t>
      </w:r>
      <w:r>
        <w:rPr>
          <w:rFonts w:hint="eastAsia" w:ascii="仿宋_GB2312" w:hAnsi="仿宋_GB2312" w:eastAsia="仿宋_GB2312" w:cs="仿宋_GB2312"/>
          <w:kern w:val="2"/>
          <w:sz w:val="32"/>
          <w:szCs w:val="32"/>
          <w:lang w:val="en-US" w:eastAsia="zh-CN" w:bidi="ar"/>
          <w:woUserID w:val="1"/>
        </w:rPr>
        <w:t>家，其工业化尚处于起步阶段，暂无规模以上工业企业，另有大量传统加工小作坊与餐饮门店补充市场。</w:t>
      </w:r>
    </w:p>
    <w:p w14:paraId="2BFF37A3">
      <w:pPr>
        <w:keepNext w:val="0"/>
        <w:keepLines w:val="0"/>
        <w:widowControl w:val="0"/>
        <w:suppressLineNumbers w:val="0"/>
        <w:autoSpaceDE/>
        <w:autoSpaceDN/>
        <w:spacing w:before="0" w:beforeAutospacing="0" w:after="0" w:afterAutospacing="0" w:line="560" w:lineRule="exact"/>
        <w:ind w:left="0" w:right="0" w:firstLine="640" w:firstLineChars="200"/>
        <w:jc w:val="left"/>
        <w:rPr>
          <w:rFonts w:hint="default" w:ascii="仿宋_GB2312" w:hAnsi="仿宋_GB2312" w:eastAsia="仿宋_GB2312" w:cs="仿宋_GB2312"/>
          <w:kern w:val="2"/>
          <w:sz w:val="32"/>
          <w:szCs w:val="32"/>
          <w:lang w:bidi="ar"/>
          <w:woUserID w:val="1"/>
        </w:rPr>
      </w:pPr>
      <w:r>
        <w:rPr>
          <w:rFonts w:hint="eastAsia" w:ascii="仿宋_GB2312" w:hAnsi="仿宋_GB2312" w:eastAsia="仿宋_GB2312" w:cs="仿宋_GB2312"/>
          <w:kern w:val="2"/>
          <w:sz w:val="32"/>
          <w:szCs w:val="32"/>
          <w:lang w:val="en-US" w:eastAsia="zh-CN" w:bidi="ar"/>
          <w:woUserID w:val="1"/>
        </w:rPr>
        <w:t>在政策驱动与市场认可的双重作用下，产业呈现集群化与标准化发展态势。海南糟粕醋产线建设工作持续推进，产业集群初现雏形。我省首家全透明智能化糟粕醋生产企业，于</w:t>
      </w:r>
      <w:r>
        <w:rPr>
          <w:rFonts w:hint="default" w:ascii="仿宋_GB2312" w:hAnsi="仿宋_GB2312" w:eastAsia="仿宋_GB2312" w:cs="仿宋_GB2312"/>
          <w:kern w:val="2"/>
          <w:sz w:val="32"/>
          <w:szCs w:val="32"/>
          <w:lang w:eastAsia="zh-CN" w:bidi="ar"/>
          <w:woUserID w:val="1"/>
        </w:rPr>
        <w:t>2025年</w:t>
      </w:r>
      <w:r>
        <w:rPr>
          <w:rFonts w:hint="eastAsia" w:ascii="仿宋_GB2312" w:hAnsi="仿宋_GB2312" w:eastAsia="仿宋_GB2312" w:cs="仿宋_GB2312"/>
          <w:kern w:val="2"/>
          <w:sz w:val="32"/>
          <w:szCs w:val="32"/>
          <w:lang w:val="en-US" w:eastAsia="zh-CN" w:bidi="ar"/>
          <w:woUserID w:val="1"/>
        </w:rPr>
        <w:t>10月</w:t>
      </w:r>
      <w:r>
        <w:rPr>
          <w:rFonts w:hint="default" w:ascii="仿宋_GB2312" w:hAnsi="仿宋_GB2312" w:eastAsia="仿宋_GB2312" w:cs="仿宋_GB2312"/>
          <w:kern w:val="2"/>
          <w:sz w:val="32"/>
          <w:szCs w:val="32"/>
          <w:lang w:eastAsia="zh-CN" w:bidi="ar"/>
          <w:woUserID w:val="1"/>
        </w:rPr>
        <w:t>在陵水</w:t>
      </w:r>
      <w:r>
        <w:rPr>
          <w:rFonts w:hint="eastAsia" w:ascii="仿宋_GB2312" w:hAnsi="仿宋_GB2312" w:eastAsia="仿宋_GB2312" w:cs="仿宋_GB2312"/>
          <w:kern w:val="2"/>
          <w:sz w:val="32"/>
          <w:szCs w:val="32"/>
          <w:lang w:val="en-US" w:eastAsia="zh-CN" w:bidi="ar"/>
          <w:woUserID w:val="1"/>
        </w:rPr>
        <w:t>正式竣工投产，年产能1万吨，达产后可实现年产值1亿元。</w:t>
      </w:r>
      <w:r>
        <w:rPr>
          <w:rFonts w:hint="eastAsia" w:ascii="仿宋_GB2312" w:hAnsi="仿宋_GB2312" w:eastAsia="仿宋_GB2312" w:cs="仿宋_GB2312"/>
          <w:kern w:val="2"/>
          <w:sz w:val="32"/>
          <w:szCs w:val="32"/>
          <w:lang w:eastAsia="zh-CN" w:bidi="ar"/>
          <w:woUserID w:val="1"/>
        </w:rPr>
        <w:t>定安县</w:t>
      </w:r>
      <w:r>
        <w:rPr>
          <w:rFonts w:hint="default" w:ascii="仿宋_GB2312" w:hAnsi="仿宋_GB2312" w:eastAsia="仿宋_GB2312" w:cs="仿宋_GB2312"/>
          <w:kern w:val="2"/>
          <w:sz w:val="32"/>
          <w:szCs w:val="32"/>
          <w:lang w:eastAsia="zh-CN" w:bidi="ar"/>
          <w:woUserID w:val="1"/>
        </w:rPr>
        <w:t>的</w:t>
      </w:r>
      <w:r>
        <w:rPr>
          <w:rFonts w:hint="eastAsia" w:ascii="仿宋_GB2312" w:hAnsi="仿宋_GB2312" w:eastAsia="仿宋_GB2312" w:cs="仿宋_GB2312"/>
          <w:kern w:val="2"/>
          <w:sz w:val="32"/>
          <w:szCs w:val="32"/>
          <w:lang w:bidi="ar"/>
          <w:woUserID w:val="1"/>
        </w:rPr>
        <w:t>糟粕醋产业园</w:t>
      </w:r>
      <w:r>
        <w:rPr>
          <w:rFonts w:hint="default" w:ascii="仿宋_GB2312" w:hAnsi="仿宋_GB2312" w:eastAsia="仿宋_GB2312" w:cs="仿宋_GB2312"/>
          <w:kern w:val="2"/>
          <w:sz w:val="32"/>
          <w:szCs w:val="32"/>
          <w:lang w:bidi="ar"/>
          <w:woUserID w:val="1"/>
        </w:rPr>
        <w:t>已引进多家知名企业入驻，文昌铺前的</w:t>
      </w:r>
      <w:r>
        <w:rPr>
          <w:rFonts w:hint="eastAsia" w:ascii="仿宋_GB2312" w:hAnsi="仿宋_GB2312" w:eastAsia="仿宋_GB2312" w:cs="仿宋_GB2312"/>
          <w:kern w:val="2"/>
          <w:sz w:val="32"/>
          <w:szCs w:val="32"/>
          <w:lang w:bidi="ar"/>
          <w:woUserID w:val="1"/>
        </w:rPr>
        <w:t>三婆糟粕醋文化馆</w:t>
      </w:r>
      <w:r>
        <w:rPr>
          <w:rFonts w:hint="default" w:ascii="仿宋_GB2312" w:hAnsi="仿宋_GB2312" w:eastAsia="仿宋_GB2312" w:cs="仿宋_GB2312"/>
          <w:kern w:val="2"/>
          <w:sz w:val="32"/>
          <w:szCs w:val="32"/>
          <w:lang w:bidi="ar"/>
          <w:woUserID w:val="1"/>
        </w:rPr>
        <w:t>也成为当地一张新名片。</w:t>
      </w:r>
    </w:p>
    <w:p w14:paraId="1008D960">
      <w:pPr>
        <w:keepNext w:val="0"/>
        <w:keepLines w:val="0"/>
        <w:widowControl w:val="0"/>
        <w:suppressLineNumbers w:val="0"/>
        <w:autoSpaceDE/>
        <w:autoSpaceDN/>
        <w:spacing w:before="0" w:beforeAutospacing="0" w:after="0" w:afterAutospacing="0" w:line="560" w:lineRule="exact"/>
        <w:ind w:left="0" w:right="0" w:firstLine="640" w:firstLineChars="200"/>
        <w:jc w:val="left"/>
        <w:rPr>
          <w:rFonts w:hint="eastAsia" w:ascii="仿宋_GB2312" w:hAnsi="仿宋_GB2312" w:eastAsia="仿宋_GB2312" w:cs="仿宋_GB2312"/>
          <w:kern w:val="2"/>
          <w:sz w:val="32"/>
          <w:szCs w:val="32"/>
          <w:lang w:val="en-US" w:eastAsia="zh-CN" w:bidi="ar"/>
          <w:woUserID w:val="1"/>
        </w:rPr>
      </w:pPr>
      <w:r>
        <w:rPr>
          <w:rFonts w:hint="default" w:ascii="仿宋_GB2312" w:hAnsi="仿宋_GB2312" w:eastAsia="仿宋_GB2312" w:cs="仿宋_GB2312"/>
          <w:kern w:val="2"/>
          <w:sz w:val="32"/>
          <w:szCs w:val="32"/>
          <w:lang w:eastAsia="zh-CN" w:bidi="ar"/>
          <w:woUserID w:val="1"/>
        </w:rPr>
        <w:t>当前，</w:t>
      </w:r>
      <w:r>
        <w:rPr>
          <w:rFonts w:hint="eastAsia" w:ascii="仿宋_GB2312" w:hAnsi="仿宋_GB2312" w:eastAsia="仿宋_GB2312" w:cs="仿宋_GB2312"/>
          <w:kern w:val="2"/>
          <w:sz w:val="32"/>
          <w:szCs w:val="32"/>
          <w:lang w:val="en-US" w:eastAsia="zh-CN" w:bidi="ar"/>
          <w:woUserID w:val="1"/>
        </w:rPr>
        <w:t>海南糟粕醋</w:t>
      </w:r>
      <w:r>
        <w:rPr>
          <w:rFonts w:hint="default" w:ascii="仿宋_GB2312" w:hAnsi="仿宋_GB2312" w:eastAsia="仿宋_GB2312" w:cs="仿宋_GB2312"/>
          <w:kern w:val="2"/>
          <w:sz w:val="32"/>
          <w:szCs w:val="32"/>
          <w:lang w:eastAsia="zh-CN" w:bidi="ar"/>
          <w:woUserID w:val="1"/>
        </w:rPr>
        <w:t>产业处于发展的起步</w:t>
      </w:r>
      <w:r>
        <w:rPr>
          <w:rFonts w:hint="eastAsia" w:ascii="仿宋_GB2312" w:hAnsi="仿宋_GB2312" w:eastAsia="仿宋_GB2312" w:cs="仿宋_GB2312"/>
          <w:kern w:val="2"/>
          <w:sz w:val="32"/>
          <w:szCs w:val="32"/>
          <w:lang w:val="en-US" w:eastAsia="zh-CN" w:bidi="ar"/>
          <w:woUserID w:val="1"/>
        </w:rPr>
        <w:t>阶段</w:t>
      </w:r>
      <w:r>
        <w:rPr>
          <w:rFonts w:hint="default" w:ascii="仿宋_GB2312" w:hAnsi="仿宋_GB2312" w:eastAsia="仿宋_GB2312" w:cs="仿宋_GB2312"/>
          <w:kern w:val="2"/>
          <w:sz w:val="32"/>
          <w:szCs w:val="32"/>
          <w:lang w:eastAsia="zh-CN" w:bidi="ar"/>
          <w:woUserID w:val="1"/>
        </w:rPr>
        <w:t>，</w:t>
      </w:r>
      <w:r>
        <w:rPr>
          <w:rFonts w:hint="eastAsia" w:ascii="仿宋_GB2312" w:hAnsi="仿宋_GB2312" w:eastAsia="仿宋_GB2312" w:cs="仿宋_GB2312"/>
          <w:kern w:val="2"/>
          <w:sz w:val="32"/>
          <w:szCs w:val="32"/>
          <w:lang w:val="en-US" w:eastAsia="zh-CN" w:bidi="ar"/>
          <w:woUserID w:val="1"/>
        </w:rPr>
        <w:t>标准化</w:t>
      </w:r>
      <w:r>
        <w:rPr>
          <w:rFonts w:hint="default" w:ascii="仿宋_GB2312" w:hAnsi="仿宋_GB2312" w:eastAsia="仿宋_GB2312" w:cs="仿宋_GB2312"/>
          <w:kern w:val="2"/>
          <w:sz w:val="32"/>
          <w:szCs w:val="32"/>
          <w:lang w:eastAsia="zh-CN" w:bidi="ar"/>
          <w:woUserID w:val="1"/>
        </w:rPr>
        <w:t>体系建设</w:t>
      </w:r>
      <w:r>
        <w:rPr>
          <w:rFonts w:hint="eastAsia" w:ascii="仿宋_GB2312" w:hAnsi="仿宋_GB2312" w:eastAsia="仿宋_GB2312" w:cs="仿宋_GB2312"/>
          <w:kern w:val="2"/>
          <w:sz w:val="32"/>
          <w:szCs w:val="32"/>
          <w:lang w:val="en-US" w:eastAsia="zh-CN" w:bidi="ar"/>
          <w:woUserID w:val="1"/>
        </w:rPr>
        <w:t>是解决产业规模偏小、质量不稳定、管理不统一的有效手段。制定质量通则地方标准，</w:t>
      </w:r>
      <w:r>
        <w:rPr>
          <w:rFonts w:hint="default" w:ascii="仿宋_GB2312" w:hAnsi="仿宋_GB2312" w:eastAsia="仿宋_GB2312" w:cs="仿宋_GB2312"/>
          <w:kern w:val="2"/>
          <w:sz w:val="32"/>
          <w:szCs w:val="32"/>
          <w:lang w:eastAsia="zh-CN" w:bidi="ar"/>
          <w:woUserID w:val="1"/>
        </w:rPr>
        <w:t>保障</w:t>
      </w:r>
      <w:r>
        <w:rPr>
          <w:rFonts w:hint="eastAsia" w:ascii="仿宋_GB2312" w:hAnsi="仿宋_GB2312" w:eastAsia="仿宋_GB2312" w:cs="仿宋_GB2312"/>
          <w:kern w:val="2"/>
          <w:sz w:val="32"/>
          <w:szCs w:val="32"/>
          <w:lang w:val="en-US" w:eastAsia="zh-CN" w:bidi="ar"/>
          <w:woUserID w:val="1"/>
        </w:rPr>
        <w:t>规范生产、提升质量、</w:t>
      </w:r>
      <w:r>
        <w:rPr>
          <w:rFonts w:hint="default" w:ascii="仿宋_GB2312" w:hAnsi="仿宋_GB2312" w:eastAsia="仿宋_GB2312" w:cs="仿宋_GB2312"/>
          <w:kern w:val="2"/>
          <w:sz w:val="32"/>
          <w:szCs w:val="32"/>
          <w:lang w:eastAsia="zh-CN" w:bidi="ar"/>
          <w:woUserID w:val="1"/>
        </w:rPr>
        <w:t>稳步</w:t>
      </w:r>
      <w:r>
        <w:rPr>
          <w:rFonts w:hint="eastAsia" w:ascii="仿宋_GB2312" w:hAnsi="仿宋_GB2312" w:eastAsia="仿宋_GB2312" w:cs="仿宋_GB2312"/>
          <w:kern w:val="2"/>
          <w:sz w:val="32"/>
          <w:szCs w:val="32"/>
          <w:lang w:val="en-US" w:eastAsia="zh-CN" w:bidi="ar"/>
          <w:woUserID w:val="1"/>
        </w:rPr>
        <w:t>扩大规模，有效推进糟粕醋产业发展，高度契合省委省政府的发展规划。</w:t>
      </w:r>
    </w:p>
    <w:p w14:paraId="1433C4C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b w:val="0"/>
          <w:bCs w:val="0"/>
          <w:kern w:val="2"/>
          <w:sz w:val="32"/>
          <w:szCs w:val="32"/>
          <w:lang w:val="en-US" w:eastAsia="zh-CN" w:bidi="ar"/>
          <w:woUserID w:val="1"/>
        </w:rPr>
      </w:pPr>
      <w:r>
        <w:rPr>
          <w:rFonts w:hint="default" w:ascii="楷体_GB2312" w:hAnsi="楷体_GB2312" w:eastAsia="楷体_GB2312" w:cs="楷体_GB2312"/>
          <w:b w:val="0"/>
          <w:bCs w:val="0"/>
          <w:kern w:val="2"/>
          <w:sz w:val="32"/>
          <w:szCs w:val="32"/>
          <w:lang w:val="en-US" w:eastAsia="zh-CN" w:bidi="ar"/>
          <w:woUserID w:val="1"/>
        </w:rPr>
        <w:t>（三）项目所属产业标准化情况</w:t>
      </w:r>
    </w:p>
    <w:p w14:paraId="1B227D20">
      <w:pPr>
        <w:keepNext w:val="0"/>
        <w:keepLines w:val="0"/>
        <w:widowControl w:val="0"/>
        <w:suppressLineNumbers w:val="0"/>
        <w:autoSpaceDE/>
        <w:autoSpaceDN/>
        <w:spacing w:before="0" w:beforeAutospacing="0" w:after="0" w:afterAutospacing="0" w:line="560" w:lineRule="exact"/>
        <w:ind w:left="0" w:right="0" w:firstLine="640" w:firstLineChars="200"/>
        <w:jc w:val="left"/>
        <w:rPr>
          <w:rFonts w:hint="eastAsia" w:ascii="仿宋_GB2312" w:hAnsi="仿宋_GB2312" w:eastAsia="仿宋_GB2312" w:cs="仿宋_GB2312"/>
          <w:kern w:val="2"/>
          <w:sz w:val="32"/>
          <w:szCs w:val="32"/>
          <w:lang w:val="en-US" w:eastAsia="zh-CN" w:bidi="ar"/>
          <w:woUserID w:val="1"/>
        </w:rPr>
      </w:pPr>
      <w:r>
        <w:rPr>
          <w:rFonts w:hint="eastAsia" w:ascii="仿宋_GB2312" w:hAnsi="仿宋_GB2312" w:eastAsia="仿宋_GB2312" w:cs="仿宋_GB2312"/>
          <w:kern w:val="2"/>
          <w:sz w:val="32"/>
          <w:szCs w:val="32"/>
          <w:lang w:val="en-US" w:eastAsia="zh-CN" w:bidi="ar"/>
          <w:woUserID w:val="1"/>
        </w:rPr>
        <w:t>1.国际标准化情况</w:t>
      </w:r>
    </w:p>
    <w:p w14:paraId="76781FE8">
      <w:pPr>
        <w:keepNext w:val="0"/>
        <w:keepLines w:val="0"/>
        <w:widowControl w:val="0"/>
        <w:suppressLineNumbers w:val="0"/>
        <w:autoSpaceDE/>
        <w:autoSpaceDN/>
        <w:spacing w:before="0" w:beforeAutospacing="0" w:after="0" w:afterAutospacing="0" w:line="560" w:lineRule="exact"/>
        <w:ind w:left="0" w:right="0" w:firstLine="640" w:firstLineChars="200"/>
        <w:jc w:val="left"/>
        <w:rPr>
          <w:rFonts w:hint="eastAsia" w:ascii="仿宋_GB2312" w:hAnsi="仿宋_GB2312" w:eastAsia="仿宋_GB2312" w:cs="仿宋_GB2312"/>
          <w:kern w:val="2"/>
          <w:sz w:val="32"/>
          <w:szCs w:val="32"/>
          <w:lang w:val="en-US" w:eastAsia="zh-CN" w:bidi="ar"/>
          <w:woUserID w:val="1"/>
        </w:rPr>
      </w:pPr>
      <w:r>
        <w:rPr>
          <w:rFonts w:hint="eastAsia" w:ascii="仿宋_GB2312" w:hAnsi="仿宋_GB2312" w:eastAsia="仿宋_GB2312" w:cs="仿宋_GB2312"/>
          <w:kern w:val="2"/>
          <w:sz w:val="32"/>
          <w:szCs w:val="32"/>
          <w:lang w:val="en-US" w:eastAsia="zh-CN" w:bidi="ar"/>
          <w:woUserID w:val="1"/>
        </w:rPr>
        <w:t>糟粕醋作为海南地方特色发酵食品，目前尚无相关国际标准。</w:t>
      </w:r>
    </w:p>
    <w:p w14:paraId="663067EB">
      <w:pPr>
        <w:keepNext w:val="0"/>
        <w:keepLines w:val="0"/>
        <w:widowControl w:val="0"/>
        <w:suppressLineNumbers w:val="0"/>
        <w:autoSpaceDE/>
        <w:autoSpaceDN/>
        <w:spacing w:before="0" w:beforeAutospacing="0" w:after="0" w:afterAutospacing="0" w:line="560" w:lineRule="exact"/>
        <w:ind w:left="0" w:right="0" w:firstLine="640" w:firstLineChars="200"/>
        <w:jc w:val="left"/>
        <w:rPr>
          <w:rFonts w:hint="eastAsia" w:ascii="仿宋_GB2312" w:hAnsi="仿宋_GB2312" w:eastAsia="仿宋_GB2312" w:cs="仿宋_GB2312"/>
          <w:kern w:val="2"/>
          <w:sz w:val="32"/>
          <w:szCs w:val="32"/>
          <w:lang w:val="en-US" w:eastAsia="zh-CN" w:bidi="ar"/>
          <w:woUserID w:val="1"/>
        </w:rPr>
      </w:pPr>
      <w:r>
        <w:rPr>
          <w:rFonts w:hint="eastAsia" w:ascii="仿宋_GB2312" w:hAnsi="仿宋_GB2312" w:eastAsia="仿宋_GB2312" w:cs="仿宋_GB2312"/>
          <w:kern w:val="2"/>
          <w:sz w:val="32"/>
          <w:szCs w:val="32"/>
          <w:lang w:val="en-US" w:eastAsia="zh-CN" w:bidi="ar"/>
          <w:woUserID w:val="1"/>
        </w:rPr>
        <w:t>2.国内标准化情况</w:t>
      </w:r>
    </w:p>
    <w:p w14:paraId="3EBC97CB">
      <w:pPr>
        <w:keepNext w:val="0"/>
        <w:keepLines w:val="0"/>
        <w:widowControl w:val="0"/>
        <w:suppressLineNumbers w:val="0"/>
        <w:autoSpaceDE/>
        <w:autoSpaceDN/>
        <w:spacing w:before="0" w:beforeAutospacing="0" w:after="0" w:afterAutospacing="0" w:line="560" w:lineRule="exact"/>
        <w:ind w:left="0" w:right="0" w:firstLine="640" w:firstLineChars="200"/>
        <w:jc w:val="left"/>
        <w:rPr>
          <w:rFonts w:hint="eastAsia" w:ascii="仿宋_GB2312" w:hAnsi="仿宋_GB2312" w:eastAsia="仿宋_GB2312" w:cs="仿宋_GB2312"/>
          <w:kern w:val="2"/>
          <w:sz w:val="32"/>
          <w:szCs w:val="32"/>
          <w:lang w:val="en-US" w:eastAsia="zh-CN" w:bidi="ar"/>
          <w:woUserID w:val="1"/>
        </w:rPr>
      </w:pPr>
      <w:r>
        <w:rPr>
          <w:rFonts w:hint="eastAsia" w:ascii="仿宋_GB2312" w:hAnsi="仿宋_GB2312" w:eastAsia="仿宋_GB2312" w:cs="仿宋_GB2312"/>
          <w:kern w:val="2"/>
          <w:sz w:val="32"/>
          <w:szCs w:val="32"/>
          <w:lang w:val="en-US" w:eastAsia="zh-CN" w:bidi="ar"/>
          <w:woUserID w:val="1"/>
        </w:rPr>
        <w:t>经检索，截至2026年1月27日，我国现行国家标准和行业标准中，有火锅底料等调味品，以及海鲜米粉、速食面等方便食品，但尚未制定专门针对糟粕醋的标准。目前，生产加工企业主要参照GB 2719《食品安全国家标准 食醋》、GB 2718《食品安全国家标准 酿造酱》等对发酵调味品的卫生要求；GB 31644《食品安全国家标准 复合调味料》、SB/T 10303《酿造食醋》等对酿造工艺的通用规范进行生产，相关管理和检测机构也以此作为糟粕醋产品生产加工的监管依据。然而，此类通用标准难以充分涵盖糟粕醋特有的生产技术、感官特征和理化指标，导致产品质量评价与行业规范缺乏针对性。</w:t>
      </w:r>
    </w:p>
    <w:p w14:paraId="50006568">
      <w:pPr>
        <w:keepNext w:val="0"/>
        <w:keepLines w:val="0"/>
        <w:widowControl w:val="0"/>
        <w:suppressLineNumbers w:val="0"/>
        <w:autoSpaceDE/>
        <w:autoSpaceDN/>
        <w:spacing w:before="0" w:beforeAutospacing="0" w:after="0" w:afterAutospacing="0" w:line="560" w:lineRule="exact"/>
        <w:ind w:left="0" w:right="0" w:firstLine="640" w:firstLineChars="200"/>
        <w:jc w:val="left"/>
        <w:rPr>
          <w:rFonts w:hint="eastAsia" w:ascii="仿宋_GB2312" w:hAnsi="仿宋_GB2312" w:eastAsia="仿宋_GB2312" w:cs="仿宋_GB2312"/>
          <w:kern w:val="2"/>
          <w:sz w:val="32"/>
          <w:szCs w:val="32"/>
          <w:lang w:val="en-US" w:eastAsia="zh-CN" w:bidi="ar"/>
          <w:woUserID w:val="1"/>
        </w:rPr>
      </w:pPr>
      <w:r>
        <w:rPr>
          <w:rFonts w:hint="eastAsia" w:ascii="仿宋_GB2312" w:hAnsi="仿宋_GB2312" w:eastAsia="仿宋_GB2312" w:cs="仿宋_GB2312"/>
          <w:kern w:val="2"/>
          <w:sz w:val="32"/>
          <w:szCs w:val="32"/>
          <w:lang w:val="en-US" w:eastAsia="zh-CN" w:bidi="ar"/>
          <w:woUserID w:val="1"/>
        </w:rPr>
        <w:t>3.省内标准化工作情况</w:t>
      </w:r>
    </w:p>
    <w:p w14:paraId="39D875FA">
      <w:pPr>
        <w:keepNext w:val="0"/>
        <w:keepLines w:val="0"/>
        <w:widowControl w:val="0"/>
        <w:suppressLineNumbers w:val="0"/>
        <w:autoSpaceDE/>
        <w:autoSpaceDN/>
        <w:spacing w:before="0" w:beforeAutospacing="0" w:after="0" w:afterAutospacing="0" w:line="560" w:lineRule="exact"/>
        <w:ind w:left="0" w:right="0" w:firstLine="640" w:firstLineChars="200"/>
        <w:jc w:val="left"/>
        <w:rPr>
          <w:rFonts w:hint="default" w:ascii="仿宋_GB2312" w:hAnsi="仿宋_GB2312" w:eastAsia="仿宋_GB2312" w:cs="仿宋_GB2312"/>
          <w:kern w:val="2"/>
          <w:sz w:val="32"/>
          <w:szCs w:val="32"/>
          <w:lang w:val="en-US" w:eastAsia="zh-CN" w:bidi="ar"/>
          <w:woUserID w:val="1"/>
        </w:rPr>
      </w:pPr>
      <w:r>
        <w:rPr>
          <w:rFonts w:hint="eastAsia" w:ascii="仿宋_GB2312" w:hAnsi="仿宋_GB2312" w:eastAsia="仿宋_GB2312" w:cs="仿宋_GB2312"/>
          <w:kern w:val="2"/>
          <w:sz w:val="32"/>
          <w:szCs w:val="32"/>
          <w:lang w:val="en-US" w:eastAsia="zh-CN" w:bidi="ar"/>
          <w:woUserID w:val="1"/>
        </w:rPr>
        <w:t>2025年，省卫健委发布</w:t>
      </w:r>
      <w:r>
        <w:rPr>
          <w:rFonts w:hint="default" w:ascii="仿宋_GB2312" w:hAnsi="仿宋_GB2312" w:eastAsia="仿宋_GB2312" w:cs="仿宋_GB2312"/>
          <w:kern w:val="2"/>
          <w:sz w:val="32"/>
          <w:szCs w:val="32"/>
          <w:lang w:val="en-US" w:eastAsia="zh-CN" w:bidi="ar"/>
          <w:woUserID w:val="1"/>
        </w:rPr>
        <w:t>了</w:t>
      </w:r>
      <w:r>
        <w:rPr>
          <w:rFonts w:hint="eastAsia" w:ascii="仿宋_GB2312" w:hAnsi="仿宋_GB2312" w:eastAsia="仿宋_GB2312" w:cs="仿宋_GB2312"/>
          <w:kern w:val="2"/>
          <w:sz w:val="32"/>
          <w:szCs w:val="32"/>
          <w:lang w:val="en-US" w:eastAsia="zh-CN" w:bidi="ar"/>
          <w:woUserID w:val="1"/>
        </w:rPr>
        <w:t>强制性食品安全地方标准DBS46/ 005—2025《海南糟粕醋》，对海南糟粕醋的技术要求、</w:t>
      </w:r>
      <w:r>
        <w:rPr>
          <w:rFonts w:hint="default" w:ascii="仿宋_GB2312" w:hAnsi="仿宋_GB2312" w:eastAsia="仿宋_GB2312" w:cs="仿宋_GB2312"/>
          <w:kern w:val="2"/>
          <w:sz w:val="32"/>
          <w:szCs w:val="32"/>
          <w:lang w:val="en-US" w:eastAsia="zh-CN" w:bidi="ar"/>
          <w:woUserID w:val="1"/>
        </w:rPr>
        <w:t>生产加工过程中的</w:t>
      </w:r>
      <w:r>
        <w:rPr>
          <w:rFonts w:hint="eastAsia" w:ascii="仿宋_GB2312" w:hAnsi="仿宋_GB2312" w:eastAsia="仿宋_GB2312" w:cs="仿宋_GB2312"/>
          <w:kern w:val="2"/>
          <w:sz w:val="32"/>
          <w:szCs w:val="32"/>
          <w:lang w:val="en-US" w:eastAsia="zh-CN" w:bidi="ar"/>
          <w:woUserID w:val="1"/>
        </w:rPr>
        <w:t>卫生要求</w:t>
      </w:r>
      <w:r>
        <w:rPr>
          <w:rFonts w:hint="default" w:ascii="仿宋_GB2312" w:hAnsi="仿宋_GB2312" w:eastAsia="仿宋_GB2312" w:cs="仿宋_GB2312"/>
          <w:kern w:val="2"/>
          <w:sz w:val="32"/>
          <w:szCs w:val="32"/>
          <w:lang w:val="en-US" w:eastAsia="zh-CN" w:bidi="ar"/>
          <w:woUserID w:val="1"/>
        </w:rPr>
        <w:t>等</w:t>
      </w:r>
      <w:r>
        <w:rPr>
          <w:rFonts w:hint="eastAsia" w:ascii="仿宋_GB2312" w:hAnsi="仿宋_GB2312" w:eastAsia="仿宋_GB2312" w:cs="仿宋_GB2312"/>
          <w:kern w:val="2"/>
          <w:sz w:val="32"/>
          <w:szCs w:val="32"/>
          <w:lang w:val="en-US" w:eastAsia="zh-CN" w:bidi="ar"/>
          <w:woUserID w:val="1"/>
        </w:rPr>
        <w:t>进行了规定，填补了我省糟粕醋产品标准的空白。海南省质量协会发布</w:t>
      </w:r>
      <w:r>
        <w:rPr>
          <w:rFonts w:hint="default" w:ascii="仿宋_GB2312" w:hAnsi="仿宋_GB2312" w:eastAsia="仿宋_GB2312" w:cs="仿宋_GB2312"/>
          <w:kern w:val="2"/>
          <w:sz w:val="32"/>
          <w:szCs w:val="32"/>
          <w:lang w:val="en-US" w:eastAsia="zh-CN" w:bidi="ar"/>
          <w:woUserID w:val="1"/>
        </w:rPr>
        <w:t>了</w:t>
      </w:r>
      <w:r>
        <w:rPr>
          <w:rFonts w:hint="eastAsia" w:ascii="仿宋_GB2312" w:hAnsi="仿宋_GB2312" w:eastAsia="仿宋_GB2312" w:cs="仿宋_GB2312"/>
          <w:kern w:val="2"/>
          <w:sz w:val="32"/>
          <w:szCs w:val="32"/>
          <w:lang w:val="en-US" w:eastAsia="zh-CN" w:bidi="ar"/>
          <w:woUserID w:val="1"/>
        </w:rPr>
        <w:t>T/HNQA 030—2025《“糟粕醋餐饮经营示范企业”认定和管理规范》，海南省老字号企业协会发布</w:t>
      </w:r>
      <w:r>
        <w:rPr>
          <w:rFonts w:hint="default" w:ascii="仿宋_GB2312" w:hAnsi="仿宋_GB2312" w:eastAsia="仿宋_GB2312" w:cs="仿宋_GB2312"/>
          <w:kern w:val="2"/>
          <w:sz w:val="32"/>
          <w:szCs w:val="32"/>
          <w:lang w:val="en-US" w:eastAsia="zh-CN" w:bidi="ar"/>
          <w:woUserID w:val="1"/>
        </w:rPr>
        <w:t>了</w:t>
      </w:r>
      <w:r>
        <w:rPr>
          <w:rFonts w:hint="eastAsia" w:ascii="仿宋_GB2312" w:hAnsi="仿宋_GB2312" w:eastAsia="仿宋_GB2312" w:cs="仿宋_GB2312"/>
          <w:kern w:val="2"/>
          <w:sz w:val="32"/>
          <w:szCs w:val="32"/>
          <w:lang w:val="en-US" w:eastAsia="zh-CN" w:bidi="ar"/>
          <w:woUserID w:val="1"/>
        </w:rPr>
        <w:t>T/HNLZHXH 03—2026《定安糟粕醋匠师等级评定规范》，从餐饮示范企业管理、从业人员分级认定等维度约束餐饮经营市场，规范线下糟粕醋餐饮业态发展</w:t>
      </w:r>
      <w:r>
        <w:rPr>
          <w:rFonts w:hint="default" w:ascii="仿宋_GB2312" w:hAnsi="仿宋_GB2312" w:eastAsia="仿宋_GB2312" w:cs="仿宋_GB2312"/>
          <w:kern w:val="2"/>
          <w:sz w:val="32"/>
          <w:szCs w:val="32"/>
          <w:lang w:val="en-US" w:eastAsia="zh-CN" w:bidi="ar"/>
          <w:woUserID w:val="1"/>
        </w:rPr>
        <w:t>。</w:t>
      </w:r>
      <w:r>
        <w:rPr>
          <w:rFonts w:hint="eastAsia" w:ascii="仿宋_GB2312" w:hAnsi="仿宋_GB2312" w:eastAsia="仿宋_GB2312" w:cs="仿宋_GB2312"/>
          <w:kern w:val="2"/>
          <w:sz w:val="32"/>
          <w:szCs w:val="32"/>
          <w:lang w:val="en-US" w:eastAsia="zh-CN" w:bidi="ar"/>
          <w:woUserID w:val="1"/>
        </w:rPr>
        <w:t>2025年以来省内糟粕醋生产加工企业自主制定并在省卫健委备案30余项食品安全企业标准。但食品安全地方标准在产品</w:t>
      </w:r>
      <w:r>
        <w:rPr>
          <w:rFonts w:hint="default" w:ascii="仿宋_GB2312" w:hAnsi="仿宋_GB2312" w:eastAsia="仿宋_GB2312" w:cs="仿宋_GB2312"/>
          <w:kern w:val="2"/>
          <w:sz w:val="32"/>
          <w:szCs w:val="32"/>
          <w:lang w:val="en-US" w:eastAsia="zh-CN" w:bidi="ar"/>
          <w:woUserID w:val="1"/>
        </w:rPr>
        <w:t>质量指标</w:t>
      </w:r>
      <w:r>
        <w:rPr>
          <w:rFonts w:hint="eastAsia" w:ascii="仿宋_GB2312" w:hAnsi="仿宋_GB2312" w:eastAsia="仿宋_GB2312" w:cs="仿宋_GB2312"/>
          <w:kern w:val="2"/>
          <w:sz w:val="32"/>
          <w:szCs w:val="32"/>
          <w:lang w:val="en-US" w:eastAsia="zh-CN" w:bidi="ar"/>
          <w:woUserID w:val="1"/>
        </w:rPr>
        <w:t>、</w:t>
      </w:r>
      <w:r>
        <w:rPr>
          <w:rFonts w:hint="default" w:ascii="仿宋_GB2312" w:hAnsi="仿宋_GB2312" w:eastAsia="仿宋_GB2312" w:cs="仿宋_GB2312"/>
          <w:kern w:val="2"/>
          <w:sz w:val="32"/>
          <w:szCs w:val="32"/>
          <w:lang w:val="en-US" w:eastAsia="zh-CN" w:bidi="ar"/>
          <w:woUserID w:val="1"/>
        </w:rPr>
        <w:t>真菌毒素限量、检验规则、包装、贮存、运输</w:t>
      </w:r>
      <w:r>
        <w:rPr>
          <w:rFonts w:hint="eastAsia" w:ascii="仿宋_GB2312" w:hAnsi="仿宋_GB2312" w:eastAsia="仿宋_GB2312" w:cs="仿宋_GB2312"/>
          <w:kern w:val="2"/>
          <w:sz w:val="32"/>
          <w:szCs w:val="32"/>
          <w:lang w:val="en-US" w:eastAsia="zh-CN" w:bidi="ar"/>
          <w:woUserID w:val="1"/>
        </w:rPr>
        <w:t>等方面仍处于空缺，</w:t>
      </w:r>
      <w:r>
        <w:rPr>
          <w:rFonts w:hint="default" w:ascii="仿宋_GB2312" w:hAnsi="仿宋_GB2312" w:eastAsia="仿宋_GB2312" w:cs="仿宋_GB2312"/>
          <w:kern w:val="2"/>
          <w:sz w:val="32"/>
          <w:szCs w:val="32"/>
          <w:lang w:val="en-US" w:eastAsia="zh-CN" w:bidi="ar"/>
          <w:woUserID w:val="1"/>
        </w:rPr>
        <w:t>不仅不利于规范糟粕醋产品质量，也给监管带来了挑战。</w:t>
      </w:r>
    </w:p>
    <w:p w14:paraId="5BF2344C">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楷体" w:hAnsi="楷体" w:eastAsia="楷体" w:cs="楷体"/>
          <w:kern w:val="2"/>
          <w:sz w:val="21"/>
          <w:szCs w:val="21"/>
          <w:woUserID w:val="1"/>
        </w:rPr>
      </w:pPr>
      <w:r>
        <w:rPr>
          <w:rFonts w:hint="eastAsia" w:ascii="楷体" w:hAnsi="楷体" w:eastAsia="楷体" w:cs="楷体"/>
          <w:kern w:val="2"/>
          <w:sz w:val="32"/>
          <w:szCs w:val="32"/>
          <w:lang w:val="en-US" w:eastAsia="zh-CN" w:bidi="ar"/>
          <w:woUserID w:val="1"/>
        </w:rPr>
        <w:t>（四）项目实施效益分析</w:t>
      </w:r>
    </w:p>
    <w:p w14:paraId="73F4ED00">
      <w:pPr>
        <w:keepNext w:val="0"/>
        <w:keepLines w:val="0"/>
        <w:widowControl w:val="0"/>
        <w:suppressLineNumbers w:val="0"/>
        <w:autoSpaceDE/>
        <w:autoSpaceDN/>
        <w:spacing w:before="0" w:beforeAutospacing="0" w:after="0" w:afterAutospacing="0" w:line="560" w:lineRule="exact"/>
        <w:ind w:left="0" w:leftChars="0" w:right="0" w:firstLine="640" w:firstLineChars="200"/>
        <w:jc w:val="left"/>
        <w:rPr>
          <w:rFonts w:hint="eastAsia" w:ascii="仿宋_GB2312" w:hAnsi="仿宋_GB2312" w:eastAsia="仿宋_GB2312" w:cs="仿宋_GB2312"/>
          <w:kern w:val="2"/>
          <w:sz w:val="32"/>
          <w:szCs w:val="32"/>
          <w:lang w:val="en-US" w:eastAsia="zh-CN" w:bidi="ar"/>
          <w:woUserID w:val="1"/>
        </w:rPr>
      </w:pPr>
      <w:r>
        <w:rPr>
          <w:rFonts w:hint="eastAsia" w:ascii="仿宋_GB2312" w:hAnsi="仿宋_GB2312" w:eastAsia="仿宋_GB2312" w:cs="仿宋_GB2312"/>
          <w:kern w:val="2"/>
          <w:sz w:val="32"/>
          <w:szCs w:val="32"/>
          <w:lang w:val="en-US" w:eastAsia="zh-CN" w:bidi="ar"/>
          <w:woUserID w:val="1"/>
        </w:rPr>
        <w:t>制定《海南省糟粕醋质量通则》，将有效规范食品质量指标，从而切实提高海南糟粕醋质量及推动产业规模化发展，降低食品安全风险和企业生产运营成本。规范的质量指标有助于企业品牌化发展，也为产品拓展国内外市场创造条件，进一步提升企业综合竞争力，加大产业发展，提升产业创收。同时，本通则的实施也为监管部门提供了参考依据，有助于提高监管效率与精准度，对推动行业高质量发展、保障公众健康具有重要的社会与经济效益。</w:t>
      </w:r>
    </w:p>
    <w:p w14:paraId="2172A4BC">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国标黑体-GB/T 2312" w:hAnsi="国标黑体-GB/T 2312" w:eastAsia="国标黑体-GB/T 2312" w:cs="国标黑体-GB/T 2312"/>
          <w:kern w:val="2"/>
          <w:sz w:val="32"/>
          <w:szCs w:val="32"/>
          <w:woUserID w:val="1"/>
        </w:rPr>
      </w:pPr>
      <w:r>
        <w:rPr>
          <w:rFonts w:hint="default" w:ascii="国标黑体-GB/T 2312" w:hAnsi="国标黑体-GB/T 2312" w:eastAsia="国标黑体-GB/T 2312" w:cs="国标黑体-GB/T 2312"/>
          <w:kern w:val="2"/>
          <w:sz w:val="32"/>
          <w:szCs w:val="32"/>
          <w:lang w:val="en-US" w:eastAsia="zh-CN" w:bidi="ar"/>
          <w:woUserID w:val="1"/>
        </w:rPr>
        <w:t>三、编制过程</w:t>
      </w:r>
    </w:p>
    <w:p w14:paraId="13DFD5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楷体_GB2312" w:hAnsi="楷体_GB2312" w:eastAsia="楷体_GB2312" w:cs="楷体_GB2312"/>
          <w:sz w:val="32"/>
          <w:szCs w:val="32"/>
          <w:lang w:eastAsia="zh-CN"/>
          <w:woUserID w:val="1"/>
        </w:rPr>
        <w:t>（一）</w:t>
      </w:r>
      <w:r>
        <w:rPr>
          <w:rFonts w:hint="eastAsia" w:ascii="楷体_GB2312" w:hAnsi="楷体_GB2312" w:eastAsia="楷体_GB2312" w:cs="楷体_GB2312"/>
          <w:sz w:val="32"/>
          <w:szCs w:val="32"/>
          <w:lang w:val="en-US" w:eastAsia="zh-CN"/>
          <w:woUserID w:val="1"/>
        </w:rPr>
        <w:t>前期调研阶段</w:t>
      </w:r>
    </w:p>
    <w:p w14:paraId="4973FE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工作组赴</w:t>
      </w:r>
      <w:r>
        <w:rPr>
          <w:rFonts w:hint="eastAsia" w:ascii="仿宋_GB2312" w:hAnsi="仿宋_GB2312" w:eastAsia="仿宋_GB2312" w:cs="仿宋_GB2312"/>
          <w:sz w:val="32"/>
          <w:szCs w:val="32"/>
          <w:highlight w:val="none"/>
          <w:lang w:val="en-US" w:eastAsia="zh-CN"/>
          <w:woUserID w:val="1"/>
        </w:rPr>
        <w:t>海口、文昌、临高、定安、琼海</w:t>
      </w:r>
      <w:r>
        <w:rPr>
          <w:rFonts w:hint="eastAsia" w:ascii="仿宋_GB2312" w:hAnsi="仿宋_GB2312" w:eastAsia="仿宋_GB2312" w:cs="仿宋_GB2312"/>
          <w:sz w:val="32"/>
          <w:szCs w:val="32"/>
          <w:lang w:val="en-US" w:eastAsia="zh-CN"/>
          <w:woUserID w:val="1"/>
        </w:rPr>
        <w:t>等糟粕醋核心产区，走访传统作坊、规模化预包装食品生产企业、餐饮加工门店，调研原料使用、发酵工艺、生产流程、产品分类、现存质量问题；收集现行食品安全国家标准、调味品行业标准、现有糟粕醋地方规范 DBS46/005-2025，梳理原料、感官、理化、微生物、包装储运等关键管控要点，形成产业调研分析报告。</w:t>
      </w:r>
    </w:p>
    <w:p w14:paraId="13568A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woUserID w:val="1"/>
        </w:rPr>
      </w:pPr>
      <w:r>
        <w:rPr>
          <w:rFonts w:hint="eastAsia" w:ascii="楷体_GB2312" w:hAnsi="楷体_GB2312" w:eastAsia="楷体_GB2312" w:cs="楷体_GB2312"/>
          <w:sz w:val="32"/>
          <w:szCs w:val="32"/>
          <w:lang w:eastAsia="zh-CN"/>
          <w:woUserID w:val="1"/>
        </w:rPr>
        <w:t>（二）</w:t>
      </w:r>
      <w:r>
        <w:rPr>
          <w:rFonts w:hint="eastAsia" w:ascii="楷体_GB2312" w:hAnsi="楷体_GB2312" w:eastAsia="楷体_GB2312" w:cs="楷体_GB2312"/>
          <w:sz w:val="32"/>
          <w:szCs w:val="32"/>
          <w:lang w:val="en-US" w:eastAsia="zh-CN"/>
          <w:woUserID w:val="1"/>
        </w:rPr>
        <w:t>标准框架搭建阶段</w:t>
      </w:r>
    </w:p>
    <w:p w14:paraId="490E1D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依据 GB/T 1.1-2020《标准化工作导则 第 1 部分：标准化文件的结构和起草规则》搭建标准整体框架，设置范围、规范性引用文件、术语定义、技术要求、检验规则、标签、包装、贮存运输等核心章节，明确标准适用范围为海南省境内生产加工的全部糟粕醋产品。</w:t>
      </w:r>
    </w:p>
    <w:p w14:paraId="1B5479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woUserID w:val="1"/>
        </w:rPr>
      </w:pPr>
      <w:r>
        <w:rPr>
          <w:rFonts w:hint="eastAsia" w:ascii="楷体_GB2312" w:hAnsi="楷体_GB2312" w:eastAsia="楷体_GB2312" w:cs="楷体_GB2312"/>
          <w:sz w:val="32"/>
          <w:szCs w:val="32"/>
          <w:lang w:eastAsia="zh-CN"/>
          <w:woUserID w:val="1"/>
        </w:rPr>
        <w:t>（三）</w:t>
      </w:r>
      <w:r>
        <w:rPr>
          <w:rFonts w:hint="eastAsia" w:ascii="楷体_GB2312" w:hAnsi="楷体_GB2312" w:eastAsia="楷体_GB2312" w:cs="楷体_GB2312"/>
          <w:sz w:val="32"/>
          <w:szCs w:val="32"/>
          <w:lang w:val="en-US" w:eastAsia="zh-CN"/>
          <w:woUserID w:val="1"/>
        </w:rPr>
        <w:t>指标试验验证阶段</w:t>
      </w:r>
    </w:p>
    <w:p w14:paraId="4E99C7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采集半即食、非即食等多类型糟粕醋样品开展理化、微生物指标检测，结合传统发酵特性与工业化生产实际，确定固形物、氨基酸态氮、总酸、酒精度、蛋白质等理化限值；参照DBS46005-2025致病菌、微生物通用管控要求，区分即食/非即食产品设置差异化微生物限量，同步明确真菌毒素、原料辅料合规要求。</w:t>
      </w:r>
    </w:p>
    <w:p w14:paraId="7220A7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woUserID w:val="1"/>
        </w:rPr>
      </w:pPr>
      <w:r>
        <w:rPr>
          <w:rFonts w:hint="eastAsia" w:ascii="楷体_GB2312" w:hAnsi="楷体_GB2312" w:eastAsia="楷体_GB2312" w:cs="楷体_GB2312"/>
          <w:sz w:val="32"/>
          <w:szCs w:val="32"/>
          <w:lang w:eastAsia="zh-CN"/>
          <w:woUserID w:val="1"/>
        </w:rPr>
        <w:t>（四）</w:t>
      </w:r>
      <w:r>
        <w:rPr>
          <w:rFonts w:hint="eastAsia" w:ascii="楷体_GB2312" w:hAnsi="楷体_GB2312" w:eastAsia="楷体_GB2312" w:cs="楷体_GB2312"/>
          <w:sz w:val="32"/>
          <w:szCs w:val="32"/>
          <w:lang w:val="en-US" w:eastAsia="zh-CN"/>
          <w:woUserID w:val="1"/>
        </w:rPr>
        <w:t>文本撰写与内部研讨阶段</w:t>
      </w:r>
    </w:p>
    <w:p w14:paraId="2305FB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结合调研数据、检测验证结果、国家食品安全通用标准完成标准初稿编制；组织检验技术、食品生产、标准化监管专家开展多轮内部评审，修正条款逻辑、统一检验方法、规范术语表述，完善组批、抽样、出厂/型式检验、判定规则等检验制度内容。</w:t>
      </w:r>
    </w:p>
    <w:p w14:paraId="3C0A17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woUserID w:val="1"/>
        </w:rPr>
      </w:pPr>
      <w:r>
        <w:rPr>
          <w:rFonts w:hint="eastAsia" w:ascii="楷体_GB2312" w:hAnsi="楷体_GB2312" w:eastAsia="楷体_GB2312" w:cs="楷体_GB2312"/>
          <w:sz w:val="32"/>
          <w:szCs w:val="32"/>
          <w:lang w:eastAsia="zh-CN"/>
          <w:woUserID w:val="1"/>
        </w:rPr>
        <w:t>（五）</w:t>
      </w:r>
      <w:r>
        <w:rPr>
          <w:rFonts w:hint="eastAsia" w:ascii="楷体_GB2312" w:hAnsi="楷体_GB2312" w:eastAsia="楷体_GB2312" w:cs="楷体_GB2312"/>
          <w:sz w:val="32"/>
          <w:szCs w:val="32"/>
          <w:lang w:val="en-US" w:eastAsia="zh-CN"/>
          <w:woUserID w:val="1"/>
        </w:rPr>
        <w:t>征求意见阶段（计划）</w:t>
      </w:r>
    </w:p>
    <w:p w14:paraId="3964E5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初稿完成后将面向省内食品生产企业、餐饮行业协会、检验检测机构、各市县市场监管部门、食品行业专家公开征求意见，收集修改建议并逐条研讨、修改完善，形成标准送审稿。</w:t>
      </w:r>
    </w:p>
    <w:p w14:paraId="3CF6FE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woUserID w:val="1"/>
        </w:rPr>
      </w:pPr>
      <w:r>
        <w:rPr>
          <w:rFonts w:hint="eastAsia" w:ascii="楷体_GB2312" w:hAnsi="楷体_GB2312" w:eastAsia="楷体_GB2312" w:cs="楷体_GB2312"/>
          <w:sz w:val="32"/>
          <w:szCs w:val="32"/>
          <w:lang w:eastAsia="zh-CN"/>
          <w:woUserID w:val="1"/>
        </w:rPr>
        <w:t>（六）</w:t>
      </w:r>
      <w:r>
        <w:rPr>
          <w:rFonts w:hint="eastAsia" w:ascii="楷体_GB2312" w:hAnsi="楷体_GB2312" w:eastAsia="楷体_GB2312" w:cs="楷体_GB2312"/>
          <w:sz w:val="32"/>
          <w:szCs w:val="32"/>
          <w:lang w:val="en-US" w:eastAsia="zh-CN"/>
          <w:woUserID w:val="1"/>
        </w:rPr>
        <w:t>审定与报批阶段（计划）</w:t>
      </w:r>
    </w:p>
    <w:p w14:paraId="450E0AA6">
      <w:pPr>
        <w:keepNext w:val="0"/>
        <w:keepLines w:val="0"/>
        <w:widowControl w:val="0"/>
        <w:suppressLineNumbers w:val="0"/>
        <w:autoSpaceDE/>
        <w:autoSpaceDN/>
        <w:spacing w:before="0" w:beforeAutospacing="0" w:after="0" w:afterAutospacing="0" w:line="560" w:lineRule="exact"/>
        <w:ind w:left="0" w:leftChars="0" w:right="0" w:firstLine="640" w:firstLineChars="200"/>
        <w:jc w:val="left"/>
        <w:rPr>
          <w:rFonts w:hint="default" w:ascii="国标黑体-GB/T 2312" w:hAnsi="国标黑体-GB/T 2312" w:eastAsia="国标黑体-GB/T 2312" w:cs="国标黑体-GB/T 2312"/>
          <w:kern w:val="2"/>
          <w:sz w:val="32"/>
          <w:szCs w:val="32"/>
          <w:lang w:val="en-US" w:eastAsia="zh-CN" w:bidi="ar"/>
          <w:woUserID w:val="1"/>
        </w:rPr>
      </w:pPr>
      <w:r>
        <w:rPr>
          <w:rFonts w:hint="eastAsia" w:ascii="仿宋_GB2312" w:hAnsi="仿宋_GB2312" w:eastAsia="仿宋_GB2312" w:cs="仿宋_GB2312"/>
          <w:sz w:val="32"/>
          <w:szCs w:val="32"/>
          <w:lang w:val="en-US" w:eastAsia="zh-CN"/>
          <w:woUserID w:val="1"/>
        </w:rPr>
        <w:t>组织省级地方标准评审专家组开展技术审查，根据审查意见修改完善送审稿，形成标准报批稿，由海南省市场监督管理局按程序发布、实施。</w:t>
      </w:r>
    </w:p>
    <w:p w14:paraId="2E7B8145">
      <w:pPr>
        <w:keepNext w:val="0"/>
        <w:keepLines w:val="0"/>
        <w:widowControl w:val="0"/>
        <w:suppressLineNumbers w:val="0"/>
        <w:autoSpaceDE w:val="0"/>
        <w:spacing w:line="560" w:lineRule="exact"/>
        <w:ind w:firstLine="640" w:firstLineChars="200"/>
        <w:jc w:val="both"/>
        <w:rPr>
          <w:woUserID w:val="1"/>
        </w:rPr>
      </w:pPr>
      <w:r>
        <w:rPr>
          <w:rFonts w:hint="default" w:ascii="国标黑体-GB/T 2312" w:hAnsi="国标黑体-GB/T 2312" w:eastAsia="国标黑体-GB/T 2312" w:cs="国标黑体-GB/T 2312"/>
          <w:kern w:val="2"/>
          <w:sz w:val="32"/>
          <w:szCs w:val="32"/>
          <w:lang w:val="en-US" w:eastAsia="zh-CN" w:bidi="ar"/>
          <w:woUserID w:val="1"/>
        </w:rPr>
        <w:t>四、制定标准的原则和依据，与现行法律、法规、标准的关系</w:t>
      </w:r>
    </w:p>
    <w:p w14:paraId="0645B346">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楷体" w:hAnsi="楷体" w:eastAsia="楷体" w:cs="楷体"/>
          <w:kern w:val="2"/>
          <w:sz w:val="32"/>
          <w:szCs w:val="32"/>
          <w:lang w:val="en-US" w:eastAsia="zh-CN" w:bidi="ar"/>
          <w:woUserID w:val="1"/>
        </w:rPr>
      </w:pPr>
      <w:r>
        <w:rPr>
          <w:rFonts w:hint="default" w:ascii="楷体" w:hAnsi="楷体" w:eastAsia="楷体" w:cs="楷体"/>
          <w:kern w:val="2"/>
          <w:sz w:val="32"/>
          <w:szCs w:val="32"/>
          <w:lang w:val="en-US" w:eastAsia="zh-CN" w:bidi="ar"/>
          <w:woUserID w:val="1"/>
        </w:rPr>
        <w:t>（一）制定标准的原则</w:t>
      </w:r>
    </w:p>
    <w:p w14:paraId="3149DE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1.合规性原则</w:t>
      </w:r>
    </w:p>
    <w:p w14:paraId="607CA2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全部技术条款以现行食品安全国家标准、国家计量规范、包装标识标准为基础，不低于国家食品安全底线要求，所有原料、检验方法、微生物、真菌毒素、标签等项目均引用现行有效国标，保障标准合法合规。</w:t>
      </w:r>
    </w:p>
    <w:p w14:paraId="2C603B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2.产业适配性原则</w:t>
      </w:r>
    </w:p>
    <w:p w14:paraId="7B39FB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兼顾海南传统手工糟粕醋与现代化预包装糟粕醋两类生产模式，区分即食、非即食产品设置差异化微生物指标，不脱离本地产业实际，避免指标门槛过高阻碍中小作坊、小微企业正常经营，同时引导行业规范化升级。</w:t>
      </w:r>
    </w:p>
    <w:p w14:paraId="7E6040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3.科学性原则</w:t>
      </w:r>
    </w:p>
    <w:p w14:paraId="4C344C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所有理化、微生物限量指标均依托大量本地样品实测数据确定，检验方法全部采用国标通用检测方法，数据可复现、结果可比对，便于企业自检、第三方检测、监管抽检统一执行。</w:t>
      </w:r>
    </w:p>
    <w:p w14:paraId="2E6501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4.实用性原则</w:t>
      </w:r>
    </w:p>
    <w:p w14:paraId="353EC8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标准覆盖从原料采购、生产成品、出厂检验、标签包装、仓储运输全链条管控要求，条款清晰、可落地，既方便生产企业建立质量管控体系，也为市场监管部门日常监督执法提供明确判定依据。</w:t>
      </w:r>
    </w:p>
    <w:p w14:paraId="31918E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5.地方特色保护原则</w:t>
      </w:r>
    </w:p>
    <w:p w14:paraId="28A678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保留海南糟粕醋传统发酵工艺定义，明确产品地域标识要求，突出酒糟发酵核心工艺特征，区别于普通食醋，保护海南特色地方食品辨识度。</w:t>
      </w:r>
    </w:p>
    <w:p w14:paraId="577B07BF">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楷体" w:hAnsi="楷体" w:eastAsia="楷体" w:cs="楷体"/>
          <w:kern w:val="2"/>
          <w:sz w:val="32"/>
          <w:szCs w:val="32"/>
          <w:lang w:val="en-US" w:eastAsia="zh-CN" w:bidi="ar"/>
          <w:woUserID w:val="1"/>
        </w:rPr>
      </w:pPr>
      <w:r>
        <w:rPr>
          <w:rFonts w:hint="default" w:ascii="楷体" w:hAnsi="楷体" w:eastAsia="楷体" w:cs="楷体"/>
          <w:kern w:val="2"/>
          <w:sz w:val="32"/>
          <w:szCs w:val="32"/>
          <w:lang w:val="en-US" w:eastAsia="zh-CN" w:bidi="ar"/>
          <w:woUserID w:val="1"/>
        </w:rPr>
        <w:t>（二）制定标准的依据</w:t>
      </w:r>
    </w:p>
    <w:p w14:paraId="233032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1.范围</w:t>
      </w:r>
    </w:p>
    <w:p w14:paraId="04B379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依据海南糟粕醋产业地域属性，限定标准适用于海南省境内生产加工的糟粕醋，覆盖即食、非即食等全部产品形态，完整覆盖省内全产业链产品。</w:t>
      </w:r>
    </w:p>
    <w:p w14:paraId="3488DB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2.规范性引用文件</w:t>
      </w:r>
    </w:p>
    <w:p w14:paraId="15D489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根据各章节技术要求对应匹配现行国标：原料安全引用 GB 2763、GB 2721 等原料标准；理化检测引用 GB 5009 系列食品理化检测国标；微生物检测采用 GB 4789 食品安全微生物检验标准；标签、包装、净含量、储运标识分别引用 GB 7718、JJF 1070、GB/T 191 等通用规范，确保检验、标识、计量有统一法定依据。</w:t>
      </w:r>
    </w:p>
    <w:p w14:paraId="6BE685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3.术语和定义</w:t>
      </w:r>
    </w:p>
    <w:p w14:paraId="3F3677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糟粕醋定义参考 DBS46/005-2025《海南糟粕醋》成熟定义，保留大米发酵酒糟为核心原料的工艺特征，涵盖单一液体醋、酒糟+复合调料组合装等主流产品形态，统一行业通用术语，消除认知分歧。</w:t>
      </w:r>
    </w:p>
    <w:p w14:paraId="13FCEE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4.产品分类</w:t>
      </w:r>
    </w:p>
    <w:p w14:paraId="7784D1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结合市场主流产品形态划分：按食用方法分为即食、非即食贴合企业生产、商超销售、监管抽检分类管理实际。</w:t>
      </w:r>
    </w:p>
    <w:p w14:paraId="787A63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5.技术要求</w:t>
      </w:r>
    </w:p>
    <w:p w14:paraId="65040F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（1）原料辅料要求：大米、生产用水、香辛料、食用盐、植物油、食品添加剂柠檬水等分别对应专用国标，明确所有原辅材料必须符合对应食品安全标准，从源头控制产品质量。</w:t>
      </w:r>
    </w:p>
    <w:p w14:paraId="31EF77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（2）感官要求：统一产品色泽、气味、滋味、状态通用管控要求，作为出厂快速初筛项目。</w:t>
      </w:r>
    </w:p>
    <w:p w14:paraId="12086F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（3）理化指标：依托本地样品实测数据确定固形物、氨基酸态氮、蛋白质、酒精度限值；酒精度限定≤0.05% vol，契合糟粕醋低度发酵、非酒类调味品定位。</w:t>
      </w:r>
    </w:p>
    <w:p w14:paraId="2E0875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（4）微生物限量：致病菌统一执行DBS46005-2025调味品通用要求；针对即食产品增设大肠菌群、霉菌限量，兼顾食用安全与传统发酵微生物特性。</w:t>
      </w:r>
    </w:p>
    <w:p w14:paraId="541AB5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（5）真菌毒素：统一执行GB 2761，管控大米原料发酵过程可能产生的真菌毒素风险。</w:t>
      </w:r>
    </w:p>
    <w:p w14:paraId="09F7CB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（6）净含量：依据《定量包装商品计量监督管理办法》及JJF 1070，规范预包装产品计量要求。</w:t>
      </w:r>
    </w:p>
    <w:p w14:paraId="5CBB5B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6.检验规则</w:t>
      </w:r>
    </w:p>
    <w:p w14:paraId="292004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（1）组批规则：按照食品生产通用批次划分逻辑，同生产线、同日期、同工艺同规格为一批，便于企业批量管控与监管抽样。</w:t>
      </w:r>
    </w:p>
    <w:p w14:paraId="6B67BB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2）出厂检验：仅设置感官、净含量两项快速检测项目，适配企业日常出厂自检实操能力；型式检验覆盖标准全部技术指标，每半年常规开展，同时规定投产、复产、工艺变更、监管要求等触发检验场景，完善质量风险防控机制。</w:t>
      </w:r>
    </w:p>
    <w:p w14:paraId="13FE29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（3）判定规则：设置复检机制，避免单次抽样偶然误差造成误判，兼顾企业合法权益与食品安全管控。</w:t>
      </w:r>
    </w:p>
    <w:p w14:paraId="0800DD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7.标签、包装、贮存、运输</w:t>
      </w:r>
    </w:p>
    <w:p w14:paraId="7944DF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woUserID w:val="1"/>
        </w:rPr>
      </w:pPr>
      <w:r>
        <w:rPr>
          <w:rFonts w:hint="eastAsia" w:ascii="仿宋_GB2312" w:hAnsi="仿宋_GB2312" w:eastAsia="仿宋_GB2312" w:cs="仿宋_GB2312"/>
          <w:sz w:val="32"/>
          <w:szCs w:val="32"/>
          <w:lang w:val="en-US" w:eastAsia="zh-CN"/>
          <w:woUserID w:val="1"/>
        </w:rPr>
        <w:t>标签在GB 7718基础上增设地域特色标识要求，强制标注 “海南糟粕醋”、酒糟含量、食用方法；包装、仓储、运输条款结合发酵调味品易变质、怕高温、易污染特性，区分常温、冷藏、冷冻贮存条件，明确低温产品配套冷链运输要求，降低流通环节变质风险。</w:t>
      </w:r>
    </w:p>
    <w:p w14:paraId="44829E97">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楷体" w:hAnsi="楷体" w:eastAsia="楷体" w:cs="楷体"/>
          <w:kern w:val="2"/>
          <w:sz w:val="32"/>
          <w:szCs w:val="32"/>
          <w:lang w:val="en-US" w:eastAsia="zh-CN" w:bidi="ar"/>
          <w:woUserID w:val="1"/>
        </w:rPr>
      </w:pPr>
      <w:r>
        <w:rPr>
          <w:rFonts w:hint="default" w:ascii="楷体" w:hAnsi="楷体" w:eastAsia="楷体" w:cs="楷体"/>
          <w:kern w:val="2"/>
          <w:sz w:val="32"/>
          <w:szCs w:val="32"/>
          <w:lang w:val="en-US" w:eastAsia="zh-CN" w:bidi="ar"/>
          <w:woUserID w:val="1"/>
        </w:rPr>
        <w:t>（三）与现行法律、法规、标准的关系</w:t>
      </w:r>
    </w:p>
    <w:p w14:paraId="3C278A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eastAsia="zh-CN"/>
          <w:woUserID w:val="1"/>
        </w:rPr>
        <w:t>1.</w:t>
      </w:r>
      <w:r>
        <w:rPr>
          <w:rFonts w:hint="eastAsia" w:ascii="仿宋_GB2312" w:hAnsi="仿宋_GB2312" w:eastAsia="仿宋_GB2312" w:cs="仿宋_GB2312"/>
          <w:sz w:val="32"/>
          <w:szCs w:val="32"/>
          <w:lang w:val="en-US" w:eastAsia="zh-CN"/>
          <w:woUserID w:val="1"/>
        </w:rPr>
        <w:t>与国家法律法规关系</w:t>
      </w:r>
    </w:p>
    <w:p w14:paraId="2044F4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本标准全部条款符合《中华人民共和国食品安全法》《定量包装商品计量监督管理办法》等法律法规要求，技术指标不低于国家强制标准底线，是国家食品安全法规在海南特色调味品领域的细化落地文件。</w:t>
      </w:r>
    </w:p>
    <w:p w14:paraId="6B8BD4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eastAsia="zh-CN"/>
          <w:woUserID w:val="1"/>
        </w:rPr>
        <w:t>2.</w:t>
      </w:r>
      <w:r>
        <w:rPr>
          <w:rFonts w:hint="eastAsia" w:ascii="仿宋_GB2312" w:hAnsi="仿宋_GB2312" w:eastAsia="仿宋_GB2312" w:cs="仿宋_GB2312"/>
          <w:sz w:val="32"/>
          <w:szCs w:val="32"/>
          <w:lang w:val="en-US" w:eastAsia="zh-CN"/>
          <w:woUserID w:val="1"/>
        </w:rPr>
        <w:t>与现行国家标准关系</w:t>
      </w:r>
    </w:p>
    <w:p w14:paraId="4E7FAD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本标准所有原料、检验方法、微生物、标签、计量均引用现行有效食品安全国家标准，无冲突、无低于国标要求的条款，是国标针对海南糟粕醋细分品类的补充细化标准。</w:t>
      </w:r>
    </w:p>
    <w:p w14:paraId="5098B6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woUserID w:val="1"/>
        </w:rPr>
      </w:pPr>
      <w:r>
        <w:rPr>
          <w:rFonts w:hint="eastAsia" w:ascii="仿宋_GB2312" w:hAnsi="仿宋_GB2312" w:eastAsia="仿宋_GB2312" w:cs="仿宋_GB2312"/>
          <w:sz w:val="32"/>
          <w:szCs w:val="32"/>
          <w:lang w:eastAsia="zh-CN"/>
          <w:woUserID w:val="1"/>
        </w:rPr>
        <w:t>3.</w:t>
      </w:r>
      <w:r>
        <w:rPr>
          <w:rFonts w:hint="eastAsia" w:ascii="仿宋_GB2312" w:hAnsi="仿宋_GB2312" w:eastAsia="仿宋_GB2312" w:cs="仿宋_GB2312"/>
          <w:sz w:val="32"/>
          <w:szCs w:val="32"/>
          <w:lang w:val="en-US" w:eastAsia="zh-CN"/>
          <w:woUserID w:val="1"/>
        </w:rPr>
        <w:t>与现有地方规范 DBS46/005-2025《海南糟粕醋》关系</w:t>
      </w:r>
    </w:p>
    <w:p w14:paraId="4D5692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本标准沿用其成熟的海南糟粕醋术语定义，同时拓展产品覆盖范围，完善检验规则、包装储运、标签专项要求，完善即食/非即食两类产品差异化微生物指标，形成一套覆盖全产业链、兼具生产、检验、流通管控的综合性质量通则，作为配套通用地方标准协同使用。</w:t>
      </w:r>
    </w:p>
    <w:p w14:paraId="020A586A">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国标黑体-GB/T 2312" w:hAnsi="国标黑体-GB/T 2312" w:eastAsia="国标黑体-GB/T 2312" w:cs="国标黑体-GB/T 2312"/>
          <w:kern w:val="2"/>
          <w:sz w:val="32"/>
          <w:szCs w:val="32"/>
          <w:woUserID w:val="1"/>
        </w:rPr>
      </w:pPr>
      <w:r>
        <w:rPr>
          <w:rFonts w:hint="default" w:ascii="国标黑体-GB/T 2312" w:hAnsi="国标黑体-GB/T 2312" w:eastAsia="国标黑体-GB/T 2312" w:cs="国标黑体-GB/T 2312"/>
          <w:kern w:val="2"/>
          <w:sz w:val="32"/>
          <w:szCs w:val="32"/>
          <w:lang w:val="en-US" w:eastAsia="zh-CN" w:bidi="ar"/>
          <w:woUserID w:val="1"/>
        </w:rPr>
        <w:t>五、主要条款的说明</w:t>
      </w:r>
    </w:p>
    <w:p w14:paraId="09DB15E4">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楷体" w:hAnsi="楷体" w:eastAsia="楷体" w:cs="楷体"/>
          <w:kern w:val="2"/>
          <w:sz w:val="32"/>
          <w:szCs w:val="32"/>
          <w:lang w:val="en-US" w:eastAsia="zh-CN" w:bidi="ar"/>
          <w:woUserID w:val="1"/>
        </w:rPr>
      </w:pPr>
      <w:r>
        <w:rPr>
          <w:rFonts w:hint="default" w:ascii="楷体" w:hAnsi="楷体" w:eastAsia="楷体" w:cs="楷体"/>
          <w:kern w:val="2"/>
          <w:sz w:val="32"/>
          <w:szCs w:val="32"/>
          <w:lang w:val="en-US" w:eastAsia="zh-CN" w:bidi="ar"/>
          <w:woUserID w:val="1"/>
        </w:rPr>
        <w:t>（一）主要条款</w:t>
      </w:r>
    </w:p>
    <w:p w14:paraId="570D34D4">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default" w:ascii="方正仿宋_GB2312" w:hAnsi="方正仿宋_GB2312" w:eastAsia="方正仿宋_GB2312" w:cs="方正仿宋_GB2312"/>
          <w:kern w:val="2"/>
          <w:sz w:val="32"/>
          <w:szCs w:val="32"/>
          <w:lang w:val="en-US" w:eastAsia="zh-CN" w:bidi="ar"/>
          <w:woUserID w:val="1"/>
        </w:rPr>
        <w:t>本标准的章节由范围、规范性引用文件、</w:t>
      </w:r>
      <w:r>
        <w:rPr>
          <w:rFonts w:hint="default" w:ascii="方正仿宋_GB2312" w:hAnsi="方正仿宋_GB2312" w:eastAsia="方正仿宋_GB2312" w:cs="方正仿宋_GB2312"/>
          <w:kern w:val="2"/>
          <w:sz w:val="32"/>
          <w:szCs w:val="32"/>
          <w:woUserID w:val="1"/>
        </w:rPr>
        <w:t>术语和定义、技术要求、检验规则、标签与标志、包装、储存、运输</w:t>
      </w:r>
      <w:r>
        <w:rPr>
          <w:rFonts w:hint="default" w:ascii="方正仿宋_GB2312" w:hAnsi="方正仿宋_GB2312" w:eastAsia="方正仿宋_GB2312" w:cs="方正仿宋_GB2312"/>
          <w:kern w:val="2"/>
          <w:sz w:val="32"/>
          <w:szCs w:val="32"/>
          <w:lang w:val="en-US" w:eastAsia="zh-CN" w:bidi="ar"/>
          <w:woUserID w:val="1"/>
        </w:rPr>
        <w:t>共</w:t>
      </w:r>
      <w:r>
        <w:rPr>
          <w:rFonts w:hint="default" w:ascii="方正仿宋_GB2312" w:hAnsi="方正仿宋_GB2312" w:eastAsia="方正仿宋_GB2312" w:cs="方正仿宋_GB2312"/>
          <w:kern w:val="2"/>
          <w:sz w:val="32"/>
          <w:szCs w:val="32"/>
          <w:lang w:eastAsia="zh-CN" w:bidi="ar"/>
          <w:woUserID w:val="1"/>
        </w:rPr>
        <w:t>9</w:t>
      </w:r>
      <w:r>
        <w:rPr>
          <w:rFonts w:hint="default" w:ascii="方正仿宋_GB2312" w:hAnsi="方正仿宋_GB2312" w:eastAsia="方正仿宋_GB2312" w:cs="方正仿宋_GB2312"/>
          <w:kern w:val="2"/>
          <w:sz w:val="32"/>
          <w:szCs w:val="32"/>
          <w:lang w:val="en-US" w:eastAsia="zh-CN" w:bidi="ar"/>
          <w:woUserID w:val="1"/>
        </w:rPr>
        <w:t>章组成。其中“</w:t>
      </w:r>
      <w:r>
        <w:rPr>
          <w:rFonts w:hint="default" w:ascii="方正仿宋_GB2312" w:hAnsi="方正仿宋_GB2312" w:eastAsia="方正仿宋_GB2312" w:cs="方正仿宋_GB2312"/>
          <w:kern w:val="2"/>
          <w:sz w:val="32"/>
          <w:szCs w:val="32"/>
          <w:lang w:eastAsia="zh-CN" w:bidi="ar"/>
          <w:woUserID w:val="1"/>
        </w:rPr>
        <w:t>技术要求</w:t>
      </w:r>
      <w:r>
        <w:rPr>
          <w:rFonts w:hint="default" w:ascii="方正仿宋_GB2312" w:hAnsi="方正仿宋_GB2312" w:eastAsia="方正仿宋_GB2312" w:cs="方正仿宋_GB2312"/>
          <w:kern w:val="2"/>
          <w:sz w:val="32"/>
          <w:szCs w:val="32"/>
          <w:lang w:val="en-US" w:eastAsia="zh-CN" w:bidi="ar"/>
          <w:woUserID w:val="1"/>
        </w:rPr>
        <w:t>”“</w:t>
      </w:r>
      <w:r>
        <w:rPr>
          <w:rFonts w:hint="default" w:ascii="方正仿宋_GB2312" w:hAnsi="方正仿宋_GB2312" w:eastAsia="方正仿宋_GB2312" w:cs="方正仿宋_GB2312"/>
          <w:kern w:val="2"/>
          <w:sz w:val="32"/>
          <w:szCs w:val="32"/>
          <w:lang w:eastAsia="zh-CN" w:bidi="ar"/>
          <w:woUserID w:val="1"/>
        </w:rPr>
        <w:t>检验规则</w:t>
      </w:r>
      <w:r>
        <w:rPr>
          <w:rFonts w:hint="default" w:ascii="方正仿宋_GB2312" w:hAnsi="方正仿宋_GB2312" w:eastAsia="方正仿宋_GB2312" w:cs="方正仿宋_GB2312"/>
          <w:kern w:val="2"/>
          <w:sz w:val="32"/>
          <w:szCs w:val="32"/>
          <w:lang w:val="en-US" w:eastAsia="zh-CN" w:bidi="ar"/>
          <w:woUserID w:val="1"/>
        </w:rPr>
        <w:t>”“</w:t>
      </w:r>
      <w:r>
        <w:rPr>
          <w:rFonts w:hint="default" w:ascii="方正仿宋_GB2312" w:hAnsi="方正仿宋_GB2312" w:eastAsia="方正仿宋_GB2312" w:cs="方正仿宋_GB2312"/>
          <w:kern w:val="2"/>
          <w:sz w:val="32"/>
          <w:szCs w:val="32"/>
          <w:woUserID w:val="1"/>
        </w:rPr>
        <w:t>标签与标志</w:t>
      </w:r>
      <w:r>
        <w:rPr>
          <w:rFonts w:hint="default" w:ascii="方正仿宋_GB2312" w:hAnsi="方正仿宋_GB2312" w:eastAsia="方正仿宋_GB2312" w:cs="方正仿宋_GB2312"/>
          <w:kern w:val="2"/>
          <w:sz w:val="32"/>
          <w:szCs w:val="32"/>
          <w:lang w:val="en-US" w:eastAsia="zh-CN" w:bidi="ar"/>
          <w:woUserID w:val="1"/>
        </w:rPr>
        <w:t>”是本标准的核心技术内容。</w:t>
      </w:r>
    </w:p>
    <w:p w14:paraId="36AA3DDB">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楷体" w:hAnsi="楷体" w:eastAsia="楷体" w:cs="楷体"/>
          <w:kern w:val="2"/>
          <w:sz w:val="32"/>
          <w:szCs w:val="32"/>
          <w:lang w:val="en-US" w:eastAsia="zh-CN" w:bidi="ar"/>
          <w:woUserID w:val="1"/>
        </w:rPr>
      </w:pPr>
      <w:r>
        <w:rPr>
          <w:rFonts w:hint="default" w:ascii="楷体" w:hAnsi="楷体" w:eastAsia="楷体" w:cs="楷体"/>
          <w:kern w:val="2"/>
          <w:sz w:val="32"/>
          <w:szCs w:val="32"/>
          <w:lang w:val="en-US" w:eastAsia="zh-CN" w:bidi="ar"/>
          <w:woUserID w:val="1"/>
        </w:rPr>
        <w:t>（二）条款编制依据</w:t>
      </w:r>
    </w:p>
    <w:p w14:paraId="0C0420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1.范围</w:t>
      </w:r>
    </w:p>
    <w:p w14:paraId="637B66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依据海南糟粕醋产业地域属性，限定标准适用于海南省境内生产加工的糟粕醋，覆盖即食、非即食等全部产品形态，完整覆盖省内全产业链产品。</w:t>
      </w:r>
    </w:p>
    <w:p w14:paraId="1B8A0B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2.规范性引用文件</w:t>
      </w:r>
    </w:p>
    <w:p w14:paraId="3C9225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根据各章节技术要求对应匹配现行国标：原料安全引用 GB 2763、GB 2721 等原料标准；理化检测引用 GB 5009 系列食品理化检测国标；微生物检测采用 GB 4789 食品安全微生物检验标准；标签、包装、净含量、储运标识分别引用 GB 7718、JJF 1070、GB/T 191 等通用规范，确保检验、标识、计量有统一法定依据。</w:t>
      </w:r>
    </w:p>
    <w:p w14:paraId="03B934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3.术语和定义</w:t>
      </w:r>
    </w:p>
    <w:p w14:paraId="2F4A87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糟粕醋定义参考 DBS46/005-2025《海南糟粕醋》成熟定义，保留大米发酵酒糟为核心原料的工艺特征，涵盖单一液体醋、酒糟+复合调料组合装等主流产品形态，统一行业通用术语，消除认知分歧。</w:t>
      </w:r>
    </w:p>
    <w:p w14:paraId="0DD778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default" w:ascii="仿宋_GB2312" w:hAnsi="仿宋_GB2312" w:eastAsia="仿宋_GB2312" w:cs="仿宋_GB2312"/>
          <w:sz w:val="32"/>
          <w:szCs w:val="32"/>
          <w:lang w:eastAsia="zh-CN"/>
          <w:woUserID w:val="1"/>
        </w:rPr>
        <w:t>4</w:t>
      </w:r>
      <w:r>
        <w:rPr>
          <w:rFonts w:hint="eastAsia" w:ascii="仿宋_GB2312" w:hAnsi="仿宋_GB2312" w:eastAsia="仿宋_GB2312" w:cs="仿宋_GB2312"/>
          <w:sz w:val="32"/>
          <w:szCs w:val="32"/>
          <w:lang w:val="en-US" w:eastAsia="zh-CN"/>
          <w:woUserID w:val="1"/>
        </w:rPr>
        <w:t>.技术要求</w:t>
      </w:r>
    </w:p>
    <w:p w14:paraId="73015D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（1）原料辅料要求：大米、生产用水、香辛料、食用盐、植物油、食品添加剂柠檬水等分别对应专用国标，明确所有原辅材料必须符合对应食品安全标准，从源头控制产品质量。</w:t>
      </w:r>
    </w:p>
    <w:p w14:paraId="798EBD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（2）感官要求：统一产品色泽、气味、滋味、状态通用管控要求，作为出厂快速初筛项目。</w:t>
      </w:r>
    </w:p>
    <w:p w14:paraId="14CC70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（3）理化指标：依托本地样品实测数据确定固形物、氨基酸态氮、蛋白质、酒精度限值；酒精度限定≤0.05% vol，契合糟粕醋低度发酵、非酒类调味品定位。</w:t>
      </w:r>
    </w:p>
    <w:p w14:paraId="239B95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（4）微生物限量：致病菌统一执行DBS46005-2025调味品通用要求；针对即食产品增设大肠菌群、霉菌限量，兼顾食用安全与传统发酵微生物特性。</w:t>
      </w:r>
    </w:p>
    <w:p w14:paraId="57F852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（5）真菌毒素：统一执行GB 2761，管控大米原料发酵过程可能产生的真菌毒素风险。</w:t>
      </w:r>
    </w:p>
    <w:p w14:paraId="3A89EF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（6）净含量：依据《定量包装商品计量监督管理办法》及JJF 1070，规范预包装产品计量要求。</w:t>
      </w:r>
    </w:p>
    <w:p w14:paraId="77326B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default" w:ascii="仿宋_GB2312" w:hAnsi="仿宋_GB2312" w:eastAsia="仿宋_GB2312" w:cs="仿宋_GB2312"/>
          <w:sz w:val="32"/>
          <w:szCs w:val="32"/>
          <w:lang w:eastAsia="zh-CN"/>
          <w:woUserID w:val="1"/>
        </w:rPr>
        <w:t>5</w:t>
      </w:r>
      <w:r>
        <w:rPr>
          <w:rFonts w:hint="eastAsia" w:ascii="仿宋_GB2312" w:hAnsi="仿宋_GB2312" w:eastAsia="仿宋_GB2312" w:cs="仿宋_GB2312"/>
          <w:sz w:val="32"/>
          <w:szCs w:val="32"/>
          <w:lang w:val="en-US" w:eastAsia="zh-CN"/>
          <w:woUserID w:val="1"/>
        </w:rPr>
        <w:t>.检验规则</w:t>
      </w:r>
    </w:p>
    <w:p w14:paraId="186B21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（1）组批规则：按照食品生产通用批次划分逻辑，同生产线、同日期、同工艺同规格为一批，便于企业批量管控与监管抽样。</w:t>
      </w:r>
    </w:p>
    <w:p w14:paraId="418FF6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2）出厂检验：仅设置感官、净含量两项快速检测项目，适配企业日常出厂自检实操能力；型式检验覆盖标准全部技术指标，每半年常规开展，同时规定投产、复产、工艺变更、监管要求等触发检验场景，完善质量风险防控机制。</w:t>
      </w:r>
    </w:p>
    <w:p w14:paraId="177190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（3）判定规则：设置复检机制，避免单次抽样偶然误差造成误判，兼顾企业合法权益与食品安全管控。</w:t>
      </w:r>
    </w:p>
    <w:p w14:paraId="45832C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default" w:ascii="仿宋_GB2312" w:hAnsi="仿宋_GB2312" w:eastAsia="仿宋_GB2312" w:cs="仿宋_GB2312"/>
          <w:sz w:val="32"/>
          <w:szCs w:val="32"/>
          <w:lang w:eastAsia="zh-CN"/>
          <w:woUserID w:val="1"/>
        </w:rPr>
        <w:t>6</w:t>
      </w:r>
      <w:r>
        <w:rPr>
          <w:rFonts w:hint="eastAsia" w:ascii="仿宋_GB2312" w:hAnsi="仿宋_GB2312" w:eastAsia="仿宋_GB2312" w:cs="仿宋_GB2312"/>
          <w:sz w:val="32"/>
          <w:szCs w:val="32"/>
          <w:lang w:val="en-US" w:eastAsia="zh-CN"/>
          <w:woUserID w:val="1"/>
        </w:rPr>
        <w:t>.标签、包装、贮存、运输</w:t>
      </w:r>
    </w:p>
    <w:p w14:paraId="47EF4A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标签在GB 7718基础上增设地域特色标识要求，强制标注 “海南糟粕醋”、酒糟含量、食用方法；包装、仓储、运输条款结合发酵调味品易变质、怕高温、易污染特性，区分常温、冷藏、冷冻贮存条件，明确低温产品配套冷链运输要求，降低流通环节变质风险。</w:t>
      </w:r>
    </w:p>
    <w:p w14:paraId="13C5FAAD">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楷体" w:hAnsi="楷体" w:eastAsia="楷体" w:cs="楷体"/>
          <w:kern w:val="2"/>
          <w:sz w:val="32"/>
          <w:szCs w:val="32"/>
          <w:lang w:val="en-US" w:eastAsia="zh-CN" w:bidi="ar"/>
          <w:woUserID w:val="1"/>
        </w:rPr>
      </w:pPr>
      <w:r>
        <w:rPr>
          <w:rFonts w:hint="default" w:ascii="楷体" w:hAnsi="楷体" w:eastAsia="楷体" w:cs="楷体"/>
          <w:kern w:val="2"/>
          <w:sz w:val="32"/>
          <w:szCs w:val="32"/>
          <w:lang w:val="en-US" w:eastAsia="zh-CN" w:bidi="ar"/>
          <w:woUserID w:val="1"/>
        </w:rPr>
        <w:t>（三）主要试验情况</w:t>
      </w:r>
    </w:p>
    <w:p w14:paraId="71844B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起草工作组在标准编制前期，收集海口、文昌、定安等产区共30批次糟粕醋样品，包含传统作坊非即食、即食糟粕醋样品，统一按照国标方法开展全项目理化、微生物检测，形成数据汇总分析：</w:t>
      </w:r>
    </w:p>
    <w:p w14:paraId="5933C3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default" w:ascii="仿宋_GB2312" w:hAnsi="仿宋_GB2312" w:eastAsia="仿宋_GB2312" w:cs="仿宋_GB2312"/>
          <w:sz w:val="32"/>
          <w:szCs w:val="32"/>
          <w:woUserID w:val="1"/>
        </w:rPr>
        <w:t>根据</w:t>
      </w:r>
      <w:r>
        <w:rPr>
          <w:rFonts w:hint="eastAsia" w:ascii="仿宋_GB2312" w:hAnsi="仿宋_GB2312" w:eastAsia="仿宋_GB2312" w:cs="仿宋_GB2312"/>
          <w:sz w:val="32"/>
          <w:szCs w:val="32"/>
          <w:woUserID w:val="1"/>
        </w:rPr>
        <w:t>糟粕醋固形物</w:t>
      </w:r>
      <w:r>
        <w:rPr>
          <w:rFonts w:hint="default" w:ascii="仿宋_GB2312" w:hAnsi="仿宋_GB2312" w:eastAsia="仿宋_GB2312" w:cs="仿宋_GB2312"/>
          <w:sz w:val="32"/>
          <w:szCs w:val="32"/>
          <w:woUserID w:val="1"/>
        </w:rPr>
        <w:t>实测值</w:t>
      </w:r>
      <w:r>
        <w:rPr>
          <w:rFonts w:hint="eastAsia" w:ascii="仿宋_GB2312" w:hAnsi="仿宋_GB2312" w:eastAsia="仿宋_GB2312" w:cs="仿宋_GB2312"/>
          <w:sz w:val="32"/>
          <w:szCs w:val="32"/>
          <w:woUserID w:val="1"/>
        </w:rPr>
        <w:t>确定固形物最低限值；</w:t>
      </w:r>
    </w:p>
    <w:p w14:paraId="30D8EF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woUserID w:val="1"/>
        </w:rPr>
        <w:t>发酵产生氨基酸态氮为糟粕醋核心风味指标，结合所有样品实测下限，设定产品最低限值；</w:t>
      </w:r>
    </w:p>
    <w:p w14:paraId="4A8A9A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woUserID w:val="1"/>
        </w:rPr>
        <w:t>多数产品自然发酵限定该</w:t>
      </w:r>
      <w:r>
        <w:rPr>
          <w:rFonts w:hint="default" w:ascii="仿宋_GB2312" w:hAnsi="仿宋_GB2312" w:eastAsia="仿宋_GB2312" w:cs="仿宋_GB2312"/>
          <w:sz w:val="32"/>
          <w:szCs w:val="32"/>
          <w:woUserID w:val="1"/>
        </w:rPr>
        <w:t>酒精度</w:t>
      </w:r>
      <w:r>
        <w:rPr>
          <w:rFonts w:hint="eastAsia" w:ascii="仿宋_GB2312" w:hAnsi="仿宋_GB2312" w:eastAsia="仿宋_GB2312" w:cs="仿宋_GB2312"/>
          <w:sz w:val="32"/>
          <w:szCs w:val="32"/>
          <w:woUserID w:val="1"/>
        </w:rPr>
        <w:t>限值区分于发酵酒，明确其调味品属性；</w:t>
      </w:r>
    </w:p>
    <w:p w14:paraId="55F4B1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woUserID w:val="1"/>
        </w:rPr>
        <w:t>产品</w:t>
      </w:r>
      <w:r>
        <w:rPr>
          <w:rFonts w:hint="default" w:ascii="仿宋_GB2312" w:hAnsi="仿宋_GB2312" w:eastAsia="仿宋_GB2312" w:cs="仿宋_GB2312"/>
          <w:sz w:val="32"/>
          <w:szCs w:val="32"/>
          <w:woUserID w:val="1"/>
        </w:rPr>
        <w:t>可能</w:t>
      </w:r>
      <w:r>
        <w:rPr>
          <w:rFonts w:hint="eastAsia" w:ascii="仿宋_GB2312" w:hAnsi="仿宋_GB2312" w:eastAsia="仿宋_GB2312" w:cs="仿宋_GB2312"/>
          <w:sz w:val="32"/>
          <w:szCs w:val="32"/>
          <w:woUserID w:val="1"/>
        </w:rPr>
        <w:t>直接入口，微生物风险</w:t>
      </w:r>
      <w:r>
        <w:rPr>
          <w:rFonts w:hint="default" w:ascii="仿宋_GB2312" w:hAnsi="仿宋_GB2312" w:eastAsia="仿宋_GB2312" w:cs="仿宋_GB2312"/>
          <w:sz w:val="32"/>
          <w:szCs w:val="32"/>
          <w:woUserID w:val="1"/>
        </w:rPr>
        <w:t>较</w:t>
      </w:r>
      <w:r>
        <w:rPr>
          <w:rFonts w:hint="eastAsia" w:ascii="仿宋_GB2312" w:hAnsi="仿宋_GB2312" w:eastAsia="仿宋_GB2312" w:cs="仿宋_GB2312"/>
          <w:sz w:val="32"/>
          <w:szCs w:val="32"/>
          <w:woUserID w:val="1"/>
        </w:rPr>
        <w:t>高，根据实测微生物本底值，设置</w:t>
      </w:r>
      <w:r>
        <w:rPr>
          <w:rFonts w:hint="default" w:ascii="仿宋_GB2312" w:hAnsi="仿宋_GB2312" w:eastAsia="仿宋_GB2312" w:cs="仿宋_GB2312"/>
          <w:sz w:val="32"/>
          <w:szCs w:val="32"/>
          <w:woUserID w:val="1"/>
        </w:rPr>
        <w:t>微生物</w:t>
      </w:r>
      <w:r>
        <w:rPr>
          <w:rFonts w:hint="eastAsia" w:ascii="仿宋_GB2312" w:hAnsi="仿宋_GB2312" w:eastAsia="仿宋_GB2312" w:cs="仿宋_GB2312"/>
          <w:sz w:val="32"/>
          <w:szCs w:val="32"/>
          <w:woUserID w:val="1"/>
        </w:rPr>
        <w:t>限量。</w:t>
      </w:r>
    </w:p>
    <w:p w14:paraId="6BCB07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全部检测数据证明本标准设置的各项指标符合海南糟粕醋产业实际，具备可行性与科学性。</w:t>
      </w:r>
    </w:p>
    <w:p w14:paraId="79B2A108">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国标黑体-GB/T 2312" w:hAnsi="国标黑体-GB/T 2312" w:eastAsia="国标黑体-GB/T 2312" w:cs="国标黑体-GB/T 2312"/>
          <w:kern w:val="2"/>
          <w:sz w:val="32"/>
          <w:szCs w:val="32"/>
          <w:woUserID w:val="1"/>
        </w:rPr>
      </w:pPr>
      <w:r>
        <w:rPr>
          <w:rFonts w:hint="default" w:ascii="国标黑体-GB/T 2312" w:hAnsi="国标黑体-GB/T 2312" w:eastAsia="国标黑体-GB/T 2312" w:cs="国标黑体-GB/T 2312"/>
          <w:kern w:val="2"/>
          <w:sz w:val="32"/>
          <w:szCs w:val="32"/>
          <w:lang w:val="en-US" w:eastAsia="zh-CN" w:bidi="ar"/>
          <w:woUserID w:val="1"/>
        </w:rPr>
        <w:t>六、标准中如果涉及专利，应有明确的知识产权说明</w:t>
      </w:r>
    </w:p>
    <w:p w14:paraId="1FA08D87">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国标黑体-GB/T 2312" w:hAnsi="国标黑体-GB/T 2312" w:eastAsia="国标黑体-GB/T 2312" w:cs="国标黑体-GB/T 2312"/>
          <w:kern w:val="2"/>
          <w:sz w:val="32"/>
          <w:szCs w:val="32"/>
          <w:woUserID w:val="1"/>
        </w:rPr>
      </w:pPr>
      <w:r>
        <w:rPr>
          <w:rFonts w:hint="default" w:ascii="方正仿宋_GB2312" w:hAnsi="方正仿宋_GB2312" w:eastAsia="方正仿宋_GB2312" w:cs="方正仿宋_GB2312"/>
          <w:kern w:val="2"/>
          <w:sz w:val="32"/>
          <w:szCs w:val="32"/>
          <w:lang w:val="en-US" w:eastAsia="zh-CN" w:bidi="ar"/>
          <w:woUserID w:val="1"/>
        </w:rPr>
        <w:t>无。</w:t>
      </w:r>
    </w:p>
    <w:p w14:paraId="2A2D42E5">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国标黑体-GB/T 2312" w:hAnsi="国标黑体-GB/T 2312" w:eastAsia="国标黑体-GB/T 2312" w:cs="国标黑体-GB/T 2312"/>
          <w:kern w:val="2"/>
          <w:sz w:val="32"/>
          <w:szCs w:val="32"/>
          <w:woUserID w:val="1"/>
        </w:rPr>
      </w:pPr>
      <w:r>
        <w:rPr>
          <w:rFonts w:hint="default" w:ascii="国标黑体-GB/T 2312" w:hAnsi="国标黑体-GB/T 2312" w:eastAsia="国标黑体-GB/T 2312" w:cs="国标黑体-GB/T 2312"/>
          <w:kern w:val="2"/>
          <w:sz w:val="32"/>
          <w:szCs w:val="32"/>
          <w:lang w:val="en-US" w:eastAsia="zh-CN" w:bidi="ar"/>
          <w:woUserID w:val="1"/>
        </w:rPr>
        <w:t>七、公平竞争审查情况</w:t>
      </w:r>
    </w:p>
    <w:p w14:paraId="5AF6E090">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方正仿宋_GB2312" w:hAnsi="方正仿宋_GB2312" w:eastAsia="方正仿宋_GB2312" w:cs="方正仿宋_GB2312"/>
          <w:kern w:val="2"/>
          <w:sz w:val="32"/>
          <w:szCs w:val="32"/>
          <w:woUserID w:val="1"/>
        </w:rPr>
      </w:pPr>
      <w:r>
        <w:rPr>
          <w:rFonts w:hint="default" w:ascii="方正仿宋_GB2312" w:hAnsi="方正仿宋_GB2312" w:eastAsia="方正仿宋_GB2312" w:cs="方正仿宋_GB2312"/>
          <w:kern w:val="2"/>
          <w:sz w:val="32"/>
          <w:szCs w:val="32"/>
          <w:lang w:val="en-US" w:eastAsia="zh-CN" w:bidi="ar"/>
          <w:woUserID w:val="1"/>
        </w:rPr>
        <w:t xml:space="preserve"> </w:t>
      </w:r>
    </w:p>
    <w:p w14:paraId="36DE957A">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国标黑体-GB/T 2312" w:hAnsi="国标黑体-GB/T 2312" w:eastAsia="国标黑体-GB/T 2312" w:cs="国标黑体-GB/T 2312"/>
          <w:kern w:val="2"/>
          <w:sz w:val="32"/>
          <w:szCs w:val="32"/>
          <w:woUserID w:val="1"/>
        </w:rPr>
      </w:pPr>
      <w:r>
        <w:rPr>
          <w:rFonts w:hint="default" w:ascii="国标黑体-GB/T 2312" w:hAnsi="国标黑体-GB/T 2312" w:eastAsia="国标黑体-GB/T 2312" w:cs="国标黑体-GB/T 2312"/>
          <w:kern w:val="2"/>
          <w:sz w:val="32"/>
          <w:szCs w:val="32"/>
          <w:lang w:val="en-US" w:eastAsia="zh-CN" w:bidi="ar"/>
          <w:woUserID w:val="1"/>
        </w:rPr>
        <w:t xml:space="preserve"> </w:t>
      </w:r>
    </w:p>
    <w:p w14:paraId="6E430F92">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国标黑体-GB/T 2312" w:hAnsi="国标黑体-GB/T 2312" w:eastAsia="国标黑体-GB/T 2312" w:cs="国标黑体-GB/T 2312"/>
          <w:kern w:val="2"/>
          <w:sz w:val="32"/>
          <w:szCs w:val="32"/>
          <w:woUserID w:val="1"/>
        </w:rPr>
      </w:pPr>
      <w:r>
        <w:rPr>
          <w:rFonts w:hint="default" w:ascii="国标黑体-GB/T 2312" w:hAnsi="国标黑体-GB/T 2312" w:eastAsia="国标黑体-GB/T 2312" w:cs="国标黑体-GB/T 2312"/>
          <w:kern w:val="2"/>
          <w:sz w:val="32"/>
          <w:szCs w:val="32"/>
          <w:lang w:val="en-US" w:eastAsia="zh-CN" w:bidi="ar"/>
          <w:woUserID w:val="1"/>
        </w:rPr>
        <w:t>八、重大分歧意见的处理依据和结果</w:t>
      </w:r>
    </w:p>
    <w:p w14:paraId="4DAB8643">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方正仿宋_GB2312" w:hAnsi="方正仿宋_GB2312" w:eastAsia="方正仿宋_GB2312" w:cs="方正仿宋_GB2312"/>
          <w:kern w:val="2"/>
          <w:sz w:val="32"/>
          <w:szCs w:val="32"/>
          <w:woUserID w:val="1"/>
        </w:rPr>
      </w:pPr>
      <w:r>
        <w:rPr>
          <w:rFonts w:hint="default" w:ascii="方正仿宋_GB2312" w:hAnsi="方正仿宋_GB2312" w:eastAsia="方正仿宋_GB2312" w:cs="方正仿宋_GB2312"/>
          <w:kern w:val="2"/>
          <w:sz w:val="32"/>
          <w:szCs w:val="32"/>
          <w:lang w:val="en-US" w:eastAsia="zh-CN" w:bidi="ar"/>
          <w:woUserID w:val="1"/>
        </w:rPr>
        <w:t>无。</w:t>
      </w:r>
    </w:p>
    <w:p w14:paraId="5CCBF8E1">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国标黑体-GB/T 2312" w:hAnsi="国标黑体-GB/T 2312" w:eastAsia="国标黑体-GB/T 2312" w:cs="国标黑体-GB/T 2312"/>
          <w:kern w:val="2"/>
          <w:sz w:val="32"/>
          <w:szCs w:val="32"/>
          <w:woUserID w:val="1"/>
        </w:rPr>
      </w:pPr>
      <w:r>
        <w:rPr>
          <w:rFonts w:hint="default" w:ascii="国标黑体-GB/T 2312" w:hAnsi="国标黑体-GB/T 2312" w:eastAsia="国标黑体-GB/T 2312" w:cs="国标黑体-GB/T 2312"/>
          <w:kern w:val="2"/>
          <w:sz w:val="32"/>
          <w:szCs w:val="32"/>
          <w:lang w:val="en-US" w:eastAsia="zh-CN" w:bidi="ar"/>
          <w:woUserID w:val="1"/>
        </w:rPr>
        <w:t>九、采用国际标准或国外先进标准的，说明采标程度，以及国内外同类标准水平的对比情况。</w:t>
      </w:r>
    </w:p>
    <w:p w14:paraId="115E08F5">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方正仿宋_GB2312" w:hAnsi="方正仿宋_GB2312" w:eastAsia="方正仿宋_GB2312" w:cs="方正仿宋_GB2312"/>
          <w:kern w:val="2"/>
          <w:sz w:val="32"/>
          <w:szCs w:val="32"/>
          <w:woUserID w:val="1"/>
        </w:rPr>
      </w:pPr>
      <w:r>
        <w:rPr>
          <w:rFonts w:hint="default" w:ascii="方正仿宋_GB2312" w:hAnsi="方正仿宋_GB2312" w:eastAsia="方正仿宋_GB2312" w:cs="方正仿宋_GB2312"/>
          <w:kern w:val="2"/>
          <w:sz w:val="32"/>
          <w:szCs w:val="32"/>
          <w:lang w:val="en-US" w:eastAsia="zh-CN" w:bidi="ar"/>
          <w:woUserID w:val="1"/>
        </w:rPr>
        <w:t>本标准未采用国际或国外先进标准。</w:t>
      </w:r>
    </w:p>
    <w:p w14:paraId="3986D5B4">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国标黑体-GB/T 2312" w:hAnsi="国标黑体-GB/T 2312" w:eastAsia="国标黑体-GB/T 2312" w:cs="国标黑体-GB/T 2312"/>
          <w:kern w:val="2"/>
          <w:sz w:val="32"/>
          <w:szCs w:val="32"/>
          <w:woUserID w:val="1"/>
        </w:rPr>
      </w:pPr>
      <w:r>
        <w:rPr>
          <w:rFonts w:hint="default" w:ascii="方正仿宋_GB2312" w:hAnsi="方正仿宋_GB2312" w:eastAsia="方正仿宋_GB2312" w:cs="方正仿宋_GB2312"/>
          <w:kern w:val="2"/>
          <w:sz w:val="32"/>
          <w:szCs w:val="32"/>
          <w:lang w:val="en-US" w:eastAsia="zh-CN" w:bidi="ar"/>
          <w:woUserID w:val="1"/>
        </w:rPr>
        <w:t>本标准无同类标准。</w:t>
      </w:r>
    </w:p>
    <w:p w14:paraId="1C19B222">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国标黑体-GB/T 2312" w:hAnsi="国标黑体-GB/T 2312" w:eastAsia="国标黑体-GB/T 2312" w:cs="国标黑体-GB/T 2312"/>
          <w:kern w:val="2"/>
          <w:sz w:val="32"/>
          <w:szCs w:val="32"/>
          <w:woUserID w:val="1"/>
        </w:rPr>
      </w:pPr>
      <w:r>
        <w:rPr>
          <w:rFonts w:hint="default" w:ascii="国标黑体-GB/T 2312" w:hAnsi="国标黑体-GB/T 2312" w:eastAsia="国标黑体-GB/T 2312" w:cs="国标黑体-GB/T 2312"/>
          <w:kern w:val="2"/>
          <w:sz w:val="32"/>
          <w:szCs w:val="32"/>
          <w:lang w:val="en-US" w:eastAsia="zh-CN" w:bidi="ar"/>
          <w:woUserID w:val="1"/>
        </w:rPr>
        <w:t>十、</w:t>
      </w:r>
      <w:r>
        <w:rPr>
          <w:rFonts w:hint="eastAsia" w:ascii="黑体" w:hAnsi="黑体" w:eastAsia="黑体" w:cs="黑体"/>
          <w:sz w:val="32"/>
          <w:szCs w:val="32"/>
          <w:woUserID w:val="1"/>
        </w:rPr>
        <w:t>贯彻标准的要求和措施建议</w:t>
      </w:r>
    </w:p>
    <w:p w14:paraId="625ECF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woUserID w:val="1"/>
        </w:rPr>
      </w:pPr>
      <w:r>
        <w:rPr>
          <w:rFonts w:hint="eastAsia" w:ascii="楷体_GB2312" w:hAnsi="楷体_GB2312" w:eastAsia="楷体_GB2312" w:cs="楷体_GB2312"/>
          <w:sz w:val="32"/>
          <w:szCs w:val="32"/>
          <w:woUserID w:val="1"/>
        </w:rPr>
        <w:t>（一）标准宣贯培训</w:t>
      </w:r>
    </w:p>
    <w:p w14:paraId="331C0D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标准正式发布实施后，由海南省市场监督管理局联合海南省检验检测研究院面向全省各市县监管人员、糟粕醋生产企业、食品小作坊开展线上+线下宣贯培训，解读标准条款、理化微生物检测要点、标签标识规范、出厂检验流程，帮助行业快速掌握标准要求。</w:t>
      </w:r>
    </w:p>
    <w:p w14:paraId="79EDC8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woUserID w:val="1"/>
        </w:rPr>
      </w:pPr>
      <w:r>
        <w:rPr>
          <w:rFonts w:hint="eastAsia" w:ascii="楷体_GB2312" w:hAnsi="楷体_GB2312" w:eastAsia="楷体_GB2312" w:cs="楷体_GB2312"/>
          <w:sz w:val="32"/>
          <w:szCs w:val="32"/>
          <w:woUserID w:val="1"/>
        </w:rPr>
        <w:t>（二）企业引导整改</w:t>
      </w:r>
    </w:p>
    <w:p w14:paraId="75592F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给予生产企业合理过渡期，指导企业对照标准完善原料验收制度、出厂检验流程、产品标签、仓储冷链条件；鼓励中小作坊简化自检项目，委托第三方检测机构开展型式检验，逐步实现标准化生产。</w:t>
      </w:r>
    </w:p>
    <w:p w14:paraId="5964B2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woUserID w:val="1"/>
        </w:rPr>
      </w:pPr>
      <w:r>
        <w:rPr>
          <w:rFonts w:hint="eastAsia" w:ascii="楷体_GB2312" w:hAnsi="楷体_GB2312" w:eastAsia="楷体_GB2312" w:cs="楷体_GB2312"/>
          <w:sz w:val="32"/>
          <w:szCs w:val="32"/>
          <w:woUserID w:val="1"/>
        </w:rPr>
        <w:t>（三）配套监督抽检</w:t>
      </w:r>
    </w:p>
    <w:p w14:paraId="73EAA9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woUserID w:val="1"/>
        </w:rPr>
      </w:pPr>
      <w:r>
        <w:rPr>
          <w:rFonts w:hint="eastAsia" w:ascii="仿宋_GB2312" w:hAnsi="仿宋_GB2312" w:eastAsia="仿宋_GB2312" w:cs="仿宋_GB2312"/>
          <w:sz w:val="32"/>
          <w:szCs w:val="32"/>
          <w:lang w:val="en-US" w:eastAsia="zh-CN"/>
          <w:woUserID w:val="1"/>
        </w:rPr>
        <w:t>各级市场监管部门将本标准纳入糟粕醋日常监督抽检判定依据，针对指标不合格产品依法处置，以监督倒逼企业落实标准要求。</w:t>
      </w:r>
    </w:p>
    <w:p w14:paraId="5B1DAF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woUserID w:val="1"/>
        </w:rPr>
      </w:pPr>
      <w:r>
        <w:rPr>
          <w:rFonts w:hint="eastAsia" w:ascii="楷体_GB2312" w:hAnsi="楷体_GB2312" w:eastAsia="楷体_GB2312" w:cs="楷体_GB2312"/>
          <w:sz w:val="32"/>
          <w:szCs w:val="32"/>
          <w:woUserID w:val="1"/>
        </w:rPr>
        <w:t>（四）产业配套技术服务</w:t>
      </w:r>
    </w:p>
    <w:p w14:paraId="354972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r>
        <w:rPr>
          <w:rFonts w:hint="eastAsia" w:ascii="仿宋_GB2312" w:hAnsi="仿宋_GB2312" w:eastAsia="仿宋_GB2312" w:cs="仿宋_GB2312"/>
          <w:sz w:val="32"/>
          <w:szCs w:val="32"/>
          <w:lang w:val="en-US" w:eastAsia="zh-CN"/>
          <w:woUserID w:val="1"/>
        </w:rPr>
        <w:t>依托省检验检测研究院为企业提供样品检测、工艺优化技术指导，协助企业调整配方、发酵工艺，稳定产品理化、微生物指标，降低企业合规改造成本。</w:t>
      </w:r>
    </w:p>
    <w:p w14:paraId="61B8933A">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国标黑体-GB/T 2312" w:hAnsi="国标黑体-GB/T 2312" w:eastAsia="国标黑体-GB/T 2312" w:cs="国标黑体-GB/T 2312"/>
          <w:kern w:val="2"/>
          <w:sz w:val="32"/>
          <w:szCs w:val="32"/>
          <w:woUserID w:val="1"/>
        </w:rPr>
      </w:pPr>
      <w:r>
        <w:rPr>
          <w:rFonts w:hint="default" w:ascii="国标黑体-GB/T 2312" w:hAnsi="国标黑体-GB/T 2312" w:eastAsia="国标黑体-GB/T 2312" w:cs="国标黑体-GB/T 2312"/>
          <w:kern w:val="2"/>
          <w:sz w:val="32"/>
          <w:szCs w:val="32"/>
          <w:lang w:val="en-US" w:eastAsia="zh-CN" w:bidi="ar"/>
          <w:woUserID w:val="1"/>
        </w:rPr>
        <w:t>十一、其他应说明的事项</w:t>
      </w:r>
    </w:p>
    <w:p w14:paraId="0E038B50">
      <w:pPr>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方正仿宋_GB2312" w:hAnsi="方正仿宋_GB2312" w:eastAsia="方正仿宋_GB2312" w:cs="方正仿宋_GB2312"/>
          <w:kern w:val="2"/>
          <w:sz w:val="32"/>
          <w:szCs w:val="32"/>
          <w:woUserID w:val="1"/>
        </w:rPr>
      </w:pPr>
      <w:r>
        <w:rPr>
          <w:rFonts w:hint="default" w:ascii="方正仿宋_GB2312" w:hAnsi="方正仿宋_GB2312" w:eastAsia="方正仿宋_GB2312" w:cs="方正仿宋_GB2312"/>
          <w:kern w:val="2"/>
          <w:sz w:val="32"/>
          <w:szCs w:val="32"/>
          <w:lang w:val="en-US" w:eastAsia="zh-CN" w:bidi="ar"/>
          <w:woUserID w:val="1"/>
        </w:rPr>
        <w:t>无。</w:t>
      </w:r>
    </w:p>
    <w:p w14:paraId="641420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woUserID w:val="1"/>
        </w:rPr>
      </w:pPr>
    </w:p>
    <w:p w14:paraId="4F07E20F">
      <w:pPr>
        <w:pStyle w:val="7"/>
        <w:keepNext w:val="0"/>
        <w:keepLines w:val="0"/>
        <w:widowControl/>
        <w:suppressLineNumbers w:val="0"/>
        <w:spacing w:before="0" w:beforeAutospacing="0" w:after="0" w:afterAutospacing="0"/>
        <w:ind w:left="0" w:right="0" w:firstLine="0"/>
        <w:jc w:val="center"/>
        <w:rPr>
          <w:rFonts w:hint="eastAsia" w:ascii="Times New Roman" w:hAnsi="Times New Roman" w:eastAsia="仿宋_GB2312" w:cs="Times New Roman"/>
          <w:b/>
          <w:bCs w:val="0"/>
          <w:kern w:val="0"/>
          <w:sz w:val="36"/>
          <w:szCs w:val="36"/>
          <w:woUserID w:val="1"/>
        </w:rPr>
      </w:pPr>
      <w:r>
        <w:rPr>
          <w:rFonts w:hint="eastAsia" w:ascii="仿宋_GB2312" w:hAnsi="Times New Roman" w:eastAsia="仿宋_GB2312" w:cs="仿宋_GB2312"/>
          <w:b/>
          <w:bCs w:val="0"/>
          <w:kern w:val="0"/>
          <w:sz w:val="36"/>
          <w:szCs w:val="36"/>
          <w:lang w:val="en-US" w:eastAsia="zh-CN" w:bidi="ar"/>
          <w:woUserID w:val="1"/>
        </w:rPr>
        <w:t>附表</w:t>
      </w:r>
      <w:r>
        <w:rPr>
          <w:rFonts w:hint="default" w:ascii="Times New Roman" w:hAnsi="Times New Roman" w:eastAsia="仿宋_GB2312" w:cs="Times New Roman"/>
          <w:b/>
          <w:bCs w:val="0"/>
          <w:kern w:val="0"/>
          <w:sz w:val="36"/>
          <w:szCs w:val="36"/>
          <w:lang w:val="en-US" w:eastAsia="zh-CN" w:bidi="ar"/>
          <w:woUserID w:val="1"/>
        </w:rPr>
        <w:t xml:space="preserve">1 </w:t>
      </w:r>
      <w:r>
        <w:rPr>
          <w:rFonts w:hint="eastAsia" w:ascii="仿宋_GB2312" w:hAnsi="Times New Roman" w:eastAsia="仿宋_GB2312" w:cs="仿宋_GB2312"/>
          <w:b/>
          <w:bCs w:val="0"/>
          <w:kern w:val="0"/>
          <w:sz w:val="36"/>
          <w:szCs w:val="36"/>
          <w:lang w:val="en-US" w:eastAsia="zh-CN" w:bidi="ar"/>
          <w:woUserID w:val="1"/>
        </w:rPr>
        <w:t>海南省地方标准《海南糟粕醋术语与产品分类》会议征求意见汇总处理表</w:t>
      </w:r>
    </w:p>
    <w:tbl>
      <w:tblPr>
        <w:tblStyle w:val="11"/>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460"/>
        <w:gridCol w:w="738"/>
        <w:gridCol w:w="2234"/>
        <w:gridCol w:w="2339"/>
        <w:gridCol w:w="1540"/>
        <w:gridCol w:w="1540"/>
      </w:tblGrid>
      <w:tr w14:paraId="3AA19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8" w:hRule="atLeast"/>
          <w:jc w:val="center"/>
        </w:trPr>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C6B43">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kern w:val="2"/>
                <w:sz w:val="21"/>
                <w:szCs w:val="21"/>
                <w:woUserID w:val="1"/>
              </w:rPr>
            </w:pPr>
            <w:r>
              <w:rPr>
                <w:rFonts w:hint="eastAsia" w:ascii="宋体" w:hAnsi="宋体" w:eastAsia="宋体" w:cs="宋体"/>
                <w:b w:val="0"/>
                <w:bCs w:val="0"/>
                <w:spacing w:val="-7"/>
                <w:kern w:val="2"/>
                <w:sz w:val="21"/>
                <w:szCs w:val="21"/>
                <w:lang w:val="en-US" w:eastAsia="zh-CN" w:bidi="ar"/>
                <w:woUserID w:val="1"/>
              </w:rPr>
              <w:t>序号</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1F771">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kern w:val="2"/>
                <w:sz w:val="21"/>
                <w:szCs w:val="21"/>
                <w:woUserID w:val="1"/>
              </w:rPr>
            </w:pPr>
            <w:r>
              <w:rPr>
                <w:rFonts w:hint="eastAsia" w:ascii="宋体" w:hAnsi="宋体" w:eastAsia="宋体" w:cs="宋体"/>
                <w:b w:val="0"/>
                <w:bCs w:val="0"/>
                <w:spacing w:val="-4"/>
                <w:kern w:val="2"/>
                <w:sz w:val="21"/>
                <w:szCs w:val="21"/>
                <w:lang w:val="en-US" w:eastAsia="zh-CN" w:bidi="ar"/>
                <w:woUserID w:val="1"/>
              </w:rPr>
              <w:t>章条编号</w:t>
            </w:r>
          </w:p>
        </w:tc>
        <w:tc>
          <w:tcPr>
            <w:tcW w:w="1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6C6DD">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kern w:val="2"/>
                <w:sz w:val="21"/>
                <w:szCs w:val="21"/>
                <w:woUserID w:val="1"/>
              </w:rPr>
            </w:pPr>
            <w:r>
              <w:rPr>
                <w:rFonts w:hint="eastAsia" w:ascii="宋体" w:hAnsi="宋体" w:eastAsia="宋体" w:cs="宋体"/>
                <w:b w:val="0"/>
                <w:bCs w:val="0"/>
                <w:spacing w:val="-4"/>
                <w:kern w:val="2"/>
                <w:sz w:val="21"/>
                <w:szCs w:val="21"/>
                <w:lang w:val="en-US" w:eastAsia="zh-CN" w:bidi="ar"/>
                <w:woUserID w:val="1"/>
              </w:rPr>
              <w:t>修改意见</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0B238">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kern w:val="2"/>
                <w:sz w:val="21"/>
                <w:szCs w:val="21"/>
                <w:woUserID w:val="1"/>
              </w:rPr>
            </w:pPr>
            <w:r>
              <w:rPr>
                <w:rFonts w:hint="eastAsia" w:ascii="宋体" w:hAnsi="宋体" w:eastAsia="宋体" w:cs="宋体"/>
                <w:b w:val="0"/>
                <w:bCs w:val="0"/>
                <w:spacing w:val="-4"/>
                <w:kern w:val="2"/>
                <w:sz w:val="21"/>
                <w:szCs w:val="21"/>
                <w:lang w:val="en-US" w:eastAsia="zh-CN" w:bidi="ar"/>
                <w:woUserID w:val="1"/>
              </w:rPr>
              <w:t>理由或依据</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B8787">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spacing w:val="-4"/>
                <w:kern w:val="2"/>
                <w:sz w:val="21"/>
                <w:szCs w:val="21"/>
                <w:woUserID w:val="1"/>
              </w:rPr>
            </w:pPr>
            <w:r>
              <w:rPr>
                <w:rFonts w:hint="eastAsia" w:ascii="宋体" w:hAnsi="宋体" w:eastAsia="宋体" w:cs="宋体"/>
                <w:b w:val="0"/>
                <w:bCs w:val="0"/>
                <w:spacing w:val="-4"/>
                <w:kern w:val="2"/>
                <w:sz w:val="21"/>
                <w:szCs w:val="21"/>
                <w:lang w:val="en-US" w:eastAsia="zh-CN" w:bidi="ar"/>
                <w:woUserID w:val="1"/>
              </w:rPr>
              <w:t>提出专家</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67F0C">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kern w:val="2"/>
                <w:sz w:val="21"/>
                <w:szCs w:val="21"/>
                <w:woUserID w:val="1"/>
              </w:rPr>
            </w:pPr>
            <w:r>
              <w:rPr>
                <w:rFonts w:hint="eastAsia" w:ascii="宋体" w:hAnsi="宋体" w:eastAsia="宋体" w:cs="宋体"/>
                <w:b w:val="0"/>
                <w:bCs w:val="0"/>
                <w:spacing w:val="-4"/>
                <w:kern w:val="2"/>
                <w:sz w:val="21"/>
                <w:szCs w:val="21"/>
                <w:lang w:val="en-US" w:eastAsia="zh-CN" w:bidi="ar"/>
                <w:woUserID w:val="1"/>
              </w:rPr>
              <w:t>处理意见</w:t>
            </w:r>
          </w:p>
        </w:tc>
      </w:tr>
      <w:tr w14:paraId="47E10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jc w:val="center"/>
        </w:trPr>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34716">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spacing w:val="-7"/>
                <w:kern w:val="2"/>
                <w:sz w:val="21"/>
                <w:szCs w:val="21"/>
                <w:woUserID w:val="1"/>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AA8E2">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spacing w:val="-4"/>
                <w:kern w:val="2"/>
                <w:sz w:val="21"/>
                <w:szCs w:val="21"/>
                <w:woUserID w:val="1"/>
              </w:rPr>
            </w:pPr>
          </w:p>
        </w:tc>
        <w:tc>
          <w:tcPr>
            <w:tcW w:w="1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88D90">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spacing w:val="-4"/>
                <w:kern w:val="2"/>
                <w:sz w:val="21"/>
                <w:szCs w:val="21"/>
                <w:woUserID w:val="1"/>
              </w:rPr>
            </w:pP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E96C2">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spacing w:val="-4"/>
                <w:kern w:val="2"/>
                <w:sz w:val="21"/>
                <w:szCs w:val="21"/>
                <w:woUserID w:val="1"/>
              </w:rPr>
            </w:pP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0F275">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spacing w:val="-4"/>
                <w:kern w:val="2"/>
                <w:sz w:val="21"/>
                <w:szCs w:val="21"/>
                <w:woUserID w:val="1"/>
              </w:rPr>
            </w:pP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02D22">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spacing w:val="-4"/>
                <w:kern w:val="2"/>
                <w:sz w:val="21"/>
                <w:szCs w:val="21"/>
                <w:woUserID w:val="1"/>
              </w:rPr>
            </w:pPr>
          </w:p>
        </w:tc>
      </w:tr>
      <w:tr w14:paraId="60CD9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jc w:val="center"/>
        </w:trPr>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1C2F5">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spacing w:val="-7"/>
                <w:kern w:val="2"/>
                <w:sz w:val="21"/>
                <w:szCs w:val="21"/>
                <w:woUserID w:val="1"/>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2C303">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spacing w:val="-4"/>
                <w:kern w:val="2"/>
                <w:sz w:val="21"/>
                <w:szCs w:val="21"/>
                <w:woUserID w:val="1"/>
              </w:rPr>
            </w:pPr>
          </w:p>
        </w:tc>
        <w:tc>
          <w:tcPr>
            <w:tcW w:w="1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CC555">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spacing w:val="-4"/>
                <w:kern w:val="2"/>
                <w:sz w:val="21"/>
                <w:szCs w:val="21"/>
                <w:woUserID w:val="1"/>
              </w:rPr>
            </w:pP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87508">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spacing w:val="-4"/>
                <w:kern w:val="2"/>
                <w:sz w:val="21"/>
                <w:szCs w:val="21"/>
                <w:woUserID w:val="1"/>
              </w:rPr>
            </w:pP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C715B">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spacing w:val="-4"/>
                <w:kern w:val="2"/>
                <w:sz w:val="21"/>
                <w:szCs w:val="21"/>
                <w:woUserID w:val="1"/>
              </w:rPr>
            </w:pP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AB735">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spacing w:val="-4"/>
                <w:kern w:val="2"/>
                <w:sz w:val="21"/>
                <w:szCs w:val="21"/>
                <w:woUserID w:val="1"/>
              </w:rPr>
            </w:pPr>
          </w:p>
        </w:tc>
      </w:tr>
    </w:tbl>
    <w:p w14:paraId="463E925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国标黑体-GB/T 2312">
    <w:altName w:val="黑体"/>
    <w:panose1 w:val="00000000000000000000"/>
    <w:charset w:val="00"/>
    <w:family w:val="auto"/>
    <w:pitch w:val="default"/>
    <w:sig w:usb0="00000000" w:usb1="00000000" w:usb2="00000000" w:usb3="00000000" w:csb0="00000000" w:csb1="00000000"/>
  </w:font>
  <w:font w:name="方正楷体_GB2312">
    <w:altName w:val="宋体"/>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方正仿宋_GB2312">
    <w:altName w:val="仿宋"/>
    <w:panose1 w:val="00000000000000000000"/>
    <w:charset w:val="00"/>
    <w:family w:val="auto"/>
    <w:pitch w:val="default"/>
    <w:sig w:usb0="00000000" w:usb1="00000000" w:usb2="00000000" w:usb3="00000000" w:csb0="00000000" w:csb1="00000000"/>
  </w:font>
  <w:font w:name="汉仪仿宋KW">
    <w:altName w:val="仿宋"/>
    <w:panose1 w:val="00020600040101010101"/>
    <w:charset w:val="86"/>
    <w:family w:val="auto"/>
    <w:pitch w:val="default"/>
    <w:sig w:usb0="00000000" w:usb1="00000000" w:usb2="00000016"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4C8D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9BFD33">
                          <w:pPr>
                            <w:pStyle w:val="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9BFD33">
                    <w:pPr>
                      <w:pStyle w:val="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AC22B4"/>
    <w:rsid w:val="073F3754"/>
    <w:rsid w:val="10C50985"/>
    <w:rsid w:val="17226E2E"/>
    <w:rsid w:val="19F636A6"/>
    <w:rsid w:val="1D0D43D6"/>
    <w:rsid w:val="1DCF7323"/>
    <w:rsid w:val="1F96B9C1"/>
    <w:rsid w:val="21B27CA3"/>
    <w:rsid w:val="28F6462A"/>
    <w:rsid w:val="369DF8E4"/>
    <w:rsid w:val="374B480B"/>
    <w:rsid w:val="3C6D6F5E"/>
    <w:rsid w:val="3CEBFF58"/>
    <w:rsid w:val="3DFFA393"/>
    <w:rsid w:val="3E1F46CA"/>
    <w:rsid w:val="3FE7D694"/>
    <w:rsid w:val="55A97C22"/>
    <w:rsid w:val="5FE1987C"/>
    <w:rsid w:val="63CA503C"/>
    <w:rsid w:val="63F9AE3A"/>
    <w:rsid w:val="67FDAE10"/>
    <w:rsid w:val="6BCB34B6"/>
    <w:rsid w:val="73D40C39"/>
    <w:rsid w:val="74FF0EF1"/>
    <w:rsid w:val="773E51E7"/>
    <w:rsid w:val="7E6FD6A4"/>
    <w:rsid w:val="7FB21541"/>
    <w:rsid w:val="7FEDCFF5"/>
    <w:rsid w:val="9F8FE336"/>
    <w:rsid w:val="A1FDF1EA"/>
    <w:rsid w:val="B2FBDB20"/>
    <w:rsid w:val="B7B3E046"/>
    <w:rsid w:val="BB7F459E"/>
    <w:rsid w:val="BFBDB80D"/>
    <w:rsid w:val="BFBF0E34"/>
    <w:rsid w:val="DDED63D5"/>
    <w:rsid w:val="E7E51DEC"/>
    <w:rsid w:val="EBDE96E6"/>
    <w:rsid w:val="EE273AE5"/>
    <w:rsid w:val="F73C5914"/>
    <w:rsid w:val="F7F43C0E"/>
    <w:rsid w:val="FBF307E0"/>
    <w:rsid w:val="FD3DE4CD"/>
    <w:rsid w:val="FEEF1AEE"/>
    <w:rsid w:val="FEF6067E"/>
    <w:rsid w:val="FF3745AF"/>
    <w:rsid w:val="FF6FDBC9"/>
    <w:rsid w:val="FFB73CDE"/>
    <w:rsid w:val="FFBA2335"/>
    <w:rsid w:val="FFC805F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keepNext w:val="0"/>
      <w:keepLines w:val="0"/>
      <w:widowControl w:val="0"/>
      <w:suppressLineNumbers w:val="0"/>
      <w:spacing w:before="0" w:beforeAutospacing="1" w:after="0" w:afterAutospacing="1"/>
      <w:ind w:left="0" w:right="0"/>
      <w:jc w:val="left"/>
    </w:pPr>
    <w:rPr>
      <w:rFonts w:hint="default" w:ascii="Calibri" w:hAnsi="Calibri" w:eastAsia="宋体" w:cs="Times New Roman"/>
      <w:kern w:val="0"/>
      <w:sz w:val="24"/>
      <w:szCs w:val="24"/>
      <w:lang w:val="en-US" w:eastAsia="zh-CN" w:bidi="ar"/>
    </w:rPr>
  </w:style>
  <w:style w:type="character" w:styleId="10">
    <w:name w:val="Strong"/>
    <w:basedOn w:val="9"/>
    <w:qFormat/>
    <w:uiPriority w:val="0"/>
    <w:rPr>
      <w:b/>
    </w:rPr>
  </w:style>
  <w:style w:type="table" w:customStyle="1" w:styleId="11">
    <w:name w:val="Table Normal"/>
    <w:basedOn w:val="8"/>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1650</Words>
  <Characters>1693</Characters>
  <Lines>1</Lines>
  <Paragraphs>1</Paragraphs>
  <TotalTime>4</TotalTime>
  <ScaleCrop>false</ScaleCrop>
  <LinksUpToDate>false</LinksUpToDate>
  <CharactersWithSpaces>1697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2026-07-12T22:16:00Z</dcterms:created>
  <dc:creator>Administrator</dc:creator>
  <cp:lastModifiedBy>李建丽</cp:lastModifiedBy>
  <dcterms:modified xsi:type="dcterms:W3CDTF">2026-07-17T06:55:03Z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eyJoZGlkIjoiMWE1OGE3NGJhNTk0ZjBjZjZkYjhkZThlZTJiOTBlOWEiLCJ1c2VySWQiOiI3ODc0MTQ4NjgifQ==</vt:lpwstr>
  </property>
  <property fmtid="{D5CDD505-2E9C-101B-9397-08002B2CF9AE}" pid="4" name="ICV">
    <vt:lpwstr>FCC4B85F60374D2EBFBF3B2FC81FDBCE_12</vt:lpwstr>
  </property>
</Properties>
</file>