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
    <w:p>
      <w:pPr>
        <w:jc w:val="center"/>
        <w:rPr>
          <w:rFonts w:hint="eastAsia"/>
          <w:sz w:val="52"/>
          <w:szCs w:val="52"/>
        </w:rPr>
      </w:pPr>
      <w:r>
        <w:rPr>
          <w:rFonts w:hint="eastAsia"/>
          <w:sz w:val="52"/>
          <w:szCs w:val="52"/>
        </w:rPr>
        <w:t>2024年海南省药物警戒中心预算</w:t>
      </w: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ascii="黑体" w:hAnsi="黑体" w:eastAsia="黑体"/>
          <w:sz w:val="52"/>
          <w:szCs w:val="52"/>
        </w:rPr>
        <w:sectPr>
          <w:pgSz w:w="11906" w:h="16838"/>
          <w:pgMar w:top="1984" w:right="1474" w:bottom="1814" w:left="1587" w:header="851" w:footer="992" w:gutter="0"/>
          <w:cols w:space="720" w:num="1"/>
          <w:docGrid w:type="lines" w:linePitch="312" w:charSpace="0"/>
        </w:sect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海南省药物警戒中心概况</w:t>
      </w:r>
      <w:r>
        <w:rPr>
          <w:rFonts w:hint="eastAsia" w:ascii="黑体" w:hAnsi="黑体" w:eastAsia="黑体"/>
          <w:sz w:val="32"/>
          <w:szCs w:val="32"/>
          <w:lang w:val="en-US" w:eastAsia="zh-CN"/>
        </w:rPr>
        <w:t xml:space="preserve"> </w:t>
      </w:r>
    </w:p>
    <w:p>
      <w:pPr>
        <w:pStyle w:val="7"/>
        <w:numPr>
          <w:ilvl w:val="0"/>
          <w:numId w:val="0"/>
        </w:numPr>
        <w:ind w:left="0" w:firstLine="0" w:firstLineChars="0"/>
        <w:jc w:val="left"/>
        <w:rPr>
          <w:rFonts w:ascii="黑体" w:hAnsi="黑体" w:eastAsia="黑体"/>
          <w:sz w:val="32"/>
          <w:szCs w:val="32"/>
        </w:rPr>
      </w:pPr>
      <w:r>
        <w:rPr>
          <w:rFonts w:hint="eastAsia" w:ascii="黑体" w:hAnsi="黑体" w:eastAsia="黑体"/>
          <w:sz w:val="32"/>
          <w:szCs w:val="32"/>
          <w:lang w:val="en-US" w:eastAsia="zh-CN"/>
        </w:rPr>
        <w:t>主要职能</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海南省药物警戒中心2024年预算表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海南省药物警戒中心2024预算情况说明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pStyle w:val="7"/>
        <w:ind w:left="420" w:leftChars="200" w:firstLine="0" w:firstLineChars="0"/>
        <w:jc w:val="center"/>
        <w:rPr>
          <w:rFonts w:hint="eastAsia" w:ascii="黑体" w:hAnsi="黑体" w:eastAsia="黑体"/>
          <w:sz w:val="32"/>
          <w:szCs w:val="32"/>
        </w:rPr>
        <w:sectPr>
          <w:footerReference r:id="rId3" w:type="default"/>
          <w:pgSz w:w="11906" w:h="16838"/>
          <w:pgMar w:top="1984" w:right="1474" w:bottom="1814" w:left="1587" w:header="851" w:footer="992" w:gutter="0"/>
          <w:pgNumType w:start="1"/>
          <w:cols w:space="720" w:num="1"/>
          <w:docGrid w:type="lines" w:linePitch="312" w:charSpace="0"/>
        </w:sectPr>
      </w:pPr>
    </w:p>
    <w:p>
      <w:pPr>
        <w:pStyle w:val="7"/>
        <w:spacing w:line="560" w:lineRule="exact"/>
        <w:ind w:left="420" w:leftChars="200" w:firstLine="0" w:firstLineChars="0"/>
        <w:jc w:val="left"/>
        <w:rPr>
          <w:rFonts w:hint="eastAsia" w:ascii="黑体" w:hAnsi="黑体" w:eastAsia="黑体"/>
          <w:sz w:val="32"/>
          <w:szCs w:val="32"/>
        </w:rPr>
      </w:pPr>
      <w:r>
        <w:rPr>
          <w:rFonts w:hint="eastAsia" w:ascii="黑体" w:hAnsi="黑体" w:eastAsia="黑体"/>
          <w:sz w:val="32"/>
          <w:szCs w:val="32"/>
        </w:rPr>
        <w:t>第一部分   海南省药物警戒中心概况</w:t>
      </w:r>
    </w:p>
    <w:p>
      <w:pPr>
        <w:pStyle w:val="7"/>
        <w:spacing w:line="560" w:lineRule="exact"/>
        <w:ind w:left="420" w:leftChars="200" w:firstLine="0" w:firstLineChars="0"/>
        <w:jc w:val="left"/>
        <w:rPr>
          <w:rFonts w:hint="eastAsia" w:ascii="黑体" w:hAnsi="黑体" w:eastAsia="黑体"/>
          <w:sz w:val="32"/>
          <w:szCs w:val="32"/>
        </w:rPr>
      </w:pPr>
    </w:p>
    <w:p>
      <w:pPr>
        <w:pStyle w:val="7"/>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9"/>
        <w:snapToGrid w:val="0"/>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根据《中共海南省委机构编制委员会关于设立省博鳌先行区药品不良反应监测中心的批复》（以下简称《批复》，琼编〔2018〕25号），省博鳌先行区药品不良反应监测中心负责先行区内药品不良反应、医疗器械不良事件监测的信息收集、分析评价、宣传培训等工作；承担先行区内药品不良反应、医疗器械不良事件监测的报告和咨询服务等工作；协助上级主管部门开展先行区内群体药品不良反应、医疗器械不良事件的调查工作；承办上级主管部门交办的其他工作。</w:t>
      </w:r>
    </w:p>
    <w:p>
      <w:pPr>
        <w:pStyle w:val="9"/>
        <w:snapToGrid w:val="0"/>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二）根据《海南省药品监督管理局关于同意由省博鳌先行区药品不良反应监测中心暂时负责全省药品不良反应监测工作的批复》（琼药监办〔2019〕11号），省博鳌先行区药品不良反应监测中心在完成本职任务的基础上，暂时负责全省药品不良反应监测工作。</w:t>
      </w:r>
    </w:p>
    <w:p>
      <w:pPr>
        <w:pStyle w:val="7"/>
        <w:spacing w:line="560" w:lineRule="exact"/>
        <w:ind w:firstLine="640"/>
        <w:jc w:val="left"/>
        <w:rPr>
          <w:rFonts w:hint="eastAsia" w:ascii="黑体" w:hAnsi="黑体" w:eastAsia="黑体"/>
          <w:sz w:val="32"/>
          <w:szCs w:val="32"/>
        </w:rPr>
      </w:pPr>
      <w:r>
        <w:rPr>
          <w:rFonts w:hint="eastAsia" w:ascii="仿宋_GB2312" w:hAnsi="仿宋" w:eastAsia="仿宋_GB2312"/>
          <w:sz w:val="32"/>
          <w:szCs w:val="32"/>
        </w:rPr>
        <w:t>（三）根据《中共海南省委机构编制委员会办公室关于海南省博鳌先行区药品不良反应监测中心机构和职责调整的通知》（琼编办〔2022〕136号）文件，原海南省博鳌先行区药品不良反应监测中心变更为海南省药物警戒中心，</w:t>
      </w:r>
      <w:r>
        <w:rPr>
          <w:rFonts w:hint="eastAsia" w:ascii="仿宋_GB2312" w:hAnsi="仿宋_GB2312" w:eastAsia="仿宋_GB2312"/>
          <w:color w:val="000008"/>
          <w:sz w:val="32"/>
        </w:rPr>
        <w:t>主要职责是：承担全省药物警戒相关技术工作，对药品不良反应及其他与用药有关的有害反应进行监测、识别和评估；承担全省医疗器械不良事件、化妆品不良反应、药物滥用监测相关的信息收集、核实、评价、分析等工作；开展相关领域的宣传培训、科学研究及交流合作；承办上级主管部门交办的其他工作。</w:t>
      </w:r>
    </w:p>
    <w:p>
      <w:pPr>
        <w:rPr>
          <w:rFonts w:hint="eastAsia"/>
          <w:sz w:val="52"/>
          <w:szCs w:val="52"/>
        </w:rPr>
      </w:pPr>
    </w:p>
    <w:p>
      <w:pPr>
        <w:pStyle w:val="7"/>
        <w:ind w:firstLine="0" w:firstLineChars="0"/>
        <w:jc w:val="left"/>
        <w:rPr>
          <w:rFonts w:hint="eastAsia"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海南省药物警戒中心2024年预算表</w:t>
      </w:r>
    </w:p>
    <w:p>
      <w:pPr>
        <w:jc w:val="center"/>
        <w:rPr>
          <w:rFonts w:hint="eastAsia" w:ascii="黑体" w:hAnsi="黑体" w:eastAsia="黑体"/>
          <w:b w:val="0"/>
          <w:bCs w:val="0"/>
          <w:sz w:val="32"/>
          <w:szCs w:val="32"/>
        </w:rPr>
      </w:pPr>
      <w:bookmarkStart w:id="0" w:name="_GoBack"/>
      <w:bookmarkEnd w:id="0"/>
      <w:r>
        <w:rPr>
          <w:rFonts w:hint="eastAsia" w:ascii="黑体" w:hAnsi="黑体" w:eastAsia="黑体"/>
          <w:b w:val="0"/>
          <w:bCs w:val="0"/>
          <w:sz w:val="32"/>
          <w:szCs w:val="32"/>
        </w:rPr>
        <w:t>（</w:t>
      </w:r>
      <w:r>
        <w:rPr>
          <w:rFonts w:hint="eastAsia" w:ascii="仿宋_GB2312" w:hAnsi="仿宋_GB2312" w:eastAsia="仿宋_GB2312" w:cs="仿宋_GB2312"/>
          <w:sz w:val="32"/>
          <w:szCs w:val="32"/>
          <w:u w:val="none"/>
          <w:lang w:eastAsia="zh-CN"/>
        </w:rPr>
        <w:t>内容详见</w:t>
      </w:r>
      <w:r>
        <w:rPr>
          <w:rFonts w:hint="eastAsia" w:ascii="仿宋_GB2312" w:hAnsi="仿宋_GB2312" w:eastAsia="仿宋_GB2312" w:cs="仿宋_GB2312"/>
          <w:sz w:val="32"/>
          <w:szCs w:val="32"/>
          <w:u w:val="none"/>
          <w:lang w:val="en-US" w:eastAsia="zh-CN"/>
        </w:rPr>
        <w:t>2024年海南省药物警戒中心预算公开表</w:t>
      </w:r>
      <w:r>
        <w:rPr>
          <w:rFonts w:hint="eastAsia" w:ascii="黑体" w:hAnsi="黑体" w:eastAsia="黑体"/>
          <w:b w:val="0"/>
          <w:bCs w:val="0"/>
          <w:sz w:val="32"/>
          <w:szCs w:val="32"/>
        </w:rPr>
        <w:t>）</w:t>
      </w:r>
    </w:p>
    <w:p/>
    <w:p/>
    <w:p/>
    <w:p>
      <w:pPr>
        <w:pStyle w:val="10"/>
        <w:jc w:val="left"/>
        <w:rPr>
          <w:rFonts w:hint="eastAsia" w:ascii="黑体" w:hAnsi="黑体" w:eastAsia="黑体"/>
          <w:sz w:val="32"/>
          <w:szCs w:val="32"/>
          <w:lang w:val="zh-CN"/>
        </w:rPr>
      </w:pPr>
      <w:r>
        <w:rPr>
          <w:rFonts w:hint="eastAsia" w:ascii="黑体" w:hAnsi="黑体" w:eastAsia="黑体"/>
          <w:sz w:val="32"/>
          <w:szCs w:val="32"/>
          <w:lang w:val="zh-CN"/>
        </w:rPr>
        <w:t>第三部分</w:t>
      </w:r>
      <w:r>
        <w:rPr>
          <w:rFonts w:hint="eastAsia" w:ascii="黑体" w:hAnsi="黑体" w:eastAsia="黑体"/>
          <w:sz w:val="32"/>
          <w:szCs w:val="32"/>
        </w:rPr>
        <w:t xml:space="preserve">   </w:t>
      </w:r>
      <w:r>
        <w:rPr>
          <w:rFonts w:hint="eastAsia" w:ascii="黑体" w:hAnsi="黑体" w:eastAsia="黑体"/>
          <w:sz w:val="32"/>
          <w:szCs w:val="32"/>
          <w:lang w:val="zh-CN"/>
        </w:rPr>
        <w:t>海南省药物警戒中心202</w:t>
      </w:r>
      <w:r>
        <w:rPr>
          <w:rFonts w:hint="eastAsia" w:ascii="黑体" w:hAnsi="黑体" w:eastAsia="黑体"/>
          <w:sz w:val="32"/>
          <w:szCs w:val="32"/>
        </w:rPr>
        <w:t>4</w:t>
      </w:r>
      <w:r>
        <w:rPr>
          <w:rFonts w:hint="eastAsia" w:ascii="黑体" w:hAnsi="黑体" w:eastAsia="黑体"/>
          <w:sz w:val="32"/>
          <w:szCs w:val="32"/>
          <w:lang w:val="zh-CN"/>
        </w:rPr>
        <w:t>年预算情况说明</w:t>
      </w:r>
    </w:p>
    <w:p>
      <w:pPr>
        <w:pStyle w:val="11"/>
        <w:widowControl w:val="0"/>
        <w:autoSpaceDE w:val="0"/>
        <w:autoSpaceDN w:val="0"/>
        <w:ind w:firstLine="642"/>
        <w:rPr>
          <w:rFonts w:hint="eastAsia" w:ascii="黑体" w:hAnsi="黑体" w:eastAsia="黑体"/>
          <w:bCs/>
          <w:sz w:val="32"/>
          <w:lang w:val="zh-CN"/>
        </w:rPr>
      </w:pPr>
    </w:p>
    <w:p>
      <w:pPr>
        <w:pStyle w:val="11"/>
        <w:widowControl w:val="0"/>
        <w:autoSpaceDE w:val="0"/>
        <w:autoSpaceDN w:val="0"/>
        <w:spacing w:line="560" w:lineRule="exact"/>
        <w:ind w:firstLine="641"/>
        <w:rPr>
          <w:rFonts w:hint="eastAsia" w:ascii="黑体" w:hAnsi="黑体" w:eastAsia="黑体"/>
          <w:bCs/>
          <w:sz w:val="32"/>
          <w:lang w:val="zh-CN"/>
        </w:rPr>
      </w:pPr>
      <w:r>
        <w:rPr>
          <w:rFonts w:hint="eastAsia" w:ascii="黑体" w:hAnsi="黑体" w:eastAsia="黑体"/>
          <w:bCs/>
          <w:sz w:val="32"/>
          <w:lang w:val="zh-CN"/>
        </w:rPr>
        <w:t>一、关于海南省药物警戒中心202</w:t>
      </w:r>
      <w:r>
        <w:rPr>
          <w:rFonts w:hint="eastAsia" w:ascii="黑体" w:hAnsi="黑体" w:eastAsia="黑体"/>
          <w:bCs/>
          <w:sz w:val="32"/>
        </w:rPr>
        <w:t>4</w:t>
      </w:r>
      <w:r>
        <w:rPr>
          <w:rFonts w:hint="eastAsia" w:ascii="黑体" w:hAnsi="黑体" w:eastAsia="黑体"/>
          <w:bCs/>
          <w:sz w:val="32"/>
          <w:lang w:val="zh-CN"/>
        </w:rPr>
        <w:t>年财政拨款收支预算情况的总体说明</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海南省药物警戒中心</w:t>
      </w:r>
      <w:r>
        <w:rPr>
          <w:rFonts w:hint="eastAsia" w:ascii="仿宋_GB2312" w:hAnsi="黑体" w:eastAsia="仿宋_GB2312" w:cs="仿宋_GB2312"/>
          <w:sz w:val="32"/>
          <w:szCs w:val="32"/>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307.93</w:t>
      </w:r>
      <w:r>
        <w:rPr>
          <w:rFonts w:hint="eastAsia" w:ascii="仿宋_GB2312" w:hAnsi="黑体" w:eastAsia="仿宋_GB2312"/>
          <w:sz w:val="32"/>
          <w:szCs w:val="32"/>
        </w:rPr>
        <w:t>万元，比上年预算数</w:t>
      </w:r>
      <w:r>
        <w:rPr>
          <w:rFonts w:hint="eastAsia" w:ascii="仿宋_GB2312" w:hAnsi="仿宋_GB2312" w:eastAsia="仿宋_GB2312"/>
          <w:sz w:val="32"/>
        </w:rPr>
        <w:t>274.67万元</w:t>
      </w:r>
      <w:r>
        <w:rPr>
          <w:rFonts w:hint="eastAsia" w:ascii="仿宋_GB2312" w:hAnsi="黑体" w:eastAsia="仿宋_GB2312" w:cs="仿宋_GB2312"/>
          <w:sz w:val="32"/>
          <w:szCs w:val="32"/>
        </w:rPr>
        <w:t>增加33.26</w:t>
      </w:r>
      <w:r>
        <w:rPr>
          <w:rFonts w:hint="eastAsia" w:ascii="仿宋_GB2312" w:hAnsi="黑体" w:eastAsia="仿宋_GB2312"/>
          <w:sz w:val="32"/>
          <w:szCs w:val="32"/>
        </w:rPr>
        <w:t>万元,主要原因：</w:t>
      </w:r>
      <w:r>
        <w:rPr>
          <w:rFonts w:hint="eastAsia" w:ascii="仿宋_GB2312" w:eastAsia="仿宋_GB2312"/>
          <w:kern w:val="0"/>
          <w:sz w:val="32"/>
          <w:szCs w:val="32"/>
        </w:rPr>
        <w:t>业务工作量增加、人员正常晋升、职业年金记实等，相应增加人员经费和业务工作经费</w:t>
      </w:r>
      <w:r>
        <w:rPr>
          <w:rFonts w:hint="eastAsia" w:ascii="仿宋_GB2312" w:hAnsi="仿宋" w:eastAsia="仿宋_GB2312"/>
          <w:sz w:val="32"/>
          <w:szCs w:val="32"/>
        </w:rPr>
        <w:t>。</w:t>
      </w:r>
      <w:r>
        <w:rPr>
          <w:rFonts w:hint="eastAsia" w:ascii="仿宋_GB2312" w:hAnsi="黑体" w:eastAsia="仿宋_GB2312"/>
          <w:sz w:val="32"/>
          <w:szCs w:val="32"/>
        </w:rPr>
        <w:t>其中，收入总计</w:t>
      </w:r>
      <w:r>
        <w:rPr>
          <w:rFonts w:hint="eastAsia" w:ascii="仿宋_GB2312" w:hAnsi="黑体" w:eastAsia="仿宋_GB2312" w:cs="仿宋_GB2312"/>
          <w:sz w:val="32"/>
          <w:szCs w:val="32"/>
        </w:rPr>
        <w:t>307.93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297.10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10.83</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307.93</w:t>
      </w:r>
      <w:r>
        <w:rPr>
          <w:rFonts w:hint="eastAsia" w:ascii="仿宋_GB2312" w:hAnsi="黑体" w:eastAsia="仿宋_GB2312"/>
          <w:sz w:val="32"/>
          <w:szCs w:val="32"/>
        </w:rPr>
        <w:t>万元，包括</w:t>
      </w:r>
      <w:r>
        <w:rPr>
          <w:rFonts w:hint="eastAsia" w:ascii="仿宋_GB2312" w:hAnsi="仿宋_GB2312" w:eastAsia="仿宋_GB2312"/>
          <w:sz w:val="32"/>
          <w:lang w:val="zh-CN"/>
        </w:rPr>
        <w:t>包括一般公共服务支出</w:t>
      </w:r>
      <w:r>
        <w:rPr>
          <w:rFonts w:hint="eastAsia" w:ascii="仿宋_GB2312" w:hAnsi="仿宋_GB2312" w:eastAsia="仿宋_GB2312"/>
          <w:sz w:val="32"/>
        </w:rPr>
        <w:t>258.28</w:t>
      </w:r>
      <w:r>
        <w:rPr>
          <w:rFonts w:hint="eastAsia" w:ascii="仿宋_GB2312" w:hAnsi="仿宋_GB2312" w:eastAsia="仿宋_GB2312"/>
          <w:sz w:val="32"/>
          <w:lang w:val="zh-CN"/>
        </w:rPr>
        <w:t>万元、 科学技术支出</w:t>
      </w:r>
      <w:r>
        <w:rPr>
          <w:rFonts w:hint="eastAsia" w:ascii="仿宋_GB2312" w:hAnsi="仿宋_GB2312" w:eastAsia="仿宋_GB2312"/>
          <w:sz w:val="32"/>
        </w:rPr>
        <w:t>3.57万元、</w:t>
      </w:r>
      <w:r>
        <w:rPr>
          <w:rFonts w:hint="eastAsia" w:ascii="仿宋_GB2312" w:hAnsi="仿宋_GB2312" w:eastAsia="仿宋_GB2312"/>
          <w:sz w:val="32"/>
          <w:lang w:val="zh-CN"/>
        </w:rPr>
        <w:t>社会保障和就业支出</w:t>
      </w:r>
      <w:r>
        <w:rPr>
          <w:rFonts w:hint="eastAsia" w:ascii="仿宋_GB2312" w:hAnsi="仿宋_GB2312" w:eastAsia="仿宋_GB2312"/>
          <w:sz w:val="32"/>
        </w:rPr>
        <w:t>28.73</w:t>
      </w:r>
      <w:r>
        <w:rPr>
          <w:rFonts w:hint="eastAsia" w:ascii="仿宋_GB2312" w:hAnsi="仿宋_GB2312" w:eastAsia="仿宋_GB2312"/>
          <w:sz w:val="32"/>
          <w:lang w:val="zh-CN"/>
        </w:rPr>
        <w:t>万元、卫生健康支出</w:t>
      </w:r>
      <w:r>
        <w:rPr>
          <w:rFonts w:hint="eastAsia" w:ascii="仿宋_GB2312" w:hAnsi="仿宋_GB2312" w:eastAsia="仿宋_GB2312"/>
          <w:sz w:val="32"/>
        </w:rPr>
        <w:t>6.26</w:t>
      </w:r>
      <w:r>
        <w:rPr>
          <w:rFonts w:hint="eastAsia" w:ascii="仿宋_GB2312" w:hAnsi="仿宋_GB2312" w:eastAsia="仿宋_GB2312"/>
          <w:sz w:val="32"/>
          <w:lang w:val="zh-CN"/>
        </w:rPr>
        <w:t>万元、住房保障支出</w:t>
      </w:r>
      <w:r>
        <w:rPr>
          <w:rFonts w:hint="eastAsia" w:ascii="仿宋_GB2312" w:hAnsi="仿宋_GB2312" w:eastAsia="仿宋_GB2312"/>
          <w:sz w:val="32"/>
        </w:rPr>
        <w:t>11.09</w:t>
      </w:r>
      <w:r>
        <w:rPr>
          <w:rFonts w:hint="eastAsia" w:ascii="仿宋_GB2312" w:hAnsi="仿宋_GB2312" w:eastAsia="仿宋_GB2312"/>
          <w:sz w:val="32"/>
          <w:lang w:val="zh-CN"/>
        </w:rPr>
        <w:t>万元、结转下年0万元</w:t>
      </w:r>
      <w:r>
        <w:rPr>
          <w:rFonts w:hint="eastAsia" w:ascii="仿宋_GB2312" w:hAnsi="黑体" w:eastAsia="仿宋_GB2312"/>
          <w:sz w:val="32"/>
          <w:szCs w:val="32"/>
        </w:rPr>
        <w:t>。</w:t>
      </w:r>
    </w:p>
    <w:p>
      <w:pPr>
        <w:spacing w:line="560"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bCs/>
          <w:sz w:val="32"/>
          <w:lang w:val="zh-CN"/>
        </w:rPr>
        <w:t>海南省药物警戒中心202</w:t>
      </w:r>
      <w:r>
        <w:rPr>
          <w:rFonts w:hint="eastAsia" w:ascii="黑体" w:hAnsi="黑体" w:eastAsia="黑体"/>
          <w:bCs/>
          <w:sz w:val="32"/>
        </w:rPr>
        <w:t>4</w:t>
      </w:r>
      <w:r>
        <w:rPr>
          <w:rFonts w:hint="eastAsia" w:ascii="黑体" w:hAnsi="黑体" w:eastAsia="黑体"/>
          <w:sz w:val="32"/>
          <w:szCs w:val="32"/>
        </w:rPr>
        <w:t>年一般公共预算当年拨款情况说明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海南省药物警戒中心</w:t>
      </w:r>
      <w:r>
        <w:rPr>
          <w:rFonts w:hint="eastAsia" w:ascii="仿宋_GB2312" w:hAnsi="黑体" w:eastAsia="仿宋_GB2312" w:cs="仿宋_GB2312"/>
          <w:sz w:val="32"/>
          <w:szCs w:val="32"/>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307.93</w:t>
      </w:r>
      <w:r>
        <w:rPr>
          <w:rFonts w:hint="eastAsia" w:ascii="仿宋_GB2312" w:hAnsi="黑体" w:eastAsia="仿宋_GB2312"/>
          <w:sz w:val="32"/>
          <w:szCs w:val="32"/>
        </w:rPr>
        <w:t>万元，比上年预算数</w:t>
      </w:r>
      <w:r>
        <w:rPr>
          <w:rFonts w:hint="eastAsia" w:ascii="仿宋_GB2312" w:hAnsi="仿宋_GB2312" w:eastAsia="仿宋_GB2312"/>
          <w:sz w:val="32"/>
        </w:rPr>
        <w:t>274.67</w:t>
      </w:r>
      <w:r>
        <w:rPr>
          <w:rFonts w:hint="eastAsia" w:ascii="仿宋_GB2312" w:hAnsi="仿宋_GB2312" w:eastAsia="仿宋_GB2312"/>
          <w:sz w:val="32"/>
          <w:lang w:val="zh-CN"/>
        </w:rPr>
        <w:t>万元</w:t>
      </w:r>
      <w:r>
        <w:rPr>
          <w:rFonts w:hint="eastAsia" w:ascii="仿宋_GB2312" w:hAnsi="黑体" w:eastAsia="仿宋_GB2312" w:cs="仿宋_GB2312"/>
          <w:sz w:val="32"/>
          <w:szCs w:val="32"/>
        </w:rPr>
        <w:t>增加33.26</w:t>
      </w:r>
      <w:r>
        <w:rPr>
          <w:rFonts w:hint="eastAsia" w:ascii="仿宋_GB2312" w:hAnsi="黑体" w:eastAsia="仿宋_GB2312"/>
          <w:sz w:val="32"/>
          <w:szCs w:val="32"/>
        </w:rPr>
        <w:t>万元，主要原因：</w:t>
      </w:r>
      <w:r>
        <w:rPr>
          <w:rFonts w:hint="eastAsia" w:ascii="仿宋_GB2312" w:eastAsia="仿宋_GB2312"/>
          <w:kern w:val="0"/>
          <w:sz w:val="32"/>
          <w:szCs w:val="32"/>
        </w:rPr>
        <w:t>业务工作量增加、人员正常晋升、职业年金记实等，相应增加人员经费和业务工作经费</w:t>
      </w:r>
      <w:r>
        <w:rPr>
          <w:rFonts w:hint="eastAsia" w:ascii="仿宋_GB2312" w:hAnsi="仿宋"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pStyle w:val="11"/>
        <w:widowControl w:val="0"/>
        <w:autoSpaceDE w:val="0"/>
        <w:autoSpaceDN w:val="0"/>
        <w:spacing w:line="560" w:lineRule="exact"/>
        <w:ind w:firstLine="800"/>
        <w:rPr>
          <w:rFonts w:hint="eastAsia" w:ascii="仿宋_GB2312" w:hAnsi="仿宋_GB2312" w:eastAsia="仿宋_GB2312"/>
          <w:sz w:val="32"/>
          <w:lang w:val="zh-CN"/>
        </w:rPr>
      </w:pPr>
      <w:r>
        <w:rPr>
          <w:rFonts w:hint="eastAsia" w:ascii="仿宋_GB2312" w:hAnsi="黑体" w:eastAsia="仿宋_GB2312" w:cs="仿宋_GB2312"/>
          <w:sz w:val="32"/>
          <w:szCs w:val="32"/>
        </w:rPr>
        <w:t>一般公共服务（类）支出258.28</w:t>
      </w:r>
      <w:r>
        <w:rPr>
          <w:rFonts w:hint="eastAsia" w:ascii="仿宋_GB2312" w:hAnsi="黑体" w:eastAsia="仿宋_GB2312"/>
          <w:sz w:val="32"/>
          <w:szCs w:val="32"/>
        </w:rPr>
        <w:t>万元，占</w:t>
      </w:r>
      <w:r>
        <w:rPr>
          <w:rFonts w:hint="eastAsia" w:ascii="仿宋_GB2312" w:hAnsi="黑体" w:eastAsia="仿宋_GB2312" w:cs="仿宋_GB2312"/>
          <w:sz w:val="32"/>
          <w:szCs w:val="32"/>
        </w:rPr>
        <w:t>83.88</w:t>
      </w:r>
      <w:r>
        <w:rPr>
          <w:rFonts w:hint="eastAsia" w:ascii="仿宋_GB2312" w:hAnsi="黑体" w:eastAsia="仿宋_GB2312"/>
          <w:sz w:val="32"/>
          <w:szCs w:val="32"/>
        </w:rPr>
        <w:t>%； 社会保障和就业（类）</w:t>
      </w:r>
      <w:r>
        <w:rPr>
          <w:rFonts w:hint="eastAsia" w:ascii="仿宋_GB2312" w:hAnsi="黑体" w:eastAsia="仿宋_GB2312" w:cs="仿宋_GB2312"/>
          <w:sz w:val="32"/>
          <w:szCs w:val="32"/>
        </w:rPr>
        <w:t>支出28.73</w:t>
      </w:r>
      <w:r>
        <w:rPr>
          <w:rFonts w:hint="eastAsia" w:ascii="仿宋_GB2312" w:hAnsi="黑体" w:eastAsia="仿宋_GB2312"/>
          <w:sz w:val="32"/>
          <w:szCs w:val="32"/>
        </w:rPr>
        <w:t>万元，占</w:t>
      </w:r>
      <w:r>
        <w:rPr>
          <w:rFonts w:hint="eastAsia" w:ascii="仿宋_GB2312" w:hAnsi="黑体" w:eastAsia="仿宋_GB2312" w:cs="仿宋_GB2312"/>
          <w:sz w:val="32"/>
          <w:szCs w:val="32"/>
        </w:rPr>
        <w:t>9.33</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支出3.57</w:t>
      </w:r>
      <w:r>
        <w:rPr>
          <w:rFonts w:hint="eastAsia" w:ascii="仿宋_GB2312" w:hAnsi="黑体" w:eastAsia="仿宋_GB2312"/>
          <w:sz w:val="32"/>
          <w:szCs w:val="32"/>
        </w:rPr>
        <w:t>万元，占</w:t>
      </w:r>
      <w:r>
        <w:rPr>
          <w:rFonts w:hint="eastAsia" w:ascii="仿宋_GB2312" w:hAnsi="黑体" w:eastAsia="仿宋_GB2312" w:cs="仿宋_GB2312"/>
          <w:sz w:val="32"/>
          <w:szCs w:val="32"/>
        </w:rPr>
        <w:t>1.16</w:t>
      </w:r>
      <w:r>
        <w:rPr>
          <w:rFonts w:hint="eastAsia" w:ascii="仿宋_GB2312" w:hAnsi="黑体" w:eastAsia="仿宋_GB2312"/>
          <w:sz w:val="32"/>
          <w:szCs w:val="32"/>
        </w:rPr>
        <w:t>%；</w:t>
      </w:r>
      <w:r>
        <w:rPr>
          <w:rFonts w:hint="eastAsia" w:ascii="仿宋_GB2312" w:hAnsi="仿宋_GB2312" w:eastAsia="仿宋_GB2312"/>
          <w:sz w:val="32"/>
          <w:lang w:val="zh-CN"/>
        </w:rPr>
        <w:t>卫生健康（类）支出</w:t>
      </w:r>
      <w:r>
        <w:rPr>
          <w:rFonts w:hint="eastAsia" w:ascii="仿宋_GB2312" w:hAnsi="仿宋_GB2312" w:eastAsia="仿宋_GB2312"/>
          <w:sz w:val="32"/>
        </w:rPr>
        <w:t>6.26</w:t>
      </w:r>
      <w:r>
        <w:rPr>
          <w:rFonts w:hint="eastAsia" w:ascii="仿宋_GB2312" w:hAnsi="仿宋_GB2312" w:eastAsia="仿宋_GB2312"/>
          <w:sz w:val="32"/>
          <w:lang w:val="zh-CN"/>
        </w:rPr>
        <w:t>万元，占</w:t>
      </w:r>
      <w:r>
        <w:rPr>
          <w:rFonts w:hint="eastAsia" w:ascii="仿宋_GB2312" w:hAnsi="仿宋_GB2312" w:eastAsia="仿宋_GB2312"/>
          <w:sz w:val="32"/>
        </w:rPr>
        <w:t>2.03</w:t>
      </w:r>
      <w:r>
        <w:rPr>
          <w:rFonts w:hint="eastAsia" w:ascii="仿宋_GB2312" w:hAnsi="仿宋_GB2312" w:eastAsia="仿宋_GB2312"/>
          <w:sz w:val="32"/>
          <w:lang w:val="zh-CN"/>
        </w:rPr>
        <w:t>%；住房保障（类）支出</w:t>
      </w:r>
      <w:r>
        <w:rPr>
          <w:rFonts w:hint="eastAsia" w:ascii="仿宋_GB2312" w:hAnsi="仿宋_GB2312" w:eastAsia="仿宋_GB2312"/>
          <w:sz w:val="32"/>
        </w:rPr>
        <w:t>11.09</w:t>
      </w:r>
      <w:r>
        <w:rPr>
          <w:rFonts w:hint="eastAsia" w:ascii="仿宋_GB2312" w:hAnsi="仿宋_GB2312" w:eastAsia="仿宋_GB2312"/>
          <w:sz w:val="32"/>
          <w:lang w:val="zh-CN"/>
        </w:rPr>
        <w:t>万元，占</w:t>
      </w:r>
      <w:r>
        <w:rPr>
          <w:rFonts w:hint="eastAsia" w:ascii="仿宋_GB2312" w:hAnsi="仿宋_GB2312" w:eastAsia="仿宋_GB2312"/>
          <w:sz w:val="32"/>
        </w:rPr>
        <w:t>3.6</w:t>
      </w:r>
      <w:r>
        <w:rPr>
          <w:rFonts w:ascii="仿宋_GB2312" w:hAnsi="仿宋_GB2312" w:eastAsia="仿宋_GB2312"/>
          <w:sz w:val="32"/>
        </w:rPr>
        <w:t>0</w:t>
      </w:r>
      <w:r>
        <w:rPr>
          <w:rFonts w:hint="eastAsia" w:ascii="仿宋_GB2312" w:hAnsi="仿宋_GB2312" w:eastAsia="仿宋_GB2312"/>
          <w:sz w:val="32"/>
          <w:lang w:val="zh-CN"/>
        </w:rPr>
        <w:t>%。</w:t>
      </w:r>
    </w:p>
    <w:p>
      <w:pPr>
        <w:spacing w:line="560" w:lineRule="exact"/>
        <w:ind w:firstLine="640" w:firstLineChars="20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w:t>
      </w:r>
      <w:r>
        <w:rPr>
          <w:rFonts w:hint="eastAsia" w:ascii="仿宋_GB2312" w:hAnsi="仿宋_GB2312" w:eastAsia="仿宋_GB2312"/>
          <w:sz w:val="32"/>
          <w:lang w:val="zh-CN"/>
        </w:rPr>
        <w:t>般公共服务（类）市场监督管理事务（款）事业运行（项）</w:t>
      </w:r>
      <w:r>
        <w:rPr>
          <w:rFonts w:hint="eastAsia" w:ascii="仿宋_GB2312" w:hAnsi="黑体" w:eastAsia="仿宋_GB2312" w:cs="仿宋_GB2312"/>
          <w:sz w:val="32"/>
          <w:szCs w:val="32"/>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123.60</w:t>
      </w:r>
      <w:r>
        <w:rPr>
          <w:rFonts w:hint="eastAsia" w:ascii="仿宋_GB2312" w:hAnsi="黑体" w:eastAsia="仿宋_GB2312"/>
          <w:sz w:val="32"/>
          <w:szCs w:val="32"/>
        </w:rPr>
        <w:t>万元，比上年预算数</w:t>
      </w:r>
      <w:r>
        <w:rPr>
          <w:rFonts w:hint="eastAsia" w:ascii="仿宋_GB2312" w:hAnsi="仿宋_GB2312" w:eastAsia="仿宋_GB2312"/>
          <w:sz w:val="32"/>
        </w:rPr>
        <w:t>104</w:t>
      </w:r>
      <w:r>
        <w:rPr>
          <w:rFonts w:hint="eastAsia" w:ascii="仿宋_GB2312" w:hAnsi="仿宋_GB2312" w:eastAsia="仿宋_GB2312"/>
          <w:sz w:val="32"/>
          <w:lang w:val="zh-CN"/>
        </w:rPr>
        <w:t>.</w:t>
      </w:r>
      <w:r>
        <w:rPr>
          <w:rFonts w:hint="eastAsia" w:ascii="仿宋_GB2312" w:hAnsi="仿宋_GB2312" w:eastAsia="仿宋_GB2312"/>
          <w:sz w:val="32"/>
        </w:rPr>
        <w:t>19万元</w:t>
      </w:r>
      <w:r>
        <w:rPr>
          <w:rFonts w:hint="eastAsia" w:ascii="仿宋_GB2312" w:hAnsi="黑体" w:eastAsia="仿宋_GB2312" w:cs="仿宋_GB2312"/>
          <w:sz w:val="32"/>
          <w:szCs w:val="32"/>
        </w:rPr>
        <w:t>增加19.41</w:t>
      </w:r>
      <w:r>
        <w:rPr>
          <w:rFonts w:hint="eastAsia" w:ascii="仿宋_GB2312" w:hAnsi="黑体" w:eastAsia="仿宋_GB2312"/>
          <w:sz w:val="32"/>
          <w:szCs w:val="32"/>
        </w:rPr>
        <w:t>万元，</w:t>
      </w:r>
      <w:r>
        <w:rPr>
          <w:rFonts w:hint="eastAsia" w:ascii="仿宋_GB2312" w:hAnsi="仿宋_GB2312" w:eastAsia="仿宋_GB2312"/>
          <w:sz w:val="32"/>
          <w:lang w:val="zh-CN"/>
        </w:rPr>
        <w:t>较上年预算增长</w:t>
      </w:r>
      <w:r>
        <w:rPr>
          <w:rFonts w:hint="eastAsia" w:ascii="仿宋_GB2312" w:hAnsi="仿宋_GB2312" w:eastAsia="仿宋_GB2312"/>
          <w:sz w:val="32"/>
        </w:rPr>
        <w:t>18.63%，</w:t>
      </w:r>
      <w:r>
        <w:rPr>
          <w:rFonts w:hint="eastAsia" w:ascii="仿宋_GB2312" w:hAnsi="黑体" w:eastAsia="仿宋_GB2312"/>
          <w:sz w:val="32"/>
          <w:szCs w:val="32"/>
        </w:rPr>
        <w:t>主要是</w:t>
      </w:r>
      <w:r>
        <w:rPr>
          <w:rFonts w:hint="eastAsia" w:ascii="仿宋_GB2312" w:eastAsia="仿宋_GB2312"/>
          <w:kern w:val="0"/>
          <w:sz w:val="32"/>
          <w:szCs w:val="32"/>
        </w:rPr>
        <w:t>业务工作量的增加和人员正常晋升增加人员工资，相应增加人员经费和业务工作经费</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仿宋_GB2312" w:eastAsia="仿宋_GB2312"/>
          <w:sz w:val="32"/>
          <w:lang w:val="zh-CN"/>
        </w:rPr>
        <w:t>一般公共服务（类）市场监督管理局事务（款）</w:t>
      </w:r>
      <w:r>
        <w:rPr>
          <w:rFonts w:hint="eastAsia" w:ascii="仿宋_GB2312" w:hAnsi="黑体" w:eastAsia="仿宋_GB2312" w:cs="仿宋_GB2312"/>
          <w:sz w:val="32"/>
          <w:szCs w:val="32"/>
        </w:rPr>
        <w:t>其他市场监督管理事务</w:t>
      </w:r>
      <w:r>
        <w:rPr>
          <w:rFonts w:hint="eastAsia" w:ascii="仿宋_GB2312" w:hAnsi="仿宋_GB2312" w:eastAsia="仿宋_GB2312"/>
          <w:sz w:val="32"/>
          <w:lang w:val="zh-CN"/>
        </w:rPr>
        <w:t>（项）</w:t>
      </w:r>
      <w:r>
        <w:rPr>
          <w:rFonts w:hint="eastAsia" w:ascii="仿宋_GB2312" w:hAnsi="黑体" w:eastAsia="仿宋_GB2312" w:cs="仿宋_GB2312"/>
          <w:sz w:val="32"/>
          <w:szCs w:val="32"/>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134.68</w:t>
      </w:r>
      <w:r>
        <w:rPr>
          <w:rFonts w:hint="eastAsia" w:ascii="仿宋_GB2312" w:hAnsi="黑体" w:eastAsia="仿宋_GB2312"/>
          <w:sz w:val="32"/>
          <w:szCs w:val="32"/>
        </w:rPr>
        <w:t>万元，比上年预算数129.16万元</w:t>
      </w:r>
      <w:r>
        <w:rPr>
          <w:rFonts w:hint="eastAsia" w:ascii="仿宋_GB2312" w:hAnsi="黑体" w:eastAsia="仿宋_GB2312" w:cs="仿宋_GB2312"/>
          <w:sz w:val="32"/>
          <w:szCs w:val="32"/>
        </w:rPr>
        <w:t>增加5.52</w:t>
      </w:r>
      <w:r>
        <w:rPr>
          <w:rFonts w:hint="eastAsia" w:ascii="仿宋_GB2312" w:hAnsi="黑体" w:eastAsia="仿宋_GB2312"/>
          <w:sz w:val="32"/>
          <w:szCs w:val="32"/>
        </w:rPr>
        <w:t>万元，</w:t>
      </w:r>
      <w:r>
        <w:rPr>
          <w:rFonts w:hint="eastAsia" w:ascii="仿宋_GB2312" w:hAnsi="仿宋_GB2312" w:eastAsia="仿宋_GB2312"/>
          <w:sz w:val="32"/>
          <w:lang w:val="zh-CN"/>
        </w:rPr>
        <w:t>较上年预算增长</w:t>
      </w:r>
      <w:r>
        <w:rPr>
          <w:rFonts w:hint="eastAsia" w:ascii="仿宋_GB2312" w:hAnsi="仿宋_GB2312" w:eastAsia="仿宋_GB2312"/>
          <w:sz w:val="32"/>
        </w:rPr>
        <w:t>4.27%，</w:t>
      </w:r>
      <w:r>
        <w:rPr>
          <w:rFonts w:hint="eastAsia" w:ascii="仿宋_GB2312" w:hAnsi="黑体" w:eastAsia="仿宋_GB2312"/>
          <w:sz w:val="32"/>
          <w:szCs w:val="32"/>
        </w:rPr>
        <w:t>主要是</w:t>
      </w:r>
      <w:r>
        <w:rPr>
          <w:rFonts w:hint="eastAsia" w:ascii="仿宋_GB2312" w:eastAsia="仿宋_GB2312"/>
          <w:kern w:val="0"/>
          <w:sz w:val="32"/>
          <w:szCs w:val="32"/>
        </w:rPr>
        <w:t>业务工作量的增加相应增加业务工作经费</w:t>
      </w:r>
      <w:r>
        <w:rPr>
          <w:rFonts w:hint="eastAsia" w:ascii="仿宋_GB2312" w:hAnsi="仿宋" w:eastAsia="仿宋_GB2312"/>
          <w:sz w:val="32"/>
          <w:szCs w:val="32"/>
        </w:rPr>
        <w:t>。</w:t>
      </w:r>
    </w:p>
    <w:p>
      <w:pPr>
        <w:pStyle w:val="11"/>
        <w:widowControl w:val="0"/>
        <w:autoSpaceDE w:val="0"/>
        <w:autoSpaceDN w:val="0"/>
        <w:spacing w:line="560" w:lineRule="exact"/>
        <w:ind w:firstLine="640"/>
        <w:rPr>
          <w:rFonts w:hint="eastAsia" w:ascii="仿宋_GB2312" w:hAnsi="仿宋_GB2312" w:eastAsia="仿宋_GB2312"/>
          <w:sz w:val="32"/>
        </w:rPr>
      </w:pPr>
      <w:r>
        <w:rPr>
          <w:rFonts w:ascii="仿宋_GB2312" w:hAnsi="仿宋_GB2312" w:eastAsia="仿宋_GB2312"/>
          <w:sz w:val="32"/>
        </w:rPr>
        <w:t>3</w:t>
      </w:r>
      <w:r>
        <w:rPr>
          <w:rFonts w:hint="eastAsia" w:ascii="仿宋_GB2312" w:hAnsi="仿宋_GB2312" w:eastAsia="仿宋_GB2312"/>
          <w:sz w:val="32"/>
          <w:lang w:val="zh-CN"/>
        </w:rPr>
        <w:t>.科学技术支出（类）基础研究（款）自然科学基金（项）202</w:t>
      </w:r>
      <w:r>
        <w:rPr>
          <w:rFonts w:hint="eastAsia" w:ascii="仿宋_GB2312" w:hAnsi="仿宋_GB2312" w:eastAsia="仿宋_GB2312"/>
          <w:sz w:val="32"/>
        </w:rPr>
        <w:t>4</w:t>
      </w:r>
      <w:r>
        <w:rPr>
          <w:rFonts w:hint="eastAsia" w:ascii="仿宋_GB2312" w:hAnsi="仿宋_GB2312" w:eastAsia="仿宋_GB2312"/>
          <w:sz w:val="32"/>
          <w:lang w:val="zh-CN"/>
        </w:rPr>
        <w:t>年预算数为</w:t>
      </w:r>
      <w:r>
        <w:rPr>
          <w:rFonts w:hint="eastAsia" w:ascii="仿宋_GB2312" w:hAnsi="仿宋_GB2312" w:eastAsia="仿宋_GB2312"/>
          <w:sz w:val="32"/>
        </w:rPr>
        <w:t>3.57</w:t>
      </w:r>
      <w:r>
        <w:rPr>
          <w:rFonts w:hint="eastAsia" w:ascii="仿宋_GB2312" w:hAnsi="仿宋_GB2312" w:eastAsia="仿宋_GB2312"/>
          <w:sz w:val="32"/>
          <w:lang w:val="zh-CN"/>
        </w:rPr>
        <w:t>万元，比上年预算数</w:t>
      </w:r>
      <w:r>
        <w:rPr>
          <w:rFonts w:hint="eastAsia" w:ascii="仿宋_GB2312" w:hAnsi="仿宋_GB2312" w:eastAsia="仿宋_GB2312"/>
          <w:sz w:val="32"/>
        </w:rPr>
        <w:t>4.22万元</w:t>
      </w:r>
      <w:r>
        <w:rPr>
          <w:rFonts w:hint="eastAsia" w:ascii="仿宋_GB2312" w:hAnsi="仿宋_GB2312" w:eastAsia="仿宋_GB2312"/>
          <w:sz w:val="32"/>
          <w:lang w:val="zh-CN"/>
        </w:rPr>
        <w:t>减少</w:t>
      </w:r>
      <w:r>
        <w:rPr>
          <w:rFonts w:hint="eastAsia" w:ascii="仿宋_GB2312" w:hAnsi="仿宋_GB2312" w:eastAsia="仿宋_GB2312"/>
          <w:sz w:val="32"/>
        </w:rPr>
        <w:t>0.65</w:t>
      </w:r>
      <w:r>
        <w:rPr>
          <w:rFonts w:hint="eastAsia" w:ascii="仿宋_GB2312" w:hAnsi="仿宋_GB2312" w:eastAsia="仿宋_GB2312"/>
          <w:sz w:val="32"/>
          <w:lang w:val="zh-CN"/>
        </w:rPr>
        <w:t>万元，较上年预算减少</w:t>
      </w:r>
      <w:r>
        <w:rPr>
          <w:rFonts w:hint="eastAsia" w:ascii="仿宋_GB2312" w:hAnsi="仿宋_GB2312" w:eastAsia="仿宋_GB2312"/>
          <w:sz w:val="32"/>
        </w:rPr>
        <w:t>15.40%，</w:t>
      </w:r>
      <w:r>
        <w:rPr>
          <w:rFonts w:hint="eastAsia" w:ascii="仿宋_GB2312" w:hAnsi="仿宋_GB2312" w:eastAsia="仿宋_GB2312"/>
          <w:sz w:val="32"/>
          <w:lang w:val="zh-CN"/>
        </w:rPr>
        <w:t>主要原因是该科研项目周期为</w:t>
      </w:r>
      <w:r>
        <w:rPr>
          <w:rFonts w:hint="eastAsia" w:ascii="仿宋_GB2312" w:hAnsi="仿宋_GB2312" w:eastAsia="仿宋_GB2312"/>
          <w:sz w:val="32"/>
        </w:rPr>
        <w:t>3年，2023年使用部分经费，剩余3.57万元结转至2024年使用。</w:t>
      </w:r>
    </w:p>
    <w:p>
      <w:pPr>
        <w:shd w:val="solid" w:color="FFFFFF" w:fill="auto"/>
        <w:autoSpaceDN w:val="0"/>
        <w:spacing w:line="560" w:lineRule="exact"/>
        <w:ind w:firstLine="640" w:firstLineChars="200"/>
        <w:rPr>
          <w:rFonts w:hint="eastAsia" w:ascii="仿宋_GB2312" w:hAnsi="仿宋_GB2312" w:eastAsia="仿宋_GB2312"/>
          <w:sz w:val="32"/>
          <w:lang w:val="zh-CN"/>
        </w:rPr>
      </w:pPr>
      <w:r>
        <w:rPr>
          <w:rFonts w:ascii="仿宋_GB2312" w:hAnsi="仿宋_GB2312" w:eastAsia="仿宋_GB2312"/>
          <w:sz w:val="32"/>
        </w:rPr>
        <w:t>4</w:t>
      </w:r>
      <w:r>
        <w:rPr>
          <w:rFonts w:hint="eastAsia" w:ascii="仿宋_GB2312" w:hAnsi="仿宋_GB2312" w:eastAsia="仿宋_GB2312"/>
          <w:sz w:val="32"/>
          <w:lang w:val="zh-CN"/>
        </w:rPr>
        <w:t>.</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仿宋_GB2312" w:eastAsia="仿宋_GB2312"/>
          <w:sz w:val="32"/>
          <w:lang w:val="zh-CN"/>
        </w:rPr>
        <w:t>202</w:t>
      </w:r>
      <w:r>
        <w:rPr>
          <w:rFonts w:hint="eastAsia" w:ascii="仿宋_GB2312" w:hAnsi="仿宋_GB2312" w:eastAsia="仿宋_GB2312"/>
          <w:sz w:val="32"/>
        </w:rPr>
        <w:t>4</w:t>
      </w:r>
      <w:r>
        <w:rPr>
          <w:rFonts w:hint="eastAsia" w:ascii="仿宋_GB2312" w:hAnsi="仿宋_GB2312" w:eastAsia="仿宋_GB2312"/>
          <w:sz w:val="32"/>
          <w:lang w:val="zh-CN"/>
        </w:rPr>
        <w:t>年预算数为</w:t>
      </w:r>
      <w:r>
        <w:rPr>
          <w:rFonts w:hint="eastAsia" w:ascii="仿宋_GB2312" w:hAnsi="仿宋_GB2312" w:eastAsia="仿宋_GB2312"/>
          <w:sz w:val="32"/>
        </w:rPr>
        <w:t>13.65</w:t>
      </w:r>
      <w:r>
        <w:rPr>
          <w:rFonts w:hint="eastAsia" w:ascii="仿宋_GB2312" w:hAnsi="仿宋_GB2312" w:eastAsia="仿宋_GB2312"/>
          <w:sz w:val="32"/>
          <w:lang w:val="zh-CN"/>
        </w:rPr>
        <w:t>万元，比上年预算数</w:t>
      </w:r>
      <w:r>
        <w:rPr>
          <w:rFonts w:hint="eastAsia" w:ascii="仿宋_GB2312" w:hAnsi="仿宋_GB2312" w:eastAsia="仿宋_GB2312"/>
          <w:sz w:val="32"/>
        </w:rPr>
        <w:t>10.73</w:t>
      </w:r>
      <w:r>
        <w:rPr>
          <w:rFonts w:hint="eastAsia" w:ascii="仿宋_GB2312" w:hAnsi="仿宋_GB2312" w:eastAsia="仿宋_GB2312"/>
          <w:sz w:val="32"/>
          <w:lang w:val="zh-CN"/>
        </w:rPr>
        <w:t>万元增加</w:t>
      </w:r>
      <w:r>
        <w:rPr>
          <w:rFonts w:hint="eastAsia" w:ascii="仿宋_GB2312" w:hAnsi="仿宋_GB2312" w:eastAsia="仿宋_GB2312"/>
          <w:sz w:val="32"/>
        </w:rPr>
        <w:t>2.92</w:t>
      </w:r>
      <w:r>
        <w:rPr>
          <w:rFonts w:hint="eastAsia" w:ascii="仿宋_GB2312" w:hAnsi="仿宋_GB2312" w:eastAsia="仿宋_GB2312"/>
          <w:sz w:val="32"/>
          <w:lang w:val="zh-CN"/>
        </w:rPr>
        <w:t>万元，较上年预算增长</w:t>
      </w:r>
      <w:r>
        <w:rPr>
          <w:rFonts w:hint="eastAsia" w:ascii="仿宋_GB2312" w:hAnsi="仿宋_GB2312" w:eastAsia="仿宋_GB2312"/>
          <w:sz w:val="32"/>
        </w:rPr>
        <w:t>27.21%，</w:t>
      </w:r>
      <w:r>
        <w:rPr>
          <w:rFonts w:hint="eastAsia" w:ascii="仿宋_GB2312" w:hAnsi="仿宋_GB2312" w:eastAsia="仿宋_GB2312"/>
          <w:sz w:val="32"/>
          <w:lang w:val="zh-CN"/>
        </w:rPr>
        <w:t>主要原因是人员正常晋升增加人员工资，以及根据政策调整缴费基数等相应增加缴费支出预算。</w:t>
      </w:r>
    </w:p>
    <w:p>
      <w:pPr>
        <w:shd w:val="solid" w:color="FFFFFF" w:fill="auto"/>
        <w:autoSpaceDN w:val="0"/>
        <w:spacing w:line="560" w:lineRule="exact"/>
        <w:ind w:firstLine="640" w:firstLineChars="200"/>
        <w:rPr>
          <w:rFonts w:hint="eastAsia" w:ascii="仿宋_GB2312" w:hAnsi="仿宋_GB2312" w:eastAsia="仿宋_GB2312"/>
          <w:sz w:val="32"/>
        </w:rPr>
      </w:pPr>
      <w:r>
        <w:rPr>
          <w:rFonts w:ascii="仿宋_GB2312" w:hAnsi="仿宋_GB2312" w:eastAsia="仿宋_GB2312"/>
          <w:sz w:val="32"/>
        </w:rPr>
        <w:t>5</w:t>
      </w:r>
      <w:r>
        <w:rPr>
          <w:rFonts w:hint="eastAsia" w:ascii="仿宋_GB2312" w:hAnsi="仿宋_GB2312" w:eastAsia="仿宋_GB2312"/>
          <w:sz w:val="32"/>
        </w:rPr>
        <w:t>.</w:t>
      </w:r>
      <w:r>
        <w:rPr>
          <w:rFonts w:hint="eastAsia" w:ascii="仿宋_GB2312" w:hAnsi="黑体" w:eastAsia="仿宋_GB2312" w:cs="仿宋_GB2312"/>
          <w:sz w:val="32"/>
          <w:szCs w:val="32"/>
        </w:rPr>
        <w:t>社会保障和就业支出（类）行政事业单位养老支出（款）机关事业单位职业年金缴费支出（项）</w:t>
      </w:r>
      <w:r>
        <w:rPr>
          <w:rFonts w:hint="eastAsia" w:ascii="仿宋_GB2312" w:hAnsi="仿宋_GB2312" w:eastAsia="仿宋_GB2312"/>
          <w:sz w:val="32"/>
          <w:lang w:val="zh-CN"/>
        </w:rPr>
        <w:t>202</w:t>
      </w:r>
      <w:r>
        <w:rPr>
          <w:rFonts w:hint="eastAsia" w:ascii="仿宋_GB2312" w:hAnsi="仿宋_GB2312" w:eastAsia="仿宋_GB2312"/>
          <w:sz w:val="32"/>
        </w:rPr>
        <w:t>4</w:t>
      </w:r>
      <w:r>
        <w:rPr>
          <w:rFonts w:hint="eastAsia" w:ascii="仿宋_GB2312" w:hAnsi="仿宋_GB2312" w:eastAsia="仿宋_GB2312"/>
          <w:sz w:val="32"/>
          <w:lang w:val="zh-CN"/>
        </w:rPr>
        <w:t>年预算数为</w:t>
      </w:r>
      <w:r>
        <w:rPr>
          <w:rFonts w:hint="eastAsia" w:ascii="仿宋_GB2312" w:hAnsi="仿宋_GB2312" w:eastAsia="仿宋_GB2312"/>
          <w:sz w:val="32"/>
        </w:rPr>
        <w:t>15.08</w:t>
      </w:r>
      <w:r>
        <w:rPr>
          <w:rFonts w:hint="eastAsia" w:ascii="仿宋_GB2312" w:hAnsi="仿宋_GB2312" w:eastAsia="仿宋_GB2312"/>
          <w:sz w:val="32"/>
          <w:lang w:val="zh-CN"/>
        </w:rPr>
        <w:t>万元，比上年预算数</w:t>
      </w:r>
      <w:r>
        <w:rPr>
          <w:rFonts w:hint="eastAsia" w:ascii="仿宋_GB2312" w:hAnsi="仿宋_GB2312" w:eastAsia="仿宋_GB2312"/>
          <w:sz w:val="32"/>
        </w:rPr>
        <w:t>10.73</w:t>
      </w:r>
      <w:r>
        <w:rPr>
          <w:rFonts w:hint="eastAsia" w:ascii="仿宋_GB2312" w:hAnsi="仿宋_GB2312" w:eastAsia="仿宋_GB2312"/>
          <w:sz w:val="32"/>
          <w:lang w:val="zh-CN"/>
        </w:rPr>
        <w:t>万元增加</w:t>
      </w:r>
      <w:r>
        <w:rPr>
          <w:rFonts w:hint="eastAsia" w:ascii="仿宋_GB2312" w:hAnsi="仿宋_GB2312" w:eastAsia="仿宋_GB2312"/>
          <w:sz w:val="32"/>
        </w:rPr>
        <w:t>4.35</w:t>
      </w:r>
      <w:r>
        <w:rPr>
          <w:rFonts w:hint="eastAsia" w:ascii="仿宋_GB2312" w:hAnsi="仿宋_GB2312" w:eastAsia="仿宋_GB2312"/>
          <w:sz w:val="32"/>
          <w:lang w:val="zh-CN"/>
        </w:rPr>
        <w:t>万元，较上年增长</w:t>
      </w:r>
      <w:r>
        <w:rPr>
          <w:rFonts w:hint="eastAsia" w:ascii="仿宋_GB2312" w:hAnsi="仿宋_GB2312" w:eastAsia="仿宋_GB2312"/>
          <w:sz w:val="32"/>
        </w:rPr>
        <w:t>40.54%，</w:t>
      </w:r>
      <w:r>
        <w:rPr>
          <w:rFonts w:hint="eastAsia" w:ascii="仿宋_GB2312" w:hAnsi="仿宋_GB2312" w:eastAsia="仿宋_GB2312"/>
          <w:sz w:val="32"/>
          <w:lang w:val="zh-CN"/>
        </w:rPr>
        <w:t>主要原因是增加补缴201</w:t>
      </w:r>
      <w:r>
        <w:rPr>
          <w:rFonts w:ascii="仿宋_GB2312" w:hAnsi="仿宋_GB2312" w:eastAsia="仿宋_GB2312"/>
          <w:sz w:val="32"/>
        </w:rPr>
        <w:t>9</w:t>
      </w:r>
      <w:r>
        <w:rPr>
          <w:rFonts w:hint="eastAsia" w:ascii="仿宋_GB2312" w:hAnsi="仿宋_GB2312" w:eastAsia="仿宋_GB2312"/>
          <w:sz w:val="32"/>
          <w:lang w:val="zh-CN"/>
        </w:rPr>
        <w:t>-20</w:t>
      </w:r>
      <w:r>
        <w:rPr>
          <w:rFonts w:ascii="仿宋_GB2312" w:hAnsi="仿宋_GB2312" w:eastAsia="仿宋_GB2312"/>
          <w:sz w:val="32"/>
        </w:rPr>
        <w:t>21</w:t>
      </w:r>
      <w:r>
        <w:rPr>
          <w:rFonts w:hint="eastAsia" w:ascii="仿宋_GB2312" w:hAnsi="仿宋_GB2312" w:eastAsia="仿宋_GB2312"/>
          <w:sz w:val="32"/>
          <w:lang w:val="zh-CN"/>
        </w:rPr>
        <w:t>年单位职工职业年金记实支出，人员正常晋升增加人员工资，以及根据政策调整缴费基数等相应增加缴费支出预算。</w:t>
      </w:r>
    </w:p>
    <w:p>
      <w:pPr>
        <w:pStyle w:val="11"/>
        <w:widowControl w:val="0"/>
        <w:autoSpaceDE w:val="0"/>
        <w:autoSpaceDN w:val="0"/>
        <w:spacing w:line="560" w:lineRule="exact"/>
        <w:ind w:firstLine="640"/>
        <w:rPr>
          <w:rFonts w:hint="eastAsia" w:ascii="仿宋_GB2312" w:hAnsi="仿宋_GB2312" w:eastAsia="仿宋_GB2312"/>
          <w:sz w:val="32"/>
          <w:lang w:val="zh-CN"/>
        </w:rPr>
      </w:pPr>
      <w:r>
        <w:rPr>
          <w:rFonts w:ascii="仿宋_GB2312" w:hAnsi="仿宋_GB2312" w:eastAsia="仿宋_GB2312"/>
          <w:sz w:val="32"/>
        </w:rPr>
        <w:t>6</w:t>
      </w:r>
      <w:r>
        <w:rPr>
          <w:rFonts w:hint="eastAsia" w:ascii="仿宋_GB2312" w:hAnsi="仿宋_GB2312" w:eastAsia="仿宋_GB2312"/>
          <w:sz w:val="32"/>
          <w:lang w:val="zh-CN"/>
        </w:rPr>
        <w:t xml:space="preserve">. </w:t>
      </w:r>
      <w:r>
        <w:rPr>
          <w:rFonts w:hint="eastAsia" w:ascii="仿宋_GB2312" w:hAnsi="黑体" w:eastAsia="仿宋_GB2312" w:cs="仿宋_GB2312"/>
          <w:sz w:val="32"/>
          <w:szCs w:val="32"/>
        </w:rPr>
        <w:t>卫生健康支出（类）行政事业单位医疗（款）事业单位医疗（项）</w:t>
      </w:r>
      <w:r>
        <w:rPr>
          <w:rFonts w:hint="eastAsia" w:ascii="仿宋_GB2312" w:hAnsi="仿宋_GB2312" w:eastAsia="仿宋_GB2312"/>
          <w:sz w:val="32"/>
          <w:lang w:val="zh-CN"/>
        </w:rPr>
        <w:t>202</w:t>
      </w:r>
      <w:r>
        <w:rPr>
          <w:rFonts w:hint="eastAsia" w:ascii="仿宋_GB2312" w:hAnsi="仿宋_GB2312" w:eastAsia="仿宋_GB2312"/>
          <w:sz w:val="32"/>
        </w:rPr>
        <w:t>4</w:t>
      </w:r>
      <w:r>
        <w:rPr>
          <w:rFonts w:hint="eastAsia" w:ascii="仿宋_GB2312" w:hAnsi="仿宋_GB2312" w:eastAsia="仿宋_GB2312"/>
          <w:sz w:val="32"/>
          <w:lang w:val="zh-CN"/>
        </w:rPr>
        <w:t>年预算数为</w:t>
      </w:r>
      <w:r>
        <w:rPr>
          <w:rFonts w:hint="eastAsia" w:ascii="仿宋_GB2312" w:hAnsi="仿宋_GB2312" w:eastAsia="仿宋_GB2312"/>
          <w:sz w:val="32"/>
        </w:rPr>
        <w:t>6.26</w:t>
      </w:r>
      <w:r>
        <w:rPr>
          <w:rFonts w:hint="eastAsia" w:ascii="仿宋_GB2312" w:hAnsi="仿宋_GB2312" w:eastAsia="仿宋_GB2312"/>
          <w:sz w:val="32"/>
          <w:lang w:val="zh-CN"/>
        </w:rPr>
        <w:t>万元，比上年预算数4.</w:t>
      </w:r>
      <w:r>
        <w:rPr>
          <w:rFonts w:hint="eastAsia" w:ascii="仿宋_GB2312" w:hAnsi="仿宋_GB2312" w:eastAsia="仿宋_GB2312"/>
          <w:sz w:val="32"/>
        </w:rPr>
        <w:t>82万元</w:t>
      </w:r>
      <w:r>
        <w:rPr>
          <w:rFonts w:hint="eastAsia" w:ascii="仿宋_GB2312" w:hAnsi="仿宋_GB2312" w:eastAsia="仿宋_GB2312"/>
          <w:sz w:val="32"/>
          <w:lang w:val="zh-CN"/>
        </w:rPr>
        <w:t>增加</w:t>
      </w:r>
      <w:r>
        <w:rPr>
          <w:rFonts w:hint="eastAsia" w:ascii="仿宋_GB2312" w:hAnsi="黑体" w:eastAsia="仿宋_GB2312" w:cs="仿宋_GB2312"/>
          <w:sz w:val="32"/>
          <w:szCs w:val="32"/>
        </w:rPr>
        <w:t>1.44</w:t>
      </w:r>
      <w:r>
        <w:rPr>
          <w:rFonts w:hint="eastAsia" w:ascii="仿宋_GB2312" w:hAnsi="仿宋_GB2312" w:eastAsia="仿宋_GB2312"/>
          <w:sz w:val="32"/>
          <w:lang w:val="zh-CN"/>
        </w:rPr>
        <w:t>万元，较上年预算增长</w:t>
      </w:r>
      <w:r>
        <w:rPr>
          <w:rFonts w:hint="eastAsia" w:ascii="仿宋_GB2312" w:hAnsi="仿宋_GB2312" w:eastAsia="仿宋_GB2312"/>
          <w:sz w:val="32"/>
        </w:rPr>
        <w:t>29.88%，</w:t>
      </w:r>
      <w:r>
        <w:rPr>
          <w:rFonts w:hint="eastAsia" w:ascii="仿宋_GB2312" w:hAnsi="仿宋_GB2312" w:eastAsia="仿宋_GB2312"/>
          <w:sz w:val="32"/>
          <w:lang w:val="zh-CN"/>
        </w:rPr>
        <w:t>主要原因是人员正常晋升增加人员工资，以及根据政策调整缴费基数等相应增加缴费支出预算。</w:t>
      </w:r>
    </w:p>
    <w:p>
      <w:pPr>
        <w:pStyle w:val="11"/>
        <w:widowControl w:val="0"/>
        <w:autoSpaceDE w:val="0"/>
        <w:autoSpaceDN w:val="0"/>
        <w:spacing w:line="560" w:lineRule="exact"/>
        <w:ind w:firstLine="640"/>
        <w:rPr>
          <w:rFonts w:hint="eastAsia" w:ascii="仿宋_GB2312" w:hAnsi="黑体" w:eastAsia="仿宋_GB2312" w:cs="仿宋_GB2312"/>
          <w:sz w:val="32"/>
          <w:szCs w:val="32"/>
        </w:rPr>
      </w:pPr>
      <w:r>
        <w:rPr>
          <w:rFonts w:ascii="仿宋_GB2312" w:hAnsi="仿宋_GB2312" w:eastAsia="仿宋_GB2312"/>
          <w:sz w:val="32"/>
        </w:rPr>
        <w:t>7</w:t>
      </w:r>
      <w:r>
        <w:rPr>
          <w:rFonts w:hint="eastAsia" w:ascii="仿宋_GB2312" w:hAnsi="仿宋_GB2312" w:eastAsia="仿宋_GB2312"/>
          <w:sz w:val="32"/>
          <w:lang w:val="zh-CN"/>
        </w:rPr>
        <w:t xml:space="preserve">. </w:t>
      </w:r>
      <w:r>
        <w:rPr>
          <w:rFonts w:hint="eastAsia" w:ascii="仿宋_GB2312" w:hAnsi="黑体" w:eastAsia="仿宋_GB2312" w:cs="仿宋_GB2312"/>
          <w:sz w:val="32"/>
          <w:szCs w:val="32"/>
        </w:rPr>
        <w:t>住房保障支出（类）住房改革支出（款）住房公积金（项）</w:t>
      </w:r>
      <w:r>
        <w:rPr>
          <w:rFonts w:hint="eastAsia" w:ascii="仿宋_GB2312" w:hAnsi="仿宋_GB2312" w:eastAsia="仿宋_GB2312"/>
          <w:sz w:val="32"/>
          <w:lang w:val="zh-CN"/>
        </w:rPr>
        <w:t>202</w:t>
      </w:r>
      <w:r>
        <w:rPr>
          <w:rFonts w:hint="eastAsia" w:ascii="仿宋_GB2312" w:hAnsi="仿宋_GB2312" w:eastAsia="仿宋_GB2312"/>
          <w:sz w:val="32"/>
        </w:rPr>
        <w:t>4</w:t>
      </w:r>
      <w:r>
        <w:rPr>
          <w:rFonts w:hint="eastAsia" w:ascii="仿宋_GB2312" w:hAnsi="仿宋_GB2312" w:eastAsia="仿宋_GB2312"/>
          <w:sz w:val="32"/>
          <w:lang w:val="zh-CN"/>
        </w:rPr>
        <w:t>年预算数为</w:t>
      </w:r>
      <w:r>
        <w:rPr>
          <w:rFonts w:hint="eastAsia" w:ascii="仿宋_GB2312" w:hAnsi="仿宋_GB2312" w:eastAsia="仿宋_GB2312"/>
          <w:sz w:val="32"/>
        </w:rPr>
        <w:t>11.09</w:t>
      </w:r>
      <w:r>
        <w:rPr>
          <w:rFonts w:hint="eastAsia" w:ascii="仿宋_GB2312" w:hAnsi="仿宋_GB2312" w:eastAsia="仿宋_GB2312"/>
          <w:sz w:val="32"/>
          <w:lang w:val="zh-CN"/>
        </w:rPr>
        <w:t>万元，比上年预算数</w:t>
      </w:r>
      <w:r>
        <w:rPr>
          <w:rFonts w:hint="eastAsia" w:ascii="仿宋_GB2312" w:hAnsi="仿宋_GB2312" w:eastAsia="仿宋_GB2312"/>
          <w:sz w:val="32"/>
        </w:rPr>
        <w:t>9.01</w:t>
      </w:r>
      <w:r>
        <w:rPr>
          <w:rFonts w:hint="eastAsia" w:ascii="仿宋_GB2312" w:hAnsi="仿宋_GB2312" w:eastAsia="仿宋_GB2312"/>
          <w:sz w:val="32"/>
          <w:lang w:val="zh-CN"/>
        </w:rPr>
        <w:t>万元增加</w:t>
      </w:r>
      <w:r>
        <w:rPr>
          <w:rFonts w:hint="eastAsia" w:ascii="仿宋_GB2312" w:hAnsi="仿宋_GB2312" w:eastAsia="仿宋_GB2312"/>
          <w:sz w:val="32"/>
        </w:rPr>
        <w:t>2.08</w:t>
      </w:r>
      <w:r>
        <w:rPr>
          <w:rFonts w:hint="eastAsia" w:ascii="仿宋_GB2312" w:hAnsi="仿宋_GB2312" w:eastAsia="仿宋_GB2312"/>
          <w:sz w:val="32"/>
          <w:lang w:val="zh-CN"/>
        </w:rPr>
        <w:t>万元，较上年预算增长</w:t>
      </w:r>
      <w:r>
        <w:rPr>
          <w:rFonts w:hint="eastAsia" w:ascii="仿宋_GB2312" w:hAnsi="仿宋_GB2312" w:eastAsia="仿宋_GB2312"/>
          <w:sz w:val="32"/>
        </w:rPr>
        <w:t>23.09%，</w:t>
      </w:r>
      <w:r>
        <w:rPr>
          <w:rFonts w:hint="eastAsia" w:ascii="仿宋_GB2312" w:hAnsi="仿宋_GB2312" w:eastAsia="仿宋_GB2312"/>
          <w:sz w:val="32"/>
          <w:lang w:val="zh-CN"/>
        </w:rPr>
        <w:t>主要原因是人员正常晋升增加人员工资，以及根据政策调整缴费基数等相应增加缴费支出预算。</w:t>
      </w:r>
    </w:p>
    <w:p>
      <w:pPr>
        <w:spacing w:line="560" w:lineRule="exact"/>
        <w:ind w:firstLine="640"/>
        <w:jc w:val="left"/>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bCs/>
          <w:sz w:val="32"/>
          <w:lang w:val="zh-CN"/>
        </w:rPr>
        <w:t>海南省药物警戒中心202</w:t>
      </w:r>
      <w:r>
        <w:rPr>
          <w:rFonts w:hint="eastAsia" w:ascii="黑体" w:hAnsi="黑体" w:eastAsia="黑体"/>
          <w:bCs/>
          <w:sz w:val="32"/>
        </w:rPr>
        <w:t>4</w:t>
      </w:r>
      <w:r>
        <w:rPr>
          <w:rFonts w:hint="eastAsia" w:ascii="黑体" w:hAnsi="黑体" w:eastAsia="黑体"/>
          <w:sz w:val="32"/>
          <w:szCs w:val="32"/>
        </w:rPr>
        <w:t>年一般公共预算基本支出情况说明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海南省药物警戒中心2024年一般公共预算基本支出为169.68万元，其中：</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143.75</w:t>
      </w:r>
      <w:r>
        <w:rPr>
          <w:rFonts w:hint="eastAsia" w:ascii="仿宋_GB2312" w:hAnsi="黑体" w:eastAsia="仿宋_GB2312"/>
          <w:sz w:val="32"/>
          <w:szCs w:val="32"/>
        </w:rPr>
        <w:t>万元，主要包括：基本工资、津贴补贴、绩效工资、机关事业单位基本养老保险缴费、职业年金缴费、职工基本医疗保险缴费、其他社会保障缴费、住房公积金、医疗费、邮电费。</w:t>
      </w:r>
    </w:p>
    <w:p>
      <w:pPr>
        <w:widowControl/>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25.92</w:t>
      </w:r>
      <w:r>
        <w:rPr>
          <w:rFonts w:hint="eastAsia" w:ascii="仿宋_GB2312" w:hAnsi="黑体" w:eastAsia="仿宋_GB2312"/>
          <w:sz w:val="32"/>
          <w:szCs w:val="32"/>
        </w:rPr>
        <w:t>万元，主要包括：其他社会保障缴费、其他工资福利支出、办公费、手续费、水费、电费、邮电费、物业管理费、差旅费、维修（护）费、培训费、公务接待费、劳务费、工会经费、公务用车运行维护费、其他交通费用、其他商品和服务支出、办公设备购置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bCs/>
          <w:sz w:val="32"/>
          <w:lang w:val="zh-CN"/>
        </w:rPr>
        <w:t>海南省药物警戒中心202</w:t>
      </w:r>
      <w:r>
        <w:rPr>
          <w:rFonts w:hint="eastAsia" w:ascii="黑体" w:hAnsi="黑体" w:eastAsia="黑体"/>
          <w:bCs/>
          <w:sz w:val="32"/>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（一）海南省药物警戒中心2024年一般公共预算“三公”经费预算数为</w:t>
      </w:r>
      <w:r>
        <w:rPr>
          <w:rFonts w:hint="eastAsia" w:ascii="仿宋_GB2312" w:hAnsi="黑体" w:eastAsia="仿宋_GB2312" w:cs="仿宋_GB2312"/>
          <w:sz w:val="32"/>
          <w:szCs w:val="32"/>
        </w:rPr>
        <w:t>3.25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2.55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2.55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0.7</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仿宋_GB2312" w:eastAsia="仿宋_GB2312"/>
          <w:sz w:val="32"/>
          <w:lang w:val="zh-CN"/>
        </w:rPr>
        <w:t>海南省药物警戒中心202</w:t>
      </w:r>
      <w:r>
        <w:rPr>
          <w:rFonts w:hint="eastAsia" w:ascii="仿宋_GB2312" w:hAnsi="仿宋_GB2312" w:eastAsia="仿宋_GB2312"/>
          <w:sz w:val="32"/>
        </w:rPr>
        <w:t>3</w:t>
      </w:r>
      <w:r>
        <w:rPr>
          <w:rFonts w:hint="eastAsia" w:ascii="仿宋_GB2312" w:hAnsi="仿宋_GB2312" w:eastAsia="仿宋_GB2312"/>
          <w:sz w:val="32"/>
          <w:lang w:val="zh-CN"/>
        </w:rPr>
        <w:t>年无政府性基金预算</w:t>
      </w:r>
      <w:r>
        <w:rPr>
          <w:rFonts w:ascii="仿宋_GB2312" w:hAnsi="仿宋_GB2312" w:eastAsia="仿宋_GB2312"/>
          <w:sz w:val="32"/>
          <w:lang w:val="zh-CN"/>
        </w:rPr>
        <w:t>“</w:t>
      </w:r>
      <w:r>
        <w:rPr>
          <w:rFonts w:hint="eastAsia" w:ascii="仿宋_GB2312" w:hAnsi="仿宋_GB2312" w:eastAsia="仿宋_GB2312"/>
          <w:sz w:val="32"/>
          <w:lang w:val="zh-CN"/>
        </w:rPr>
        <w:t>三公</w:t>
      </w:r>
      <w:r>
        <w:rPr>
          <w:rFonts w:ascii="仿宋_GB2312" w:hAnsi="仿宋_GB2312" w:eastAsia="仿宋_GB2312"/>
          <w:sz w:val="32"/>
          <w:lang w:val="zh-CN"/>
        </w:rPr>
        <w:t>”</w:t>
      </w:r>
      <w:r>
        <w:rPr>
          <w:rFonts w:hint="eastAsia" w:ascii="仿宋_GB2312" w:hAnsi="仿宋_GB2312" w:eastAsia="仿宋_GB2312"/>
          <w:sz w:val="32"/>
          <w:lang w:val="zh-CN"/>
        </w:rPr>
        <w:t>经费预算</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bCs/>
          <w:sz w:val="32"/>
          <w:lang w:val="zh-CN"/>
        </w:rPr>
        <w:t>海南省药物警戒中心202</w:t>
      </w:r>
      <w:r>
        <w:rPr>
          <w:rFonts w:hint="eastAsia" w:ascii="黑体" w:hAnsi="黑体" w:eastAsia="黑体"/>
          <w:bCs/>
          <w:sz w:val="32"/>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pStyle w:val="11"/>
        <w:widowControl w:val="0"/>
        <w:autoSpaceDE w:val="0"/>
        <w:autoSpaceDN w:val="0"/>
        <w:ind w:firstLine="640"/>
        <w:rPr>
          <w:rFonts w:hint="eastAsia" w:ascii="仿宋_GB2312" w:hAnsi="仿宋_GB2312" w:eastAsia="仿宋_GB2312"/>
          <w:sz w:val="32"/>
          <w:lang w:val="zh-CN"/>
        </w:rPr>
      </w:pPr>
      <w:r>
        <w:rPr>
          <w:rFonts w:hint="eastAsia" w:ascii="仿宋_GB2312" w:hAnsi="仿宋_GB2312" w:eastAsia="仿宋_GB2312"/>
          <w:sz w:val="32"/>
          <w:lang w:val="zh-CN"/>
        </w:rPr>
        <w:t>海南省药物警戒中心202</w:t>
      </w:r>
      <w:r>
        <w:rPr>
          <w:rFonts w:hint="eastAsia" w:ascii="仿宋_GB2312" w:hAnsi="仿宋_GB2312" w:eastAsia="仿宋_GB2312"/>
          <w:sz w:val="32"/>
        </w:rPr>
        <w:t>4</w:t>
      </w:r>
      <w:r>
        <w:rPr>
          <w:rFonts w:hint="eastAsia" w:ascii="仿宋_GB2312" w:hAnsi="仿宋_GB2312" w:eastAsia="仿宋_GB2312"/>
          <w:sz w:val="32"/>
          <w:lang w:val="zh-CN"/>
        </w:rPr>
        <w:t>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bCs/>
          <w:sz w:val="32"/>
          <w:lang w:val="zh-CN"/>
        </w:rPr>
        <w:t>海南省药物警戒中心202</w:t>
      </w:r>
      <w:r>
        <w:rPr>
          <w:rFonts w:hint="eastAsia" w:ascii="黑体" w:hAnsi="黑体" w:eastAsia="黑体"/>
          <w:bCs/>
          <w:sz w:val="32"/>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sz w:val="32"/>
          <w:lang w:val="zh-CN"/>
        </w:rPr>
        <w:t>海南省药物警戒中心</w:t>
      </w:r>
      <w:r>
        <w:rPr>
          <w:rFonts w:hint="eastAsia" w:ascii="仿宋_GB2312" w:hAnsi="黑体" w:eastAsia="仿宋_GB2312" w:cs="仿宋_GB2312"/>
          <w:sz w:val="32"/>
          <w:szCs w:val="32"/>
        </w:rPr>
        <w:t>所有收入和支出均纳入部门预算管理。收入包括：一般公共预算拨款收入和上年结转（一般公共预算拨款收入）</w:t>
      </w:r>
      <w:r>
        <w:rPr>
          <w:rFonts w:hint="eastAsia" w:ascii="仿宋_GB2312" w:hAnsi="黑体" w:eastAsia="仿宋_GB2312"/>
          <w:sz w:val="32"/>
          <w:szCs w:val="32"/>
        </w:rPr>
        <w:t>；支出包括：一般公共服务支出、科学技术支出、社会保障和就业支出、卫生健康支出、住房保障支出。</w:t>
      </w:r>
      <w:r>
        <w:rPr>
          <w:rFonts w:hint="eastAsia" w:ascii="仿宋_GB2312" w:hAnsi="仿宋_GB2312" w:eastAsia="仿宋_GB2312"/>
          <w:sz w:val="32"/>
          <w:lang w:val="zh-CN"/>
        </w:rPr>
        <w:t>海南省药物警戒中心202</w:t>
      </w:r>
      <w:r>
        <w:rPr>
          <w:rFonts w:hint="eastAsia" w:ascii="仿宋_GB2312" w:hAnsi="仿宋_GB2312" w:eastAsia="仿宋_GB2312"/>
          <w:sz w:val="32"/>
        </w:rPr>
        <w:t>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307.93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bCs/>
          <w:sz w:val="32"/>
          <w:lang w:val="zh-CN"/>
        </w:rPr>
        <w:t>海南省药物警戒中心202</w:t>
      </w:r>
      <w:r>
        <w:rPr>
          <w:rFonts w:hint="eastAsia" w:ascii="黑体" w:hAnsi="黑体" w:eastAsia="黑体"/>
          <w:bCs/>
          <w:sz w:val="32"/>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仿宋_GB2312" w:eastAsia="仿宋_GB2312"/>
          <w:sz w:val="32"/>
          <w:lang w:val="zh-CN"/>
        </w:rPr>
        <w:t>海南省药物警戒中心</w:t>
      </w:r>
      <w:r>
        <w:rPr>
          <w:rFonts w:hint="eastAsia" w:ascii="仿宋_GB2312" w:hAnsi="黑体" w:eastAsia="仿宋_GB2312" w:cs="仿宋_GB2312"/>
          <w:sz w:val="32"/>
          <w:szCs w:val="32"/>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307.93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10.83</w:t>
      </w:r>
      <w:r>
        <w:rPr>
          <w:rFonts w:hint="eastAsia" w:ascii="仿宋_GB2312" w:hAnsi="黑体" w:eastAsia="仿宋_GB2312"/>
          <w:sz w:val="32"/>
          <w:szCs w:val="32"/>
        </w:rPr>
        <w:t>万元，占</w:t>
      </w:r>
      <w:r>
        <w:rPr>
          <w:rFonts w:hint="eastAsia" w:ascii="仿宋_GB2312" w:hAnsi="黑体" w:eastAsia="仿宋_GB2312" w:cs="仿宋_GB2312"/>
          <w:sz w:val="32"/>
          <w:szCs w:val="32"/>
        </w:rPr>
        <w:t>3.52</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297.10</w:t>
      </w:r>
      <w:r>
        <w:rPr>
          <w:rFonts w:hint="eastAsia" w:ascii="仿宋_GB2312" w:hAnsi="黑体" w:eastAsia="仿宋_GB2312"/>
          <w:sz w:val="32"/>
          <w:szCs w:val="32"/>
        </w:rPr>
        <w:t>万元，占</w:t>
      </w:r>
      <w:r>
        <w:rPr>
          <w:rFonts w:hint="eastAsia" w:ascii="仿宋_GB2312" w:hAnsi="黑体" w:eastAsia="仿宋_GB2312" w:cs="仿宋_GB2312"/>
          <w:sz w:val="32"/>
          <w:szCs w:val="32"/>
        </w:rPr>
        <w:t>96.48</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%。比上年预算数274.67</w:t>
      </w:r>
      <w:r>
        <w:rPr>
          <w:rFonts w:hint="eastAsia" w:ascii="仿宋_GB2312" w:hAnsi="黑体" w:eastAsia="仿宋_GB2312" w:cs="仿宋_GB2312"/>
          <w:sz w:val="32"/>
          <w:szCs w:val="32"/>
        </w:rPr>
        <w:t>增加33.26</w:t>
      </w:r>
      <w:r>
        <w:rPr>
          <w:rFonts w:hint="eastAsia" w:ascii="仿宋_GB2312" w:hAnsi="黑体" w:eastAsia="仿宋_GB2312"/>
          <w:sz w:val="32"/>
          <w:szCs w:val="32"/>
        </w:rPr>
        <w:t>万元主要是</w:t>
      </w:r>
      <w:r>
        <w:rPr>
          <w:rFonts w:hint="eastAsia" w:ascii="仿宋_GB2312" w:eastAsia="仿宋_GB2312"/>
          <w:kern w:val="0"/>
          <w:sz w:val="32"/>
          <w:szCs w:val="32"/>
        </w:rPr>
        <w:t>业务工作量增加、人员正常晋升、职业年金记实等，相应增加人员经费和业务工作经费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bCs/>
          <w:sz w:val="32"/>
          <w:lang w:val="zh-CN"/>
        </w:rPr>
        <w:t>海南省药物警戒中心202</w:t>
      </w:r>
      <w:r>
        <w:rPr>
          <w:rFonts w:hint="eastAsia" w:ascii="黑体" w:hAnsi="黑体" w:eastAsia="黑体"/>
          <w:bCs/>
          <w:sz w:val="32"/>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仿宋_GB2312" w:eastAsia="仿宋_GB2312"/>
          <w:sz w:val="32"/>
          <w:lang w:val="zh-CN"/>
        </w:rPr>
        <w:t>海南省药物警戒中心</w:t>
      </w:r>
      <w:r>
        <w:rPr>
          <w:rFonts w:hint="eastAsia" w:ascii="仿宋_GB2312" w:hAnsi="黑体" w:eastAsia="仿宋_GB2312" w:cs="仿宋_GB2312"/>
          <w:sz w:val="32"/>
          <w:szCs w:val="32"/>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307.93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169.68</w:t>
      </w:r>
      <w:r>
        <w:rPr>
          <w:rFonts w:hint="eastAsia" w:ascii="仿宋_GB2312" w:hAnsi="黑体" w:eastAsia="仿宋_GB2312"/>
          <w:sz w:val="32"/>
          <w:szCs w:val="32"/>
        </w:rPr>
        <w:t>万元，占</w:t>
      </w:r>
      <w:r>
        <w:rPr>
          <w:rFonts w:hint="eastAsia" w:ascii="仿宋_GB2312" w:hAnsi="黑体" w:eastAsia="仿宋_GB2312" w:cs="仿宋_GB2312"/>
          <w:sz w:val="32"/>
          <w:szCs w:val="32"/>
        </w:rPr>
        <w:t>55.10</w:t>
      </w:r>
      <w:r>
        <w:rPr>
          <w:rFonts w:hint="eastAsia" w:ascii="仿宋_GB2312" w:hAnsi="黑体" w:eastAsia="仿宋_GB2312"/>
          <w:sz w:val="32"/>
          <w:szCs w:val="32"/>
        </w:rPr>
        <w:t>%；项目支出</w:t>
      </w:r>
      <w:r>
        <w:rPr>
          <w:rFonts w:hint="eastAsia" w:ascii="仿宋_GB2312" w:hAnsi="黑体" w:eastAsia="仿宋_GB2312" w:cs="仿宋_GB2312"/>
          <w:sz w:val="32"/>
          <w:szCs w:val="32"/>
        </w:rPr>
        <w:t>138.25</w:t>
      </w:r>
      <w:r>
        <w:rPr>
          <w:rFonts w:hint="eastAsia" w:ascii="仿宋_GB2312" w:hAnsi="黑体" w:eastAsia="仿宋_GB2312"/>
          <w:sz w:val="32"/>
          <w:szCs w:val="32"/>
        </w:rPr>
        <w:t>万元，占</w:t>
      </w:r>
      <w:r>
        <w:rPr>
          <w:rFonts w:hint="eastAsia" w:ascii="仿宋_GB2312" w:hAnsi="黑体" w:eastAsia="仿宋_GB2312" w:cs="仿宋_GB2312"/>
          <w:sz w:val="32"/>
          <w:szCs w:val="32"/>
        </w:rPr>
        <w:t>44.90</w:t>
      </w:r>
      <w:r>
        <w:rPr>
          <w:rFonts w:hint="eastAsia" w:ascii="仿宋_GB2312" w:hAnsi="黑体" w:eastAsia="仿宋_GB2312"/>
          <w:sz w:val="32"/>
          <w:szCs w:val="32"/>
        </w:rPr>
        <w:t>%。比上年预算数274.67</w:t>
      </w:r>
      <w:r>
        <w:rPr>
          <w:rFonts w:hint="eastAsia" w:ascii="仿宋_GB2312" w:hAnsi="黑体" w:eastAsia="仿宋_GB2312" w:cs="仿宋_GB2312"/>
          <w:sz w:val="32"/>
          <w:szCs w:val="32"/>
        </w:rPr>
        <w:t>增加33.26</w:t>
      </w:r>
      <w:r>
        <w:rPr>
          <w:rFonts w:hint="eastAsia" w:ascii="仿宋_GB2312" w:hAnsi="黑体" w:eastAsia="仿宋_GB2312"/>
          <w:sz w:val="32"/>
          <w:szCs w:val="32"/>
        </w:rPr>
        <w:t>万元，主要原因是</w:t>
      </w:r>
      <w:r>
        <w:rPr>
          <w:rFonts w:hint="eastAsia" w:ascii="仿宋_GB2312" w:eastAsia="仿宋_GB2312"/>
          <w:kern w:val="0"/>
          <w:sz w:val="32"/>
          <w:szCs w:val="32"/>
        </w:rPr>
        <w:t>业务工作量增加、人员正常晋升、职业年金记实等，相应增加人员经费和业务工作经费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仿宋_GB2312" w:eastAsia="仿宋_GB2312"/>
          <w:sz w:val="32"/>
          <w:lang w:val="zh-CN"/>
        </w:rPr>
        <w:t>海南省药物警戒中心</w:t>
      </w:r>
      <w:r>
        <w:rPr>
          <w:rFonts w:hint="eastAsia" w:ascii="仿宋_GB2312" w:hAnsi="黑体" w:eastAsia="仿宋_GB2312" w:cs="仿宋_GB2312"/>
          <w:sz w:val="32"/>
          <w:szCs w:val="32"/>
        </w:rPr>
        <w:t>为财政全额拨款的公益一类事业单位，无机关运行经费预算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仿宋_GB2312" w:eastAsia="仿宋_GB2312"/>
          <w:sz w:val="32"/>
          <w:lang w:val="zh-CN"/>
        </w:rPr>
        <w:t>海南省药物警戒中心</w:t>
      </w:r>
      <w:r>
        <w:rPr>
          <w:rFonts w:hint="eastAsia" w:ascii="仿宋_GB2312" w:hAnsi="黑体" w:eastAsia="仿宋_GB2312" w:cs="仿宋_GB2312"/>
          <w:sz w:val="32"/>
          <w:szCs w:val="32"/>
        </w:rPr>
        <w:t>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截至2023</w:t>
      </w:r>
      <w:r>
        <w:rPr>
          <w:rFonts w:hint="eastAsia" w:ascii="仿宋_GB2312" w:hAnsi="黑体" w:eastAsia="仿宋_GB2312"/>
          <w:sz w:val="32"/>
          <w:szCs w:val="32"/>
        </w:rPr>
        <w:t>年12月31日，海南省药物警戒中心</w:t>
      </w:r>
      <w:r>
        <w:rPr>
          <w:rFonts w:hint="eastAsia" w:ascii="仿宋_GB2312" w:hAnsi="黑体" w:eastAsia="仿宋_GB2312" w:cs="仿宋_GB2312"/>
          <w:sz w:val="32"/>
          <w:szCs w:val="32"/>
        </w:rPr>
        <w:t>共有车辆1辆，其中，领导干部用车0辆，机要通信应急用车0辆、一般执法执勤用车0辆、特种专业技术用车0辆、其他用车1辆。单位价值100万元以上设备0台（套）。</w:t>
      </w:r>
    </w:p>
    <w:p>
      <w:pPr>
        <w:widowControl/>
        <w:ind w:firstLine="640" w:firstLineChars="200"/>
        <w:rPr>
          <w:rFonts w:ascii="楷体" w:hAnsi="楷体" w:eastAsia="楷体"/>
          <w:sz w:val="32"/>
          <w:szCs w:val="32"/>
        </w:rPr>
      </w:pPr>
      <w:r>
        <w:rPr>
          <w:rFonts w:hint="eastAsia" w:ascii="楷体" w:hAnsi="楷体" w:eastAsia="楷体"/>
          <w:sz w:val="32"/>
          <w:szCs w:val="32"/>
        </w:rPr>
        <w:t>（四）</w:t>
      </w:r>
      <w:r>
        <w:rPr>
          <w:rFonts w:hint="eastAsia" w:ascii="楷体" w:hAnsi="楷体" w:eastAsia="楷体"/>
          <w:sz w:val="32"/>
          <w:szCs w:val="32"/>
          <w:lang w:bidi="ar"/>
        </w:rPr>
        <w:t>绩效目标设置及重点项目绩效目标说明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年海南省药物警戒中心</w:t>
      </w:r>
      <w:r>
        <w:rPr>
          <w:rFonts w:hint="eastAsia" w:ascii="仿宋_GB2312" w:hAnsi="黑体" w:eastAsia="仿宋_GB2312" w:cs="仿宋_GB2312"/>
          <w:sz w:val="32"/>
          <w:szCs w:val="32"/>
        </w:rPr>
        <w:t>11个项目实行绩效目标管理，涉及一般公共预算297.10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其中，重点项目预算绩效情况：</w:t>
      </w:r>
    </w:p>
    <w:p>
      <w:pPr>
        <w:pStyle w:val="12"/>
        <w:numPr>
          <w:ilvl w:val="0"/>
          <w:numId w:val="3"/>
        </w:num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食药品监管项目，预算安排58.71万元，主要用于开展“两品一械”监测工作，绩效目标：</w:t>
      </w:r>
    </w:p>
    <w:p>
      <w:pPr>
        <w:pStyle w:val="12"/>
        <w:numPr>
          <w:ilvl w:val="0"/>
          <w:numId w:val="4"/>
        </w:num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药品不良反应报告表优秀率≥50%； </w:t>
      </w:r>
    </w:p>
    <w:p>
      <w:pPr>
        <w:pStyle w:val="12"/>
        <w:numPr>
          <w:ilvl w:val="0"/>
          <w:numId w:val="4"/>
        </w:num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省内收到的药品不良反应死亡报告调查率100%； </w:t>
      </w:r>
    </w:p>
    <w:p>
      <w:pPr>
        <w:pStyle w:val="12"/>
        <w:numPr>
          <w:ilvl w:val="0"/>
          <w:numId w:val="4"/>
        </w:num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化妆品不良反应报告表优秀率≥50%；</w:t>
      </w:r>
    </w:p>
    <w:p>
      <w:pPr>
        <w:pStyle w:val="12"/>
        <w:numPr>
          <w:ilvl w:val="0"/>
          <w:numId w:val="4"/>
        </w:num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涉及海南省医疗器械持有人的医疗器械不良事件报告，持有人和省中心评价率100%； </w:t>
      </w:r>
    </w:p>
    <w:p>
      <w:pPr>
        <w:pStyle w:val="12"/>
        <w:numPr>
          <w:ilvl w:val="0"/>
          <w:numId w:val="4"/>
        </w:num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药品不良反应百万人口报告表数量≥700份； </w:t>
      </w:r>
    </w:p>
    <w:p>
      <w:pPr>
        <w:pStyle w:val="12"/>
        <w:numPr>
          <w:ilvl w:val="0"/>
          <w:numId w:val="4"/>
        </w:num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化妆品不良反应百万人口报告表数量≥50份</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 xml:space="preserve"> </w:t>
      </w:r>
    </w:p>
    <w:p>
      <w:pPr>
        <w:pStyle w:val="12"/>
        <w:numPr>
          <w:ilvl w:val="0"/>
          <w:numId w:val="4"/>
        </w:num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医疗器械不良事件百万人口报告表数量≥200份。</w:t>
      </w:r>
    </w:p>
    <w:p>
      <w:pPr>
        <w:pStyle w:val="12"/>
        <w:numPr>
          <w:ilvl w:val="0"/>
          <w:numId w:val="5"/>
        </w:num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综合运行事务项目，预算安排68.71万元，主要用于开展“两品一械”监测工作，绩效目标：</w:t>
      </w:r>
    </w:p>
    <w:p>
      <w:pPr>
        <w:pStyle w:val="12"/>
        <w:numPr>
          <w:ilvl w:val="0"/>
          <w:numId w:val="6"/>
        </w:num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ADR报告表达700份/百万人口</w:t>
      </w:r>
      <w:r>
        <w:rPr>
          <w:rFonts w:ascii="仿宋_GB2312" w:hAnsi="黑体" w:eastAsia="仿宋_GB2312" w:cs="仿宋_GB2312"/>
          <w:sz w:val="32"/>
          <w:szCs w:val="32"/>
        </w:rPr>
        <w:t xml:space="preserve">； </w:t>
      </w:r>
    </w:p>
    <w:p>
      <w:pPr>
        <w:pStyle w:val="12"/>
        <w:numPr>
          <w:ilvl w:val="0"/>
          <w:numId w:val="6"/>
        </w:num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药品不良反应市（县、区）报告率达90%以上</w:t>
      </w:r>
      <w:r>
        <w:rPr>
          <w:rFonts w:ascii="仿宋_GB2312" w:hAnsi="黑体" w:eastAsia="仿宋_GB2312" w:cs="仿宋_GB2312"/>
          <w:sz w:val="32"/>
          <w:szCs w:val="32"/>
        </w:rPr>
        <w:t xml:space="preserve">； </w:t>
      </w:r>
    </w:p>
    <w:p>
      <w:pPr>
        <w:pStyle w:val="12"/>
        <w:numPr>
          <w:ilvl w:val="0"/>
          <w:numId w:val="6"/>
        </w:num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ADR报告表优秀率（90分以上的报告）达50%以上</w:t>
      </w:r>
      <w:r>
        <w:rPr>
          <w:rFonts w:ascii="仿宋_GB2312" w:hAnsi="黑体" w:eastAsia="仿宋_GB2312" w:cs="仿宋_GB2312"/>
          <w:sz w:val="32"/>
          <w:szCs w:val="32"/>
        </w:rPr>
        <w:t xml:space="preserve">； </w:t>
      </w:r>
    </w:p>
    <w:p>
      <w:pPr>
        <w:pStyle w:val="12"/>
        <w:numPr>
          <w:ilvl w:val="0"/>
          <w:numId w:val="6"/>
        </w:num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完成50个特许药械的不良反应/事件检索</w:t>
      </w:r>
      <w:r>
        <w:rPr>
          <w:rFonts w:ascii="仿宋_GB2312" w:hAnsi="黑体" w:eastAsia="仿宋_GB2312" w:cs="仿宋_GB2312"/>
          <w:sz w:val="32"/>
          <w:szCs w:val="32"/>
        </w:rPr>
        <w:t>；</w:t>
      </w:r>
    </w:p>
    <w:p>
      <w:pPr>
        <w:pStyle w:val="12"/>
        <w:numPr>
          <w:ilvl w:val="0"/>
          <w:numId w:val="6"/>
        </w:num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开展特许药械主动监测2000人。</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r>
        <w:rPr>
          <w:rFonts w:hint="eastAsia" w:ascii="仿宋_GB2312" w:hAnsi="宋体" w:eastAsia="仿宋_GB2312" w:cs="宋体"/>
          <w:color w:val="000000"/>
          <w:kern w:val="0"/>
          <w:sz w:val="32"/>
          <w:szCs w:val="30"/>
          <w:lang w:eastAsia="zh-CN"/>
        </w:rPr>
        <w:t>。</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decimal"/>
      <w:suff w:val="nothing"/>
      <w:lvlText w:val="%1."/>
      <w:lvlJc w:val="left"/>
    </w:lvl>
  </w:abstractNum>
  <w:abstractNum w:abstractNumId="1">
    <w:nsid w:val="0000000A"/>
    <w:multiLevelType w:val="singleLevel"/>
    <w:tmpl w:val="0000000A"/>
    <w:lvl w:ilvl="0" w:tentative="0">
      <w:start w:val="1"/>
      <w:numFmt w:val="decimal"/>
      <w:suff w:val="nothing"/>
      <w:lvlText w:val="（%1）"/>
      <w:lvlJc w:val="left"/>
    </w:lvl>
  </w:abstractNum>
  <w:abstractNum w:abstractNumId="2">
    <w:nsid w:val="0000000D"/>
    <w:multiLevelType w:val="singleLevel"/>
    <w:tmpl w:val="0000000D"/>
    <w:lvl w:ilvl="0" w:tentative="0">
      <w:start w:val="2"/>
      <w:numFmt w:val="decimal"/>
      <w:suff w:val="nothing"/>
      <w:lvlText w:val="%1."/>
      <w:lvlJc w:val="left"/>
    </w:lvl>
  </w:abstractNum>
  <w:abstractNum w:abstractNumId="3">
    <w:nsid w:val="00000010"/>
    <w:multiLevelType w:val="singleLevel"/>
    <w:tmpl w:val="00000010"/>
    <w:lvl w:ilvl="0" w:tentative="0">
      <w:start w:val="1"/>
      <w:numFmt w:val="decimal"/>
      <w:suff w:val="nothing"/>
      <w:lvlText w:val="（%1）"/>
      <w:lvlJc w:val="left"/>
    </w:lvl>
  </w:abstractNum>
  <w:abstractNum w:abstractNumId="4">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684953"/>
    <w:rsid w:val="46DC3BD1"/>
    <w:rsid w:val="4B6E192A"/>
    <w:rsid w:val="6715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A楷体标题（一）"/>
    <w:basedOn w:val="1"/>
    <w:uiPriority w:val="0"/>
    <w:pPr>
      <w:widowControl w:val="0"/>
      <w:adjustRightInd w:val="0"/>
      <w:snapToGrid w:val="0"/>
      <w:spacing w:beforeLines="0" w:afterLines="0" w:line="560" w:lineRule="exact"/>
      <w:ind w:firstLine="640" w:firstLineChars="200"/>
    </w:pPr>
    <w:rPr>
      <w:rFonts w:hint="eastAsia" w:ascii="楷体" w:hAnsi="楷体" w:eastAsia="楷体" w:cs="楷体"/>
      <w:sz w:val="32"/>
      <w:szCs w:val="32"/>
    </w:rPr>
  </w:style>
  <w:style w:type="paragraph" w:customStyle="1" w:styleId="6">
    <w:name w:val="A正文仿宋"/>
    <w:basedOn w:val="1"/>
    <w:uiPriority w:val="0"/>
    <w:pPr>
      <w:widowControl w:val="0"/>
      <w:adjustRightInd w:val="0"/>
      <w:snapToGrid w:val="0"/>
      <w:spacing w:beforeLines="0" w:afterLines="0" w:line="520" w:lineRule="exact"/>
      <w:ind w:firstLine="643" w:firstLineChars="200"/>
      <w:jc w:val="both"/>
    </w:pPr>
    <w:rPr>
      <w:rFonts w:hint="eastAsia" w:ascii="仿宋_GB2312" w:hAnsi="仿宋_GB2312" w:eastAsia="仿宋_GB2312" w:cs="仿宋_GB2312"/>
      <w:bCs/>
      <w:color w:val="auto"/>
      <w:kern w:val="2"/>
      <w:sz w:val="32"/>
      <w:szCs w:val="32"/>
      <w:u w:val="none" w:color="auto"/>
    </w:rPr>
  </w:style>
  <w:style w:type="paragraph" w:customStyle="1" w:styleId="7">
    <w:name w:val="List Paragraph"/>
    <w:basedOn w:val="8"/>
    <w:qFormat/>
    <w:uiPriority w:val="34"/>
    <w:pPr>
      <w:ind w:firstLine="420" w:firstLineChars="200"/>
    </w:pPr>
  </w:style>
  <w:style w:type="paragraph" w:customStyle="1" w:styleId="8">
    <w:name w:val="正文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9">
    <w:name w:val="正文 New New New New New New"/>
    <w:qFormat/>
    <w:uiPriority w:val="0"/>
    <w:pPr>
      <w:widowControl w:val="0"/>
      <w:jc w:val="both"/>
    </w:pPr>
    <w:rPr>
      <w:rFonts w:ascii="Times New Roman" w:hAnsi="Times New Roman" w:eastAsia="宋体" w:cs="黑体"/>
      <w:kern w:val="2"/>
      <w:sz w:val="21"/>
      <w:szCs w:val="24"/>
      <w:lang w:val="en-US" w:eastAsia="zh-CN" w:bidi="ar-SA"/>
    </w:rPr>
  </w:style>
  <w:style w:type="paragraph" w:customStyle="1" w:styleId="10">
    <w:name w:val="正文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1">
    <w:name w:val="Normal"/>
    <w:qFormat/>
    <w:uiPriority w:val="0"/>
    <w:pPr>
      <w:jc w:val="both"/>
    </w:pPr>
    <w:rPr>
      <w:rFonts w:ascii="Times New Roman" w:hAnsi="Times New Roman" w:eastAsia="宋体" w:cs="黑体"/>
      <w:kern w:val="2"/>
      <w:sz w:val="21"/>
      <w:lang w:val="en-US" w:eastAsia="zh-CN" w:bidi="ar-SA"/>
    </w:rPr>
  </w:style>
  <w:style w:type="paragraph" w:customStyle="1" w:styleId="12">
    <w:name w:val="正文 New New"/>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2023-12-27T08:27:00Z</dcterms:created>
  <dc:creator>Administrator</dc:creator>
  <cp:lastModifiedBy>Administrator</cp:lastModifiedBy>
  <dcterms:modified xsi:type="dcterms:W3CDTF">2024-03-04T01:27:51Z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8C62A250376D4B5ABBB753BD5C9A4CE9</vt:lpwstr>
  </property>
</Properties>
</file>