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小标宋" w:hAnsi="小标宋" w:eastAsia="小标宋" w:cs="小标宋"/>
          <w:spacing w:val="-6"/>
          <w:sz w:val="32"/>
          <w:szCs w:val="32"/>
          <w:lang w:val="zh-CN"/>
        </w:rPr>
      </w:pPr>
      <w:r>
        <w:rPr>
          <w:rFonts w:hint="eastAsia" w:ascii="小标宋" w:hAnsi="小标宋" w:eastAsia="小标宋" w:cs="小标宋"/>
          <w:spacing w:val="-6"/>
          <w:sz w:val="32"/>
          <w:szCs w:val="32"/>
          <w:lang w:val="zh-CN"/>
        </w:rPr>
        <w:t>海南省药品监督管理局疫苗行政处罚裁量基准</w:t>
      </w:r>
    </w:p>
    <w:tbl>
      <w:tblPr>
        <w:tblStyle w:val="5"/>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7"/>
        <w:gridCol w:w="794"/>
        <w:gridCol w:w="2727"/>
        <w:gridCol w:w="577"/>
        <w:gridCol w:w="1062"/>
        <w:gridCol w:w="1384"/>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blHeader/>
          <w:jc w:val="center"/>
        </w:trPr>
        <w:tc>
          <w:tcPr>
            <w:tcW w:w="357" w:type="dxa"/>
            <w:vMerge w:val="restart"/>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序号</w:t>
            </w:r>
          </w:p>
        </w:tc>
        <w:tc>
          <w:tcPr>
            <w:tcW w:w="794" w:type="dxa"/>
            <w:vMerge w:val="restart"/>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违法行为</w:t>
            </w:r>
          </w:p>
        </w:tc>
        <w:tc>
          <w:tcPr>
            <w:tcW w:w="2727" w:type="dxa"/>
            <w:vMerge w:val="restart"/>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法律依据</w:t>
            </w:r>
          </w:p>
        </w:tc>
        <w:tc>
          <w:tcPr>
            <w:tcW w:w="577" w:type="dxa"/>
            <w:vMerge w:val="restart"/>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裁量</w:t>
            </w:r>
          </w:p>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阶次</w:t>
            </w:r>
          </w:p>
        </w:tc>
        <w:tc>
          <w:tcPr>
            <w:tcW w:w="2446" w:type="dxa"/>
            <w:gridSpan w:val="2"/>
            <w:vAlign w:val="center"/>
          </w:tcPr>
          <w:p>
            <w:pPr>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裁量因素</w:t>
            </w:r>
          </w:p>
        </w:tc>
        <w:tc>
          <w:tcPr>
            <w:tcW w:w="1463" w:type="dxa"/>
            <w:vMerge w:val="restart"/>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裁 量 基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blHeader/>
          <w:jc w:val="center"/>
        </w:trPr>
        <w:tc>
          <w:tcPr>
            <w:tcW w:w="357" w:type="dxa"/>
            <w:vMerge w:val="continue"/>
            <w:vAlign w:val="center"/>
          </w:tcPr>
          <w:p>
            <w:pPr>
              <w:autoSpaceDE w:val="0"/>
              <w:autoSpaceDN w:val="0"/>
              <w:spacing w:line="240" w:lineRule="exact"/>
              <w:jc w:val="center"/>
              <w:rPr>
                <w:rFonts w:ascii="黑体" w:hAnsi="宋体" w:eastAsia="黑体"/>
                <w:color w:val="000000"/>
                <w:sz w:val="15"/>
                <w:szCs w:val="15"/>
                <w:lang w:val="zh-CN"/>
              </w:rPr>
            </w:pPr>
          </w:p>
        </w:tc>
        <w:tc>
          <w:tcPr>
            <w:tcW w:w="794" w:type="dxa"/>
            <w:vMerge w:val="continue"/>
            <w:vAlign w:val="center"/>
          </w:tcPr>
          <w:p>
            <w:pPr>
              <w:autoSpaceDE w:val="0"/>
              <w:autoSpaceDN w:val="0"/>
              <w:spacing w:line="240" w:lineRule="exact"/>
              <w:jc w:val="center"/>
              <w:rPr>
                <w:rFonts w:ascii="黑体" w:hAnsi="宋体" w:eastAsia="黑体"/>
                <w:color w:val="000000"/>
                <w:sz w:val="15"/>
                <w:szCs w:val="15"/>
                <w:lang w:val="zh-CN"/>
              </w:rPr>
            </w:pPr>
          </w:p>
        </w:tc>
        <w:tc>
          <w:tcPr>
            <w:tcW w:w="2727" w:type="dxa"/>
            <w:vMerge w:val="continue"/>
            <w:vAlign w:val="center"/>
          </w:tcPr>
          <w:p>
            <w:pPr>
              <w:autoSpaceDE w:val="0"/>
              <w:autoSpaceDN w:val="0"/>
              <w:spacing w:line="240" w:lineRule="exact"/>
              <w:jc w:val="center"/>
              <w:rPr>
                <w:rFonts w:ascii="黑体" w:hAnsi="宋体" w:eastAsia="黑体"/>
                <w:color w:val="000000"/>
                <w:sz w:val="15"/>
                <w:szCs w:val="15"/>
                <w:lang w:val="zh-CN"/>
              </w:rPr>
            </w:pPr>
          </w:p>
        </w:tc>
        <w:tc>
          <w:tcPr>
            <w:tcW w:w="577" w:type="dxa"/>
            <w:vMerge w:val="continue"/>
            <w:vAlign w:val="center"/>
          </w:tcPr>
          <w:p>
            <w:pPr>
              <w:autoSpaceDE w:val="0"/>
              <w:autoSpaceDN w:val="0"/>
              <w:spacing w:line="240" w:lineRule="exact"/>
              <w:jc w:val="center"/>
              <w:rPr>
                <w:rFonts w:ascii="黑体" w:hAnsi="宋体" w:eastAsia="黑体"/>
                <w:color w:val="000000"/>
                <w:sz w:val="15"/>
                <w:szCs w:val="15"/>
                <w:lang w:val="zh-CN"/>
              </w:rPr>
            </w:pPr>
          </w:p>
        </w:tc>
        <w:tc>
          <w:tcPr>
            <w:tcW w:w="1062" w:type="dxa"/>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法定</w:t>
            </w:r>
          </w:p>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裁量因素</w:t>
            </w:r>
          </w:p>
        </w:tc>
        <w:tc>
          <w:tcPr>
            <w:tcW w:w="1384" w:type="dxa"/>
            <w:vAlign w:val="center"/>
          </w:tcPr>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酌定</w:t>
            </w:r>
          </w:p>
          <w:p>
            <w:pPr>
              <w:autoSpaceDE w:val="0"/>
              <w:autoSpaceDN w:val="0"/>
              <w:spacing w:line="240" w:lineRule="exact"/>
              <w:jc w:val="center"/>
              <w:rPr>
                <w:rFonts w:ascii="黑体" w:hAnsi="宋体" w:eastAsia="黑体"/>
                <w:color w:val="000000"/>
                <w:sz w:val="15"/>
                <w:szCs w:val="15"/>
                <w:lang w:val="zh-CN"/>
              </w:rPr>
            </w:pPr>
            <w:r>
              <w:rPr>
                <w:rFonts w:hint="eastAsia" w:ascii="黑体" w:hAnsi="宋体" w:eastAsia="黑体"/>
                <w:color w:val="000000"/>
                <w:sz w:val="15"/>
                <w:szCs w:val="15"/>
                <w:lang w:val="zh-CN"/>
              </w:rPr>
              <w:t>裁量因素</w:t>
            </w:r>
          </w:p>
        </w:tc>
        <w:tc>
          <w:tcPr>
            <w:tcW w:w="1463" w:type="dxa"/>
            <w:vMerge w:val="continue"/>
            <w:vAlign w:val="center"/>
          </w:tcPr>
          <w:p>
            <w:pPr>
              <w:autoSpaceDE w:val="0"/>
              <w:autoSpaceDN w:val="0"/>
              <w:spacing w:line="240" w:lineRule="exact"/>
              <w:jc w:val="center"/>
              <w:rPr>
                <w:rFonts w:ascii="黑体" w:hAnsi="宋体" w:eastAsia="黑体"/>
                <w:color w:val="000000"/>
                <w:sz w:val="15"/>
                <w:szCs w:val="15"/>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1</w:t>
            </w:r>
          </w:p>
        </w:tc>
        <w:tc>
          <w:tcPr>
            <w:tcW w:w="794"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生产、销售的疫苗属于假药。</w:t>
            </w:r>
          </w:p>
        </w:tc>
        <w:tc>
          <w:tcPr>
            <w:tcW w:w="2727"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1.《中华人民共和国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2.《中华人民共和国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责令停产停业；</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吊销注册证、许可证；</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并处罚款；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没收违法期间所获收入；</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终身禁止从业。</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没收违法所得，没收非法财物，责令停产停业，吊销药品批准证明文件，直至吊销许可证等，并处货值金额</w:t>
            </w:r>
            <w:r>
              <w:rPr>
                <w:rFonts w:hint="eastAsia" w:ascii="宋体" w:hAnsi="宋体"/>
                <w:color w:val="000000"/>
                <w:sz w:val="15"/>
                <w:szCs w:val="15"/>
              </w:rPr>
              <w:t>15倍（含）-26</w:t>
            </w:r>
            <w:r>
              <w:rPr>
                <w:rFonts w:hint="eastAsia" w:ascii="宋体" w:hAnsi="宋体"/>
                <w:color w:val="000000"/>
                <w:sz w:val="15"/>
                <w:szCs w:val="15"/>
                <w:lang w:val="zh-CN"/>
              </w:rPr>
              <w:t>倍罚款。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责任人：没收违法收入，并处所获收入</w:t>
            </w:r>
            <w:r>
              <w:rPr>
                <w:rFonts w:hint="eastAsia" w:ascii="宋体" w:hAnsi="宋体"/>
                <w:color w:val="000000"/>
                <w:sz w:val="15"/>
                <w:szCs w:val="15"/>
              </w:rPr>
              <w:t>1倍（含）-3</w:t>
            </w:r>
            <w:r>
              <w:rPr>
                <w:rFonts w:hint="eastAsia" w:ascii="宋体" w:hAnsi="宋体"/>
                <w:color w:val="000000"/>
                <w:sz w:val="15"/>
                <w:szCs w:val="15"/>
                <w:lang w:val="zh-CN"/>
              </w:rPr>
              <w:t>倍罚款，终身禁业。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没收违法所得，没收非法财物，责令停产停业，吊销药品批准证明文件，直至吊销许可证等，并处货值金额</w:t>
            </w:r>
            <w:r>
              <w:rPr>
                <w:rFonts w:hint="eastAsia" w:ascii="宋体" w:hAnsi="宋体"/>
                <w:color w:val="000000"/>
                <w:sz w:val="15"/>
                <w:szCs w:val="15"/>
              </w:rPr>
              <w:t>26（含）-</w:t>
            </w:r>
            <w:r>
              <w:rPr>
                <w:rFonts w:hint="eastAsia" w:ascii="宋体" w:hAnsi="宋体"/>
                <w:color w:val="000000"/>
                <w:sz w:val="15"/>
                <w:szCs w:val="15"/>
                <w:lang w:val="zh-CN"/>
              </w:rPr>
              <w:t>3</w:t>
            </w:r>
            <w:r>
              <w:rPr>
                <w:rFonts w:hint="eastAsia" w:ascii="宋体" w:hAnsi="宋体"/>
                <w:color w:val="000000"/>
                <w:sz w:val="15"/>
                <w:szCs w:val="15"/>
              </w:rPr>
              <w:t>2.5</w:t>
            </w:r>
            <w:r>
              <w:rPr>
                <w:rFonts w:hint="eastAsia" w:ascii="宋体" w:hAnsi="宋体"/>
                <w:color w:val="000000"/>
                <w:sz w:val="15"/>
                <w:szCs w:val="15"/>
                <w:lang w:val="zh-CN"/>
              </w:rPr>
              <w:t>倍罚款。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责任人：没收违法收入，并处所获收入</w:t>
            </w:r>
            <w:r>
              <w:rPr>
                <w:rFonts w:hint="eastAsia" w:ascii="宋体" w:hAnsi="宋体"/>
                <w:color w:val="000000"/>
                <w:sz w:val="15"/>
                <w:szCs w:val="15"/>
              </w:rPr>
              <w:t>3倍（含）-5</w:t>
            </w:r>
            <w:r>
              <w:rPr>
                <w:rFonts w:hint="eastAsia" w:ascii="宋体" w:hAnsi="宋体"/>
                <w:color w:val="000000"/>
                <w:sz w:val="15"/>
                <w:szCs w:val="15"/>
                <w:lang w:val="zh-CN"/>
              </w:rPr>
              <w:t>倍罚款，终身禁业。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bookmarkStart w:id="0" w:name="_GoBack"/>
            <w:bookmarkEnd w:id="0"/>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没收违法所得，没收非法财物，责令停产停业，吊销药品批准证明文件，直至吊销许可证等，并处货值金额3</w:t>
            </w:r>
            <w:r>
              <w:rPr>
                <w:rFonts w:hint="eastAsia" w:ascii="宋体" w:hAnsi="宋体"/>
                <w:color w:val="000000"/>
                <w:sz w:val="15"/>
                <w:szCs w:val="15"/>
              </w:rPr>
              <w:t>2.5</w:t>
            </w:r>
            <w:r>
              <w:rPr>
                <w:rFonts w:hint="eastAsia" w:ascii="宋体" w:hAnsi="宋体"/>
                <w:color w:val="000000"/>
                <w:sz w:val="15"/>
                <w:szCs w:val="15"/>
                <w:lang w:val="zh-CN"/>
              </w:rPr>
              <w:t>倍罚款。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责任人：没收违法收入，并处所获收入5倍罚款，终身禁业。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没收违法所得，没收非法财物，责令停产停业，吊销药品批准证明文件，直至吊销许可证等，并处货值金额</w:t>
            </w:r>
            <w:r>
              <w:rPr>
                <w:rFonts w:hint="eastAsia" w:ascii="宋体" w:hAnsi="宋体"/>
                <w:color w:val="000000"/>
                <w:sz w:val="15"/>
                <w:szCs w:val="15"/>
              </w:rPr>
              <w:t>32.5倍-39</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责任人：没收违法收入，并处所获收入</w:t>
            </w:r>
            <w:r>
              <w:rPr>
                <w:rFonts w:hint="eastAsia" w:ascii="宋体" w:hAnsi="宋体"/>
                <w:color w:val="000000"/>
                <w:sz w:val="15"/>
                <w:szCs w:val="15"/>
              </w:rPr>
              <w:t>5倍-7</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没收违法所得，没收非法财物，责令停产停业，吊销药品批准证明文件，直至吊销许可证等，并处货值金额</w:t>
            </w:r>
            <w:r>
              <w:rPr>
                <w:rFonts w:hint="eastAsia" w:ascii="宋体" w:hAnsi="宋体"/>
                <w:color w:val="000000"/>
                <w:sz w:val="15"/>
                <w:szCs w:val="15"/>
              </w:rPr>
              <w:t>39倍-50</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责任人：没收违法收入，并处所获收入</w:t>
            </w:r>
            <w:r>
              <w:rPr>
                <w:rFonts w:hint="eastAsia" w:ascii="宋体" w:hAnsi="宋体"/>
                <w:color w:val="000000"/>
                <w:sz w:val="15"/>
                <w:szCs w:val="15"/>
              </w:rPr>
              <w:t>7倍-10</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rPr>
              <w:t>2</w:t>
            </w:r>
          </w:p>
        </w:tc>
        <w:tc>
          <w:tcPr>
            <w:tcW w:w="794"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生产、销售的疫苗属于劣药。</w:t>
            </w:r>
          </w:p>
        </w:tc>
        <w:tc>
          <w:tcPr>
            <w:tcW w:w="2727"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1.《中华人民共和国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2.《中华人民共和国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责令停产停业；</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并处罚款；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吊销注册证、许可证；</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没收违法期间所获收入；</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终身禁止从业。</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10倍（含）-16.5</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0"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16.5倍（含）-20</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1"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20</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20倍-23.5倍（含）</w:t>
            </w:r>
            <w:r>
              <w:rPr>
                <w:rFonts w:hint="eastAsia" w:ascii="宋体" w:hAnsi="宋体"/>
                <w:color w:val="000000"/>
                <w:sz w:val="15"/>
                <w:szCs w:val="15"/>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23.5倍-30</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罚款；情节严重的，吊销注册证，直至吊销生产许可证，对相关责任人没收违法收入，并处所获收入</w:t>
            </w:r>
            <w:r>
              <w:rPr>
                <w:rFonts w:hint="eastAsia" w:ascii="宋体" w:hAnsi="宋体"/>
                <w:color w:val="000000"/>
                <w:sz w:val="15"/>
                <w:szCs w:val="15"/>
              </w:rPr>
              <w:t>1倍-10</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rPr>
              <w:t>3</w:t>
            </w:r>
          </w:p>
        </w:tc>
        <w:tc>
          <w:tcPr>
            <w:tcW w:w="794" w:type="dxa"/>
            <w:vMerge w:val="restart"/>
            <w:vAlign w:val="center"/>
          </w:tcPr>
          <w:p>
            <w:pPr>
              <w:autoSpaceDE w:val="0"/>
              <w:autoSpaceDN w:val="0"/>
              <w:spacing w:line="240" w:lineRule="exact"/>
              <w:textAlignment w:val="baseline"/>
              <w:rPr>
                <w:rFonts w:ascii="仿宋_GB2312" w:hAnsi="Arial" w:cs="Arial"/>
                <w:color w:val="000000"/>
                <w:sz w:val="15"/>
                <w:szCs w:val="15"/>
              </w:rPr>
            </w:pPr>
            <w:r>
              <w:rPr>
                <w:rFonts w:hint="eastAsia" w:ascii="仿宋_GB2312" w:hAnsi="Arial" w:cs="Arial"/>
                <w:color w:val="000000"/>
                <w:sz w:val="15"/>
                <w:szCs w:val="15"/>
              </w:rPr>
              <w:t>1.</w:t>
            </w:r>
            <w:r>
              <w:rPr>
                <w:rFonts w:ascii="仿宋_GB2312" w:hAnsi="Arial" w:cs="Arial"/>
                <w:color w:val="000000"/>
                <w:sz w:val="15"/>
                <w:szCs w:val="15"/>
              </w:rPr>
              <w:t>申请疫苗临床试验、注册、批签发提供虚假数据、资料、样品或者有其他欺骗行为;</w:t>
            </w:r>
          </w:p>
          <w:p>
            <w:pPr>
              <w:autoSpaceDE w:val="0"/>
              <w:autoSpaceDN w:val="0"/>
              <w:spacing w:line="240" w:lineRule="exact"/>
              <w:textAlignment w:val="baseline"/>
              <w:rPr>
                <w:rFonts w:ascii="仿宋_GB2312" w:hAnsi="Arial" w:cs="Arial"/>
                <w:color w:val="000000"/>
                <w:sz w:val="15"/>
                <w:szCs w:val="15"/>
              </w:rPr>
            </w:pPr>
            <w:r>
              <w:rPr>
                <w:rFonts w:hint="eastAsia" w:ascii="仿宋_GB2312" w:hAnsi="Arial" w:cs="Arial"/>
                <w:color w:val="000000"/>
                <w:sz w:val="15"/>
                <w:szCs w:val="15"/>
              </w:rPr>
              <w:t>2.</w:t>
            </w:r>
            <w:r>
              <w:rPr>
                <w:rFonts w:ascii="仿宋_GB2312" w:hAnsi="Arial" w:cs="Arial"/>
                <w:color w:val="000000"/>
                <w:sz w:val="15"/>
                <w:szCs w:val="15"/>
              </w:rPr>
              <w:t>编造生产、检验记录或者更改产品批号;</w:t>
            </w:r>
          </w:p>
          <w:p>
            <w:pPr>
              <w:autoSpaceDE w:val="0"/>
              <w:autoSpaceDN w:val="0"/>
              <w:spacing w:line="240" w:lineRule="exact"/>
              <w:textAlignment w:val="baseline"/>
              <w:rPr>
                <w:rFonts w:ascii="仿宋_GB2312" w:hAnsi="Arial" w:cs="Arial"/>
                <w:color w:val="000000"/>
                <w:sz w:val="15"/>
                <w:szCs w:val="15"/>
              </w:rPr>
            </w:pPr>
            <w:r>
              <w:rPr>
                <w:rFonts w:hint="eastAsia" w:ascii="仿宋_GB2312" w:hAnsi="Arial" w:cs="Arial"/>
                <w:color w:val="000000"/>
                <w:sz w:val="15"/>
                <w:szCs w:val="15"/>
              </w:rPr>
              <w:t>3.</w:t>
            </w:r>
            <w:r>
              <w:rPr>
                <w:rFonts w:ascii="仿宋_GB2312" w:hAnsi="Arial" w:cs="Arial"/>
                <w:color w:val="000000"/>
                <w:sz w:val="15"/>
                <w:szCs w:val="15"/>
              </w:rPr>
              <w:t>疾病预防控制机构以外的单位或者个人向接种单位供应疫苗;</w:t>
            </w:r>
          </w:p>
          <w:p>
            <w:pPr>
              <w:autoSpaceDE w:val="0"/>
              <w:autoSpaceDN w:val="0"/>
              <w:spacing w:line="240" w:lineRule="exact"/>
              <w:textAlignment w:val="baseline"/>
              <w:rPr>
                <w:rFonts w:ascii="仿宋_GB2312" w:hAnsi="Arial" w:cs="Arial"/>
                <w:color w:val="000000"/>
                <w:sz w:val="15"/>
                <w:szCs w:val="15"/>
              </w:rPr>
            </w:pPr>
            <w:r>
              <w:rPr>
                <w:rFonts w:hint="eastAsia" w:ascii="仿宋_GB2312" w:hAnsi="Arial" w:cs="Arial"/>
                <w:color w:val="000000"/>
                <w:sz w:val="15"/>
                <w:szCs w:val="15"/>
              </w:rPr>
              <w:t>4.</w:t>
            </w:r>
            <w:r>
              <w:rPr>
                <w:rFonts w:ascii="仿宋_GB2312" w:hAnsi="Arial" w:cs="Arial"/>
                <w:color w:val="000000"/>
                <w:sz w:val="15"/>
                <w:szCs w:val="15"/>
              </w:rPr>
              <w:t>委托生产疫苗未经批准;</w:t>
            </w:r>
          </w:p>
          <w:p>
            <w:pPr>
              <w:autoSpaceDE w:val="0"/>
              <w:autoSpaceDN w:val="0"/>
              <w:spacing w:line="240" w:lineRule="exact"/>
              <w:textAlignment w:val="baseline"/>
              <w:rPr>
                <w:rFonts w:ascii="仿宋_GB2312" w:hAnsi="Arial" w:cs="Arial"/>
                <w:color w:val="000000"/>
                <w:sz w:val="15"/>
                <w:szCs w:val="15"/>
              </w:rPr>
            </w:pPr>
            <w:r>
              <w:rPr>
                <w:rFonts w:hint="eastAsia" w:ascii="仿宋_GB2312" w:hAnsi="Arial" w:cs="Arial"/>
                <w:color w:val="000000"/>
                <w:sz w:val="15"/>
                <w:szCs w:val="15"/>
              </w:rPr>
              <w:t>5.</w:t>
            </w:r>
            <w:r>
              <w:rPr>
                <w:rFonts w:ascii="仿宋_GB2312" w:hAnsi="Arial" w:cs="Arial"/>
                <w:color w:val="000000"/>
                <w:sz w:val="15"/>
                <w:szCs w:val="15"/>
              </w:rPr>
              <w:t>生产工艺、生产场地、关键设备等发生变更按照规定应当经批准而未经批准;</w:t>
            </w:r>
          </w:p>
          <w:p>
            <w:pPr>
              <w:autoSpaceDE w:val="0"/>
              <w:autoSpaceDN w:val="0"/>
              <w:spacing w:line="240" w:lineRule="exact"/>
              <w:textAlignment w:val="baseline"/>
              <w:rPr>
                <w:rFonts w:ascii="宋体" w:hAnsi="宋体"/>
                <w:color w:val="000000"/>
                <w:sz w:val="15"/>
                <w:szCs w:val="15"/>
                <w:lang w:val="zh-CN"/>
              </w:rPr>
            </w:pPr>
            <w:r>
              <w:rPr>
                <w:rFonts w:hint="eastAsia" w:ascii="仿宋_GB2312" w:hAnsi="Arial" w:cs="Arial"/>
                <w:color w:val="000000"/>
                <w:sz w:val="15"/>
                <w:szCs w:val="15"/>
              </w:rPr>
              <w:t>6.</w:t>
            </w:r>
            <w:r>
              <w:rPr>
                <w:rFonts w:ascii="仿宋_GB2312" w:hAnsi="Arial" w:cs="Arial"/>
                <w:color w:val="000000"/>
                <w:sz w:val="15"/>
                <w:szCs w:val="15"/>
              </w:rPr>
              <w:t>更新疫苗说明书、标签按照规定应当经核准而未经核准。</w:t>
            </w:r>
          </w:p>
        </w:tc>
        <w:tc>
          <w:tcPr>
            <w:tcW w:w="2727" w:type="dxa"/>
            <w:vMerge w:val="restart"/>
            <w:vAlign w:val="center"/>
          </w:tcPr>
          <w:p>
            <w:pPr>
              <w:autoSpaceDE w:val="0"/>
              <w:autoSpaceDN w:val="0"/>
              <w:spacing w:line="240" w:lineRule="exact"/>
              <w:textAlignment w:val="baseline"/>
              <w:rPr>
                <w:rFonts w:hint="eastAsia" w:ascii="宋体" w:hAnsi="宋体"/>
                <w:color w:val="000000"/>
                <w:sz w:val="15"/>
                <w:szCs w:val="15"/>
                <w:lang w:val="zh-CN"/>
              </w:rPr>
            </w:pPr>
            <w:r>
              <w:rPr>
                <w:rFonts w:hint="eastAsia" w:ascii="宋体" w:hAnsi="宋体"/>
                <w:color w:val="000000"/>
                <w:sz w:val="15"/>
                <w:szCs w:val="15"/>
                <w:lang w:val="zh-CN"/>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autoSpaceDE w:val="0"/>
              <w:autoSpaceDN w:val="0"/>
              <w:spacing w:line="240" w:lineRule="exact"/>
              <w:textAlignment w:val="baseline"/>
              <w:rPr>
                <w:rFonts w:ascii="宋体" w:hAnsi="宋体"/>
                <w:color w:val="000000"/>
                <w:sz w:val="15"/>
                <w:szCs w:val="15"/>
              </w:rPr>
            </w:pPr>
            <w:r>
              <w:rPr>
                <w:rFonts w:ascii="宋体" w:hAnsi="宋体"/>
                <w:color w:val="000000"/>
                <w:sz w:val="15"/>
                <w:szCs w:val="15"/>
              </w:rPr>
              <w:t>(一)申请疫苗临床试验、注册、批签发提供虚假数据、资料、样品或者有其他欺骗行为;</w:t>
            </w:r>
          </w:p>
          <w:p>
            <w:pPr>
              <w:autoSpaceDE w:val="0"/>
              <w:autoSpaceDN w:val="0"/>
              <w:spacing w:line="240" w:lineRule="exact"/>
              <w:textAlignment w:val="baseline"/>
              <w:rPr>
                <w:rFonts w:ascii="宋体" w:hAnsi="宋体"/>
                <w:color w:val="000000"/>
                <w:sz w:val="15"/>
                <w:szCs w:val="15"/>
              </w:rPr>
            </w:pPr>
            <w:r>
              <w:rPr>
                <w:rFonts w:ascii="宋体" w:hAnsi="宋体"/>
                <w:color w:val="000000"/>
                <w:sz w:val="15"/>
                <w:szCs w:val="15"/>
              </w:rPr>
              <w:t>　　(二)编造生产、检验记录或者更改产品批号;</w:t>
            </w:r>
          </w:p>
          <w:p>
            <w:pPr>
              <w:autoSpaceDE w:val="0"/>
              <w:autoSpaceDN w:val="0"/>
              <w:spacing w:line="240" w:lineRule="exact"/>
              <w:textAlignment w:val="baseline"/>
              <w:rPr>
                <w:rFonts w:ascii="宋体" w:hAnsi="宋体"/>
                <w:color w:val="000000"/>
                <w:sz w:val="15"/>
                <w:szCs w:val="15"/>
              </w:rPr>
            </w:pPr>
            <w:r>
              <w:rPr>
                <w:rFonts w:ascii="宋体" w:hAnsi="宋体"/>
                <w:color w:val="000000"/>
                <w:sz w:val="15"/>
                <w:szCs w:val="15"/>
              </w:rPr>
              <w:t>　　(三)疾病预防控制机构以外的单位或者个人向接种单位供应疫苗;</w:t>
            </w:r>
          </w:p>
          <w:p>
            <w:pPr>
              <w:autoSpaceDE w:val="0"/>
              <w:autoSpaceDN w:val="0"/>
              <w:spacing w:line="240" w:lineRule="exact"/>
              <w:textAlignment w:val="baseline"/>
              <w:rPr>
                <w:rFonts w:ascii="宋体" w:hAnsi="宋体"/>
                <w:color w:val="000000"/>
                <w:sz w:val="15"/>
                <w:szCs w:val="15"/>
              </w:rPr>
            </w:pPr>
            <w:r>
              <w:rPr>
                <w:rFonts w:ascii="宋体" w:hAnsi="宋体"/>
                <w:color w:val="000000"/>
                <w:sz w:val="15"/>
                <w:szCs w:val="15"/>
              </w:rPr>
              <w:t>　　(四)委托生产疫苗未经批准;</w:t>
            </w:r>
          </w:p>
          <w:p>
            <w:pPr>
              <w:autoSpaceDE w:val="0"/>
              <w:autoSpaceDN w:val="0"/>
              <w:spacing w:line="240" w:lineRule="exact"/>
              <w:textAlignment w:val="baseline"/>
              <w:rPr>
                <w:rFonts w:ascii="宋体" w:hAnsi="宋体"/>
                <w:color w:val="000000"/>
                <w:sz w:val="15"/>
                <w:szCs w:val="15"/>
              </w:rPr>
            </w:pPr>
            <w:r>
              <w:rPr>
                <w:rFonts w:ascii="宋体" w:hAnsi="宋体"/>
                <w:color w:val="000000"/>
                <w:sz w:val="15"/>
                <w:szCs w:val="15"/>
              </w:rPr>
              <w:t>　　(五)生产工艺、生产场地、关键设备等发生变更按照规定应当经批准而未经批准;</w:t>
            </w:r>
          </w:p>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rPr>
              <w:t>　　(六)更新疫苗说明书、标签按照规定应当经核准而未经核准。</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责令停产停业；</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并处罚款；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吊销批准证明文件、许可证；</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没收违法期间所获收入；</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禁止从业。</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15倍（含）-26</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1"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26倍（含）-</w:t>
            </w:r>
            <w:r>
              <w:rPr>
                <w:rFonts w:hint="eastAsia" w:ascii="宋体" w:hAnsi="宋体"/>
                <w:color w:val="000000"/>
                <w:sz w:val="15"/>
                <w:szCs w:val="15"/>
                <w:lang w:val="zh-CN"/>
              </w:rPr>
              <w:t>3</w:t>
            </w:r>
            <w:r>
              <w:rPr>
                <w:rFonts w:hint="eastAsia" w:ascii="宋体" w:hAnsi="宋体"/>
                <w:color w:val="000000"/>
                <w:sz w:val="15"/>
                <w:szCs w:val="15"/>
              </w:rPr>
              <w:t>2.5</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0"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没收违法所得，没收非法财物，责令停产停业，并处货值金额3</w:t>
            </w:r>
            <w:r>
              <w:rPr>
                <w:rFonts w:hint="eastAsia" w:ascii="宋体" w:hAnsi="宋体"/>
                <w:color w:val="000000"/>
                <w:sz w:val="15"/>
                <w:szCs w:val="15"/>
              </w:rPr>
              <w:t>2.5</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32.5倍-39（含）</w:t>
            </w:r>
            <w:r>
              <w:rPr>
                <w:rFonts w:hint="eastAsia" w:ascii="宋体" w:hAnsi="宋体"/>
                <w:color w:val="000000"/>
                <w:sz w:val="15"/>
                <w:szCs w:val="15"/>
                <w:lang w:val="zh-CN"/>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没收违法所得，没收非法财物，责令停产停业，并处货值金额</w:t>
            </w:r>
            <w:r>
              <w:rPr>
                <w:rFonts w:hint="eastAsia" w:ascii="宋体" w:hAnsi="宋体"/>
                <w:color w:val="000000"/>
                <w:sz w:val="15"/>
                <w:szCs w:val="15"/>
              </w:rPr>
              <w:t>39倍-50（含）</w:t>
            </w:r>
            <w:r>
              <w:rPr>
                <w:rFonts w:hint="eastAsia" w:ascii="宋体" w:hAnsi="宋体"/>
                <w:color w:val="000000"/>
                <w:sz w:val="15"/>
                <w:szCs w:val="15"/>
                <w:lang w:val="zh-CN"/>
              </w:rPr>
              <w:t>倍罚款；情节严重的，吊销相关批准证明文件，直至吊销许可证，对相关责任人，没收收入，并处所获收入0.5</w:t>
            </w:r>
            <w:r>
              <w:rPr>
                <w:rFonts w:hint="eastAsia" w:ascii="宋体" w:hAnsi="宋体"/>
                <w:color w:val="000000"/>
                <w:sz w:val="15"/>
                <w:szCs w:val="15"/>
              </w:rPr>
              <w:t>倍-10</w:t>
            </w:r>
            <w:r>
              <w:rPr>
                <w:rFonts w:hint="eastAsia" w:ascii="宋体" w:hAnsi="宋体"/>
                <w:color w:val="000000"/>
                <w:sz w:val="15"/>
                <w:szCs w:val="15"/>
                <w:lang w:val="zh-CN"/>
              </w:rPr>
              <w:t>倍</w:t>
            </w:r>
            <w:r>
              <w:rPr>
                <w:rFonts w:hint="eastAsia" w:ascii="宋体" w:hAnsi="宋体"/>
                <w:color w:val="000000"/>
                <w:sz w:val="15"/>
                <w:szCs w:val="15"/>
              </w:rPr>
              <w:t>（含）</w:t>
            </w:r>
            <w:r>
              <w:rPr>
                <w:rFonts w:hint="eastAsia" w:ascii="宋体" w:hAnsi="宋体"/>
                <w:color w:val="000000"/>
                <w:sz w:val="15"/>
                <w:szCs w:val="15"/>
                <w:lang w:val="zh-CN"/>
              </w:rPr>
              <w:t>罚款，十年直至终身禁业。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rPr>
              <w:t>4</w:t>
            </w:r>
          </w:p>
        </w:tc>
        <w:tc>
          <w:tcPr>
            <w:tcW w:w="794"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除另有规定外，疫苗上市许可持有人或者其他单位违反药品相关质量管理规范，经责令改正，拒不改正的。</w:t>
            </w:r>
          </w:p>
        </w:tc>
        <w:tc>
          <w:tcPr>
            <w:tcW w:w="2727"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中华人民共和国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警告；</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责令停产停业；</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吊销批准证明文件、许可证；</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没收违法期间所获收入；</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禁止从业。</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sz w:val="15"/>
                <w:szCs w:val="15"/>
                <w:lang w:val="zh-CN"/>
              </w:rPr>
            </w:pPr>
            <w:r>
              <w:rPr>
                <w:rFonts w:hint="eastAsia" w:ascii="宋体" w:hAnsi="宋体"/>
                <w:sz w:val="15"/>
                <w:szCs w:val="15"/>
                <w:lang w:val="zh-CN"/>
              </w:rPr>
              <w:t>处20万（含）</w:t>
            </w:r>
            <w:r>
              <w:rPr>
                <w:rFonts w:hint="eastAsia" w:ascii="宋体" w:hAnsi="宋体"/>
                <w:sz w:val="15"/>
                <w:szCs w:val="15"/>
              </w:rPr>
              <w:t>-29</w:t>
            </w:r>
            <w:r>
              <w:rPr>
                <w:rFonts w:hint="eastAsia" w:ascii="宋体" w:hAnsi="宋体"/>
                <w:sz w:val="15"/>
                <w:szCs w:val="15"/>
                <w:lang w:val="zh-CN"/>
              </w:rPr>
              <w:t>万元以下罚款。</w:t>
            </w:r>
          </w:p>
          <w:p>
            <w:pPr>
              <w:autoSpaceDE w:val="0"/>
              <w:autoSpaceDN w:val="0"/>
              <w:spacing w:line="240" w:lineRule="exact"/>
              <w:textAlignment w:val="baseline"/>
              <w:rPr>
                <w:rFonts w:ascii="宋体" w:hAnsi="宋体"/>
                <w:color w:val="FF0000"/>
                <w:sz w:val="15"/>
                <w:szCs w:val="15"/>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FF0000"/>
                <w:sz w:val="15"/>
                <w:szCs w:val="15"/>
                <w:lang w:val="zh-CN"/>
              </w:rPr>
            </w:pPr>
            <w:r>
              <w:rPr>
                <w:rFonts w:hint="eastAsia" w:ascii="宋体" w:hAnsi="宋体"/>
                <w:sz w:val="15"/>
                <w:szCs w:val="15"/>
              </w:rPr>
              <w:t>处29万元（含）-</w:t>
            </w:r>
            <w:r>
              <w:rPr>
                <w:rFonts w:hint="eastAsia" w:ascii="宋体" w:hAnsi="宋体"/>
                <w:sz w:val="15"/>
                <w:szCs w:val="15"/>
                <w:lang w:val="zh-CN"/>
              </w:rPr>
              <w:t>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p>
        </w:tc>
        <w:tc>
          <w:tcPr>
            <w:tcW w:w="1463" w:type="dxa"/>
            <w:vAlign w:val="center"/>
          </w:tcPr>
          <w:p>
            <w:pPr>
              <w:autoSpaceDE w:val="0"/>
              <w:autoSpaceDN w:val="0"/>
              <w:spacing w:line="240" w:lineRule="exact"/>
              <w:textAlignment w:val="baseline"/>
              <w:rPr>
                <w:rFonts w:ascii="宋体" w:hAnsi="宋体"/>
                <w:color w:val="FF0000"/>
                <w:sz w:val="15"/>
                <w:szCs w:val="15"/>
                <w:lang w:val="zh-CN"/>
              </w:rPr>
            </w:pPr>
            <w:r>
              <w:rPr>
                <w:rFonts w:hint="eastAsia" w:ascii="宋体" w:hAnsi="宋体"/>
                <w:sz w:val="15"/>
                <w:szCs w:val="15"/>
              </w:rPr>
              <w:t>处35</w:t>
            </w:r>
            <w:r>
              <w:rPr>
                <w:rFonts w:hint="eastAsia" w:ascii="宋体" w:hAnsi="宋体"/>
                <w:sz w:val="15"/>
                <w:szCs w:val="15"/>
                <w:lang w:val="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sz w:val="15"/>
                <w:szCs w:val="15"/>
                <w:lang w:val="zh-CN"/>
              </w:rPr>
            </w:pPr>
            <w:r>
              <w:rPr>
                <w:rFonts w:hint="eastAsia" w:ascii="宋体" w:hAnsi="宋体"/>
                <w:sz w:val="15"/>
                <w:szCs w:val="15"/>
                <w:lang w:val="zh-CN"/>
              </w:rPr>
              <w:t>处35万</w:t>
            </w:r>
            <w:r>
              <w:rPr>
                <w:rFonts w:hint="eastAsia" w:ascii="宋体" w:hAnsi="宋体"/>
                <w:sz w:val="15"/>
                <w:szCs w:val="15"/>
              </w:rPr>
              <w:t>-41万元（含）</w:t>
            </w:r>
            <w:r>
              <w:rPr>
                <w:rFonts w:hint="eastAsia" w:ascii="宋体" w:hAnsi="宋体"/>
                <w:sz w:val="15"/>
                <w:szCs w:val="15"/>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sz w:val="15"/>
                <w:szCs w:val="15"/>
                <w:lang w:val="zh-CN"/>
              </w:rPr>
            </w:pPr>
            <w:r>
              <w:rPr>
                <w:rFonts w:hint="eastAsia" w:ascii="宋体" w:hAnsi="宋体"/>
                <w:sz w:val="15"/>
                <w:szCs w:val="15"/>
              </w:rPr>
              <w:t>处41万-50</w:t>
            </w:r>
            <w:r>
              <w:rPr>
                <w:rFonts w:hint="eastAsia" w:ascii="宋体" w:hAnsi="宋体"/>
                <w:sz w:val="15"/>
                <w:szCs w:val="15"/>
                <w:lang w:val="zh-CN"/>
              </w:rPr>
              <w:t>万元罚款；情节严重的，处</w:t>
            </w:r>
            <w:r>
              <w:rPr>
                <w:rFonts w:hint="eastAsia" w:ascii="宋体" w:hAnsi="宋体"/>
                <w:sz w:val="15"/>
                <w:szCs w:val="15"/>
              </w:rPr>
              <w:t>50</w:t>
            </w:r>
            <w:r>
              <w:rPr>
                <w:rFonts w:hint="eastAsia" w:ascii="宋体" w:hAnsi="宋体"/>
                <w:sz w:val="15"/>
                <w:szCs w:val="15"/>
                <w:lang w:val="zh-CN"/>
              </w:rPr>
              <w:t>万元</w:t>
            </w:r>
            <w:r>
              <w:rPr>
                <w:rFonts w:hint="eastAsia" w:ascii="宋体" w:hAnsi="宋体"/>
                <w:sz w:val="15"/>
                <w:szCs w:val="15"/>
              </w:rPr>
              <w:t>-300万元（含）</w:t>
            </w:r>
            <w:r>
              <w:rPr>
                <w:rFonts w:hint="eastAsia" w:ascii="宋体" w:hAnsi="宋体"/>
                <w:sz w:val="15"/>
                <w:szCs w:val="15"/>
                <w:lang w:val="zh-CN"/>
              </w:rPr>
              <w:t>罚款，责令停产停业整顿，直至吊销批准证明文件、许可证，对相关责任人，没收违法收入，并处所获收入0.5倍</w:t>
            </w:r>
            <w:r>
              <w:rPr>
                <w:rFonts w:hint="eastAsia" w:ascii="宋体" w:hAnsi="宋体"/>
                <w:sz w:val="15"/>
                <w:szCs w:val="15"/>
              </w:rPr>
              <w:t>-5倍（含）</w:t>
            </w:r>
            <w:r>
              <w:rPr>
                <w:rFonts w:hint="eastAsia" w:ascii="宋体" w:hAnsi="宋体"/>
                <w:sz w:val="15"/>
                <w:szCs w:val="15"/>
                <w:lang w:val="zh-CN"/>
              </w:rPr>
              <w:t>罚款，十年直至终身禁业。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rPr>
              <w:t>5</w:t>
            </w:r>
          </w:p>
        </w:tc>
        <w:tc>
          <w:tcPr>
            <w:tcW w:w="794"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以下违法行为经责令改正拒不改正的：1.未按照规定建立疫苗电子追溯系统；</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2.法定代表人、主要负责人和生产管理负责人、质量管理负责人、质量受权人等关键岗位人员不符合规定条件或者未按照规定对其进行培训、考核；</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3.未按照规定报告或者备案；</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4.未按照规定开展上市后研究，或者未按照规定设立机构、配备人员主动收集、跟踪分析疑似预防接种异常反应；</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5.未按照规定投保疫苗责任强制保险；</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6.未按照规定建立信息公开制度。</w:t>
            </w:r>
          </w:p>
        </w:tc>
        <w:tc>
          <w:tcPr>
            <w:tcW w:w="2727"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中华人民共和国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责令停产停业。</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处20万</w:t>
            </w:r>
            <w:r>
              <w:rPr>
                <w:rFonts w:hint="eastAsia" w:ascii="宋体" w:hAnsi="宋体"/>
                <w:sz w:val="15"/>
                <w:szCs w:val="15"/>
              </w:rPr>
              <w:t>（含）</w:t>
            </w:r>
            <w:r>
              <w:rPr>
                <w:rFonts w:hint="eastAsia" w:ascii="宋体" w:hAnsi="宋体"/>
                <w:color w:val="000000"/>
                <w:sz w:val="15"/>
                <w:szCs w:val="15"/>
              </w:rPr>
              <w:t>-29</w:t>
            </w:r>
            <w:r>
              <w:rPr>
                <w:rFonts w:hint="eastAsia" w:ascii="宋体" w:hAnsi="宋体"/>
                <w:color w:val="000000"/>
                <w:sz w:val="15"/>
                <w:szCs w:val="15"/>
                <w:lang w:val="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8"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处29万</w:t>
            </w:r>
            <w:r>
              <w:rPr>
                <w:rFonts w:hint="eastAsia" w:ascii="宋体" w:hAnsi="宋体"/>
                <w:sz w:val="15"/>
                <w:szCs w:val="15"/>
              </w:rPr>
              <w:t>（含）</w:t>
            </w:r>
            <w:r>
              <w:rPr>
                <w:rFonts w:hint="eastAsia" w:ascii="宋体" w:hAnsi="宋体"/>
                <w:color w:val="000000"/>
                <w:sz w:val="15"/>
                <w:szCs w:val="15"/>
              </w:rPr>
              <w:t>-</w:t>
            </w:r>
            <w:r>
              <w:rPr>
                <w:rFonts w:hint="eastAsia" w:ascii="宋体" w:hAnsi="宋体"/>
                <w:color w:val="000000"/>
                <w:sz w:val="15"/>
                <w:szCs w:val="15"/>
                <w:lang w:val="zh-CN"/>
              </w:rPr>
              <w:t>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3"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处35万</w:t>
            </w:r>
            <w:r>
              <w:rPr>
                <w:rFonts w:hint="eastAsia" w:ascii="宋体" w:hAnsi="宋体"/>
                <w:color w:val="000000"/>
                <w:sz w:val="15"/>
                <w:szCs w:val="15"/>
              </w:rPr>
              <w:t>-41</w:t>
            </w:r>
            <w:r>
              <w:rPr>
                <w:rFonts w:hint="eastAsia" w:ascii="宋体" w:hAnsi="宋体"/>
                <w:color w:val="000000"/>
                <w:sz w:val="15"/>
                <w:szCs w:val="15"/>
                <w:lang w:val="zh-CN"/>
              </w:rPr>
              <w:t>万元</w:t>
            </w:r>
            <w:r>
              <w:rPr>
                <w:rFonts w:hint="eastAsia" w:ascii="宋体" w:hAnsi="宋体"/>
                <w:sz w:val="15"/>
                <w:szCs w:val="15"/>
              </w:rPr>
              <w:t>（含）</w:t>
            </w:r>
            <w:r>
              <w:rPr>
                <w:rFonts w:hint="eastAsia" w:ascii="宋体" w:hAnsi="宋体"/>
                <w:color w:val="000000"/>
                <w:sz w:val="15"/>
                <w:szCs w:val="15"/>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处41万-50</w:t>
            </w:r>
            <w:r>
              <w:rPr>
                <w:rFonts w:hint="eastAsia" w:ascii="宋体" w:hAnsi="宋体"/>
                <w:color w:val="000000"/>
                <w:sz w:val="15"/>
                <w:szCs w:val="15"/>
                <w:lang w:val="zh-CN"/>
              </w:rPr>
              <w:t>万元</w:t>
            </w:r>
            <w:r>
              <w:rPr>
                <w:rFonts w:hint="eastAsia" w:ascii="宋体" w:hAnsi="宋体"/>
                <w:sz w:val="15"/>
                <w:szCs w:val="15"/>
              </w:rPr>
              <w:t>（含）</w:t>
            </w:r>
            <w:r>
              <w:rPr>
                <w:rFonts w:hint="eastAsia" w:ascii="宋体" w:hAnsi="宋体"/>
                <w:color w:val="000000"/>
                <w:sz w:val="15"/>
                <w:szCs w:val="15"/>
                <w:lang w:val="zh-CN"/>
              </w:rPr>
              <w:t>罚款；情节严重的，责令停产停业整顿，并处</w:t>
            </w:r>
            <w:r>
              <w:rPr>
                <w:rFonts w:hint="eastAsia" w:ascii="宋体" w:hAnsi="宋体"/>
                <w:color w:val="000000"/>
                <w:sz w:val="15"/>
                <w:szCs w:val="15"/>
              </w:rPr>
              <w:t>50-200</w:t>
            </w:r>
            <w:r>
              <w:rPr>
                <w:rFonts w:hint="eastAsia" w:ascii="宋体" w:hAnsi="宋体"/>
                <w:color w:val="000000"/>
                <w:sz w:val="15"/>
                <w:szCs w:val="15"/>
                <w:lang w:val="zh-CN"/>
              </w:rPr>
              <w:t>万元</w:t>
            </w:r>
            <w:r>
              <w:rPr>
                <w:rFonts w:hint="eastAsia" w:ascii="宋体" w:hAnsi="宋体"/>
                <w:sz w:val="15"/>
                <w:szCs w:val="15"/>
              </w:rPr>
              <w:t>（含）</w:t>
            </w:r>
            <w:r>
              <w:rPr>
                <w:rFonts w:hint="eastAsia" w:ascii="宋体" w:hAnsi="宋体"/>
                <w:color w:val="000000"/>
                <w:sz w:val="15"/>
                <w:szCs w:val="15"/>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rPr>
              <w:t>6</w:t>
            </w:r>
          </w:p>
        </w:tc>
        <w:tc>
          <w:tcPr>
            <w:tcW w:w="794"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疾病预防控制机构、接种单位、疫苗上市许可持有人、疫苗配送单位违反疫苗储存、运输管理规范有关冷链储存、运输要求，经责令改正拒不改正的。</w:t>
            </w:r>
          </w:p>
        </w:tc>
        <w:tc>
          <w:tcPr>
            <w:tcW w:w="2727"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1.《中华人民共和国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2.《中华人民共和国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罚款；</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责令停产停业；</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吊销批准证明文件、许可证；</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没收违法期间所获收入；</w:t>
            </w:r>
          </w:p>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禁止从业。</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处20万（含）-45</w:t>
            </w:r>
            <w:r>
              <w:rPr>
                <w:rFonts w:hint="eastAsia" w:ascii="宋体" w:hAnsi="宋体"/>
                <w:color w:val="000000"/>
                <w:sz w:val="15"/>
                <w:szCs w:val="15"/>
                <w:lang w:val="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1"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处45万（含）-60</w:t>
            </w:r>
            <w:r>
              <w:rPr>
                <w:rFonts w:hint="eastAsia" w:ascii="宋体" w:hAnsi="宋体"/>
                <w:color w:val="000000"/>
                <w:sz w:val="15"/>
                <w:szCs w:val="15"/>
                <w:lang w:val="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处60万元罚款。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2"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处60万</w:t>
            </w:r>
            <w:r>
              <w:rPr>
                <w:rFonts w:hint="eastAsia" w:ascii="宋体" w:hAnsi="宋体"/>
                <w:color w:val="000000"/>
                <w:sz w:val="15"/>
                <w:szCs w:val="15"/>
              </w:rPr>
              <w:t>-75</w:t>
            </w:r>
            <w:r>
              <w:rPr>
                <w:rFonts w:hint="eastAsia" w:ascii="宋体" w:hAnsi="宋体"/>
                <w:color w:val="000000"/>
                <w:sz w:val="15"/>
                <w:szCs w:val="15"/>
                <w:lang w:val="zh-CN"/>
              </w:rPr>
              <w:t>万元</w:t>
            </w:r>
            <w:r>
              <w:rPr>
                <w:rFonts w:hint="eastAsia" w:ascii="宋体" w:hAnsi="宋体"/>
                <w:color w:val="000000"/>
                <w:sz w:val="15"/>
                <w:szCs w:val="15"/>
              </w:rPr>
              <w:t>（含）</w:t>
            </w:r>
            <w:r>
              <w:rPr>
                <w:rFonts w:hint="eastAsia" w:ascii="宋体" w:hAnsi="宋体"/>
                <w:color w:val="000000"/>
                <w:sz w:val="15"/>
                <w:szCs w:val="15"/>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处75万-100</w:t>
            </w:r>
            <w:r>
              <w:rPr>
                <w:rFonts w:hint="eastAsia" w:ascii="宋体" w:hAnsi="宋体"/>
                <w:color w:val="000000"/>
                <w:sz w:val="15"/>
                <w:szCs w:val="15"/>
                <w:lang w:val="zh-CN"/>
              </w:rPr>
              <w:t>万元</w:t>
            </w:r>
            <w:r>
              <w:rPr>
                <w:rFonts w:hint="eastAsia" w:ascii="宋体" w:hAnsi="宋体"/>
                <w:color w:val="000000"/>
                <w:sz w:val="15"/>
                <w:szCs w:val="15"/>
              </w:rPr>
              <w:t>（含）</w:t>
            </w:r>
            <w:r>
              <w:rPr>
                <w:rFonts w:hint="eastAsia" w:ascii="宋体" w:hAnsi="宋体"/>
                <w:color w:val="000000"/>
                <w:sz w:val="15"/>
                <w:szCs w:val="15"/>
                <w:lang w:val="zh-CN"/>
              </w:rPr>
              <w:t>罚款；情节严重的，处货值金额10倍-30倍罚款，是上市许可持有人或配送企业的，责令停产停业，直至吊销证明文件、许可证，对相关责任人没收违法收入，处违法收入0.5-5倍罚款，十年直至终身禁业。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357" w:type="dxa"/>
            <w:vMerge w:val="restart"/>
            <w:vAlign w:val="center"/>
          </w:tcPr>
          <w:p>
            <w:pPr>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rPr>
              <w:t>7</w:t>
            </w:r>
          </w:p>
        </w:tc>
        <w:tc>
          <w:tcPr>
            <w:tcW w:w="794"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疾病预防控制机构、接种单位、疫苗上市许可持有人、疫苗配送单位有本法第八十五条规定以外的违反疫苗储存、运输管理规范行为，经责令改正拒不改正的。</w:t>
            </w:r>
          </w:p>
        </w:tc>
        <w:tc>
          <w:tcPr>
            <w:tcW w:w="2727"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中华人民共和国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从轻</w:t>
            </w:r>
          </w:p>
        </w:tc>
        <w:tc>
          <w:tcPr>
            <w:tcW w:w="1062" w:type="dxa"/>
            <w:vMerge w:val="restart"/>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罚款。</w:t>
            </w: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《海南省药品监督管理局行使行政处罚裁量权适用规则（试行）》第十条、第十一条、第十四条情形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处10万（含）-16</w:t>
            </w:r>
            <w:r>
              <w:rPr>
                <w:rFonts w:hint="eastAsia" w:ascii="宋体" w:hAnsi="宋体"/>
                <w:color w:val="000000"/>
                <w:sz w:val="15"/>
                <w:szCs w:val="15"/>
                <w:lang w:val="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一般（较轻）</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rPr>
              <w:t>处16万（含）-20</w:t>
            </w:r>
            <w:r>
              <w:rPr>
                <w:rFonts w:hint="eastAsia" w:ascii="宋体" w:hAnsi="宋体"/>
                <w:color w:val="000000"/>
                <w:sz w:val="15"/>
                <w:szCs w:val="15"/>
                <w:lang w:val="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4"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无较轻、较重裁量阶次</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3"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一般（较重）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《海南省药品监督管理局行使行政处罚裁量权适用规则（试行）》第十</w:t>
            </w:r>
            <w:r>
              <w:rPr>
                <w:rFonts w:hint="eastAsia" w:ascii="宋体" w:hAnsi="宋体"/>
                <w:color w:val="000000"/>
                <w:sz w:val="15"/>
                <w:szCs w:val="15"/>
                <w:lang w:val="zh-CN"/>
              </w:rPr>
              <w:t>二</w:t>
            </w:r>
            <w:r>
              <w:rPr>
                <w:rFonts w:ascii="宋体" w:hAnsi="宋体"/>
                <w:color w:val="000000"/>
                <w:sz w:val="15"/>
                <w:szCs w:val="15"/>
                <w:lang w:val="zh-CN"/>
              </w:rPr>
              <w:t>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处20万</w:t>
            </w:r>
            <w:r>
              <w:rPr>
                <w:rFonts w:hint="eastAsia" w:ascii="宋体" w:hAnsi="宋体"/>
                <w:color w:val="000000"/>
                <w:sz w:val="15"/>
                <w:szCs w:val="15"/>
              </w:rPr>
              <w:t>-24</w:t>
            </w:r>
            <w:r>
              <w:rPr>
                <w:rFonts w:hint="eastAsia" w:ascii="宋体" w:hAnsi="宋体"/>
                <w:color w:val="000000"/>
                <w:sz w:val="15"/>
                <w:szCs w:val="15"/>
                <w:lang w:val="zh-CN"/>
              </w:rPr>
              <w:t>万元（含）罚款。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atLeast"/>
          <w:jc w:val="center"/>
        </w:trPr>
        <w:tc>
          <w:tcPr>
            <w:tcW w:w="357" w:type="dxa"/>
            <w:vMerge w:val="continue"/>
            <w:vAlign w:val="center"/>
          </w:tcPr>
          <w:p>
            <w:pPr>
              <w:spacing w:line="240" w:lineRule="exact"/>
              <w:jc w:val="center"/>
              <w:textAlignment w:val="baseline"/>
              <w:rPr>
                <w:rFonts w:ascii="宋体" w:hAnsi="宋体"/>
                <w:color w:val="000000"/>
                <w:sz w:val="15"/>
                <w:szCs w:val="15"/>
                <w:lang w:val="zh-CN"/>
              </w:rPr>
            </w:pPr>
          </w:p>
        </w:tc>
        <w:tc>
          <w:tcPr>
            <w:tcW w:w="794"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2727"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577" w:type="dxa"/>
            <w:vAlign w:val="center"/>
          </w:tcPr>
          <w:p>
            <w:pPr>
              <w:autoSpaceDE w:val="0"/>
              <w:autoSpaceDN w:val="0"/>
              <w:spacing w:line="240" w:lineRule="exact"/>
              <w:jc w:val="center"/>
              <w:textAlignment w:val="baseline"/>
              <w:rPr>
                <w:rFonts w:ascii="宋体" w:hAnsi="宋体"/>
                <w:color w:val="000000"/>
                <w:sz w:val="15"/>
                <w:szCs w:val="15"/>
                <w:lang w:val="zh-CN"/>
              </w:rPr>
            </w:pPr>
            <w:r>
              <w:rPr>
                <w:rFonts w:hint="eastAsia" w:ascii="宋体" w:hAnsi="宋体"/>
                <w:color w:val="000000"/>
                <w:sz w:val="15"/>
                <w:szCs w:val="15"/>
                <w:lang w:val="zh-CN"/>
              </w:rPr>
              <w:t>从重</w:t>
            </w:r>
          </w:p>
        </w:tc>
        <w:tc>
          <w:tcPr>
            <w:tcW w:w="1062" w:type="dxa"/>
            <w:vMerge w:val="continue"/>
            <w:vAlign w:val="center"/>
          </w:tcPr>
          <w:p>
            <w:pPr>
              <w:autoSpaceDE w:val="0"/>
              <w:autoSpaceDN w:val="0"/>
              <w:spacing w:line="240" w:lineRule="exact"/>
              <w:textAlignment w:val="baseline"/>
              <w:rPr>
                <w:rFonts w:ascii="宋体" w:hAnsi="宋体"/>
                <w:color w:val="000000"/>
                <w:sz w:val="15"/>
                <w:szCs w:val="15"/>
                <w:lang w:val="zh-CN"/>
              </w:rPr>
            </w:pPr>
          </w:p>
        </w:tc>
        <w:tc>
          <w:tcPr>
            <w:tcW w:w="1384"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《海南省药品监督管理局行使行政处罚裁量权适用规则（试行）》第十三条、第十四条情形</w:t>
            </w:r>
          </w:p>
        </w:tc>
        <w:tc>
          <w:tcPr>
            <w:tcW w:w="1463" w:type="dxa"/>
            <w:vAlign w:val="center"/>
          </w:tcPr>
          <w:p>
            <w:pPr>
              <w:autoSpaceDE w:val="0"/>
              <w:autoSpaceDN w:val="0"/>
              <w:spacing w:line="240" w:lineRule="exact"/>
              <w:textAlignment w:val="baseline"/>
              <w:rPr>
                <w:rFonts w:ascii="宋体" w:hAnsi="宋体"/>
                <w:color w:val="000000"/>
                <w:sz w:val="15"/>
                <w:szCs w:val="15"/>
                <w:lang w:val="zh-CN"/>
              </w:rPr>
            </w:pPr>
            <w:r>
              <w:rPr>
                <w:rFonts w:hint="eastAsia" w:ascii="宋体" w:hAnsi="宋体"/>
                <w:color w:val="000000"/>
                <w:sz w:val="15"/>
                <w:szCs w:val="15"/>
                <w:lang w:val="zh-CN"/>
              </w:rPr>
              <w:t>处2</w:t>
            </w:r>
            <w:r>
              <w:rPr>
                <w:rFonts w:hint="eastAsia" w:ascii="宋体" w:hAnsi="宋体"/>
                <w:color w:val="000000"/>
                <w:sz w:val="15"/>
                <w:szCs w:val="15"/>
              </w:rPr>
              <w:t>4万-30</w:t>
            </w:r>
            <w:r>
              <w:rPr>
                <w:rFonts w:hint="eastAsia" w:ascii="宋体" w:hAnsi="宋体"/>
                <w:color w:val="000000"/>
                <w:sz w:val="15"/>
                <w:szCs w:val="15"/>
                <w:lang w:val="zh-CN"/>
              </w:rPr>
              <w:t>万元（含）罚款；情节严重的，处货值金额</w:t>
            </w:r>
            <w:r>
              <w:rPr>
                <w:rFonts w:hint="eastAsia" w:ascii="宋体" w:hAnsi="宋体"/>
                <w:color w:val="000000"/>
                <w:sz w:val="15"/>
                <w:szCs w:val="15"/>
              </w:rPr>
              <w:t>3</w:t>
            </w:r>
            <w:r>
              <w:rPr>
                <w:rFonts w:hint="eastAsia" w:ascii="宋体" w:hAnsi="宋体"/>
                <w:color w:val="000000"/>
                <w:sz w:val="15"/>
                <w:szCs w:val="15"/>
                <w:lang w:val="zh-CN"/>
              </w:rPr>
              <w:t>倍</w:t>
            </w:r>
            <w:r>
              <w:rPr>
                <w:rFonts w:hint="eastAsia" w:ascii="宋体" w:hAnsi="宋体"/>
                <w:color w:val="000000"/>
                <w:sz w:val="15"/>
                <w:szCs w:val="15"/>
              </w:rPr>
              <w:t>-10倍（含）</w:t>
            </w:r>
            <w:r>
              <w:rPr>
                <w:rFonts w:hint="eastAsia" w:ascii="宋体" w:hAnsi="宋体"/>
                <w:color w:val="000000"/>
                <w:sz w:val="15"/>
                <w:szCs w:val="15"/>
                <w:lang w:val="zh-CN"/>
              </w:rPr>
              <w:t>罚款。</w:t>
            </w:r>
          </w:p>
        </w:tc>
      </w:tr>
    </w:tbl>
    <w:p>
      <w:pPr>
        <w:jc w:val="center"/>
        <w:rPr>
          <w:rFonts w:ascii="小标宋" w:hAnsi="小标宋" w:eastAsia="小标宋" w:cs="小标宋"/>
          <w:spacing w:val="-6"/>
          <w:sz w:val="32"/>
          <w:szCs w:val="32"/>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1A0A"/>
    <w:rsid w:val="000340C8"/>
    <w:rsid w:val="001F3C60"/>
    <w:rsid w:val="0020505C"/>
    <w:rsid w:val="002F4858"/>
    <w:rsid w:val="00372E34"/>
    <w:rsid w:val="005506CF"/>
    <w:rsid w:val="00562EC0"/>
    <w:rsid w:val="0057508B"/>
    <w:rsid w:val="007071F0"/>
    <w:rsid w:val="007940F0"/>
    <w:rsid w:val="007D1BBF"/>
    <w:rsid w:val="00823D40"/>
    <w:rsid w:val="00895D2A"/>
    <w:rsid w:val="00A31A0A"/>
    <w:rsid w:val="00B62C4C"/>
    <w:rsid w:val="00BE1349"/>
    <w:rsid w:val="00BF1DAE"/>
    <w:rsid w:val="00C160E3"/>
    <w:rsid w:val="00D7238F"/>
    <w:rsid w:val="00EC71BA"/>
    <w:rsid w:val="00FB5274"/>
    <w:rsid w:val="0C1603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kern w:val="2"/>
      <w:sz w:val="18"/>
      <w:szCs w:val="18"/>
    </w:rPr>
  </w:style>
  <w:style w:type="character" w:customStyle="1" w:styleId="7">
    <w:name w:val="页脚 Char"/>
    <w:basedOn w:val="4"/>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1092</Words>
  <Characters>6229</Characters>
  <Lines>51</Lines>
  <Paragraphs>14</Paragraphs>
  <TotalTime>0</TotalTime>
  <ScaleCrop>false</ScaleCrop>
  <LinksUpToDate>false</LinksUpToDate>
  <CharactersWithSpaces>7307</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2020-02-04T09:13:00Z</dcterms:created>
  <dc:creator>秦宁</dc:creator>
  <cp:lastModifiedBy>未定义</cp:lastModifiedBy>
  <cp:lastPrinted>2020-02-04T00:57:00Z</cp:lastPrinted>
  <dcterms:modified xsi:type="dcterms:W3CDTF">2020-03-09T01:37:31Z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