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方正小标宋_GBK" w:hAnsi="方正小标宋_GBK" w:eastAsia="方正小标宋_GBK" w:cs="宋体"/>
          <w:color w:val="000000"/>
          <w:kern w:val="0"/>
          <w:sz w:val="44"/>
          <w:szCs w:val="44"/>
        </w:rPr>
      </w:pPr>
      <w:r>
        <w:rPr>
          <w:rFonts w:hint="eastAsia" w:ascii="方正小标宋_GBK" w:hAnsi="方正小标宋_GBK" w:eastAsia="方正小标宋_GBK"/>
          <w:color w:val="000000"/>
          <w:sz w:val="44"/>
          <w:szCs w:val="44"/>
        </w:rPr>
        <w:t>海南省核发、换发</w:t>
      </w:r>
      <w:r>
        <w:rPr>
          <w:rFonts w:hint="eastAsia" w:ascii="Arial Unicode MS" w:hAnsi="Arial Unicode MS" w:eastAsia="Arial Unicode MS" w:cs="Arial Unicode MS"/>
          <w:color w:val="000000"/>
          <w:sz w:val="44"/>
          <w:szCs w:val="44"/>
        </w:rPr>
        <w:t>《</w:t>
      </w:r>
      <w:r>
        <w:rPr>
          <w:rFonts w:hint="eastAsia" w:ascii="方正小标宋_GBK" w:hAnsi="方正小标宋_GBK" w:eastAsia="方正小标宋_GBK"/>
          <w:color w:val="000000"/>
          <w:sz w:val="44"/>
          <w:szCs w:val="44"/>
        </w:rPr>
        <w:t>放射性药品使用许可证</w:t>
      </w:r>
      <w:r>
        <w:rPr>
          <w:rFonts w:hint="eastAsia" w:ascii="Arial Unicode MS" w:hAnsi="Arial Unicode MS" w:eastAsia="Arial Unicode MS" w:cs="Arial Unicode MS"/>
          <w:color w:val="000000"/>
          <w:sz w:val="44"/>
          <w:szCs w:val="44"/>
        </w:rPr>
        <w:t>》</w:t>
      </w:r>
      <w:r>
        <w:rPr>
          <w:rFonts w:hint="eastAsia" w:ascii="方正小标宋_GBK" w:hAnsi="方正小标宋_GBK" w:eastAsia="方正小标宋_GBK"/>
          <w:color w:val="000000"/>
          <w:sz w:val="44"/>
          <w:szCs w:val="44"/>
        </w:rPr>
        <w:t>验收标准（征求意见稿）</w:t>
      </w:r>
    </w:p>
    <w:p>
      <w:pPr>
        <w:pStyle w:val="8"/>
        <w:spacing w:line="600" w:lineRule="exact"/>
        <w:rPr>
          <w:rFonts w:ascii="仿宋_GB2312" w:hAnsi="仿宋_GB2312" w:eastAsia="仿宋_GB2312" w:cs="宋体"/>
          <w:color w:val="000000"/>
          <w:kern w:val="0"/>
          <w:sz w:val="32"/>
          <w:szCs w:val="32"/>
        </w:rPr>
      </w:pPr>
    </w:p>
    <w:p>
      <w:pPr>
        <w:pStyle w:val="8"/>
        <w:spacing w:line="700" w:lineRule="exact"/>
        <w:ind w:firstLine="640" w:firstLineChars="200"/>
        <w:rPr>
          <w:rFonts w:ascii="仿宋_GB2312" w:hAnsi="仿宋_GB2312" w:eastAsia="仿宋_GB2312" w:cs="宋体"/>
          <w:color w:val="000000"/>
          <w:kern w:val="21"/>
          <w:sz w:val="32"/>
          <w:szCs w:val="32"/>
        </w:rPr>
      </w:pPr>
      <w:r>
        <w:rPr>
          <w:rFonts w:hint="eastAsia" w:ascii="仿宋_GB2312" w:hAnsi="仿宋_GB2312" w:eastAsia="仿宋_GB2312" w:cs="宋体"/>
          <w:color w:val="000000"/>
          <w:kern w:val="21"/>
          <w:sz w:val="32"/>
          <w:szCs w:val="32"/>
        </w:rPr>
        <w:t>依据《中华人民共和国药品管理法》及其实施条例、《放射性药品管理办法》《关于开展换发</w:t>
      </w:r>
      <w:r>
        <w:rPr>
          <w:rFonts w:hint="eastAsia" w:ascii="仿宋_GB2312" w:hAnsi="仿宋_GB2312" w:eastAsia="仿宋_GB2312"/>
          <w:color w:val="000000"/>
          <w:kern w:val="21"/>
          <w:sz w:val="32"/>
          <w:szCs w:val="44"/>
        </w:rPr>
        <w:t>〈放射性药品使用许可证〉</w:t>
      </w:r>
      <w:r>
        <w:rPr>
          <w:rFonts w:hint="eastAsia" w:ascii="仿宋_GB2312" w:hAnsi="仿宋_GB2312" w:eastAsia="仿宋_GB2312" w:cs="宋体"/>
          <w:color w:val="000000"/>
          <w:kern w:val="21"/>
          <w:sz w:val="32"/>
          <w:szCs w:val="32"/>
        </w:rPr>
        <w:t>的通知》（国食药监安</w:t>
      </w:r>
      <w:r>
        <w:rPr>
          <w:rFonts w:hint="eastAsia" w:ascii="仿宋_GB2312" w:hAnsi="仿宋_GB2312" w:eastAsia="仿宋_GB2312" w:cs="仿宋"/>
          <w:color w:val="000000"/>
          <w:kern w:val="21"/>
          <w:sz w:val="32"/>
          <w:szCs w:val="32"/>
        </w:rPr>
        <w:t>〔2003〕199号</w:t>
      </w:r>
      <w:r>
        <w:rPr>
          <w:rFonts w:hint="eastAsia" w:ascii="仿宋_GB2312" w:hAnsi="仿宋_GB2312" w:eastAsia="仿宋_GB2312" w:cs="宋体"/>
          <w:color w:val="000000"/>
          <w:kern w:val="21"/>
          <w:sz w:val="32"/>
          <w:szCs w:val="32"/>
        </w:rPr>
        <w:t>）、《关于印发锝〔99mTc〕放射性药品质量控制指导原则的通知》（国食药监安〔2004〕190号）、《关于印发〈正电子类放射性药品质量控制指导原则〉的通知》（国食药监安〔2004〕324号）、《关于印发〈医疗机构制备正电子类放射性药品管理规定〉的通知》（国食药监安〔2006〕4号）等制定本标准。</w:t>
      </w:r>
    </w:p>
    <w:p>
      <w:pPr>
        <w:pStyle w:val="8"/>
        <w:spacing w:line="700" w:lineRule="exact"/>
        <w:ind w:firstLine="640" w:firstLineChars="200"/>
        <w:rPr>
          <w:rFonts w:ascii="仿宋_GB2312" w:hAnsi="仿宋_GB2312" w:eastAsia="仿宋_GB2312" w:cs="宋体"/>
          <w:color w:val="000000"/>
          <w:kern w:val="21"/>
          <w:sz w:val="32"/>
          <w:szCs w:val="32"/>
        </w:rPr>
      </w:pPr>
      <w:r>
        <w:rPr>
          <w:rFonts w:hint="eastAsia" w:ascii="仿宋_GB2312" w:hAnsi="仿宋_GB2312" w:eastAsia="仿宋_GB2312" w:cs="宋体"/>
          <w:color w:val="000000"/>
          <w:kern w:val="21"/>
          <w:sz w:val="32"/>
          <w:szCs w:val="32"/>
        </w:rPr>
        <w:t>《放射性药品使用许可证》分为四类：第一类准许使用体外诊断用各种含放射性核素的分析药盒；第二类（1）体内诊断、治疗用一般放射性药品(系指根据诊断、治疗需要，对购入的放射性药品进行简单的稀释或不稀释用于病人的品种。如碘[</w:t>
      </w:r>
      <w:r>
        <w:rPr>
          <w:rFonts w:hint="eastAsia" w:ascii="仿宋_GB2312" w:hAnsi="仿宋_GB2312" w:eastAsia="仿宋_GB2312" w:cs="宋体"/>
          <w:color w:val="000000"/>
          <w:kern w:val="21"/>
          <w:sz w:val="32"/>
          <w:szCs w:val="32"/>
          <w:vertAlign w:val="superscript"/>
        </w:rPr>
        <w:t>131</w:t>
      </w:r>
      <w:r>
        <w:rPr>
          <w:rFonts w:hint="eastAsia" w:ascii="仿宋_GB2312" w:hAnsi="仿宋_GB2312" w:eastAsia="仿宋_GB2312" w:cs="宋体"/>
          <w:color w:val="000000"/>
          <w:kern w:val="21"/>
          <w:sz w:val="32"/>
          <w:szCs w:val="32"/>
        </w:rPr>
        <w:t>I]化钠口服溶液、邻碘[</w:t>
      </w:r>
      <w:r>
        <w:rPr>
          <w:rFonts w:hint="eastAsia" w:ascii="仿宋_GB2312" w:hAnsi="仿宋_GB2312" w:eastAsia="仿宋_GB2312" w:cs="宋体"/>
          <w:color w:val="000000"/>
          <w:kern w:val="21"/>
          <w:sz w:val="32"/>
          <w:szCs w:val="32"/>
          <w:vertAlign w:val="superscript"/>
        </w:rPr>
        <w:t>131</w:t>
      </w:r>
      <w:r>
        <w:rPr>
          <w:rFonts w:hint="eastAsia" w:ascii="仿宋_GB2312" w:hAnsi="仿宋_GB2312" w:eastAsia="仿宋_GB2312" w:cs="宋体"/>
          <w:color w:val="000000"/>
          <w:kern w:val="21"/>
          <w:sz w:val="32"/>
          <w:szCs w:val="32"/>
        </w:rPr>
        <w:t>I]马尿酸钠注射液、氯化亚铊[</w:t>
      </w:r>
      <w:r>
        <w:rPr>
          <w:rFonts w:hint="eastAsia" w:ascii="仿宋_GB2312" w:hAnsi="仿宋_GB2312" w:eastAsia="仿宋_GB2312" w:cs="宋体"/>
          <w:color w:val="000000"/>
          <w:kern w:val="21"/>
          <w:sz w:val="32"/>
          <w:szCs w:val="32"/>
          <w:vertAlign w:val="superscript"/>
        </w:rPr>
        <w:t>201</w:t>
      </w:r>
      <w:r>
        <w:rPr>
          <w:rFonts w:hint="eastAsia" w:ascii="仿宋_GB2312" w:hAnsi="仿宋_GB2312" w:eastAsia="仿宋_GB2312" w:cs="宋体"/>
          <w:color w:val="000000"/>
          <w:kern w:val="21"/>
          <w:sz w:val="32"/>
          <w:szCs w:val="32"/>
        </w:rPr>
        <w:t>T1]注射液等)（2）即时标记放射性药品生产企业提供的已配制完成的含锝[</w:t>
      </w:r>
      <w:r>
        <w:rPr>
          <w:rFonts w:hint="eastAsia" w:ascii="仿宋_GB2312" w:hAnsi="仿宋_GB2312" w:eastAsia="仿宋_GB2312" w:cs="宋体"/>
          <w:color w:val="000000"/>
          <w:kern w:val="21"/>
          <w:sz w:val="32"/>
          <w:szCs w:val="32"/>
          <w:vertAlign w:val="superscript"/>
        </w:rPr>
        <w:t>99</w:t>
      </w:r>
      <w:r>
        <w:rPr>
          <w:rFonts w:hint="eastAsia" w:ascii="仿宋_GB2312" w:hAnsi="仿宋_GB2312" w:eastAsia="仿宋_GB2312" w:cs="宋体"/>
          <w:color w:val="000000"/>
          <w:kern w:val="21"/>
          <w:sz w:val="32"/>
          <w:szCs w:val="32"/>
        </w:rPr>
        <w:t>mTc]注射液；第三类（1）《放射性药品使用许可证》（第二类）规定的放射性药品（2）采用放射性核素发生器及配套药盒自行配制的体内诊断及治疗用放射性药品（3）采用市售自动合成装置自行制备的正电子类放射性药品；第四类（1）《放射性药品使用许可证》（第三类）规定的放射性药品（2）可研制和使用放射性新制剂以适应核医学诊治新方法、新技术的应用。研制范围仅限国内市场没有或技术条件限制而不能供应的品种。</w:t>
      </w:r>
    </w:p>
    <w:p>
      <w:pPr>
        <w:pStyle w:val="8"/>
        <w:spacing w:line="700" w:lineRule="exact"/>
        <w:ind w:firstLine="640" w:firstLineChars="200"/>
        <w:rPr>
          <w:rFonts w:ascii="仿宋_GB2312" w:hAnsi="仿宋_GB2312" w:eastAsia="仿宋_GB2312" w:cs="宋体"/>
          <w:color w:val="000000"/>
          <w:kern w:val="21"/>
          <w:sz w:val="32"/>
          <w:szCs w:val="32"/>
        </w:rPr>
      </w:pPr>
      <w:r>
        <w:rPr>
          <w:rFonts w:hint="eastAsia" w:ascii="仿宋_GB2312" w:hAnsi="仿宋_GB2312" w:eastAsia="仿宋_GB2312" w:cs="宋体"/>
          <w:color w:val="000000"/>
          <w:kern w:val="21"/>
          <w:sz w:val="32"/>
          <w:szCs w:val="32"/>
        </w:rPr>
        <w:t>本标准设评定条款一类共九项30条。其中重点条款12条（条款号前加“*”）；一般条款18条。二类共九项29条。其中重点条款12条（条款号前加“*”）；一般条款17条。三类共九项6</w:t>
      </w:r>
      <w:r>
        <w:rPr>
          <w:rFonts w:hint="eastAsia" w:ascii="仿宋_GB2312" w:hAnsi="仿宋_GB2312" w:eastAsia="仿宋_GB2312" w:cs="宋体"/>
          <w:color w:val="000000"/>
          <w:kern w:val="21"/>
          <w:sz w:val="32"/>
          <w:szCs w:val="32"/>
          <w:lang w:val="en-US" w:eastAsia="zh-CN"/>
        </w:rPr>
        <w:t>7</w:t>
      </w:r>
      <w:r>
        <w:rPr>
          <w:rFonts w:hint="eastAsia" w:ascii="仿宋_GB2312" w:hAnsi="仿宋_GB2312" w:eastAsia="仿宋_GB2312" w:cs="宋体"/>
          <w:color w:val="000000"/>
          <w:kern w:val="21"/>
          <w:sz w:val="32"/>
          <w:szCs w:val="32"/>
        </w:rPr>
        <w:t>条。其中重点条款26条（条款号前加“*”）；一般条款4</w:t>
      </w:r>
      <w:r>
        <w:rPr>
          <w:rFonts w:hint="eastAsia" w:ascii="仿宋_GB2312" w:hAnsi="仿宋_GB2312" w:eastAsia="仿宋_GB2312" w:cs="宋体"/>
          <w:color w:val="000000"/>
          <w:kern w:val="21"/>
          <w:sz w:val="32"/>
          <w:szCs w:val="32"/>
          <w:lang w:val="en-US" w:eastAsia="zh-CN"/>
        </w:rPr>
        <w:t>1</w:t>
      </w:r>
      <w:r>
        <w:rPr>
          <w:rFonts w:hint="eastAsia" w:ascii="仿宋_GB2312" w:hAnsi="仿宋_GB2312" w:eastAsia="仿宋_GB2312" w:cs="宋体"/>
          <w:color w:val="000000"/>
          <w:kern w:val="21"/>
          <w:sz w:val="32"/>
          <w:szCs w:val="32"/>
        </w:rPr>
        <w:t>条。四类共九项7</w:t>
      </w:r>
      <w:r>
        <w:rPr>
          <w:rFonts w:hint="eastAsia" w:ascii="仿宋_GB2312" w:hAnsi="仿宋_GB2312" w:eastAsia="仿宋_GB2312" w:cs="宋体"/>
          <w:color w:val="000000"/>
          <w:kern w:val="21"/>
          <w:sz w:val="32"/>
          <w:szCs w:val="32"/>
          <w:lang w:val="en-US" w:eastAsia="zh-CN"/>
        </w:rPr>
        <w:t>4</w:t>
      </w:r>
      <w:r>
        <w:rPr>
          <w:rFonts w:hint="eastAsia" w:ascii="仿宋_GB2312" w:hAnsi="仿宋_GB2312" w:eastAsia="仿宋_GB2312" w:cs="宋体"/>
          <w:color w:val="000000"/>
          <w:kern w:val="21"/>
          <w:sz w:val="32"/>
          <w:szCs w:val="32"/>
        </w:rPr>
        <w:t>条。其中重点条款2</w:t>
      </w:r>
      <w:r>
        <w:rPr>
          <w:rFonts w:hint="eastAsia" w:ascii="仿宋_GB2312" w:hAnsi="仿宋_GB2312" w:eastAsia="仿宋_GB2312" w:cs="宋体"/>
          <w:color w:val="000000"/>
          <w:kern w:val="21"/>
          <w:sz w:val="32"/>
          <w:szCs w:val="32"/>
          <w:lang w:val="en-US" w:eastAsia="zh-CN"/>
        </w:rPr>
        <w:t>9</w:t>
      </w:r>
      <w:r>
        <w:rPr>
          <w:rFonts w:hint="eastAsia" w:ascii="仿宋_GB2312" w:hAnsi="仿宋_GB2312" w:eastAsia="仿宋_GB2312" w:cs="宋体"/>
          <w:color w:val="000000"/>
          <w:kern w:val="21"/>
          <w:sz w:val="32"/>
          <w:szCs w:val="32"/>
        </w:rPr>
        <w:t>条（条款号前加“*”）；一般条款45条。上述标准，检查组根据风险评估原则进行综合评判。</w:t>
      </w:r>
    </w:p>
    <w:p>
      <w:pPr>
        <w:pStyle w:val="8"/>
        <w:spacing w:line="700" w:lineRule="exact"/>
        <w:ind w:firstLine="640" w:firstLineChars="200"/>
        <w:rPr>
          <w:rFonts w:ascii="仿宋_GB2312" w:hAnsi="仿宋_GB2312" w:eastAsia="仿宋_GB2312" w:cs="宋体"/>
          <w:color w:val="000000"/>
          <w:kern w:val="21"/>
          <w:sz w:val="32"/>
          <w:szCs w:val="28"/>
        </w:rPr>
      </w:pPr>
      <w:r>
        <w:rPr>
          <w:rFonts w:hint="eastAsia" w:ascii="仿宋_GB2312" w:hAnsi="仿宋_GB2312" w:eastAsia="仿宋_GB2312" w:cs="宋体"/>
          <w:color w:val="000000"/>
          <w:kern w:val="21"/>
          <w:sz w:val="32"/>
          <w:szCs w:val="28"/>
        </w:rPr>
        <w:t> 本《标准》解释权归属海南省药品监督管理局。</w:t>
      </w:r>
    </w:p>
    <w:p>
      <w:pPr>
        <w:pStyle w:val="8"/>
        <w:widowControl/>
        <w:spacing w:line="500" w:lineRule="exact"/>
        <w:ind w:firstLine="960" w:firstLineChars="300"/>
        <w:jc w:val="left"/>
        <w:rPr>
          <w:rFonts w:ascii="仿宋_GB2312" w:hAnsi="ˎ̥" w:eastAsia="仿宋_GB2312" w:cs="宋体"/>
          <w:color w:val="000000"/>
          <w:kern w:val="0"/>
          <w:sz w:val="32"/>
          <w:szCs w:val="32"/>
        </w:rPr>
      </w:pPr>
    </w:p>
    <w:p>
      <w:pPr>
        <w:pStyle w:val="8"/>
        <w:widowControl/>
        <w:spacing w:line="500" w:lineRule="exact"/>
        <w:jc w:val="center"/>
        <w:rPr>
          <w:rFonts w:ascii="仿宋_GB2312" w:hAnsi="仿宋_GB2312" w:eastAsia="仿宋_GB2312" w:cs="宋体"/>
          <w:b/>
          <w:kern w:val="0"/>
          <w:sz w:val="28"/>
          <w:szCs w:val="28"/>
        </w:rPr>
      </w:pPr>
      <w:r>
        <w:rPr>
          <w:rFonts w:hint="eastAsia" w:ascii="仿宋_GB2312" w:hAnsi="仿宋_GB2312" w:eastAsia="仿宋_GB2312" w:cs="宋体"/>
          <w:b/>
          <w:kern w:val="0"/>
          <w:sz w:val="28"/>
          <w:szCs w:val="28"/>
        </w:rPr>
        <w:t xml:space="preserve">一、结果评定      </w:t>
      </w:r>
    </w:p>
    <w:tbl>
      <w:tblPr>
        <w:tblStyle w:val="4"/>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83"/>
        <w:gridCol w:w="1869"/>
        <w:gridCol w:w="4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4352" w:type="dxa"/>
            <w:gridSpan w:val="2"/>
            <w:vAlign w:val="center"/>
          </w:tcPr>
          <w:p>
            <w:pPr>
              <w:pStyle w:val="8"/>
              <w:jc w:val="center"/>
              <w:rPr>
                <w:rFonts w:ascii="仿宋_GB2312" w:hAnsi="仿宋_GB2312" w:eastAsia="仿宋_GB2312"/>
                <w:b/>
              </w:rPr>
            </w:pPr>
            <w:r>
              <w:rPr>
                <w:rFonts w:hint="eastAsia" w:ascii="仿宋_GB2312" w:hAnsi="仿宋_GB2312" w:eastAsia="仿宋_GB2312" w:cs="宋体"/>
                <w:b/>
                <w:kern w:val="0"/>
                <w:sz w:val="28"/>
                <w:szCs w:val="28"/>
              </w:rPr>
              <w:t>不符合项目数占比</w:t>
            </w:r>
          </w:p>
        </w:tc>
        <w:tc>
          <w:tcPr>
            <w:tcW w:w="4796" w:type="dxa"/>
            <w:vMerge w:val="restart"/>
            <w:vAlign w:val="center"/>
          </w:tcPr>
          <w:p>
            <w:pPr>
              <w:pStyle w:val="8"/>
              <w:jc w:val="center"/>
              <w:rPr>
                <w:rFonts w:ascii="仿宋_GB2312" w:hAnsi="仿宋_GB2312" w:eastAsia="仿宋_GB2312" w:cs="宋体"/>
                <w:b/>
                <w:kern w:val="0"/>
                <w:sz w:val="28"/>
                <w:szCs w:val="28"/>
              </w:rPr>
            </w:pPr>
            <w:r>
              <w:rPr>
                <w:rFonts w:hint="eastAsia" w:ascii="仿宋_GB2312" w:hAnsi="仿宋_GB2312" w:eastAsia="仿宋_GB2312" w:cs="宋体"/>
                <w:b/>
                <w:kern w:val="0"/>
                <w:sz w:val="28"/>
                <w:szCs w:val="28"/>
              </w:rPr>
              <w:t>结 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483" w:type="dxa"/>
            <w:vAlign w:val="center"/>
          </w:tcPr>
          <w:p>
            <w:pPr>
              <w:pStyle w:val="8"/>
              <w:widowControl/>
              <w:jc w:val="center"/>
              <w:rPr>
                <w:rFonts w:ascii="仿宋_GB2312" w:hAnsi="仿宋_GB2312" w:eastAsia="仿宋_GB2312" w:cs="宋体"/>
                <w:kern w:val="0"/>
                <w:sz w:val="28"/>
                <w:szCs w:val="28"/>
              </w:rPr>
            </w:pPr>
            <w:r>
              <w:rPr>
                <w:rFonts w:hint="eastAsia" w:ascii="仿宋_GB2312" w:hAnsi="仿宋_GB2312" w:eastAsia="仿宋_GB2312" w:cs="宋体"/>
                <w:kern w:val="0"/>
                <w:sz w:val="28"/>
                <w:szCs w:val="28"/>
              </w:rPr>
              <w:t>重点条款</w:t>
            </w:r>
          </w:p>
        </w:tc>
        <w:tc>
          <w:tcPr>
            <w:tcW w:w="1869" w:type="dxa"/>
            <w:tcBorders>
              <w:bottom w:val="single" w:color="auto" w:sz="4" w:space="0"/>
            </w:tcBorders>
            <w:vAlign w:val="center"/>
          </w:tcPr>
          <w:p>
            <w:pPr>
              <w:pStyle w:val="8"/>
              <w:widowControl/>
              <w:jc w:val="center"/>
              <w:rPr>
                <w:rFonts w:ascii="仿宋_GB2312" w:hAnsi="仿宋_GB2312" w:eastAsia="仿宋_GB2312" w:cs="宋体"/>
                <w:kern w:val="0"/>
                <w:sz w:val="28"/>
                <w:szCs w:val="28"/>
              </w:rPr>
            </w:pPr>
            <w:r>
              <w:rPr>
                <w:rFonts w:hint="eastAsia" w:ascii="仿宋_GB2312" w:hAnsi="仿宋_GB2312" w:eastAsia="仿宋_GB2312" w:cs="宋体"/>
                <w:kern w:val="0"/>
                <w:sz w:val="28"/>
                <w:szCs w:val="28"/>
              </w:rPr>
              <w:t>一般条款</w:t>
            </w:r>
          </w:p>
        </w:tc>
        <w:tc>
          <w:tcPr>
            <w:tcW w:w="4796" w:type="dxa"/>
            <w:vMerge w:val="continue"/>
            <w:vAlign w:val="center"/>
          </w:tcPr>
          <w:p>
            <w:pPr>
              <w:pStyle w:val="8"/>
              <w:jc w:val="center"/>
              <w:rPr>
                <w:rFonts w:ascii="仿宋_GB2312" w:hAnsi="仿宋_GB2312"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483" w:type="dxa"/>
            <w:vAlign w:val="center"/>
          </w:tcPr>
          <w:p>
            <w:pPr>
              <w:pStyle w:val="8"/>
              <w:widowControl/>
              <w:jc w:val="center"/>
              <w:rPr>
                <w:rFonts w:ascii="仿宋_GB2312" w:hAnsi="仿宋_GB2312" w:eastAsia="仿宋_GB2312" w:cs="宋体"/>
                <w:kern w:val="0"/>
                <w:sz w:val="28"/>
                <w:szCs w:val="28"/>
              </w:rPr>
            </w:pPr>
            <w:r>
              <w:rPr>
                <w:rFonts w:hint="eastAsia" w:ascii="仿宋_GB2312" w:hAnsi="仿宋_GB2312" w:eastAsia="仿宋_GB2312" w:cs="宋体"/>
                <w:kern w:val="0"/>
                <w:sz w:val="28"/>
                <w:szCs w:val="28"/>
              </w:rPr>
              <w:t>＜15％</w:t>
            </w:r>
          </w:p>
        </w:tc>
        <w:tc>
          <w:tcPr>
            <w:tcW w:w="1869" w:type="dxa"/>
            <w:tcBorders>
              <w:top w:val="single" w:color="auto" w:sz="4" w:space="0"/>
            </w:tcBorders>
            <w:vAlign w:val="center"/>
          </w:tcPr>
          <w:p>
            <w:pPr>
              <w:pStyle w:val="8"/>
              <w:widowControl/>
              <w:jc w:val="center"/>
              <w:rPr>
                <w:rFonts w:ascii="仿宋_GB2312" w:hAnsi="仿宋_GB2312" w:eastAsia="仿宋_GB2312" w:cs="宋体"/>
                <w:kern w:val="0"/>
                <w:sz w:val="28"/>
                <w:szCs w:val="28"/>
              </w:rPr>
            </w:pPr>
            <w:r>
              <w:rPr>
                <w:rFonts w:hint="eastAsia" w:ascii="仿宋_GB2312" w:hAnsi="仿宋_GB2312" w:eastAsia="仿宋_GB2312" w:cs="宋体"/>
                <w:kern w:val="0"/>
                <w:sz w:val="28"/>
                <w:szCs w:val="28"/>
              </w:rPr>
              <w:t>≤20％</w:t>
            </w:r>
          </w:p>
        </w:tc>
        <w:tc>
          <w:tcPr>
            <w:tcW w:w="4796" w:type="dxa"/>
            <w:vAlign w:val="center"/>
          </w:tcPr>
          <w:p>
            <w:pPr>
              <w:pStyle w:val="8"/>
              <w:jc w:val="center"/>
              <w:rPr>
                <w:rFonts w:ascii="仿宋_GB2312" w:hAnsi="仿宋_GB2312" w:eastAsia="仿宋_GB2312"/>
              </w:rPr>
            </w:pPr>
            <w:r>
              <w:rPr>
                <w:rFonts w:hint="eastAsia" w:ascii="仿宋_GB2312" w:hAnsi="仿宋_GB2312" w:eastAsia="仿宋_GB2312" w:cs="宋体"/>
                <w:kern w:val="0"/>
                <w:sz w:val="28"/>
                <w:szCs w:val="28"/>
              </w:rPr>
              <w:t>通过验收检查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483" w:type="dxa"/>
            <w:vAlign w:val="center"/>
          </w:tcPr>
          <w:p>
            <w:pPr>
              <w:pStyle w:val="8"/>
              <w:widowControl/>
              <w:jc w:val="center"/>
              <w:rPr>
                <w:rFonts w:ascii="仿宋_GB2312" w:hAnsi="仿宋_GB2312" w:eastAsia="仿宋_GB2312" w:cs="宋体"/>
                <w:kern w:val="0"/>
                <w:sz w:val="28"/>
                <w:szCs w:val="28"/>
              </w:rPr>
            </w:pPr>
            <w:r>
              <w:rPr>
                <w:rFonts w:hint="eastAsia" w:ascii="仿宋_GB2312" w:hAnsi="仿宋_GB2312" w:eastAsia="仿宋_GB2312" w:cs="宋体"/>
                <w:kern w:val="0"/>
                <w:sz w:val="28"/>
                <w:szCs w:val="28"/>
              </w:rPr>
              <w:t>＜15％</w:t>
            </w:r>
          </w:p>
        </w:tc>
        <w:tc>
          <w:tcPr>
            <w:tcW w:w="1869" w:type="dxa"/>
            <w:vAlign w:val="center"/>
          </w:tcPr>
          <w:p>
            <w:pPr>
              <w:pStyle w:val="8"/>
              <w:widowControl/>
              <w:jc w:val="center"/>
              <w:rPr>
                <w:rFonts w:ascii="仿宋_GB2312" w:hAnsi="仿宋_GB2312" w:eastAsia="仿宋_GB2312" w:cs="宋体"/>
                <w:kern w:val="0"/>
                <w:sz w:val="28"/>
                <w:szCs w:val="28"/>
              </w:rPr>
            </w:pPr>
            <w:r>
              <w:rPr>
                <w:rFonts w:hint="eastAsia" w:ascii="仿宋_GB2312" w:hAnsi="仿宋_GB2312" w:eastAsia="仿宋_GB2312" w:cs="宋体"/>
                <w:kern w:val="0"/>
                <w:sz w:val="28"/>
                <w:szCs w:val="28"/>
              </w:rPr>
              <w:t>&gt;20%</w:t>
            </w:r>
          </w:p>
        </w:tc>
        <w:tc>
          <w:tcPr>
            <w:tcW w:w="4796" w:type="dxa"/>
            <w:vMerge w:val="restart"/>
            <w:vAlign w:val="center"/>
          </w:tcPr>
          <w:p>
            <w:pPr>
              <w:pStyle w:val="8"/>
              <w:jc w:val="center"/>
              <w:rPr>
                <w:rFonts w:ascii="宋体" w:hAnsi="宋体" w:cs="宋体"/>
                <w:kern w:val="0"/>
                <w:sz w:val="28"/>
                <w:szCs w:val="28"/>
              </w:rPr>
            </w:pPr>
            <w:r>
              <w:rPr>
                <w:rFonts w:hint="eastAsia" w:ascii="仿宋_GB2312" w:hAnsi="仿宋_GB2312" w:eastAsia="仿宋_GB2312" w:cs="宋体"/>
                <w:kern w:val="0"/>
                <w:sz w:val="28"/>
                <w:szCs w:val="28"/>
              </w:rPr>
              <w:t>不通过验收检查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483" w:type="dxa"/>
            <w:vAlign w:val="center"/>
          </w:tcPr>
          <w:p>
            <w:pPr>
              <w:pStyle w:val="8"/>
              <w:widowControl/>
              <w:jc w:val="center"/>
              <w:rPr>
                <w:rFonts w:ascii="仿宋_GB2312" w:hAnsi="仿宋_GB2312" w:eastAsia="仿宋_GB2312" w:cs="宋体"/>
                <w:kern w:val="0"/>
                <w:sz w:val="28"/>
                <w:szCs w:val="28"/>
              </w:rPr>
            </w:pPr>
            <w:r>
              <w:rPr>
                <w:rFonts w:hint="eastAsia" w:ascii="仿宋_GB2312" w:hAnsi="仿宋_GB2312" w:eastAsia="仿宋_GB2312" w:cs="宋体"/>
                <w:kern w:val="0"/>
                <w:sz w:val="28"/>
                <w:szCs w:val="28"/>
              </w:rPr>
              <w:t>≥15％</w:t>
            </w:r>
          </w:p>
        </w:tc>
        <w:tc>
          <w:tcPr>
            <w:tcW w:w="1869" w:type="dxa"/>
            <w:vAlign w:val="center"/>
          </w:tcPr>
          <w:p>
            <w:pPr>
              <w:pStyle w:val="8"/>
              <w:widowControl/>
              <w:jc w:val="center"/>
              <w:rPr>
                <w:rFonts w:ascii="仿宋_GB2312" w:hAnsi="仿宋_GB2312" w:eastAsia="仿宋_GB2312" w:cs="宋体"/>
                <w:kern w:val="0"/>
                <w:sz w:val="28"/>
                <w:szCs w:val="28"/>
              </w:rPr>
            </w:pPr>
            <w:r>
              <w:rPr>
                <w:rFonts w:hint="eastAsia" w:ascii="仿宋_GB2312" w:hAnsi="仿宋_GB2312" w:eastAsia="仿宋_GB2312" w:cs="宋体"/>
                <w:kern w:val="0"/>
                <w:sz w:val="28"/>
                <w:szCs w:val="28"/>
              </w:rPr>
              <w:t>/</w:t>
            </w:r>
          </w:p>
        </w:tc>
        <w:tc>
          <w:tcPr>
            <w:tcW w:w="4796" w:type="dxa"/>
            <w:vMerge w:val="continue"/>
            <w:vAlign w:val="center"/>
          </w:tcPr>
          <w:p>
            <w:pPr>
              <w:pStyle w:val="8"/>
              <w:jc w:val="center"/>
              <w:rPr>
                <w:rFonts w:ascii="宋体" w:hAnsi="宋体" w:cs="宋体"/>
                <w:kern w:val="0"/>
                <w:sz w:val="28"/>
                <w:szCs w:val="28"/>
              </w:rPr>
            </w:pPr>
          </w:p>
        </w:tc>
      </w:tr>
    </w:tbl>
    <w:p>
      <w:pPr>
        <w:pStyle w:val="8"/>
        <w:widowControl/>
        <w:jc w:val="center"/>
        <w:rPr>
          <w:rFonts w:ascii="仿宋_GB2312" w:hAnsi="仿宋_GB2312" w:eastAsia="仿宋_GB2312" w:cs="宋体"/>
          <w:b/>
          <w:kern w:val="0"/>
          <w:sz w:val="28"/>
          <w:szCs w:val="28"/>
        </w:rPr>
      </w:pPr>
      <w:r>
        <w:rPr>
          <w:rFonts w:hint="eastAsia" w:ascii="仿宋_GB2312" w:hAnsi="仿宋_GB2312" w:eastAsia="仿宋_GB2312" w:cs="宋体"/>
          <w:b/>
          <w:kern w:val="0"/>
          <w:sz w:val="28"/>
          <w:szCs w:val="28"/>
        </w:rPr>
        <w:t>二、标准细则</w:t>
      </w:r>
    </w:p>
    <w:tbl>
      <w:tblPr>
        <w:tblStyle w:val="4"/>
        <w:tblW w:w="9575" w:type="dxa"/>
        <w:tblInd w:w="-2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5438"/>
        <w:gridCol w:w="31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Align w:val="center"/>
          </w:tcPr>
          <w:p>
            <w:pPr>
              <w:pStyle w:val="8"/>
              <w:widowControl/>
              <w:jc w:val="center"/>
              <w:rPr>
                <w:rFonts w:ascii="宋体" w:hAnsi="宋体"/>
                <w:b/>
                <w:bCs/>
                <w:kern w:val="0"/>
              </w:rPr>
            </w:pPr>
            <w:r>
              <w:rPr>
                <w:rFonts w:hint="eastAsia" w:ascii="宋体" w:hAnsi="宋体"/>
                <w:b/>
                <w:bCs/>
                <w:kern w:val="0"/>
              </w:rPr>
              <w:t>考核</w:t>
            </w:r>
          </w:p>
          <w:p>
            <w:pPr>
              <w:pStyle w:val="8"/>
              <w:widowControl/>
              <w:jc w:val="center"/>
              <w:rPr>
                <w:rFonts w:ascii="宋体" w:hAnsi="宋体"/>
                <w:b/>
                <w:kern w:val="0"/>
              </w:rPr>
            </w:pPr>
            <w:r>
              <w:rPr>
                <w:rFonts w:hint="eastAsia" w:ascii="宋体" w:hAnsi="宋体"/>
                <w:b/>
                <w:bCs/>
                <w:kern w:val="0"/>
              </w:rPr>
              <w:t>项目</w:t>
            </w:r>
          </w:p>
        </w:tc>
        <w:tc>
          <w:tcPr>
            <w:tcW w:w="5438" w:type="dxa"/>
            <w:vAlign w:val="center"/>
          </w:tcPr>
          <w:p>
            <w:pPr>
              <w:pStyle w:val="8"/>
              <w:widowControl/>
              <w:jc w:val="center"/>
              <w:rPr>
                <w:rFonts w:ascii="宋体" w:hAnsi="宋体"/>
                <w:b/>
                <w:kern w:val="0"/>
              </w:rPr>
            </w:pPr>
            <w:r>
              <w:rPr>
                <w:rFonts w:hint="eastAsia" w:ascii="宋体" w:hAnsi="宋体"/>
                <w:b/>
                <w:bCs/>
                <w:kern w:val="0"/>
              </w:rPr>
              <w:t>考  核  内  容</w:t>
            </w:r>
          </w:p>
        </w:tc>
        <w:tc>
          <w:tcPr>
            <w:tcW w:w="3129" w:type="dxa"/>
            <w:vAlign w:val="center"/>
          </w:tcPr>
          <w:p>
            <w:pPr>
              <w:pStyle w:val="8"/>
              <w:widowControl/>
              <w:jc w:val="center"/>
              <w:rPr>
                <w:rFonts w:ascii="宋体" w:hAnsi="宋体"/>
                <w:b/>
                <w:kern w:val="0"/>
              </w:rPr>
            </w:pPr>
            <w:r>
              <w:rPr>
                <w:rFonts w:hint="eastAsia" w:ascii="宋体" w:hAnsi="宋体"/>
                <w:b/>
                <w:bCs/>
                <w:kern w:val="0"/>
              </w:rPr>
              <w:t>检 查 方 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1008" w:type="dxa"/>
            <w:vMerge w:val="restart"/>
            <w:vAlign w:val="center"/>
          </w:tcPr>
          <w:p>
            <w:pPr>
              <w:pStyle w:val="8"/>
              <w:widowControl/>
              <w:ind w:left="320" w:leftChars="100"/>
              <w:rPr>
                <w:rFonts w:ascii="宋体" w:hAnsi="宋体"/>
                <w:kern w:val="0"/>
              </w:rPr>
            </w:pPr>
            <w:r>
              <w:rPr>
                <w:rFonts w:hint="eastAsia" w:ascii="宋体" w:hAnsi="宋体"/>
                <w:kern w:val="0"/>
              </w:rPr>
              <w:t>一、</w:t>
            </w:r>
          </w:p>
          <w:p>
            <w:pPr>
              <w:pStyle w:val="8"/>
              <w:widowControl/>
              <w:ind w:left="320" w:leftChars="100"/>
              <w:rPr>
                <w:rFonts w:ascii="宋体" w:hAnsi="宋体"/>
                <w:kern w:val="0"/>
              </w:rPr>
            </w:pPr>
          </w:p>
          <w:p>
            <w:pPr>
              <w:pStyle w:val="8"/>
              <w:widowControl/>
              <w:ind w:left="320" w:leftChars="100"/>
              <w:rPr>
                <w:rFonts w:ascii="宋体" w:hAnsi="宋体"/>
                <w:kern w:val="0"/>
              </w:rPr>
            </w:pPr>
            <w:r>
              <w:rPr>
                <w:rFonts w:hint="eastAsia" w:ascii="宋体" w:hAnsi="宋体"/>
                <w:kern w:val="0"/>
              </w:rPr>
              <w:t>机</w:t>
            </w:r>
          </w:p>
          <w:p>
            <w:pPr>
              <w:pStyle w:val="8"/>
              <w:widowControl/>
              <w:ind w:left="320" w:leftChars="100"/>
              <w:rPr>
                <w:rFonts w:ascii="宋体" w:hAnsi="宋体"/>
                <w:kern w:val="0"/>
              </w:rPr>
            </w:pPr>
          </w:p>
          <w:p>
            <w:pPr>
              <w:pStyle w:val="8"/>
              <w:widowControl/>
              <w:ind w:left="320" w:leftChars="100"/>
              <w:rPr>
                <w:rFonts w:ascii="宋体" w:hAnsi="宋体"/>
                <w:kern w:val="0"/>
              </w:rPr>
            </w:pPr>
            <w:r>
              <w:rPr>
                <w:rFonts w:hint="eastAsia" w:ascii="宋体" w:hAnsi="宋体"/>
                <w:kern w:val="0"/>
              </w:rPr>
              <w:t>构</w:t>
            </w:r>
          </w:p>
          <w:p>
            <w:pPr>
              <w:pStyle w:val="8"/>
              <w:widowControl/>
              <w:ind w:left="320" w:leftChars="100"/>
              <w:rPr>
                <w:rFonts w:ascii="宋体" w:hAnsi="宋体"/>
                <w:kern w:val="0"/>
              </w:rPr>
            </w:pPr>
          </w:p>
          <w:p>
            <w:pPr>
              <w:pStyle w:val="8"/>
              <w:widowControl/>
              <w:ind w:left="320" w:leftChars="100"/>
              <w:rPr>
                <w:rFonts w:ascii="宋体" w:hAnsi="宋体"/>
                <w:kern w:val="0"/>
              </w:rPr>
            </w:pPr>
            <w:r>
              <w:rPr>
                <w:rFonts w:hint="eastAsia" w:ascii="宋体" w:hAnsi="宋体"/>
                <w:kern w:val="0"/>
              </w:rPr>
              <w:t>和</w:t>
            </w:r>
          </w:p>
          <w:p>
            <w:pPr>
              <w:pStyle w:val="8"/>
              <w:widowControl/>
              <w:ind w:left="320" w:leftChars="100"/>
              <w:rPr>
                <w:rFonts w:ascii="宋体" w:hAnsi="宋体"/>
                <w:kern w:val="0"/>
              </w:rPr>
            </w:pPr>
          </w:p>
          <w:p>
            <w:pPr>
              <w:pStyle w:val="8"/>
              <w:widowControl/>
              <w:ind w:left="320" w:leftChars="100"/>
              <w:rPr>
                <w:rFonts w:ascii="宋体" w:hAnsi="宋体"/>
                <w:kern w:val="0"/>
              </w:rPr>
            </w:pPr>
            <w:r>
              <w:rPr>
                <w:rFonts w:hint="eastAsia" w:ascii="宋体" w:hAnsi="宋体"/>
                <w:kern w:val="0"/>
              </w:rPr>
              <w:t>人</w:t>
            </w:r>
          </w:p>
          <w:p>
            <w:pPr>
              <w:pStyle w:val="8"/>
              <w:widowControl/>
              <w:ind w:left="320" w:leftChars="100"/>
              <w:rPr>
                <w:rFonts w:ascii="宋体" w:hAnsi="宋体"/>
                <w:kern w:val="0"/>
              </w:rPr>
            </w:pPr>
          </w:p>
          <w:p>
            <w:pPr>
              <w:pStyle w:val="8"/>
              <w:widowControl/>
              <w:ind w:left="320" w:leftChars="100"/>
              <w:rPr>
                <w:rFonts w:ascii="宋体" w:hAnsi="宋体"/>
                <w:kern w:val="0"/>
              </w:rPr>
            </w:pPr>
            <w:r>
              <w:rPr>
                <w:rFonts w:hint="eastAsia" w:ascii="宋体" w:hAnsi="宋体"/>
                <w:kern w:val="0"/>
              </w:rPr>
              <w:t>员</w:t>
            </w:r>
          </w:p>
        </w:tc>
        <w:tc>
          <w:tcPr>
            <w:tcW w:w="5438" w:type="dxa"/>
            <w:vAlign w:val="center"/>
          </w:tcPr>
          <w:p>
            <w:pPr>
              <w:pStyle w:val="8"/>
              <w:widowControl/>
              <w:spacing w:line="320" w:lineRule="exact"/>
              <w:rPr>
                <w:rFonts w:ascii="宋体" w:hAnsi="宋体"/>
                <w:kern w:val="0"/>
              </w:rPr>
            </w:pPr>
            <w:r>
              <w:rPr>
                <w:rFonts w:hint="eastAsia" w:ascii="宋体" w:hAnsi="宋体"/>
                <w:kern w:val="0"/>
              </w:rPr>
              <w:t>*1、由主管院长、核医学科主任等有关成员组成领导小组，负责本单位使用放射性药品的安全监督检查工作。（通用）</w:t>
            </w:r>
          </w:p>
        </w:tc>
        <w:tc>
          <w:tcPr>
            <w:tcW w:w="3129" w:type="dxa"/>
            <w:vAlign w:val="center"/>
          </w:tcPr>
          <w:p>
            <w:pPr>
              <w:pStyle w:val="8"/>
              <w:widowControl/>
              <w:spacing w:line="320" w:lineRule="exact"/>
              <w:rPr>
                <w:rFonts w:ascii="宋体" w:hAnsi="宋体"/>
                <w:kern w:val="0"/>
              </w:rPr>
            </w:pPr>
            <w:r>
              <w:rPr>
                <w:rFonts w:hint="eastAsia" w:ascii="宋体" w:hAnsi="宋体"/>
                <w:kern w:val="0"/>
              </w:rPr>
              <w:t>1、查文件；</w:t>
            </w:r>
          </w:p>
          <w:p>
            <w:pPr>
              <w:pStyle w:val="8"/>
              <w:widowControl/>
              <w:spacing w:line="320" w:lineRule="exact"/>
              <w:rPr>
                <w:rFonts w:ascii="宋体" w:hAnsi="宋体"/>
                <w:kern w:val="0"/>
              </w:rPr>
            </w:pPr>
            <w:r>
              <w:rPr>
                <w:rFonts w:hint="eastAsia" w:ascii="宋体" w:hAnsi="宋体"/>
                <w:kern w:val="0"/>
              </w:rPr>
              <w:t>2、查职工名册、人事档案。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1008" w:type="dxa"/>
            <w:vMerge w:val="continue"/>
            <w:vAlign w:val="center"/>
          </w:tcPr>
          <w:p>
            <w:pPr>
              <w:pStyle w:val="8"/>
              <w:widowControl/>
              <w:rPr>
                <w:rFonts w:ascii="宋体" w:hAnsi="宋体"/>
                <w:kern w:val="0"/>
              </w:rPr>
            </w:pPr>
          </w:p>
        </w:tc>
        <w:tc>
          <w:tcPr>
            <w:tcW w:w="5438" w:type="dxa"/>
            <w:vAlign w:val="center"/>
          </w:tcPr>
          <w:p>
            <w:pPr>
              <w:pStyle w:val="8"/>
              <w:widowControl/>
              <w:spacing w:line="320" w:lineRule="exact"/>
              <w:rPr>
                <w:rFonts w:hint="eastAsia" w:ascii="宋体" w:hAnsi="宋体" w:eastAsia="宋体"/>
                <w:kern w:val="0"/>
                <w:lang w:eastAsia="zh-CN"/>
              </w:rPr>
            </w:pPr>
            <w:r>
              <w:rPr>
                <w:rFonts w:hint="eastAsia" w:ascii="宋体" w:hAnsi="宋体"/>
                <w:kern w:val="0"/>
              </w:rPr>
              <w:t>2、具有医学院校毕业、经核医学专业培训半年以上，并获中级以上专业技术职务的人员（一类）</w:t>
            </w:r>
            <w:r>
              <w:rPr>
                <w:rFonts w:hint="eastAsia" w:ascii="宋体" w:hAnsi="宋体"/>
                <w:kern w:val="0"/>
                <w:lang w:eastAsia="zh-CN"/>
              </w:rPr>
              <w:t>。</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5" w:hRule="atLeast"/>
        </w:trPr>
        <w:tc>
          <w:tcPr>
            <w:tcW w:w="1008" w:type="dxa"/>
            <w:vMerge w:val="continue"/>
            <w:vAlign w:val="center"/>
          </w:tcPr>
          <w:p>
            <w:pPr>
              <w:pStyle w:val="8"/>
              <w:widowControl/>
              <w:rPr>
                <w:rFonts w:ascii="宋体" w:hAnsi="宋体"/>
                <w:kern w:val="0"/>
              </w:rPr>
            </w:pPr>
          </w:p>
        </w:tc>
        <w:tc>
          <w:tcPr>
            <w:tcW w:w="5438" w:type="dxa"/>
            <w:vAlign w:val="center"/>
          </w:tcPr>
          <w:p>
            <w:pPr>
              <w:pStyle w:val="8"/>
              <w:widowControl/>
              <w:spacing w:line="320" w:lineRule="exact"/>
              <w:rPr>
                <w:rFonts w:ascii="宋体" w:hAnsi="宋体"/>
                <w:kern w:val="0"/>
              </w:rPr>
            </w:pPr>
            <w:r>
              <w:rPr>
                <w:rFonts w:hint="eastAsia" w:ascii="宋体" w:hAnsi="宋体"/>
                <w:kern w:val="0"/>
              </w:rPr>
              <w:t>3、具有中专以上文化程度、经核医学（放免）专业培训，从事本专业三年以上的技术人员（一类）</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1008" w:type="dxa"/>
            <w:vMerge w:val="continue"/>
            <w:vAlign w:val="center"/>
          </w:tcPr>
          <w:p>
            <w:pPr>
              <w:pStyle w:val="8"/>
              <w:widowControl/>
              <w:rPr>
                <w:rFonts w:ascii="宋体" w:hAnsi="宋体"/>
                <w:kern w:val="0"/>
              </w:rPr>
            </w:pPr>
          </w:p>
        </w:tc>
        <w:tc>
          <w:tcPr>
            <w:tcW w:w="5438" w:type="dxa"/>
            <w:vAlign w:val="center"/>
          </w:tcPr>
          <w:p>
            <w:pPr>
              <w:pStyle w:val="8"/>
              <w:widowControl/>
              <w:spacing w:line="320" w:lineRule="exact"/>
              <w:rPr>
                <w:rFonts w:ascii="宋体" w:hAnsi="宋体"/>
                <w:kern w:val="0"/>
              </w:rPr>
            </w:pPr>
            <w:r>
              <w:rPr>
                <w:rFonts w:hint="eastAsia" w:ascii="宋体" w:hAnsi="宋体"/>
                <w:kern w:val="0"/>
              </w:rPr>
              <w:t>4、操作放射性物质的人员应持有卫生行政部门发给的《放射工作人员证》或培训证书（通用）</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0" w:hRule="atLeast"/>
        </w:trPr>
        <w:tc>
          <w:tcPr>
            <w:tcW w:w="1008" w:type="dxa"/>
            <w:vMerge w:val="continue"/>
            <w:vAlign w:val="center"/>
          </w:tcPr>
          <w:p>
            <w:pPr>
              <w:pStyle w:val="8"/>
              <w:widowControl/>
              <w:rPr>
                <w:rFonts w:ascii="宋体" w:hAnsi="宋体"/>
                <w:kern w:val="0"/>
              </w:rPr>
            </w:pPr>
          </w:p>
        </w:tc>
        <w:tc>
          <w:tcPr>
            <w:tcW w:w="5438" w:type="dxa"/>
            <w:vAlign w:val="center"/>
          </w:tcPr>
          <w:p>
            <w:pPr>
              <w:pStyle w:val="8"/>
              <w:widowControl/>
              <w:spacing w:line="320" w:lineRule="exact"/>
              <w:rPr>
                <w:rFonts w:ascii="宋体" w:hAnsi="宋体"/>
                <w:kern w:val="0"/>
              </w:rPr>
            </w:pPr>
            <w:r>
              <w:rPr>
                <w:rFonts w:hint="eastAsia" w:ascii="宋体" w:hAnsi="宋体"/>
                <w:kern w:val="0"/>
              </w:rPr>
              <w:t>5、经核医学专业培训1年以上，并获中级以上专业技术职务的人员；从事放射性药品治疗的医疗机构，还必须配备核医学副高级以上专业技术职务的人员。（二、三、四类）</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rPr>
                <w:rFonts w:ascii="宋体" w:hAnsi="宋体"/>
                <w:kern w:val="0"/>
              </w:rPr>
            </w:pPr>
          </w:p>
        </w:tc>
        <w:tc>
          <w:tcPr>
            <w:tcW w:w="5438" w:type="dxa"/>
            <w:vAlign w:val="center"/>
          </w:tcPr>
          <w:p>
            <w:pPr>
              <w:pStyle w:val="8"/>
              <w:widowControl/>
              <w:spacing w:line="320" w:lineRule="exact"/>
              <w:rPr>
                <w:rFonts w:ascii="宋体" w:hAnsi="宋体"/>
                <w:kern w:val="0"/>
              </w:rPr>
            </w:pPr>
            <w:r>
              <w:rPr>
                <w:rFonts w:hint="eastAsia" w:ascii="宋体" w:hAnsi="宋体"/>
                <w:kern w:val="0"/>
              </w:rPr>
              <w:t>*6、具有负责放射性药品的配制、质量控制的专职技术人员（三、四类）</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rPr>
                <w:rFonts w:ascii="宋体" w:hAnsi="宋体"/>
                <w:kern w:val="0"/>
              </w:rPr>
            </w:pPr>
          </w:p>
        </w:tc>
        <w:tc>
          <w:tcPr>
            <w:tcW w:w="5438" w:type="dxa"/>
            <w:vAlign w:val="center"/>
          </w:tcPr>
          <w:p>
            <w:pPr>
              <w:pStyle w:val="8"/>
              <w:widowControl/>
              <w:spacing w:line="320" w:lineRule="exact"/>
              <w:rPr>
                <w:rFonts w:ascii="宋体" w:hAnsi="宋体"/>
                <w:kern w:val="0"/>
              </w:rPr>
            </w:pPr>
            <w:r>
              <w:rPr>
                <w:rFonts w:hint="eastAsia" w:ascii="宋体" w:hAnsi="宋体"/>
                <w:kern w:val="0"/>
              </w:rPr>
              <w:t>7、具有掌握核物理或辐射计量专业知识的技术人员（三、四类）</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rPr>
                <w:rFonts w:ascii="宋体" w:hAnsi="宋体"/>
                <w:kern w:val="0"/>
              </w:rPr>
            </w:pPr>
          </w:p>
        </w:tc>
        <w:tc>
          <w:tcPr>
            <w:tcW w:w="5438" w:type="dxa"/>
            <w:vAlign w:val="center"/>
          </w:tcPr>
          <w:p>
            <w:pPr>
              <w:pStyle w:val="8"/>
              <w:widowControl/>
              <w:spacing w:line="320" w:lineRule="exact"/>
              <w:rPr>
                <w:rFonts w:ascii="宋体" w:hAnsi="宋体"/>
                <w:kern w:val="0"/>
              </w:rPr>
            </w:pPr>
            <w:r>
              <w:rPr>
                <w:rFonts w:hint="eastAsia" w:ascii="宋体" w:hAnsi="宋体"/>
                <w:kern w:val="0"/>
              </w:rPr>
              <w:t>*8、应有10年以上核医学临床工作经验的正高级专业技术职务人员（四类）</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rPr>
                <w:rFonts w:ascii="宋体" w:hAnsi="宋体"/>
                <w:kern w:val="0"/>
              </w:rPr>
            </w:pPr>
          </w:p>
        </w:tc>
        <w:tc>
          <w:tcPr>
            <w:tcW w:w="5438" w:type="dxa"/>
            <w:vAlign w:val="center"/>
          </w:tcPr>
          <w:p>
            <w:pPr>
              <w:pStyle w:val="8"/>
              <w:widowControl/>
              <w:spacing w:line="320" w:lineRule="exact"/>
              <w:rPr>
                <w:rFonts w:ascii="宋体" w:hAnsi="宋体"/>
                <w:kern w:val="0"/>
              </w:rPr>
            </w:pPr>
            <w:r>
              <w:rPr>
                <w:rFonts w:hint="eastAsia" w:ascii="宋体" w:hAnsi="宋体"/>
                <w:kern w:val="0"/>
              </w:rPr>
              <w:t>9、具有核医学技术专业高级技术职务的人员（四类）</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ind w:left="320" w:leftChars="100"/>
              <w:rPr>
                <w:rFonts w:ascii="宋体" w:hAnsi="宋体"/>
                <w:kern w:val="0"/>
              </w:rPr>
            </w:pPr>
          </w:p>
        </w:tc>
        <w:tc>
          <w:tcPr>
            <w:tcW w:w="5438" w:type="dxa"/>
            <w:vAlign w:val="center"/>
          </w:tcPr>
          <w:p>
            <w:pPr>
              <w:pStyle w:val="8"/>
              <w:widowControl/>
              <w:spacing w:line="320" w:lineRule="exact"/>
              <w:rPr>
                <w:rFonts w:ascii="宋体" w:hAnsi="宋体"/>
                <w:kern w:val="0"/>
              </w:rPr>
            </w:pPr>
            <w:r>
              <w:rPr>
                <w:rFonts w:hint="eastAsia" w:ascii="宋体" w:hAnsi="宋体"/>
                <w:kern w:val="0"/>
              </w:rPr>
              <w:t>10、具有药学、化学等相关专业博士学位的副高级以上专业技术职务的人员（四类）</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ind w:left="320" w:leftChars="100"/>
              <w:rPr>
                <w:rFonts w:ascii="宋体" w:hAnsi="宋体"/>
                <w:kern w:val="0"/>
              </w:rPr>
            </w:pPr>
          </w:p>
        </w:tc>
        <w:tc>
          <w:tcPr>
            <w:tcW w:w="5438" w:type="dxa"/>
            <w:vAlign w:val="center"/>
          </w:tcPr>
          <w:p>
            <w:pPr>
              <w:pStyle w:val="8"/>
              <w:widowControl/>
              <w:spacing w:line="320" w:lineRule="exact"/>
              <w:rPr>
                <w:rFonts w:ascii="宋体" w:hAnsi="宋体"/>
                <w:kern w:val="0"/>
              </w:rPr>
            </w:pPr>
            <w:r>
              <w:rPr>
                <w:rFonts w:hint="eastAsia" w:ascii="宋体" w:hAnsi="宋体"/>
                <w:kern w:val="0"/>
              </w:rPr>
              <w:t>11、具有核物理或生物物理学位、中级专业技术职务的核物理或辐射剂量学专业技术人员（四类）</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ind w:left="320" w:leftChars="100"/>
              <w:rPr>
                <w:rFonts w:ascii="宋体" w:hAnsi="宋体"/>
                <w:kern w:val="0"/>
              </w:rPr>
            </w:pPr>
          </w:p>
        </w:tc>
        <w:tc>
          <w:tcPr>
            <w:tcW w:w="5438" w:type="dxa"/>
            <w:vAlign w:val="center"/>
          </w:tcPr>
          <w:p>
            <w:pPr>
              <w:pStyle w:val="8"/>
              <w:widowControl/>
              <w:spacing w:line="320" w:lineRule="exact"/>
              <w:rPr>
                <w:rFonts w:ascii="宋体" w:hAnsi="宋体"/>
                <w:kern w:val="0"/>
              </w:rPr>
            </w:pPr>
            <w:r>
              <w:rPr>
                <w:rFonts w:hint="eastAsia" w:ascii="宋体" w:hAnsi="宋体"/>
                <w:kern w:val="0"/>
              </w:rPr>
              <w:t>12、所有医护人员应具有相关执业资格，执业注册地点应与所在单位一致（通用）</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ind w:left="320" w:leftChars="100"/>
              <w:rPr>
                <w:rFonts w:ascii="宋体" w:hAnsi="宋体"/>
                <w:kern w:val="0"/>
              </w:rPr>
            </w:pPr>
          </w:p>
        </w:tc>
        <w:tc>
          <w:tcPr>
            <w:tcW w:w="5438" w:type="dxa"/>
            <w:vAlign w:val="center"/>
          </w:tcPr>
          <w:p>
            <w:pPr>
              <w:pStyle w:val="8"/>
              <w:widowControl/>
              <w:spacing w:line="320" w:lineRule="exact"/>
              <w:rPr>
                <w:rFonts w:ascii="宋体" w:hAnsi="宋体"/>
                <w:kern w:val="0"/>
              </w:rPr>
            </w:pPr>
            <w:r>
              <w:rPr>
                <w:rFonts w:hint="eastAsia" w:ascii="宋体" w:hAnsi="宋体"/>
                <w:kern w:val="0"/>
              </w:rPr>
              <w:t>13、医疗机构应具有从事正电子类放射性药品制备和质量管理的专职人员，人员职责明确。应配备专门从事加速器、自动合成模块操作的专业人员。应有放射性药品质量控制与检测人员。（三、四类）</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ind w:left="320" w:leftChars="100"/>
              <w:rPr>
                <w:rFonts w:ascii="宋体" w:hAnsi="宋体"/>
                <w:kern w:val="0"/>
              </w:rPr>
            </w:pPr>
          </w:p>
        </w:tc>
        <w:tc>
          <w:tcPr>
            <w:tcW w:w="5438" w:type="dxa"/>
            <w:vAlign w:val="center"/>
          </w:tcPr>
          <w:p>
            <w:pPr>
              <w:pStyle w:val="8"/>
              <w:widowControl/>
              <w:spacing w:line="320" w:lineRule="exact"/>
              <w:rPr>
                <w:rFonts w:ascii="宋体" w:hAnsi="宋体"/>
                <w:kern w:val="0"/>
              </w:rPr>
            </w:pPr>
            <w:r>
              <w:rPr>
                <w:rFonts w:hint="eastAsia" w:ascii="宋体" w:hAnsi="宋体"/>
                <w:kern w:val="0"/>
              </w:rPr>
              <w:t>*14、制备放射性药品时应有各自独立的制备和质量控制人员，不得由同一人兼任。（三、四类）</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ind w:left="320" w:leftChars="100"/>
              <w:rPr>
                <w:rFonts w:ascii="宋体" w:hAnsi="宋体"/>
                <w:kern w:val="0"/>
              </w:rPr>
            </w:pPr>
          </w:p>
        </w:tc>
        <w:tc>
          <w:tcPr>
            <w:tcW w:w="5438" w:type="dxa"/>
            <w:vAlign w:val="center"/>
          </w:tcPr>
          <w:p>
            <w:pPr>
              <w:pStyle w:val="8"/>
              <w:widowControl/>
              <w:spacing w:line="320" w:lineRule="exact"/>
              <w:rPr>
                <w:rFonts w:ascii="宋体" w:hAnsi="宋体"/>
                <w:kern w:val="0"/>
              </w:rPr>
            </w:pPr>
            <w:r>
              <w:rPr>
                <w:rFonts w:hint="eastAsia" w:ascii="宋体" w:hAnsi="宋体"/>
                <w:kern w:val="0"/>
              </w:rPr>
              <w:t>15、从事正电子类放射性质量检验的人员应经中国药品生物制品检定所或国家食品药品监督管理局授权的药品检验机构专业技术培训，并取得培训合格证书。（三、四类）</w:t>
            </w:r>
          </w:p>
        </w:tc>
        <w:tc>
          <w:tcPr>
            <w:tcW w:w="3129" w:type="dxa"/>
            <w:vAlign w:val="center"/>
          </w:tcPr>
          <w:p>
            <w:pPr>
              <w:pStyle w:val="8"/>
              <w:widowControl/>
              <w:spacing w:line="320" w:lineRule="exact"/>
              <w:rPr>
                <w:rFonts w:ascii="宋体" w:hAnsi="宋体"/>
                <w:kern w:val="0"/>
              </w:rPr>
            </w:pPr>
            <w:r>
              <w:rPr>
                <w:rFonts w:hint="eastAsia" w:ascii="宋体" w:hAnsi="宋体"/>
                <w:kern w:val="0"/>
              </w:rPr>
              <w:t>查职工名册、培训及考核资料、证书。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restart"/>
            <w:vAlign w:val="center"/>
          </w:tcPr>
          <w:p>
            <w:pPr>
              <w:pStyle w:val="8"/>
              <w:widowControl/>
              <w:spacing w:line="340" w:lineRule="exact"/>
              <w:ind w:left="320" w:leftChars="100"/>
              <w:rPr>
                <w:rFonts w:ascii="宋体" w:hAnsi="宋体"/>
                <w:kern w:val="0"/>
              </w:rPr>
            </w:pPr>
            <w:r>
              <w:rPr>
                <w:rFonts w:hint="eastAsia" w:ascii="宋体" w:hAnsi="宋体"/>
                <w:kern w:val="0"/>
              </w:rPr>
              <w:t>二、</w:t>
            </w:r>
          </w:p>
          <w:p>
            <w:pPr>
              <w:pStyle w:val="8"/>
              <w:widowControl/>
              <w:spacing w:line="340" w:lineRule="exact"/>
              <w:ind w:left="320" w:leftChars="100"/>
              <w:rPr>
                <w:rFonts w:ascii="宋体" w:hAnsi="宋体"/>
                <w:kern w:val="0"/>
              </w:rPr>
            </w:pPr>
          </w:p>
          <w:p>
            <w:pPr>
              <w:pStyle w:val="8"/>
              <w:widowControl/>
              <w:spacing w:line="340" w:lineRule="exact"/>
              <w:ind w:left="320" w:leftChars="100"/>
              <w:rPr>
                <w:rFonts w:ascii="宋体" w:hAnsi="宋体"/>
                <w:kern w:val="0"/>
              </w:rPr>
            </w:pPr>
            <w:r>
              <w:rPr>
                <w:rFonts w:hint="eastAsia" w:ascii="宋体" w:hAnsi="宋体"/>
                <w:kern w:val="0"/>
              </w:rPr>
              <w:t>房</w:t>
            </w:r>
          </w:p>
          <w:p>
            <w:pPr>
              <w:pStyle w:val="8"/>
              <w:widowControl/>
              <w:spacing w:line="340" w:lineRule="exact"/>
              <w:ind w:left="320" w:leftChars="100"/>
              <w:rPr>
                <w:rFonts w:ascii="宋体" w:hAnsi="宋体"/>
                <w:kern w:val="0"/>
              </w:rPr>
            </w:pPr>
          </w:p>
          <w:p>
            <w:pPr>
              <w:pStyle w:val="8"/>
              <w:widowControl/>
              <w:spacing w:line="340" w:lineRule="exact"/>
              <w:ind w:left="320" w:leftChars="100"/>
              <w:rPr>
                <w:rFonts w:ascii="宋体" w:hAnsi="宋体"/>
                <w:kern w:val="0"/>
              </w:rPr>
            </w:pPr>
            <w:r>
              <w:rPr>
                <w:rFonts w:hint="eastAsia" w:ascii="宋体" w:hAnsi="宋体"/>
                <w:kern w:val="0"/>
              </w:rPr>
              <w:t>屋</w:t>
            </w:r>
          </w:p>
          <w:p>
            <w:pPr>
              <w:pStyle w:val="8"/>
              <w:widowControl/>
              <w:spacing w:line="340" w:lineRule="exact"/>
              <w:ind w:left="320" w:leftChars="100"/>
              <w:rPr>
                <w:rFonts w:ascii="宋体" w:hAnsi="宋体"/>
                <w:kern w:val="0"/>
              </w:rPr>
            </w:pPr>
          </w:p>
          <w:p>
            <w:pPr>
              <w:pStyle w:val="8"/>
              <w:widowControl/>
              <w:spacing w:line="340" w:lineRule="exact"/>
              <w:ind w:left="320" w:leftChars="100"/>
              <w:rPr>
                <w:rFonts w:ascii="宋体" w:hAnsi="宋体"/>
                <w:kern w:val="0"/>
              </w:rPr>
            </w:pPr>
            <w:r>
              <w:rPr>
                <w:rFonts w:hint="eastAsia" w:ascii="宋体" w:hAnsi="宋体"/>
                <w:kern w:val="0"/>
              </w:rPr>
              <w:t>和</w:t>
            </w:r>
          </w:p>
          <w:p>
            <w:pPr>
              <w:pStyle w:val="8"/>
              <w:widowControl/>
              <w:spacing w:line="340" w:lineRule="exact"/>
              <w:ind w:left="320" w:leftChars="100"/>
              <w:rPr>
                <w:rFonts w:ascii="宋体" w:hAnsi="宋体"/>
                <w:kern w:val="0"/>
              </w:rPr>
            </w:pPr>
          </w:p>
          <w:p>
            <w:pPr>
              <w:pStyle w:val="8"/>
              <w:widowControl/>
              <w:spacing w:line="340" w:lineRule="exact"/>
              <w:ind w:left="320" w:leftChars="100"/>
              <w:rPr>
                <w:rFonts w:ascii="宋体" w:hAnsi="宋体"/>
                <w:kern w:val="0"/>
              </w:rPr>
            </w:pPr>
            <w:r>
              <w:rPr>
                <w:rFonts w:hint="eastAsia" w:ascii="宋体" w:hAnsi="宋体"/>
                <w:kern w:val="0"/>
              </w:rPr>
              <w:t>设</w:t>
            </w:r>
          </w:p>
          <w:p>
            <w:pPr>
              <w:pStyle w:val="8"/>
              <w:widowControl/>
              <w:spacing w:line="340" w:lineRule="exact"/>
              <w:ind w:left="320" w:leftChars="100"/>
              <w:rPr>
                <w:rFonts w:ascii="宋体" w:hAnsi="宋体"/>
                <w:kern w:val="0"/>
              </w:rPr>
            </w:pPr>
          </w:p>
          <w:p>
            <w:pPr>
              <w:pStyle w:val="8"/>
              <w:spacing w:line="340" w:lineRule="exact"/>
              <w:ind w:left="320" w:leftChars="100"/>
              <w:rPr>
                <w:rFonts w:ascii="宋体" w:hAnsi="宋体"/>
                <w:kern w:val="0"/>
              </w:rPr>
            </w:pPr>
            <w:r>
              <w:rPr>
                <w:rFonts w:hint="eastAsia" w:ascii="宋体" w:hAnsi="宋体"/>
                <w:kern w:val="0"/>
              </w:rPr>
              <w:t>施</w:t>
            </w:r>
          </w:p>
        </w:tc>
        <w:tc>
          <w:tcPr>
            <w:tcW w:w="5438" w:type="dxa"/>
            <w:vAlign w:val="center"/>
          </w:tcPr>
          <w:p>
            <w:pPr>
              <w:pStyle w:val="8"/>
              <w:widowControl/>
              <w:spacing w:line="340" w:lineRule="exact"/>
              <w:rPr>
                <w:rFonts w:ascii="宋体" w:hAnsi="宋体"/>
                <w:kern w:val="0"/>
              </w:rPr>
            </w:pPr>
            <w:r>
              <w:rPr>
                <w:rFonts w:hint="eastAsia" w:ascii="宋体" w:hAnsi="宋体"/>
                <w:kern w:val="0"/>
              </w:rPr>
              <w:t>*16、使用或配制放射性药品场所应符合国家关于辐射防护的有关规定，并获得环保部门核发的《辐射安全许可证》（通用）</w:t>
            </w:r>
          </w:p>
        </w:tc>
        <w:tc>
          <w:tcPr>
            <w:tcW w:w="3129" w:type="dxa"/>
            <w:vAlign w:val="center"/>
          </w:tcPr>
          <w:p>
            <w:pPr>
              <w:pStyle w:val="8"/>
              <w:widowControl/>
              <w:spacing w:line="340" w:lineRule="exact"/>
              <w:rPr>
                <w:rFonts w:ascii="宋体" w:hAnsi="宋体"/>
                <w:kern w:val="0"/>
              </w:rPr>
            </w:pPr>
            <w:r>
              <w:rPr>
                <w:rFonts w:hint="eastAsia" w:ascii="宋体" w:hAnsi="宋体"/>
                <w:kern w:val="0"/>
              </w:rPr>
              <w:t>查证书。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spacing w:line="340" w:lineRule="exact"/>
              <w:ind w:left="320" w:leftChars="100"/>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17、具有与诊断和治疗相适应的实验室和病房, 并且内墙表面平整、光洁，操作区的地面应易于去污、清洁（通用）</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spacing w:line="340" w:lineRule="exact"/>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18、实验室设通风设施，具有放射性药品用具的洗刷和消毒设施（通用）</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spacing w:line="340" w:lineRule="exact"/>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19、具备防昆虫和防尘设施（通用）</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spacing w:line="340" w:lineRule="exact"/>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20、具有满足辐射防护要求的存放放射性药品和废弃污物的设施（通用）</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spacing w:line="340" w:lineRule="exact"/>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*21、具有安全防盗设施（通用）</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spacing w:line="340" w:lineRule="exact"/>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*22、使用含等效活度1.11GBq以上的碘[131I]或其它核素放射性药品治疗的医疗机构应有专用病房（通用）</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spacing w:line="340" w:lineRule="exact"/>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*23、制备区域应按制备工艺流程及所要求的空气洁净级别进行合理布局。放射性操作区应保持负压，与非放射性工作区应隔开。（三、四类）</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spacing w:line="340" w:lineRule="exact"/>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*24、具备符合国家规定的动物实验的基本条件和设施（四类）</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spacing w:line="340" w:lineRule="exact"/>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*25、房屋应根据诊疗过程合理布局，应避免高活度区域与低活度区域交叉污染（通用）</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spacing w:line="340" w:lineRule="exact"/>
              <w:ind w:left="320" w:leftChars="100"/>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26、放射性药品配制场所出入口应设置去污洗涤、更衣设施，出口应设置放射性剂量检测设备。（三、四类）</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0" w:hRule="atLeast"/>
        </w:trPr>
        <w:tc>
          <w:tcPr>
            <w:tcW w:w="1008" w:type="dxa"/>
            <w:vMerge w:val="continue"/>
            <w:vAlign w:val="center"/>
          </w:tcPr>
          <w:p>
            <w:pPr>
              <w:pStyle w:val="8"/>
              <w:widowControl/>
              <w:spacing w:line="340" w:lineRule="exact"/>
              <w:ind w:left="320" w:leftChars="100"/>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27、洁净室(区)的窗户、天棚及进入室内的管道、风口、灯具与墙壁或天棚的连接部位均应密封。在设计和安装上述设施时，应考虑避免出现不易清洁的部位。（三、四类）</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continue"/>
            <w:vAlign w:val="center"/>
          </w:tcPr>
          <w:p>
            <w:pPr>
              <w:pStyle w:val="8"/>
              <w:widowControl/>
              <w:spacing w:line="340" w:lineRule="exact"/>
              <w:ind w:left="320" w:leftChars="100"/>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*28、进入洁净室(区)的空气应当净化，小容量注射剂放射性药品的灌装的制备环境的洁净度级别是C级背景下局部A级。（三、四类）</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查现场及监测结果。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0" w:hRule="atLeast"/>
        </w:trPr>
        <w:tc>
          <w:tcPr>
            <w:tcW w:w="1008" w:type="dxa"/>
            <w:vMerge w:val="continue"/>
            <w:vAlign w:val="center"/>
          </w:tcPr>
          <w:p>
            <w:pPr>
              <w:pStyle w:val="8"/>
              <w:widowControl/>
              <w:spacing w:line="340" w:lineRule="exact"/>
              <w:ind w:left="320" w:leftChars="100"/>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29、放置自动化合成模块的防护箱其技术指标应符合国家有关规定。防护箱应有独立的通风系统，废气排放前应有相应的净化措施，排放标准应符合国家有关规定。进入合成室的放射性物料传输管道和气体管道应有密封和防止交叉污染的措施。（三、四类）</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1008" w:type="dxa"/>
            <w:vMerge w:val="continue"/>
            <w:vAlign w:val="center"/>
          </w:tcPr>
          <w:p>
            <w:pPr>
              <w:pStyle w:val="8"/>
              <w:widowControl/>
              <w:spacing w:line="360" w:lineRule="exact"/>
              <w:ind w:left="320" w:leftChars="100"/>
              <w:rPr>
                <w:rFonts w:ascii="宋体" w:hAnsi="宋体"/>
                <w:kern w:val="0"/>
              </w:rPr>
            </w:pPr>
          </w:p>
        </w:tc>
        <w:tc>
          <w:tcPr>
            <w:tcW w:w="5438" w:type="dxa"/>
            <w:vAlign w:val="center"/>
          </w:tcPr>
          <w:p>
            <w:pPr>
              <w:pStyle w:val="8"/>
              <w:widowControl/>
              <w:spacing w:line="360" w:lineRule="exact"/>
              <w:rPr>
                <w:rFonts w:ascii="宋体" w:hAnsi="宋体"/>
                <w:kern w:val="0"/>
              </w:rPr>
            </w:pPr>
            <w:r>
              <w:rPr>
                <w:rFonts w:hint="eastAsia" w:ascii="宋体" w:hAnsi="宋体"/>
                <w:kern w:val="0"/>
              </w:rPr>
              <w:t>*30、药品质量控制与制备不得在同一工作室内进行。（三、四类）</w:t>
            </w:r>
          </w:p>
        </w:tc>
        <w:tc>
          <w:tcPr>
            <w:tcW w:w="3129" w:type="dxa"/>
            <w:vAlign w:val="center"/>
          </w:tcPr>
          <w:p>
            <w:pPr>
              <w:pStyle w:val="8"/>
              <w:widowControl/>
              <w:spacing w:line="36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08" w:type="dxa"/>
            <w:vMerge w:val="restart"/>
            <w:vAlign w:val="center"/>
          </w:tcPr>
          <w:p>
            <w:pPr>
              <w:pStyle w:val="8"/>
              <w:widowControl/>
              <w:ind w:left="320" w:leftChars="100"/>
              <w:rPr>
                <w:rFonts w:ascii="宋体" w:hAnsi="宋体"/>
                <w:kern w:val="0"/>
              </w:rPr>
            </w:pPr>
            <w:r>
              <w:rPr>
                <w:rFonts w:hint="eastAsia" w:ascii="宋体" w:hAnsi="宋体"/>
                <w:kern w:val="0"/>
              </w:rPr>
              <w:t>三、</w:t>
            </w:r>
          </w:p>
          <w:p>
            <w:pPr>
              <w:pStyle w:val="8"/>
              <w:widowControl/>
              <w:ind w:left="320" w:leftChars="100"/>
              <w:rPr>
                <w:rFonts w:ascii="宋体" w:hAnsi="宋体"/>
                <w:kern w:val="0"/>
              </w:rPr>
            </w:pPr>
            <w:r>
              <w:rPr>
                <w:rFonts w:hint="eastAsia" w:ascii="宋体" w:hAnsi="宋体"/>
                <w:kern w:val="0"/>
              </w:rPr>
              <w:t>仪</w:t>
            </w:r>
          </w:p>
          <w:p>
            <w:pPr>
              <w:pStyle w:val="8"/>
              <w:widowControl/>
              <w:ind w:left="320" w:leftChars="100"/>
              <w:rPr>
                <w:rFonts w:ascii="宋体" w:hAnsi="宋体"/>
                <w:kern w:val="0"/>
              </w:rPr>
            </w:pPr>
          </w:p>
          <w:p>
            <w:pPr>
              <w:pStyle w:val="8"/>
              <w:widowControl/>
              <w:ind w:left="320" w:leftChars="100"/>
              <w:rPr>
                <w:rFonts w:ascii="宋体" w:hAnsi="宋体"/>
                <w:kern w:val="0"/>
              </w:rPr>
            </w:pPr>
            <w:r>
              <w:rPr>
                <w:rFonts w:hint="eastAsia" w:ascii="宋体" w:hAnsi="宋体"/>
                <w:kern w:val="0"/>
              </w:rPr>
              <w:t>器</w:t>
            </w:r>
          </w:p>
          <w:p>
            <w:pPr>
              <w:pStyle w:val="8"/>
              <w:widowControl/>
              <w:ind w:left="320" w:leftChars="100"/>
              <w:rPr>
                <w:rFonts w:ascii="宋体" w:hAnsi="宋体"/>
                <w:kern w:val="0"/>
              </w:rPr>
            </w:pPr>
          </w:p>
          <w:p>
            <w:pPr>
              <w:pStyle w:val="8"/>
              <w:widowControl/>
              <w:ind w:left="320" w:leftChars="100"/>
              <w:rPr>
                <w:rFonts w:ascii="宋体" w:hAnsi="宋体"/>
                <w:kern w:val="0"/>
              </w:rPr>
            </w:pPr>
            <w:r>
              <w:rPr>
                <w:rFonts w:hint="eastAsia" w:ascii="宋体" w:hAnsi="宋体"/>
                <w:kern w:val="0"/>
              </w:rPr>
              <w:t>与</w:t>
            </w:r>
          </w:p>
          <w:p>
            <w:pPr>
              <w:pStyle w:val="8"/>
              <w:widowControl/>
              <w:ind w:left="320" w:leftChars="100"/>
              <w:rPr>
                <w:rFonts w:ascii="宋体" w:hAnsi="宋体"/>
                <w:kern w:val="0"/>
              </w:rPr>
            </w:pPr>
          </w:p>
          <w:p>
            <w:pPr>
              <w:pStyle w:val="8"/>
              <w:widowControl/>
              <w:ind w:left="320" w:leftChars="100"/>
              <w:rPr>
                <w:rFonts w:ascii="宋体" w:hAnsi="宋体"/>
                <w:kern w:val="0"/>
              </w:rPr>
            </w:pPr>
            <w:r>
              <w:rPr>
                <w:rFonts w:hint="eastAsia" w:ascii="宋体" w:hAnsi="宋体"/>
                <w:kern w:val="0"/>
              </w:rPr>
              <w:t>设</w:t>
            </w:r>
          </w:p>
          <w:p>
            <w:pPr>
              <w:pStyle w:val="8"/>
              <w:widowControl/>
              <w:ind w:left="320" w:leftChars="100"/>
              <w:rPr>
                <w:rFonts w:ascii="宋体" w:hAnsi="宋体"/>
                <w:kern w:val="0"/>
              </w:rPr>
            </w:pPr>
          </w:p>
          <w:p>
            <w:pPr>
              <w:pStyle w:val="8"/>
              <w:ind w:left="320" w:leftChars="100"/>
              <w:rPr>
                <w:rFonts w:ascii="宋体" w:hAnsi="宋体"/>
                <w:kern w:val="0"/>
              </w:rPr>
            </w:pPr>
            <w:r>
              <w:rPr>
                <w:rFonts w:hint="eastAsia" w:ascii="宋体" w:hAnsi="宋体"/>
                <w:kern w:val="0"/>
              </w:rPr>
              <w:t>备</w:t>
            </w:r>
          </w:p>
        </w:tc>
        <w:tc>
          <w:tcPr>
            <w:tcW w:w="5438" w:type="dxa"/>
            <w:vAlign w:val="center"/>
          </w:tcPr>
          <w:p>
            <w:pPr>
              <w:pStyle w:val="8"/>
              <w:widowControl/>
              <w:spacing w:line="360" w:lineRule="exact"/>
              <w:rPr>
                <w:rFonts w:ascii="宋体" w:hAnsi="宋体"/>
                <w:kern w:val="0"/>
              </w:rPr>
            </w:pPr>
            <w:r>
              <w:rPr>
                <w:rFonts w:hint="eastAsia" w:ascii="宋体" w:hAnsi="宋体"/>
                <w:kern w:val="0"/>
              </w:rPr>
              <w:t>*31、具有表面沾污监测仪并能正常使用（通用）</w:t>
            </w:r>
          </w:p>
        </w:tc>
        <w:tc>
          <w:tcPr>
            <w:tcW w:w="3129" w:type="dxa"/>
            <w:vAlign w:val="center"/>
          </w:tcPr>
          <w:p>
            <w:pPr>
              <w:pStyle w:val="8"/>
              <w:widowControl/>
              <w:spacing w:line="360" w:lineRule="exact"/>
              <w:rPr>
                <w:rFonts w:ascii="宋体" w:hAnsi="宋体"/>
                <w:kern w:val="0"/>
              </w:rPr>
            </w:pPr>
            <w:r>
              <w:rPr>
                <w:rFonts w:hint="eastAsia" w:ascii="宋体" w:hAnsi="宋体"/>
                <w:kern w:val="0"/>
              </w:rPr>
              <w:t>1、查现场；</w:t>
            </w:r>
          </w:p>
          <w:p>
            <w:pPr>
              <w:pStyle w:val="8"/>
              <w:widowControl/>
              <w:spacing w:line="360" w:lineRule="exact"/>
              <w:rPr>
                <w:rFonts w:ascii="宋体" w:hAnsi="宋体"/>
                <w:kern w:val="0"/>
              </w:rPr>
            </w:pPr>
            <w:r>
              <w:rPr>
                <w:rFonts w:hint="eastAsia" w:ascii="宋体" w:hAnsi="宋体"/>
                <w:kern w:val="0"/>
              </w:rPr>
              <w:t>2、查SOP；</w:t>
            </w:r>
          </w:p>
          <w:p>
            <w:pPr>
              <w:pStyle w:val="8"/>
              <w:widowControl/>
              <w:spacing w:line="360" w:lineRule="exact"/>
              <w:rPr>
                <w:rFonts w:ascii="宋体" w:hAnsi="宋体"/>
                <w:kern w:val="0"/>
              </w:rPr>
            </w:pPr>
            <w:r>
              <w:rPr>
                <w:rFonts w:hint="eastAsia" w:ascii="宋体" w:hAnsi="宋体"/>
                <w:kern w:val="0"/>
              </w:rPr>
              <w:t>3、查记录。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ind w:left="320" w:leftChars="100"/>
              <w:rPr>
                <w:rFonts w:ascii="宋体" w:hAnsi="宋体"/>
                <w:bCs/>
                <w:kern w:val="0"/>
              </w:rPr>
            </w:pPr>
          </w:p>
        </w:tc>
        <w:tc>
          <w:tcPr>
            <w:tcW w:w="5438" w:type="dxa"/>
            <w:vAlign w:val="center"/>
          </w:tcPr>
          <w:p>
            <w:pPr>
              <w:pStyle w:val="8"/>
              <w:widowControl/>
              <w:spacing w:line="360" w:lineRule="exact"/>
              <w:rPr>
                <w:rFonts w:ascii="宋体" w:hAnsi="宋体"/>
                <w:kern w:val="0"/>
              </w:rPr>
            </w:pPr>
            <w:r>
              <w:rPr>
                <w:rFonts w:hint="eastAsia" w:ascii="宋体" w:hAnsi="宋体"/>
                <w:kern w:val="0"/>
              </w:rPr>
              <w:t>32、具有加样器、</w:t>
            </w:r>
            <w:r>
              <w:rPr>
                <w:rFonts w:hint="eastAsia" w:ascii="宋体" w:hAnsi="宋体"/>
                <w:kern w:val="0"/>
              </w:rPr>
              <w:sym w:font="Symbol" w:char="F067"/>
            </w:r>
            <w:r>
              <w:rPr>
                <w:rFonts w:hint="eastAsia" w:ascii="宋体" w:hAnsi="宋体"/>
                <w:kern w:val="0"/>
              </w:rPr>
              <w:t>计数器或液体闪烁计数器、恒温水浴箱、离心机、冰箱等（一类）</w:t>
            </w:r>
          </w:p>
        </w:tc>
        <w:tc>
          <w:tcPr>
            <w:tcW w:w="3129" w:type="dxa"/>
            <w:vAlign w:val="center"/>
          </w:tcPr>
          <w:p>
            <w:pPr>
              <w:pStyle w:val="8"/>
              <w:widowControl/>
              <w:spacing w:line="360" w:lineRule="exact"/>
              <w:rPr>
                <w:rFonts w:ascii="宋体" w:hAnsi="宋体"/>
                <w:kern w:val="0"/>
              </w:rPr>
            </w:pPr>
            <w:r>
              <w:rPr>
                <w:rFonts w:hint="eastAsia" w:ascii="宋体" w:hAnsi="宋体"/>
                <w:kern w:val="0"/>
              </w:rPr>
              <w:t>1、查现场；</w:t>
            </w:r>
          </w:p>
          <w:p>
            <w:pPr>
              <w:pStyle w:val="8"/>
              <w:widowControl/>
              <w:spacing w:line="360" w:lineRule="exact"/>
              <w:rPr>
                <w:rFonts w:ascii="宋体" w:hAnsi="宋体"/>
                <w:kern w:val="0"/>
              </w:rPr>
            </w:pPr>
            <w:r>
              <w:rPr>
                <w:rFonts w:hint="eastAsia" w:ascii="宋体" w:hAnsi="宋体"/>
                <w:kern w:val="0"/>
              </w:rPr>
              <w:t>2、查SOP；</w:t>
            </w:r>
          </w:p>
          <w:p>
            <w:pPr>
              <w:pStyle w:val="8"/>
              <w:widowControl/>
              <w:spacing w:line="360" w:lineRule="exact"/>
              <w:rPr>
                <w:rFonts w:ascii="宋体" w:hAnsi="宋体"/>
                <w:kern w:val="0"/>
              </w:rPr>
            </w:pPr>
            <w:r>
              <w:rPr>
                <w:rFonts w:hint="eastAsia" w:ascii="宋体" w:hAnsi="宋体"/>
                <w:kern w:val="0"/>
              </w:rPr>
              <w:t>3、查记录。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jc w:val="center"/>
              <w:rPr>
                <w:rFonts w:ascii="宋体" w:hAnsi="宋体"/>
                <w:bCs/>
                <w:kern w:val="0"/>
              </w:rPr>
            </w:pPr>
          </w:p>
        </w:tc>
        <w:tc>
          <w:tcPr>
            <w:tcW w:w="5438" w:type="dxa"/>
            <w:vAlign w:val="center"/>
          </w:tcPr>
          <w:p>
            <w:pPr>
              <w:pStyle w:val="8"/>
              <w:widowControl/>
              <w:spacing w:line="360" w:lineRule="exact"/>
              <w:rPr>
                <w:rFonts w:ascii="宋体" w:hAnsi="宋体"/>
                <w:kern w:val="0"/>
              </w:rPr>
            </w:pPr>
            <w:r>
              <w:rPr>
                <w:rFonts w:hint="eastAsia" w:ascii="宋体" w:hAnsi="宋体"/>
                <w:kern w:val="0"/>
              </w:rPr>
              <w:t>33、具有满足辐射防护要求的储存、操作、废弃物处置等设备（通用）</w:t>
            </w:r>
          </w:p>
        </w:tc>
        <w:tc>
          <w:tcPr>
            <w:tcW w:w="3129" w:type="dxa"/>
            <w:vAlign w:val="center"/>
          </w:tcPr>
          <w:p>
            <w:pPr>
              <w:pStyle w:val="8"/>
              <w:widowControl/>
              <w:spacing w:line="360" w:lineRule="exact"/>
              <w:rPr>
                <w:rFonts w:ascii="宋体" w:hAnsi="宋体"/>
                <w:kern w:val="0"/>
              </w:rPr>
            </w:pPr>
            <w:r>
              <w:rPr>
                <w:rFonts w:hint="eastAsia" w:ascii="宋体" w:hAnsi="宋体"/>
                <w:kern w:val="0"/>
              </w:rPr>
              <w:t>1、查现场；</w:t>
            </w:r>
          </w:p>
          <w:p>
            <w:pPr>
              <w:pStyle w:val="8"/>
              <w:widowControl/>
              <w:spacing w:line="360" w:lineRule="exact"/>
              <w:rPr>
                <w:rFonts w:ascii="宋体" w:hAnsi="宋体"/>
                <w:kern w:val="0"/>
              </w:rPr>
            </w:pPr>
            <w:r>
              <w:rPr>
                <w:rFonts w:hint="eastAsia" w:ascii="宋体" w:hAnsi="宋体"/>
                <w:kern w:val="0"/>
              </w:rPr>
              <w:t>2、查SOP；</w:t>
            </w:r>
          </w:p>
          <w:p>
            <w:pPr>
              <w:pStyle w:val="8"/>
              <w:widowControl/>
              <w:spacing w:line="360" w:lineRule="exact"/>
              <w:rPr>
                <w:rFonts w:ascii="宋体" w:hAnsi="宋体"/>
                <w:kern w:val="0"/>
              </w:rPr>
            </w:pPr>
            <w:r>
              <w:rPr>
                <w:rFonts w:hint="eastAsia" w:ascii="宋体" w:hAnsi="宋体"/>
                <w:kern w:val="0"/>
              </w:rPr>
              <w:t>3、查记录。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jc w:val="center"/>
              <w:rPr>
                <w:rFonts w:ascii="宋体" w:hAnsi="宋体"/>
                <w:bCs/>
                <w:kern w:val="0"/>
              </w:rPr>
            </w:pPr>
          </w:p>
        </w:tc>
        <w:tc>
          <w:tcPr>
            <w:tcW w:w="5438" w:type="dxa"/>
            <w:vAlign w:val="center"/>
          </w:tcPr>
          <w:p>
            <w:pPr>
              <w:pStyle w:val="8"/>
              <w:widowControl/>
              <w:spacing w:line="360" w:lineRule="exact"/>
              <w:rPr>
                <w:rFonts w:ascii="宋体" w:hAnsi="宋体"/>
                <w:kern w:val="0"/>
              </w:rPr>
            </w:pPr>
            <w:r>
              <w:rPr>
                <w:rFonts w:hint="eastAsia" w:ascii="宋体" w:hAnsi="宋体"/>
                <w:kern w:val="0"/>
              </w:rPr>
              <w:t>34、具有洗刷、清洁等器具和设备（通用）</w:t>
            </w:r>
          </w:p>
        </w:tc>
        <w:tc>
          <w:tcPr>
            <w:tcW w:w="3129" w:type="dxa"/>
            <w:vAlign w:val="center"/>
          </w:tcPr>
          <w:p>
            <w:pPr>
              <w:pStyle w:val="8"/>
              <w:widowControl/>
              <w:spacing w:line="360" w:lineRule="exact"/>
              <w:rPr>
                <w:rFonts w:ascii="宋体" w:hAnsi="宋体"/>
                <w:kern w:val="0"/>
              </w:rPr>
            </w:pPr>
            <w:r>
              <w:rPr>
                <w:rFonts w:hint="eastAsia" w:ascii="宋体" w:hAnsi="宋体"/>
                <w:kern w:val="0"/>
              </w:rPr>
              <w:t>1、查现场；</w:t>
            </w:r>
          </w:p>
          <w:p>
            <w:pPr>
              <w:pStyle w:val="8"/>
              <w:widowControl/>
              <w:spacing w:line="360" w:lineRule="exact"/>
              <w:rPr>
                <w:rFonts w:ascii="宋体" w:hAnsi="宋体"/>
                <w:kern w:val="0"/>
              </w:rPr>
            </w:pPr>
            <w:r>
              <w:rPr>
                <w:rFonts w:hint="eastAsia" w:ascii="宋体" w:hAnsi="宋体"/>
                <w:kern w:val="0"/>
              </w:rPr>
              <w:t>2、查SOP；</w:t>
            </w:r>
          </w:p>
          <w:p>
            <w:pPr>
              <w:pStyle w:val="8"/>
              <w:widowControl/>
              <w:spacing w:line="360" w:lineRule="exact"/>
              <w:rPr>
                <w:rFonts w:ascii="宋体" w:hAnsi="宋体"/>
                <w:kern w:val="0"/>
              </w:rPr>
            </w:pPr>
            <w:r>
              <w:rPr>
                <w:rFonts w:hint="eastAsia" w:ascii="宋体" w:hAnsi="宋体"/>
                <w:kern w:val="0"/>
              </w:rPr>
              <w:t>3、查记录。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jc w:val="left"/>
              <w:rPr>
                <w:rFonts w:ascii="宋体" w:hAnsi="宋体"/>
                <w:bCs/>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35、开展体内放射性药品诊断：必须配备经标定的活度计(井型电离室)、 功能测定仪(甲功仪或肾图仪)或显像设备(</w:t>
            </w:r>
            <w:r>
              <w:rPr>
                <w:rFonts w:hint="eastAsia" w:ascii="宋体" w:hAnsi="宋体"/>
                <w:kern w:val="0"/>
              </w:rPr>
              <w:sym w:font="Symbol" w:char="F067"/>
            </w:r>
            <w:r>
              <w:rPr>
                <w:rFonts w:hint="eastAsia" w:ascii="宋体" w:hAnsi="宋体"/>
                <w:kern w:val="0"/>
              </w:rPr>
              <w:t>闪烁照相机或单光子发射计算机断层仪)；</w:t>
            </w:r>
          </w:p>
          <w:p>
            <w:pPr>
              <w:pStyle w:val="8"/>
              <w:widowControl/>
              <w:tabs>
                <w:tab w:val="left" w:pos="720"/>
              </w:tabs>
              <w:adjustRightInd w:val="0"/>
              <w:snapToGrid w:val="0"/>
              <w:spacing w:line="340" w:lineRule="exact"/>
              <w:rPr>
                <w:rFonts w:ascii="宋体" w:hAnsi="宋体"/>
                <w:kern w:val="0"/>
              </w:rPr>
            </w:pPr>
            <w:r>
              <w:rPr>
                <w:rFonts w:hint="eastAsia" w:ascii="宋体" w:hAnsi="宋体"/>
                <w:kern w:val="0"/>
              </w:rPr>
              <w:t>开展体内放射性药品治疗：必须配备经标定的活度计（井型电离室）、显像设备（</w:t>
            </w:r>
            <w:r>
              <w:rPr>
                <w:rFonts w:hint="eastAsia" w:ascii="宋体" w:hAnsi="宋体"/>
                <w:kern w:val="0"/>
              </w:rPr>
              <w:sym w:font="Symbol" w:char="F067"/>
            </w:r>
            <w:r>
              <w:rPr>
                <w:rFonts w:hint="eastAsia" w:ascii="宋体" w:hAnsi="宋体"/>
                <w:kern w:val="0"/>
              </w:rPr>
              <w:t>闪烁照相机或单光子发射计算机断层仪）；开展甲状腺疾病治疗的必须配备甲功仪（二、三、四类）</w:t>
            </w:r>
          </w:p>
        </w:tc>
        <w:tc>
          <w:tcPr>
            <w:tcW w:w="3129" w:type="dxa"/>
            <w:vAlign w:val="center"/>
          </w:tcPr>
          <w:p>
            <w:pPr>
              <w:pStyle w:val="8"/>
              <w:widowControl/>
              <w:spacing w:line="340" w:lineRule="exact"/>
              <w:rPr>
                <w:rFonts w:ascii="宋体" w:hAnsi="宋体"/>
                <w:kern w:val="0"/>
              </w:rPr>
            </w:pPr>
            <w:r>
              <w:rPr>
                <w:rFonts w:hint="eastAsia" w:ascii="宋体" w:hAnsi="宋体"/>
                <w:kern w:val="0"/>
              </w:rPr>
              <w:t>1、查现场；</w:t>
            </w:r>
          </w:p>
          <w:p>
            <w:pPr>
              <w:pStyle w:val="8"/>
              <w:widowControl/>
              <w:spacing w:line="340" w:lineRule="exact"/>
              <w:rPr>
                <w:rFonts w:ascii="宋体" w:hAnsi="宋体"/>
                <w:kern w:val="0"/>
              </w:rPr>
            </w:pPr>
            <w:r>
              <w:rPr>
                <w:rFonts w:hint="eastAsia" w:ascii="宋体" w:hAnsi="宋体"/>
                <w:kern w:val="0"/>
              </w:rPr>
              <w:t>2、查SOP；</w:t>
            </w:r>
          </w:p>
          <w:p>
            <w:pPr>
              <w:pStyle w:val="8"/>
              <w:widowControl/>
              <w:spacing w:line="340" w:lineRule="exact"/>
              <w:rPr>
                <w:rFonts w:ascii="宋体" w:hAnsi="宋体"/>
                <w:kern w:val="0"/>
              </w:rPr>
            </w:pPr>
            <w:r>
              <w:rPr>
                <w:rFonts w:hint="eastAsia" w:ascii="宋体" w:hAnsi="宋体"/>
                <w:kern w:val="0"/>
              </w:rPr>
              <w:t>3、查记录。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1008" w:type="dxa"/>
            <w:vMerge w:val="continue"/>
            <w:vAlign w:val="center"/>
          </w:tcPr>
          <w:p>
            <w:pPr>
              <w:pStyle w:val="8"/>
              <w:widowControl/>
              <w:jc w:val="center"/>
              <w:rPr>
                <w:rFonts w:ascii="宋体" w:hAnsi="宋体"/>
                <w:bCs/>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36、具有保证无菌操作的净化设备；制备正电子类放射性药品还应具备加速器、自动合成装置、高能正电子成像设备（三、四类）</w:t>
            </w:r>
          </w:p>
        </w:tc>
        <w:tc>
          <w:tcPr>
            <w:tcW w:w="3129" w:type="dxa"/>
            <w:vAlign w:val="center"/>
          </w:tcPr>
          <w:p>
            <w:pPr>
              <w:pStyle w:val="8"/>
              <w:widowControl/>
              <w:spacing w:line="340" w:lineRule="exact"/>
              <w:rPr>
                <w:rFonts w:ascii="宋体" w:hAnsi="宋体"/>
                <w:kern w:val="0"/>
              </w:rPr>
            </w:pPr>
            <w:r>
              <w:rPr>
                <w:rFonts w:hint="eastAsia" w:ascii="宋体" w:hAnsi="宋体"/>
                <w:kern w:val="0"/>
              </w:rPr>
              <w:t>1、查现场；</w:t>
            </w:r>
          </w:p>
          <w:p>
            <w:pPr>
              <w:pStyle w:val="8"/>
              <w:widowControl/>
              <w:spacing w:line="340" w:lineRule="exact"/>
              <w:rPr>
                <w:rFonts w:ascii="宋体" w:hAnsi="宋体"/>
                <w:kern w:val="0"/>
              </w:rPr>
            </w:pPr>
            <w:r>
              <w:rPr>
                <w:rFonts w:hint="eastAsia" w:ascii="宋体" w:hAnsi="宋体"/>
                <w:kern w:val="0"/>
              </w:rPr>
              <w:t>2、查SOP；</w:t>
            </w:r>
          </w:p>
          <w:p>
            <w:pPr>
              <w:pStyle w:val="8"/>
              <w:widowControl/>
              <w:spacing w:line="340" w:lineRule="exact"/>
              <w:rPr>
                <w:rFonts w:ascii="宋体" w:hAnsi="宋体"/>
                <w:kern w:val="0"/>
              </w:rPr>
            </w:pPr>
            <w:r>
              <w:rPr>
                <w:rFonts w:hint="eastAsia" w:ascii="宋体" w:hAnsi="宋体"/>
                <w:kern w:val="0"/>
              </w:rPr>
              <w:t>3、查记录。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jc w:val="center"/>
              <w:rPr>
                <w:rFonts w:ascii="宋体" w:hAnsi="宋体"/>
                <w:bCs/>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37、具备储存配套药盒的冷冻或冷藏设备和满足辐射防护要求的存放放射性药品和废弃污物的设备（三、四类）</w:t>
            </w:r>
          </w:p>
        </w:tc>
        <w:tc>
          <w:tcPr>
            <w:tcW w:w="3129" w:type="dxa"/>
            <w:vAlign w:val="center"/>
          </w:tcPr>
          <w:p>
            <w:pPr>
              <w:pStyle w:val="8"/>
              <w:widowControl/>
              <w:spacing w:line="340" w:lineRule="exact"/>
              <w:rPr>
                <w:rFonts w:ascii="宋体" w:hAnsi="宋体"/>
                <w:kern w:val="0"/>
              </w:rPr>
            </w:pPr>
            <w:r>
              <w:rPr>
                <w:rFonts w:hint="eastAsia" w:ascii="宋体" w:hAnsi="宋体"/>
                <w:kern w:val="0"/>
              </w:rPr>
              <w:t>1、查现场；</w:t>
            </w:r>
          </w:p>
          <w:p>
            <w:pPr>
              <w:pStyle w:val="8"/>
              <w:widowControl/>
              <w:spacing w:line="340" w:lineRule="exact"/>
              <w:rPr>
                <w:rFonts w:ascii="宋体" w:hAnsi="宋体"/>
                <w:kern w:val="0"/>
              </w:rPr>
            </w:pPr>
            <w:r>
              <w:rPr>
                <w:rFonts w:hint="eastAsia" w:ascii="宋体" w:hAnsi="宋体"/>
                <w:kern w:val="0"/>
              </w:rPr>
              <w:t>2、查SOP；</w:t>
            </w:r>
          </w:p>
          <w:p>
            <w:pPr>
              <w:pStyle w:val="8"/>
              <w:widowControl/>
              <w:spacing w:line="340" w:lineRule="exact"/>
              <w:rPr>
                <w:rFonts w:ascii="宋体" w:hAnsi="宋体"/>
                <w:kern w:val="0"/>
              </w:rPr>
            </w:pPr>
            <w:r>
              <w:rPr>
                <w:rFonts w:hint="eastAsia" w:ascii="宋体" w:hAnsi="宋体"/>
                <w:kern w:val="0"/>
              </w:rPr>
              <w:t>3、查记录。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008" w:type="dxa"/>
            <w:vMerge w:val="continue"/>
            <w:vAlign w:val="center"/>
          </w:tcPr>
          <w:p>
            <w:pPr>
              <w:pStyle w:val="8"/>
              <w:widowControl/>
              <w:jc w:val="center"/>
              <w:rPr>
                <w:rFonts w:ascii="宋体" w:hAnsi="宋体"/>
                <w:bCs/>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*38、具备与所用放射性药品质量检测相适应的检验仪器和设备 (如：测定化学纯度的纸色谱分析条件及仪器等)（三、四类）</w:t>
            </w:r>
          </w:p>
        </w:tc>
        <w:tc>
          <w:tcPr>
            <w:tcW w:w="3129" w:type="dxa"/>
            <w:vAlign w:val="center"/>
          </w:tcPr>
          <w:p>
            <w:pPr>
              <w:pStyle w:val="8"/>
              <w:widowControl/>
              <w:spacing w:line="340" w:lineRule="exact"/>
              <w:rPr>
                <w:rFonts w:ascii="宋体" w:hAnsi="宋体"/>
                <w:kern w:val="0"/>
              </w:rPr>
            </w:pPr>
            <w:r>
              <w:rPr>
                <w:rFonts w:hint="eastAsia" w:ascii="宋体" w:hAnsi="宋体"/>
                <w:kern w:val="0"/>
              </w:rPr>
              <w:t>1、查现场；</w:t>
            </w:r>
          </w:p>
          <w:p>
            <w:pPr>
              <w:pStyle w:val="8"/>
              <w:widowControl/>
              <w:spacing w:line="340" w:lineRule="exact"/>
              <w:rPr>
                <w:rFonts w:ascii="宋体" w:hAnsi="宋体"/>
                <w:kern w:val="0"/>
              </w:rPr>
            </w:pPr>
            <w:r>
              <w:rPr>
                <w:rFonts w:hint="eastAsia" w:ascii="宋体" w:hAnsi="宋体"/>
                <w:kern w:val="0"/>
              </w:rPr>
              <w:t>2、查SOP；</w:t>
            </w:r>
          </w:p>
          <w:p>
            <w:pPr>
              <w:pStyle w:val="8"/>
              <w:widowControl/>
              <w:spacing w:line="340" w:lineRule="exact"/>
              <w:rPr>
                <w:rFonts w:ascii="宋体" w:hAnsi="宋体"/>
                <w:kern w:val="0"/>
              </w:rPr>
            </w:pPr>
            <w:r>
              <w:rPr>
                <w:rFonts w:hint="eastAsia" w:ascii="宋体" w:hAnsi="宋体"/>
                <w:kern w:val="0"/>
              </w:rPr>
              <w:t>3、查记录。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1" w:hRule="atLeast"/>
        </w:trPr>
        <w:tc>
          <w:tcPr>
            <w:tcW w:w="1008" w:type="dxa"/>
            <w:vMerge w:val="continue"/>
            <w:vAlign w:val="center"/>
          </w:tcPr>
          <w:p>
            <w:pPr>
              <w:pStyle w:val="8"/>
              <w:widowControl/>
              <w:jc w:val="center"/>
              <w:rPr>
                <w:rFonts w:ascii="宋体" w:hAnsi="宋体"/>
                <w:bCs/>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*39、具备与研制放射性制剂相适应的基本仪器和设备。包括药物合成、药物分析、药效学、内辐射吸收剂量等实验所需仪器、净化设备和配制设备等（四类）</w:t>
            </w:r>
          </w:p>
        </w:tc>
        <w:tc>
          <w:tcPr>
            <w:tcW w:w="3129" w:type="dxa"/>
            <w:vAlign w:val="center"/>
          </w:tcPr>
          <w:p>
            <w:pPr>
              <w:pStyle w:val="8"/>
              <w:widowControl/>
              <w:spacing w:line="340" w:lineRule="exact"/>
              <w:rPr>
                <w:rFonts w:ascii="宋体" w:hAnsi="宋体"/>
                <w:kern w:val="0"/>
              </w:rPr>
            </w:pPr>
            <w:r>
              <w:rPr>
                <w:rFonts w:hint="eastAsia" w:ascii="宋体" w:hAnsi="宋体"/>
                <w:kern w:val="0"/>
              </w:rPr>
              <w:t>1、查现场；</w:t>
            </w:r>
          </w:p>
          <w:p>
            <w:pPr>
              <w:pStyle w:val="8"/>
              <w:widowControl/>
              <w:spacing w:line="340" w:lineRule="exact"/>
              <w:rPr>
                <w:rFonts w:ascii="宋体" w:hAnsi="宋体"/>
                <w:kern w:val="0"/>
              </w:rPr>
            </w:pPr>
            <w:r>
              <w:rPr>
                <w:rFonts w:hint="eastAsia" w:ascii="宋体" w:hAnsi="宋体"/>
                <w:kern w:val="0"/>
              </w:rPr>
              <w:t>2、查SOP；</w:t>
            </w:r>
          </w:p>
          <w:p>
            <w:pPr>
              <w:pStyle w:val="8"/>
              <w:widowControl/>
              <w:spacing w:line="340" w:lineRule="exact"/>
              <w:rPr>
                <w:rFonts w:ascii="宋体" w:hAnsi="宋体"/>
                <w:kern w:val="0"/>
              </w:rPr>
            </w:pPr>
            <w:r>
              <w:rPr>
                <w:rFonts w:hint="eastAsia" w:ascii="宋体" w:hAnsi="宋体"/>
                <w:kern w:val="0"/>
              </w:rPr>
              <w:t>3、查记录。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ind w:left="320" w:leftChars="100"/>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40、与化学自动合成模块连接的主要固定管道应有明确外标志，标明管内物料名称、流向。（三、四类）</w:t>
            </w:r>
          </w:p>
        </w:tc>
        <w:tc>
          <w:tcPr>
            <w:tcW w:w="3129" w:type="dxa"/>
            <w:vAlign w:val="center"/>
          </w:tcPr>
          <w:p>
            <w:pPr>
              <w:pStyle w:val="8"/>
              <w:widowControl/>
              <w:spacing w:line="34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ind w:left="320" w:leftChars="100"/>
              <w:rPr>
                <w:rFonts w:ascii="宋体" w:hAnsi="宋体"/>
                <w:kern w:val="0"/>
              </w:rPr>
            </w:pPr>
          </w:p>
        </w:tc>
        <w:tc>
          <w:tcPr>
            <w:tcW w:w="5438" w:type="dxa"/>
            <w:vAlign w:val="center"/>
          </w:tcPr>
          <w:p>
            <w:pPr>
              <w:pStyle w:val="8"/>
              <w:widowControl/>
              <w:spacing w:line="340" w:lineRule="exact"/>
              <w:rPr>
                <w:rFonts w:ascii="宋体" w:hAnsi="宋体"/>
                <w:kern w:val="0"/>
              </w:rPr>
            </w:pPr>
            <w:r>
              <w:rPr>
                <w:rFonts w:hint="eastAsia" w:ascii="宋体" w:hAnsi="宋体"/>
                <w:kern w:val="0"/>
              </w:rPr>
              <w:t>41、应定期对操作规程和控制工艺流程的计算机软件进行产品验证，一年至少验证一次。如变更操作规程或计算机软件，应进行重新验证，并对至少连续制备的三批成品进行检验，结果符合质量标准规定时，方可用于正电子类放射性药品的制备。（三、四类）</w:t>
            </w:r>
          </w:p>
        </w:tc>
        <w:tc>
          <w:tcPr>
            <w:tcW w:w="3129" w:type="dxa"/>
            <w:vAlign w:val="center"/>
          </w:tcPr>
          <w:p>
            <w:pPr>
              <w:pStyle w:val="8"/>
              <w:widowControl/>
              <w:spacing w:line="340" w:lineRule="exact"/>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restart"/>
            <w:vAlign w:val="center"/>
          </w:tcPr>
          <w:p>
            <w:pPr>
              <w:pStyle w:val="8"/>
              <w:widowControl/>
              <w:spacing w:line="300" w:lineRule="exact"/>
              <w:ind w:left="320" w:leftChars="100"/>
              <w:rPr>
                <w:rFonts w:ascii="宋体" w:hAnsi="宋体"/>
                <w:kern w:val="0"/>
              </w:rPr>
            </w:pPr>
            <w:r>
              <w:rPr>
                <w:rFonts w:hint="eastAsia" w:ascii="宋体" w:hAnsi="宋体"/>
                <w:kern w:val="0"/>
              </w:rPr>
              <w:t>四、</w:t>
            </w:r>
          </w:p>
          <w:p>
            <w:pPr>
              <w:pStyle w:val="8"/>
              <w:widowControl/>
              <w:spacing w:line="300" w:lineRule="exact"/>
              <w:ind w:left="320" w:leftChars="100"/>
              <w:rPr>
                <w:rFonts w:ascii="宋体" w:hAnsi="宋体"/>
                <w:kern w:val="0"/>
              </w:rPr>
            </w:pPr>
          </w:p>
          <w:p>
            <w:pPr>
              <w:pStyle w:val="8"/>
              <w:widowControl/>
              <w:spacing w:line="300" w:lineRule="exact"/>
              <w:ind w:left="320" w:leftChars="100"/>
              <w:rPr>
                <w:rFonts w:ascii="宋体" w:hAnsi="宋体"/>
                <w:kern w:val="0"/>
              </w:rPr>
            </w:pPr>
            <w:r>
              <w:rPr>
                <w:rFonts w:hint="eastAsia" w:ascii="宋体" w:hAnsi="宋体"/>
                <w:kern w:val="0"/>
              </w:rPr>
              <w:t>物</w:t>
            </w:r>
          </w:p>
          <w:p>
            <w:pPr>
              <w:pStyle w:val="8"/>
              <w:widowControl/>
              <w:spacing w:line="300" w:lineRule="exact"/>
              <w:ind w:left="320" w:leftChars="100"/>
              <w:rPr>
                <w:rFonts w:ascii="宋体" w:hAnsi="宋体"/>
                <w:kern w:val="0"/>
              </w:rPr>
            </w:pPr>
          </w:p>
          <w:p>
            <w:pPr>
              <w:pStyle w:val="8"/>
              <w:widowControl/>
              <w:spacing w:line="300" w:lineRule="exact"/>
              <w:ind w:left="320" w:leftChars="100"/>
              <w:rPr>
                <w:rFonts w:ascii="宋体" w:hAnsi="宋体"/>
                <w:bCs/>
                <w:kern w:val="0"/>
              </w:rPr>
            </w:pPr>
            <w:r>
              <w:rPr>
                <w:rFonts w:hint="eastAsia" w:ascii="宋体" w:hAnsi="宋体"/>
                <w:kern w:val="0"/>
              </w:rPr>
              <w:t>料</w:t>
            </w:r>
          </w:p>
        </w:tc>
        <w:tc>
          <w:tcPr>
            <w:tcW w:w="5438" w:type="dxa"/>
            <w:vAlign w:val="center"/>
          </w:tcPr>
          <w:p>
            <w:pPr>
              <w:pStyle w:val="8"/>
              <w:widowControl/>
              <w:spacing w:line="300" w:lineRule="exact"/>
              <w:rPr>
                <w:rFonts w:ascii="宋体" w:hAnsi="宋体"/>
                <w:kern w:val="0"/>
              </w:rPr>
            </w:pPr>
            <w:r>
              <w:rPr>
                <w:rFonts w:hint="eastAsia" w:ascii="宋体" w:hAnsi="宋体"/>
                <w:kern w:val="0"/>
              </w:rPr>
              <w:t>*42、放射性药品、用于配制放射性药品的放射性核素、配套药盒、试剂、除菌过滤器、产品容器、塞盖、注射器等应合法进货渠道及规格标准，并有详细的进料和使用记录。（通用）</w:t>
            </w:r>
          </w:p>
        </w:tc>
        <w:tc>
          <w:tcPr>
            <w:tcW w:w="3129" w:type="dxa"/>
            <w:vAlign w:val="center"/>
          </w:tcPr>
          <w:p>
            <w:pPr>
              <w:pStyle w:val="8"/>
              <w:widowControl/>
              <w:spacing w:line="300" w:lineRule="exact"/>
              <w:rPr>
                <w:rFonts w:ascii="宋体" w:hAnsi="宋体"/>
                <w:kern w:val="0"/>
              </w:rPr>
            </w:pPr>
            <w:r>
              <w:rPr>
                <w:rFonts w:hint="eastAsia" w:ascii="宋体" w:hAnsi="宋体"/>
                <w:kern w:val="0"/>
              </w:rPr>
              <w:t>查审计档案及相关证明文件。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1008" w:type="dxa"/>
            <w:vMerge w:val="continue"/>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43、配制放射性药品所用的放射性物料应合理、安全储存与保管。（三、四类）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008" w:type="dxa"/>
            <w:vMerge w:val="continue"/>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44、各种放射性物料要严格管理。放射性物料与非放射性物料应分别存放，并有易于识别的明显标志。（通用）</w:t>
            </w:r>
          </w:p>
        </w:tc>
        <w:tc>
          <w:tcPr>
            <w:tcW w:w="3129" w:type="dxa"/>
            <w:vAlign w:val="center"/>
          </w:tcPr>
          <w:p>
            <w:pPr>
              <w:pStyle w:val="8"/>
              <w:widowControl/>
              <w:spacing w:line="300" w:lineRule="exact"/>
              <w:rPr>
                <w:rFonts w:ascii="宋体" w:hAnsi="宋体"/>
                <w:kern w:val="0"/>
              </w:rPr>
            </w:pPr>
            <w:r>
              <w:rPr>
                <w:rFonts w:hint="eastAsia" w:ascii="宋体" w:hAnsi="宋体"/>
                <w:kern w:val="0"/>
              </w:rPr>
              <w:t>1、查现场；</w:t>
            </w:r>
          </w:p>
          <w:p>
            <w:pPr>
              <w:pStyle w:val="8"/>
              <w:widowControl/>
              <w:spacing w:line="300" w:lineRule="exact"/>
              <w:rPr>
                <w:rFonts w:ascii="宋体" w:hAnsi="宋体"/>
                <w:kern w:val="0"/>
              </w:rPr>
            </w:pPr>
            <w:r>
              <w:rPr>
                <w:rFonts w:hint="eastAsia" w:ascii="宋体" w:hAnsi="宋体"/>
                <w:kern w:val="0"/>
              </w:rPr>
              <w:t>2、查SOP或制度。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008" w:type="dxa"/>
            <w:vMerge w:val="continue"/>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45、各种物料应按其性能与用途合理存放。对温度、湿度等有特殊要求的物料，应按规定条件储存。（通用）</w:t>
            </w:r>
          </w:p>
        </w:tc>
        <w:tc>
          <w:tcPr>
            <w:tcW w:w="3129" w:type="dxa"/>
            <w:vAlign w:val="center"/>
          </w:tcPr>
          <w:p>
            <w:pPr>
              <w:pStyle w:val="8"/>
              <w:widowControl/>
              <w:spacing w:line="300" w:lineRule="exact"/>
              <w:rPr>
                <w:rFonts w:ascii="宋体" w:hAnsi="宋体"/>
                <w:kern w:val="0"/>
              </w:rPr>
            </w:pPr>
            <w:r>
              <w:rPr>
                <w:rFonts w:hint="eastAsia" w:ascii="宋体" w:hAnsi="宋体"/>
                <w:kern w:val="0"/>
              </w:rPr>
              <w:t>1、查现场；</w:t>
            </w:r>
          </w:p>
          <w:p>
            <w:pPr>
              <w:pStyle w:val="8"/>
              <w:widowControl/>
              <w:spacing w:line="300" w:lineRule="exact"/>
              <w:rPr>
                <w:rFonts w:ascii="宋体" w:hAnsi="宋体"/>
                <w:kern w:val="0"/>
              </w:rPr>
            </w:pPr>
            <w:r>
              <w:rPr>
                <w:rFonts w:hint="eastAsia" w:ascii="宋体" w:hAnsi="宋体"/>
                <w:kern w:val="0"/>
              </w:rPr>
              <w:t>2、查SOP或制度。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*46、配制放射性药品的标签、使用说明书应专柜存放，专人保管，按实际需要量领用；标签出入库、销毁应有记录，不得流失。（三、四类）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1、查现场；</w:t>
            </w:r>
          </w:p>
          <w:p>
            <w:pPr>
              <w:pStyle w:val="8"/>
              <w:widowControl/>
              <w:spacing w:line="300" w:lineRule="exact"/>
              <w:rPr>
                <w:rFonts w:ascii="宋体" w:hAnsi="宋体"/>
                <w:kern w:val="0"/>
              </w:rPr>
            </w:pPr>
            <w:r>
              <w:rPr>
                <w:rFonts w:hint="eastAsia" w:ascii="宋体" w:hAnsi="宋体"/>
                <w:kern w:val="0"/>
              </w:rPr>
              <w:t>2、查SOP或制度。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1008" w:type="dxa"/>
            <w:vMerge w:val="continue"/>
            <w:vAlign w:val="center"/>
          </w:tcPr>
          <w:p>
            <w:pPr>
              <w:pStyle w:val="8"/>
              <w:widowControl/>
              <w:spacing w:line="300" w:lineRule="exact"/>
              <w:jc w:val="left"/>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47、具有放射性的废弃物是否储存至10个半衰期后才按普通医疗废弃物处理。（通用）</w:t>
            </w:r>
          </w:p>
        </w:tc>
        <w:tc>
          <w:tcPr>
            <w:tcW w:w="3129" w:type="dxa"/>
            <w:vAlign w:val="center"/>
          </w:tcPr>
          <w:p>
            <w:pPr>
              <w:pStyle w:val="8"/>
              <w:widowControl/>
              <w:spacing w:line="300" w:lineRule="exact"/>
              <w:rPr>
                <w:rFonts w:ascii="宋体" w:hAnsi="宋体"/>
                <w:kern w:val="0"/>
              </w:rPr>
            </w:pPr>
            <w:r>
              <w:rPr>
                <w:rFonts w:hint="eastAsia" w:ascii="宋体" w:hAnsi="宋体"/>
                <w:kern w:val="0"/>
              </w:rPr>
              <w:t>1、查SOP或制度；</w:t>
            </w:r>
          </w:p>
          <w:p>
            <w:pPr>
              <w:pStyle w:val="8"/>
              <w:widowControl/>
              <w:spacing w:line="300" w:lineRule="exact"/>
              <w:rPr>
                <w:rFonts w:ascii="宋体" w:hAnsi="宋体"/>
                <w:kern w:val="0"/>
              </w:rPr>
            </w:pPr>
            <w:r>
              <w:rPr>
                <w:rFonts w:hint="eastAsia" w:ascii="宋体" w:hAnsi="宋体"/>
                <w:kern w:val="0"/>
              </w:rPr>
              <w:t>2、查记录。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restart"/>
            <w:vAlign w:val="center"/>
          </w:tcPr>
          <w:p>
            <w:pPr>
              <w:pStyle w:val="8"/>
              <w:widowControl/>
              <w:spacing w:line="300" w:lineRule="exact"/>
              <w:ind w:left="320" w:leftChars="100"/>
              <w:rPr>
                <w:rFonts w:ascii="宋体" w:hAnsi="宋体"/>
                <w:kern w:val="0"/>
              </w:rPr>
            </w:pPr>
            <w:r>
              <w:rPr>
                <w:rFonts w:hint="eastAsia" w:ascii="宋体" w:hAnsi="宋体"/>
                <w:kern w:val="0"/>
              </w:rPr>
              <w:t>五、</w:t>
            </w:r>
          </w:p>
          <w:p>
            <w:pPr>
              <w:pStyle w:val="8"/>
              <w:widowControl/>
              <w:spacing w:line="300" w:lineRule="exact"/>
              <w:ind w:left="320" w:leftChars="100"/>
              <w:rPr>
                <w:rFonts w:ascii="宋体" w:hAnsi="宋体"/>
                <w:kern w:val="0"/>
              </w:rPr>
            </w:pPr>
          </w:p>
          <w:p>
            <w:pPr>
              <w:pStyle w:val="8"/>
              <w:widowControl/>
              <w:spacing w:line="300" w:lineRule="exact"/>
              <w:ind w:left="320" w:leftChars="100"/>
              <w:rPr>
                <w:rFonts w:ascii="宋体" w:hAnsi="宋体"/>
                <w:kern w:val="0"/>
              </w:rPr>
            </w:pPr>
            <w:r>
              <w:rPr>
                <w:rFonts w:hint="eastAsia" w:ascii="宋体" w:hAnsi="宋体"/>
                <w:kern w:val="0"/>
              </w:rPr>
              <w:t>卫</w:t>
            </w:r>
          </w:p>
          <w:p>
            <w:pPr>
              <w:pStyle w:val="8"/>
              <w:widowControl/>
              <w:spacing w:line="300" w:lineRule="exact"/>
              <w:ind w:left="320" w:leftChars="100"/>
              <w:rPr>
                <w:rFonts w:ascii="宋体" w:hAnsi="宋体"/>
                <w:kern w:val="0"/>
              </w:rPr>
            </w:pPr>
          </w:p>
          <w:p>
            <w:pPr>
              <w:pStyle w:val="8"/>
              <w:widowControl/>
              <w:spacing w:line="300" w:lineRule="exact"/>
              <w:ind w:left="320" w:leftChars="100"/>
              <w:rPr>
                <w:rFonts w:ascii="宋体" w:hAnsi="宋体"/>
                <w:bCs/>
                <w:kern w:val="0"/>
              </w:rPr>
            </w:pPr>
            <w:r>
              <w:rPr>
                <w:rFonts w:hint="eastAsia" w:ascii="宋体" w:hAnsi="宋体"/>
                <w:kern w:val="0"/>
              </w:rPr>
              <w:t>生</w:t>
            </w:r>
          </w:p>
        </w:tc>
        <w:tc>
          <w:tcPr>
            <w:tcW w:w="5438" w:type="dxa"/>
            <w:vAlign w:val="center"/>
          </w:tcPr>
          <w:p>
            <w:pPr>
              <w:pStyle w:val="8"/>
              <w:widowControl/>
              <w:spacing w:line="300" w:lineRule="exact"/>
              <w:rPr>
                <w:rFonts w:ascii="宋体" w:hAnsi="宋体"/>
                <w:kern w:val="0"/>
              </w:rPr>
            </w:pPr>
            <w:r>
              <w:rPr>
                <w:rFonts w:hint="eastAsia" w:ascii="宋体" w:hAnsi="宋体"/>
                <w:kern w:val="0"/>
              </w:rPr>
              <w:t>*48、应有防止微生物污染及辐射污染的卫生措施和卫生管理制度，并由专人负责。（通用）</w:t>
            </w:r>
          </w:p>
        </w:tc>
        <w:tc>
          <w:tcPr>
            <w:tcW w:w="3129" w:type="dxa"/>
            <w:vAlign w:val="center"/>
          </w:tcPr>
          <w:p>
            <w:pPr>
              <w:pStyle w:val="8"/>
              <w:widowControl/>
              <w:spacing w:line="300" w:lineRule="exact"/>
              <w:rPr>
                <w:rFonts w:ascii="宋体" w:hAnsi="宋体"/>
                <w:kern w:val="0"/>
              </w:rPr>
            </w:pPr>
            <w:r>
              <w:rPr>
                <w:rFonts w:hint="eastAsia" w:ascii="宋体" w:hAnsi="宋体"/>
                <w:kern w:val="0"/>
              </w:rPr>
              <w:t>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spacing w:line="300" w:lineRule="exact"/>
              <w:ind w:left="320" w:leftChars="100"/>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49、配制放射性药品的场所不得存放与配制无关的物品。配制中的废弃物应及时处理。（三、四类）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查现场及记录。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spacing w:line="300" w:lineRule="exact"/>
              <w:ind w:left="320" w:leftChars="100"/>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50、更衣室、浴室及厕所的设施不得对洁净室（区）产生不良影响。（三、四类）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spacing w:line="300" w:lineRule="exact"/>
              <w:ind w:left="320" w:leftChars="100"/>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51、配制放射性药品的场所和制剂设备、容器等应有清洁规程，内容包括：清洁方法、程序、间隔时间、使用的清洁剂或消毒剂、清洁工具的清洁方法和存放地点。（三、四类）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1、查现场；</w:t>
            </w:r>
          </w:p>
          <w:p>
            <w:pPr>
              <w:pStyle w:val="8"/>
              <w:widowControl/>
              <w:spacing w:line="300" w:lineRule="exact"/>
              <w:rPr>
                <w:rFonts w:ascii="宋体" w:hAnsi="宋体"/>
                <w:kern w:val="0"/>
              </w:rPr>
            </w:pPr>
            <w:r>
              <w:rPr>
                <w:rFonts w:hint="eastAsia" w:ascii="宋体" w:hAnsi="宋体"/>
                <w:kern w:val="0"/>
              </w:rPr>
              <w:t>2、查规范；</w:t>
            </w:r>
          </w:p>
          <w:p>
            <w:pPr>
              <w:pStyle w:val="8"/>
              <w:widowControl/>
              <w:spacing w:line="300" w:lineRule="exact"/>
              <w:rPr>
                <w:rFonts w:ascii="宋体" w:hAnsi="宋体"/>
                <w:kern w:val="0"/>
              </w:rPr>
            </w:pPr>
            <w:r>
              <w:rPr>
                <w:rFonts w:hint="eastAsia" w:ascii="宋体" w:hAnsi="宋体"/>
                <w:kern w:val="0"/>
              </w:rPr>
              <w:t>3、查清洗记录。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spacing w:line="300" w:lineRule="exact"/>
              <w:ind w:left="320" w:leftChars="100"/>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52、洁净室或动物实验室应定期消毒，使用的消毒剂不得对设备、物料和成品产生污染。消毒剂品种应定期更换，防止产生耐药菌株。（三、四类）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1、查SOP或制度；</w:t>
            </w:r>
          </w:p>
          <w:p>
            <w:pPr>
              <w:pStyle w:val="8"/>
              <w:widowControl/>
              <w:spacing w:line="300" w:lineRule="exact"/>
              <w:rPr>
                <w:rFonts w:ascii="宋体" w:hAnsi="宋体"/>
                <w:kern w:val="0"/>
              </w:rPr>
            </w:pPr>
            <w:r>
              <w:rPr>
                <w:rFonts w:hint="eastAsia" w:ascii="宋体" w:hAnsi="宋体"/>
                <w:kern w:val="0"/>
              </w:rPr>
              <w:t>2、查记录；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spacing w:line="300" w:lineRule="exact"/>
              <w:ind w:left="320" w:leftChars="100"/>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53、工作服的选材、式样及穿戴方式应与配制操作和洁净室等级要求相适应，并不得混穿。洁净室工作服的质地应光滑、不产生静电、不脱落纤维和颗粒性物质。无菌工作服必须包盖全部头发、胡须及脚部，并能阻留人体脱落物。（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1、查现场；</w:t>
            </w:r>
          </w:p>
          <w:p>
            <w:pPr>
              <w:pStyle w:val="8"/>
              <w:widowControl/>
              <w:spacing w:line="300" w:lineRule="exact"/>
              <w:rPr>
                <w:rFonts w:ascii="宋体" w:hAnsi="宋体"/>
                <w:kern w:val="0"/>
              </w:rPr>
            </w:pPr>
            <w:r>
              <w:rPr>
                <w:rFonts w:hint="eastAsia" w:ascii="宋体" w:hAnsi="宋体"/>
                <w:kern w:val="0"/>
              </w:rPr>
              <w:t>2、查SOP或制度。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spacing w:line="300" w:lineRule="exact"/>
              <w:ind w:left="320" w:leftChars="100"/>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54、不同洁净度级别房间使用的工作服应分别定期清洗、整理，必要时应消毒或灭菌。洗涤时不应带入附加的颗粒物质。（三、四类）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1、查SOP或制度；</w:t>
            </w:r>
          </w:p>
          <w:p>
            <w:pPr>
              <w:pStyle w:val="8"/>
              <w:widowControl/>
              <w:spacing w:line="300" w:lineRule="exact"/>
              <w:rPr>
                <w:rFonts w:ascii="宋体" w:hAnsi="宋体"/>
                <w:kern w:val="0"/>
              </w:rPr>
            </w:pPr>
            <w:r>
              <w:rPr>
                <w:rFonts w:hint="eastAsia" w:ascii="宋体" w:hAnsi="宋体"/>
                <w:kern w:val="0"/>
              </w:rPr>
              <w:t>2、查记录。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1008" w:type="dxa"/>
            <w:vMerge w:val="continue"/>
            <w:vAlign w:val="center"/>
          </w:tcPr>
          <w:p>
            <w:pPr>
              <w:pStyle w:val="8"/>
              <w:widowControl/>
              <w:spacing w:line="300" w:lineRule="exact"/>
              <w:ind w:left="320" w:leftChars="100"/>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55、在配制放射性药品的洁净区内使用的工作服（鞋、帽、口罩）应在洁净区内设专用洗衣设备并进行清洗、整理、消毒或灭菌。（三、四类）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1、查现场；</w:t>
            </w:r>
          </w:p>
          <w:p>
            <w:pPr>
              <w:pStyle w:val="8"/>
              <w:widowControl/>
              <w:spacing w:line="300" w:lineRule="exact"/>
              <w:rPr>
                <w:rFonts w:ascii="宋体" w:hAnsi="宋体"/>
                <w:kern w:val="0"/>
              </w:rPr>
            </w:pPr>
            <w:r>
              <w:rPr>
                <w:rFonts w:hint="eastAsia" w:ascii="宋体" w:hAnsi="宋体"/>
                <w:kern w:val="0"/>
              </w:rPr>
              <w:t>2、查SOP或制度。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spacing w:line="300" w:lineRule="exact"/>
              <w:jc w:val="left"/>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56、进入洁净室（区）的人员不得化妆和佩带饰物，不得裸手直接接触药品。（三、四类）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1、查SOP或制度。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bCs/>
                <w:kern w:val="0"/>
              </w:rPr>
              <w:t>5</w:t>
            </w:r>
            <w:r>
              <w:rPr>
                <w:rFonts w:hint="eastAsia" w:ascii="宋体" w:hAnsi="宋体"/>
                <w:kern w:val="0"/>
              </w:rPr>
              <w:t>7、进入动物试验区域的人员应按照相应级别更衣及卫生防护（四类）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1、查SOP或制度；</w:t>
            </w:r>
          </w:p>
          <w:p>
            <w:pPr>
              <w:pStyle w:val="8"/>
              <w:widowControl/>
              <w:spacing w:line="300" w:lineRule="exact"/>
              <w:rPr>
                <w:rFonts w:ascii="宋体" w:hAnsi="宋体"/>
                <w:kern w:val="0"/>
              </w:rPr>
            </w:pPr>
            <w:r>
              <w:rPr>
                <w:rFonts w:hint="eastAsia" w:ascii="宋体" w:hAnsi="宋体"/>
                <w:kern w:val="0"/>
              </w:rPr>
              <w:t>2、查现场。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08" w:type="dxa"/>
            <w:vMerge w:val="continue"/>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*58、放射性操作人员必须配带个人剂量计，并定期监测。个人所受的剂量当量不应超过规定的限值。在放射性场所工作的人员是取得职业病防治部门定期出具的放射性计量报告并存档。（通用）</w:t>
            </w:r>
          </w:p>
        </w:tc>
        <w:tc>
          <w:tcPr>
            <w:tcW w:w="3129" w:type="dxa"/>
            <w:vAlign w:val="center"/>
          </w:tcPr>
          <w:p>
            <w:pPr>
              <w:pStyle w:val="8"/>
              <w:widowControl/>
              <w:spacing w:line="300" w:lineRule="exact"/>
              <w:rPr>
                <w:rFonts w:ascii="宋体" w:hAnsi="宋体"/>
                <w:kern w:val="0"/>
              </w:rPr>
            </w:pPr>
            <w:r>
              <w:rPr>
                <w:rFonts w:hint="eastAsia" w:ascii="宋体" w:hAnsi="宋体"/>
                <w:kern w:val="0"/>
              </w:rPr>
              <w:t>1、查现场；</w:t>
            </w:r>
          </w:p>
          <w:p>
            <w:pPr>
              <w:pStyle w:val="8"/>
              <w:widowControl/>
              <w:spacing w:line="300" w:lineRule="exact"/>
              <w:rPr>
                <w:rFonts w:ascii="宋体" w:hAnsi="宋体"/>
                <w:kern w:val="0"/>
              </w:rPr>
            </w:pPr>
            <w:r>
              <w:rPr>
                <w:rFonts w:hint="eastAsia" w:ascii="宋体" w:hAnsi="宋体"/>
                <w:kern w:val="0"/>
              </w:rPr>
              <w:t>2、查个人档案。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restart"/>
            <w:vAlign w:val="center"/>
          </w:tcPr>
          <w:p>
            <w:pPr>
              <w:pStyle w:val="8"/>
              <w:widowControl/>
              <w:spacing w:line="300" w:lineRule="exact"/>
              <w:ind w:left="320" w:leftChars="100"/>
              <w:rPr>
                <w:rFonts w:ascii="宋体" w:hAnsi="宋体"/>
                <w:kern w:val="0"/>
              </w:rPr>
            </w:pPr>
            <w:r>
              <w:rPr>
                <w:rFonts w:hint="eastAsia" w:ascii="宋体" w:hAnsi="宋体"/>
                <w:kern w:val="0"/>
              </w:rPr>
              <w:t>六、</w:t>
            </w:r>
          </w:p>
          <w:p>
            <w:pPr>
              <w:pStyle w:val="8"/>
              <w:widowControl/>
              <w:spacing w:line="300" w:lineRule="exact"/>
              <w:ind w:left="320" w:leftChars="100"/>
              <w:rPr>
                <w:rFonts w:ascii="宋体" w:hAnsi="宋体"/>
                <w:kern w:val="0"/>
              </w:rPr>
            </w:pPr>
          </w:p>
          <w:p>
            <w:pPr>
              <w:pStyle w:val="8"/>
              <w:widowControl/>
              <w:spacing w:line="300" w:lineRule="exact"/>
              <w:ind w:left="320" w:leftChars="100"/>
              <w:rPr>
                <w:rFonts w:ascii="宋体" w:hAnsi="宋体"/>
                <w:kern w:val="0"/>
              </w:rPr>
            </w:pPr>
            <w:r>
              <w:rPr>
                <w:rFonts w:hint="eastAsia" w:ascii="宋体" w:hAnsi="宋体"/>
                <w:kern w:val="0"/>
              </w:rPr>
              <w:t>文</w:t>
            </w:r>
          </w:p>
          <w:p>
            <w:pPr>
              <w:pStyle w:val="8"/>
              <w:widowControl/>
              <w:spacing w:line="300" w:lineRule="exact"/>
              <w:ind w:left="320" w:leftChars="100"/>
              <w:rPr>
                <w:rFonts w:ascii="宋体" w:hAnsi="宋体"/>
                <w:kern w:val="0"/>
              </w:rPr>
            </w:pPr>
          </w:p>
          <w:p>
            <w:pPr>
              <w:pStyle w:val="8"/>
              <w:widowControl/>
              <w:spacing w:line="300" w:lineRule="exact"/>
              <w:ind w:left="320" w:leftChars="100"/>
              <w:rPr>
                <w:rFonts w:ascii="宋体" w:hAnsi="宋体"/>
                <w:bCs/>
                <w:kern w:val="0"/>
              </w:rPr>
            </w:pPr>
            <w:r>
              <w:rPr>
                <w:rFonts w:hint="eastAsia" w:ascii="宋体" w:hAnsi="宋体"/>
                <w:kern w:val="0"/>
              </w:rPr>
              <w:t>件</w:t>
            </w:r>
          </w:p>
        </w:tc>
        <w:tc>
          <w:tcPr>
            <w:tcW w:w="5438" w:type="dxa"/>
            <w:vAlign w:val="center"/>
          </w:tcPr>
          <w:p>
            <w:pPr>
              <w:pStyle w:val="8"/>
              <w:widowControl/>
              <w:spacing w:line="300" w:lineRule="exact"/>
              <w:rPr>
                <w:rFonts w:ascii="宋体" w:hAnsi="宋体"/>
                <w:kern w:val="0"/>
              </w:rPr>
            </w:pPr>
            <w:r>
              <w:rPr>
                <w:rFonts w:hint="eastAsia" w:ascii="宋体" w:hAnsi="宋体"/>
                <w:kern w:val="0"/>
              </w:rPr>
              <w:t>59、应有下列文件：《放射性药品使用许可证》及申报文件、验收、整改记录；各级监管部门监督检查文件及记录。（通用）</w:t>
            </w:r>
          </w:p>
        </w:tc>
        <w:tc>
          <w:tcPr>
            <w:tcW w:w="3129" w:type="dxa"/>
            <w:vAlign w:val="center"/>
          </w:tcPr>
          <w:p>
            <w:pPr>
              <w:pStyle w:val="8"/>
              <w:widowControl/>
              <w:spacing w:line="300" w:lineRule="exact"/>
              <w:rPr>
                <w:rFonts w:ascii="宋体" w:hAnsi="宋体"/>
                <w:kern w:val="0"/>
              </w:rPr>
            </w:pPr>
            <w:r>
              <w:rPr>
                <w:rFonts w:hint="eastAsia" w:ascii="宋体" w:hAnsi="宋体"/>
                <w:kern w:val="0"/>
              </w:rPr>
              <w:t>查文件记录。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bCs/>
                <w:kern w:val="0"/>
              </w:rPr>
              <w:t>*60</w:t>
            </w:r>
            <w:r>
              <w:rPr>
                <w:rFonts w:hint="eastAsia" w:ascii="宋体" w:hAnsi="宋体"/>
                <w:kern w:val="0"/>
              </w:rPr>
              <w:t>、应有使用管理、配制管理、质量管理的各项制度和记录。至少应有：放射性药品采购、登记、使用、核对、保管及注销制度；放射性药品配制、质控及记录制度；仪器设备的使用、管理制度；体内放射性药品使用、观察制度；卫生防护和废物处理制度；放射性药品不良反应、放射性污染的紧急处理及报告制度（通用）</w:t>
            </w:r>
          </w:p>
        </w:tc>
        <w:tc>
          <w:tcPr>
            <w:tcW w:w="3129" w:type="dxa"/>
            <w:vAlign w:val="center"/>
          </w:tcPr>
          <w:p>
            <w:pPr>
              <w:pStyle w:val="8"/>
              <w:widowControl/>
              <w:spacing w:line="300" w:lineRule="exact"/>
              <w:rPr>
                <w:rFonts w:ascii="宋体" w:hAnsi="宋体"/>
                <w:kern w:val="0"/>
              </w:rPr>
            </w:pPr>
            <w:r>
              <w:rPr>
                <w:rFonts w:hint="eastAsia" w:ascii="宋体" w:hAnsi="宋体"/>
                <w:kern w:val="0"/>
              </w:rPr>
              <w:t>1、查SOP或制度；</w:t>
            </w:r>
          </w:p>
          <w:p>
            <w:pPr>
              <w:pStyle w:val="8"/>
              <w:widowControl/>
              <w:spacing w:line="300" w:lineRule="exact"/>
              <w:rPr>
                <w:rFonts w:ascii="宋体" w:hAnsi="宋体"/>
                <w:kern w:val="0"/>
              </w:rPr>
            </w:pPr>
            <w:r>
              <w:rPr>
                <w:rFonts w:hint="eastAsia" w:ascii="宋体" w:hAnsi="宋体"/>
                <w:kern w:val="0"/>
              </w:rPr>
              <w:t>2、查记录。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61、应建立文件的起草、修订、审查、批准及保管的制度。使用的文件应为批准的现行文本，已撤销和过时的文件除留档备查外，不得在工作现场出现；文件的制订、审查和批准的责任应明确，并有责任人签名；有关放射性药品配制记录和质量检验记录应完整归档，至少保存2年备查。（通用）</w:t>
            </w:r>
          </w:p>
        </w:tc>
        <w:tc>
          <w:tcPr>
            <w:tcW w:w="3129" w:type="dxa"/>
            <w:vAlign w:val="center"/>
          </w:tcPr>
          <w:p>
            <w:pPr>
              <w:pStyle w:val="8"/>
              <w:widowControl/>
              <w:spacing w:line="300" w:lineRule="exact"/>
              <w:rPr>
                <w:rFonts w:ascii="宋体" w:hAnsi="宋体"/>
                <w:kern w:val="0"/>
              </w:rPr>
            </w:pPr>
            <w:r>
              <w:rPr>
                <w:rFonts w:hint="eastAsia" w:ascii="宋体" w:hAnsi="宋体"/>
                <w:kern w:val="0"/>
              </w:rPr>
              <w:t>1、查SOP或制度；</w:t>
            </w:r>
          </w:p>
          <w:p>
            <w:pPr>
              <w:pStyle w:val="8"/>
              <w:widowControl/>
              <w:spacing w:line="300" w:lineRule="exact"/>
              <w:rPr>
                <w:rFonts w:ascii="宋体" w:hAnsi="宋体"/>
                <w:kern w:val="0"/>
              </w:rPr>
            </w:pPr>
            <w:r>
              <w:rPr>
                <w:rFonts w:hint="eastAsia" w:ascii="宋体" w:hAnsi="宋体"/>
                <w:kern w:val="0"/>
              </w:rPr>
              <w:t>2、查记录。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vAlign w:val="center"/>
          </w:tcPr>
          <w:p>
            <w:pPr>
              <w:pStyle w:val="8"/>
              <w:widowControl/>
              <w:spacing w:line="300" w:lineRule="exact"/>
              <w:ind w:left="320" w:leftChars="100"/>
              <w:rPr>
                <w:rFonts w:ascii="宋体" w:hAnsi="宋体"/>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62、必须建立放射性物质的贮存、领取、使用、归还制度，并有记录。（通用）</w:t>
            </w:r>
          </w:p>
        </w:tc>
        <w:tc>
          <w:tcPr>
            <w:tcW w:w="3129" w:type="dxa"/>
            <w:vAlign w:val="center"/>
          </w:tcPr>
          <w:p>
            <w:pPr>
              <w:pStyle w:val="8"/>
              <w:widowControl/>
              <w:spacing w:line="300" w:lineRule="exact"/>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1" w:hRule="atLeast"/>
        </w:trPr>
        <w:tc>
          <w:tcPr>
            <w:tcW w:w="1008" w:type="dxa"/>
            <w:vMerge w:val="restart"/>
            <w:vAlign w:val="center"/>
          </w:tcPr>
          <w:p>
            <w:pPr>
              <w:pStyle w:val="8"/>
              <w:widowControl/>
              <w:spacing w:line="300" w:lineRule="exact"/>
              <w:ind w:left="320" w:leftChars="100"/>
              <w:rPr>
                <w:rFonts w:ascii="宋体" w:hAnsi="宋体"/>
                <w:kern w:val="0"/>
              </w:rPr>
            </w:pPr>
            <w:r>
              <w:rPr>
                <w:rFonts w:hint="eastAsia" w:ascii="宋体" w:hAnsi="宋体"/>
                <w:kern w:val="0"/>
              </w:rPr>
              <w:t>七、</w:t>
            </w:r>
          </w:p>
          <w:p>
            <w:pPr>
              <w:pStyle w:val="8"/>
              <w:widowControl/>
              <w:spacing w:line="300" w:lineRule="exact"/>
              <w:ind w:left="320" w:leftChars="100"/>
              <w:rPr>
                <w:rFonts w:ascii="宋体" w:hAnsi="宋体"/>
                <w:kern w:val="0"/>
              </w:rPr>
            </w:pPr>
          </w:p>
          <w:p>
            <w:pPr>
              <w:pStyle w:val="8"/>
              <w:widowControl/>
              <w:spacing w:line="300" w:lineRule="exact"/>
              <w:ind w:left="320" w:leftChars="100"/>
              <w:rPr>
                <w:rFonts w:ascii="宋体" w:hAnsi="宋体"/>
                <w:kern w:val="0"/>
              </w:rPr>
            </w:pPr>
            <w:r>
              <w:rPr>
                <w:rFonts w:hint="eastAsia" w:ascii="宋体" w:hAnsi="宋体"/>
                <w:kern w:val="0"/>
              </w:rPr>
              <w:t>配</w:t>
            </w:r>
          </w:p>
          <w:p>
            <w:pPr>
              <w:pStyle w:val="8"/>
              <w:widowControl/>
              <w:spacing w:line="300" w:lineRule="exact"/>
              <w:ind w:left="320" w:leftChars="100"/>
              <w:rPr>
                <w:rFonts w:ascii="宋体" w:hAnsi="宋体"/>
                <w:kern w:val="0"/>
              </w:rPr>
            </w:pPr>
          </w:p>
          <w:p>
            <w:pPr>
              <w:pStyle w:val="8"/>
              <w:widowControl/>
              <w:spacing w:line="300" w:lineRule="exact"/>
              <w:ind w:left="320" w:leftChars="100"/>
              <w:rPr>
                <w:rFonts w:ascii="宋体" w:hAnsi="宋体"/>
                <w:kern w:val="0"/>
              </w:rPr>
            </w:pPr>
            <w:r>
              <w:rPr>
                <w:rFonts w:hint="eastAsia" w:ascii="宋体" w:hAnsi="宋体"/>
                <w:kern w:val="0"/>
              </w:rPr>
              <w:t>制</w:t>
            </w:r>
          </w:p>
          <w:p>
            <w:pPr>
              <w:pStyle w:val="8"/>
              <w:widowControl/>
              <w:spacing w:line="300" w:lineRule="exact"/>
              <w:ind w:left="320" w:leftChars="100"/>
              <w:rPr>
                <w:rFonts w:ascii="宋体" w:hAnsi="宋体"/>
                <w:kern w:val="0"/>
              </w:rPr>
            </w:pPr>
          </w:p>
          <w:p>
            <w:pPr>
              <w:pStyle w:val="8"/>
              <w:widowControl/>
              <w:spacing w:line="300" w:lineRule="exact"/>
              <w:ind w:left="320" w:leftChars="100"/>
              <w:rPr>
                <w:rFonts w:ascii="宋体" w:hAnsi="宋体"/>
                <w:kern w:val="0"/>
              </w:rPr>
            </w:pPr>
            <w:r>
              <w:rPr>
                <w:rFonts w:hint="eastAsia" w:ascii="宋体" w:hAnsi="宋体"/>
                <w:kern w:val="0"/>
              </w:rPr>
              <w:t>管</w:t>
            </w:r>
          </w:p>
          <w:p>
            <w:pPr>
              <w:pStyle w:val="8"/>
              <w:widowControl/>
              <w:spacing w:line="300" w:lineRule="exact"/>
              <w:ind w:left="320" w:leftChars="100"/>
              <w:rPr>
                <w:rFonts w:ascii="宋体" w:hAnsi="宋体"/>
                <w:kern w:val="0"/>
              </w:rPr>
            </w:pPr>
          </w:p>
          <w:p>
            <w:pPr>
              <w:pStyle w:val="8"/>
              <w:widowControl/>
              <w:spacing w:line="300" w:lineRule="exact"/>
              <w:ind w:left="320" w:leftChars="100"/>
              <w:rPr>
                <w:rFonts w:ascii="宋体" w:hAnsi="宋体"/>
                <w:bCs/>
                <w:kern w:val="0"/>
              </w:rPr>
            </w:pPr>
            <w:r>
              <w:rPr>
                <w:rFonts w:hint="eastAsia" w:ascii="宋体" w:hAnsi="宋体"/>
                <w:kern w:val="0"/>
              </w:rPr>
              <w:t>理</w:t>
            </w:r>
          </w:p>
        </w:tc>
        <w:tc>
          <w:tcPr>
            <w:tcW w:w="5438" w:type="dxa"/>
            <w:vAlign w:val="center"/>
          </w:tcPr>
          <w:p>
            <w:pPr>
              <w:pStyle w:val="8"/>
              <w:widowControl/>
              <w:spacing w:line="300" w:lineRule="exact"/>
              <w:rPr>
                <w:rFonts w:ascii="宋体" w:hAnsi="宋体"/>
                <w:kern w:val="0"/>
              </w:rPr>
            </w:pPr>
            <w:r>
              <w:rPr>
                <w:rFonts w:hint="eastAsia" w:ascii="宋体" w:hAnsi="宋体"/>
                <w:kern w:val="0"/>
              </w:rPr>
              <w:t>63、放射性药品的配制工艺及主要设备应按验证方案进行验证。当影响制剂质量的主要因素，如配制工艺或质量控制方法、主要原辅料、主要配制设备等发生改变时，以及配制一定周期后，应进行再验证。所有验证记录应归档保存。（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1、查SOP或制度；</w:t>
            </w:r>
          </w:p>
          <w:p>
            <w:pPr>
              <w:pStyle w:val="8"/>
              <w:widowControl/>
              <w:spacing w:line="300" w:lineRule="exact"/>
              <w:rPr>
                <w:rFonts w:ascii="宋体" w:hAnsi="宋体"/>
                <w:kern w:val="0"/>
              </w:rPr>
            </w:pPr>
            <w:r>
              <w:rPr>
                <w:rFonts w:hint="eastAsia" w:ascii="宋体" w:hAnsi="宋体"/>
                <w:kern w:val="0"/>
              </w:rPr>
              <w:t>2、查验证档案。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4" w:hRule="atLeast"/>
        </w:trPr>
        <w:tc>
          <w:tcPr>
            <w:tcW w:w="1008" w:type="dxa"/>
            <w:vMerge w:val="continue"/>
            <w:tcBorders/>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64、验证文件应包括验证方案、验证记录、验证报告、评价和意见、批准人等。（三、四类）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查文件档案。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tcBorders/>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bCs/>
                <w:kern w:val="0"/>
              </w:rPr>
              <w:t>*65</w:t>
            </w:r>
            <w:r>
              <w:rPr>
                <w:rFonts w:hint="eastAsia" w:ascii="宋体" w:hAnsi="宋体"/>
                <w:kern w:val="0"/>
              </w:rPr>
              <w:t>、配制放射性药品必须有工艺规程和标准操作规程。上述文件必须按规定的程序进行审批修订，不得随意更改。（三、四类）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1、查配制规程和标准操作规程；</w:t>
            </w:r>
          </w:p>
          <w:p>
            <w:pPr>
              <w:pStyle w:val="8"/>
              <w:widowControl/>
              <w:spacing w:line="300" w:lineRule="exact"/>
              <w:rPr>
                <w:rFonts w:ascii="宋体" w:hAnsi="宋体"/>
                <w:kern w:val="0"/>
              </w:rPr>
            </w:pPr>
            <w:r>
              <w:rPr>
                <w:rFonts w:hint="eastAsia" w:ascii="宋体" w:hAnsi="宋体"/>
                <w:kern w:val="0"/>
              </w:rPr>
              <w:t>2、查执行情况。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tcBorders/>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66、每批放射性药品均应编制配制批号，并标明配制日期、贮存条件。（三、四类）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1、查配制记录；</w:t>
            </w:r>
          </w:p>
          <w:p>
            <w:pPr>
              <w:pStyle w:val="8"/>
              <w:widowControl/>
              <w:spacing w:line="300" w:lineRule="exact"/>
              <w:rPr>
                <w:rFonts w:ascii="宋体" w:hAnsi="宋体"/>
                <w:kern w:val="0"/>
              </w:rPr>
            </w:pPr>
            <w:r>
              <w:rPr>
                <w:rFonts w:hint="eastAsia" w:ascii="宋体" w:hAnsi="宋体"/>
                <w:kern w:val="0"/>
              </w:rPr>
              <w:t>2、查包装。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1008" w:type="dxa"/>
            <w:vMerge w:val="continue"/>
            <w:tcBorders/>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67、每次配制后应清场，并填写清场记录。每次配制前应确认无上次遗留物。（三、四类）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1、查现场；</w:t>
            </w:r>
          </w:p>
          <w:p>
            <w:pPr>
              <w:pStyle w:val="8"/>
              <w:widowControl/>
              <w:spacing w:line="300" w:lineRule="exact"/>
              <w:rPr>
                <w:rFonts w:ascii="宋体" w:hAnsi="宋体"/>
                <w:kern w:val="0"/>
              </w:rPr>
            </w:pPr>
            <w:r>
              <w:rPr>
                <w:rFonts w:hint="eastAsia" w:ascii="宋体" w:hAnsi="宋体"/>
                <w:kern w:val="0"/>
              </w:rPr>
              <w:t>2、查清场记录。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1008" w:type="dxa"/>
            <w:vMerge w:val="continue"/>
            <w:tcBorders/>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bCs/>
                <w:kern w:val="0"/>
              </w:rPr>
              <w:t>*6</w:t>
            </w:r>
            <w:r>
              <w:rPr>
                <w:rFonts w:hint="eastAsia" w:ascii="宋体" w:hAnsi="宋体"/>
                <w:kern w:val="0"/>
              </w:rPr>
              <w:t>8、不同品种、规格的放射性药品同时生产操作时，应采用隔离或其他有效防止污染和混淆的措施。（三、四类）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1008" w:type="dxa"/>
            <w:vMerge w:val="continue"/>
            <w:tcBorders/>
            <w:vAlign w:val="center"/>
          </w:tcPr>
          <w:p>
            <w:pPr>
              <w:pStyle w:val="8"/>
              <w:widowControl/>
              <w:spacing w:line="300" w:lineRule="exact"/>
              <w:jc w:val="center"/>
              <w:rPr>
                <w:rFonts w:ascii="宋体" w:hAnsi="宋体"/>
                <w:bCs/>
                <w:kern w:val="0"/>
              </w:rPr>
            </w:pPr>
          </w:p>
        </w:tc>
        <w:tc>
          <w:tcPr>
            <w:tcW w:w="5438" w:type="dxa"/>
            <w:vAlign w:val="center"/>
          </w:tcPr>
          <w:p>
            <w:pPr>
              <w:pStyle w:val="8"/>
              <w:widowControl/>
              <w:spacing w:line="300" w:lineRule="exact"/>
              <w:rPr>
                <w:rFonts w:ascii="宋体" w:hAnsi="宋体"/>
                <w:kern w:val="0"/>
              </w:rPr>
            </w:pPr>
            <w:r>
              <w:rPr>
                <w:rFonts w:hint="eastAsia" w:ascii="宋体" w:hAnsi="宋体"/>
                <w:kern w:val="0"/>
              </w:rPr>
              <w:t>69、在配制过程中使用的容器须有标明物料名称、批号、状态及数量等的标志。（三、四类）</w:t>
            </w:r>
          </w:p>
        </w:tc>
        <w:tc>
          <w:tcPr>
            <w:tcW w:w="3129" w:type="dxa"/>
            <w:vAlign w:val="center"/>
          </w:tcPr>
          <w:p>
            <w:pPr>
              <w:pStyle w:val="8"/>
              <w:widowControl/>
              <w:spacing w:line="300" w:lineRule="exact"/>
              <w:rPr>
                <w:rFonts w:ascii="宋体" w:hAnsi="宋体"/>
                <w:kern w:val="0"/>
              </w:rPr>
            </w:pPr>
            <w:r>
              <w:rPr>
                <w:rFonts w:hint="eastAsia" w:ascii="宋体" w:hAnsi="宋体"/>
                <w:kern w:val="0"/>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3" w:hRule="atLeast"/>
        </w:trPr>
        <w:tc>
          <w:tcPr>
            <w:tcW w:w="1008" w:type="dxa"/>
            <w:vMerge w:val="continue"/>
            <w:tcBorders/>
            <w:vAlign w:val="center"/>
          </w:tcPr>
          <w:p>
            <w:pPr>
              <w:pStyle w:val="8"/>
              <w:widowControl/>
              <w:spacing w:line="300" w:lineRule="exact"/>
              <w:jc w:val="center"/>
              <w:rPr>
                <w:rFonts w:ascii="宋体" w:hAnsi="宋体"/>
                <w:bCs/>
                <w:kern w:val="0"/>
              </w:rPr>
            </w:pPr>
          </w:p>
        </w:tc>
        <w:tc>
          <w:tcPr>
            <w:tcW w:w="5438" w:type="dxa"/>
            <w:vAlign w:val="center"/>
          </w:tcPr>
          <w:p>
            <w:pPr>
              <w:widowControl/>
              <w:rPr>
                <w:rFonts w:hint="eastAsia" w:ascii="宋体" w:hAnsi="宋体"/>
                <w:kern w:val="0"/>
              </w:rPr>
            </w:pPr>
            <w:r>
              <w:rPr>
                <w:rFonts w:hint="eastAsia" w:ascii="宋体" w:hAnsi="宋体" w:eastAsia="宋体" w:cs="Times New Roman"/>
                <w:kern w:val="0"/>
                <w:sz w:val="21"/>
                <w:szCs w:val="24"/>
                <w:lang w:val="en-US" w:eastAsia="zh-CN" w:bidi="ar-SA"/>
              </w:rPr>
              <w:t>*70、每批放射性药品均应有一份能反映配制各个环节的完整记录。操作人员应及时填写记录，填写字迹清晰、内容真实、数据完整，并由操作人、复核人及清场人签字。记录应保持整洁，不得撕毁和任意涂改。需要更改时，更改人应在更改处签字，并需使被更改部分可以辨认。（三、四类）</w:t>
            </w:r>
          </w:p>
        </w:tc>
        <w:tc>
          <w:tcPr>
            <w:tcW w:w="3129" w:type="dxa"/>
            <w:vAlign w:val="center"/>
          </w:tcPr>
          <w:p>
            <w:pPr>
              <w:widowControl/>
              <w:rPr>
                <w:rFonts w:hint="eastAsia" w:ascii="宋体" w:hAnsi="宋体"/>
                <w:kern w:val="0"/>
              </w:rPr>
            </w:pPr>
            <w:r>
              <w:rPr>
                <w:rFonts w:hint="eastAsia" w:ascii="宋体" w:hAnsi="宋体" w:eastAsia="宋体" w:cs="Times New Roman"/>
                <w:kern w:val="0"/>
                <w:sz w:val="21"/>
                <w:szCs w:val="24"/>
                <w:lang w:val="en-US" w:eastAsia="zh-CN" w:bidi="ar-SA"/>
              </w:rPr>
              <w:t>查批生产记录。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tcBorders/>
            <w:noWrap w:val="0"/>
            <w:vAlign w:val="center"/>
          </w:tcPr>
          <w:p>
            <w:pPr>
              <w:widowControl/>
              <w:ind w:left="320" w:leftChars="100"/>
              <w:rPr>
                <w:rFonts w:hint="eastAsia" w:ascii="宋体" w:hAnsi="宋体" w:eastAsia="宋体" w:cs="Times New Roman"/>
                <w:kern w:val="0"/>
                <w:sz w:val="21"/>
                <w:szCs w:val="24"/>
                <w:lang w:val="en-US" w:eastAsia="zh-CN" w:bidi="ar-SA"/>
              </w:rPr>
            </w:pPr>
          </w:p>
        </w:tc>
        <w:tc>
          <w:tcPr>
            <w:tcW w:w="5438"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*71、配制</w:t>
            </w:r>
            <w:bookmarkStart w:id="0" w:name="_GoBack"/>
            <w:bookmarkEnd w:id="0"/>
            <w:r>
              <w:rPr>
                <w:rFonts w:hint="eastAsia" w:ascii="宋体" w:hAnsi="宋体" w:eastAsia="宋体" w:cs="Times New Roman"/>
                <w:kern w:val="0"/>
                <w:sz w:val="21"/>
                <w:szCs w:val="24"/>
                <w:lang w:val="en-US" w:eastAsia="zh-CN" w:bidi="ar-SA"/>
              </w:rPr>
              <w:t>正电子类放射性药品应按要求取得《正电子类放射性药品备案批件》（三、四类）</w:t>
            </w:r>
          </w:p>
        </w:tc>
        <w:tc>
          <w:tcPr>
            <w:tcW w:w="3129"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查品种及批件。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restart"/>
            <w:noWrap w:val="0"/>
            <w:vAlign w:val="center"/>
          </w:tcPr>
          <w:p>
            <w:pPr>
              <w:widowControl/>
              <w:ind w:left="320" w:leftChars="100"/>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八、</w:t>
            </w:r>
          </w:p>
          <w:p>
            <w:pPr>
              <w:widowControl/>
              <w:ind w:left="320" w:leftChars="100"/>
              <w:rPr>
                <w:rFonts w:hint="eastAsia" w:ascii="宋体" w:hAnsi="宋体" w:eastAsia="宋体" w:cs="Times New Roman"/>
                <w:kern w:val="0"/>
                <w:sz w:val="21"/>
                <w:szCs w:val="24"/>
                <w:lang w:val="en-US" w:eastAsia="zh-CN" w:bidi="ar-SA"/>
              </w:rPr>
            </w:pPr>
          </w:p>
          <w:p>
            <w:pPr>
              <w:widowControl/>
              <w:ind w:left="320" w:leftChars="100"/>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质</w:t>
            </w:r>
          </w:p>
          <w:p>
            <w:pPr>
              <w:widowControl/>
              <w:ind w:left="320" w:leftChars="100"/>
              <w:rPr>
                <w:rFonts w:hint="eastAsia" w:ascii="宋体" w:hAnsi="宋体" w:eastAsia="宋体" w:cs="Times New Roman"/>
                <w:kern w:val="0"/>
                <w:sz w:val="21"/>
                <w:szCs w:val="24"/>
                <w:lang w:val="en-US" w:eastAsia="zh-CN" w:bidi="ar-SA"/>
              </w:rPr>
            </w:pPr>
          </w:p>
          <w:p>
            <w:pPr>
              <w:widowControl/>
              <w:ind w:left="320" w:leftChars="100"/>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量</w:t>
            </w:r>
          </w:p>
          <w:p>
            <w:pPr>
              <w:widowControl/>
              <w:ind w:left="320" w:leftChars="100"/>
              <w:rPr>
                <w:rFonts w:hint="eastAsia" w:ascii="宋体" w:hAnsi="宋体" w:eastAsia="宋体" w:cs="Times New Roman"/>
                <w:kern w:val="0"/>
                <w:sz w:val="21"/>
                <w:szCs w:val="24"/>
                <w:lang w:val="en-US" w:eastAsia="zh-CN" w:bidi="ar-SA"/>
              </w:rPr>
            </w:pPr>
          </w:p>
          <w:p>
            <w:pPr>
              <w:widowControl/>
              <w:ind w:left="320" w:leftChars="100"/>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管</w:t>
            </w:r>
          </w:p>
          <w:p>
            <w:pPr>
              <w:widowControl/>
              <w:ind w:left="320" w:leftChars="100"/>
              <w:rPr>
                <w:rFonts w:hint="eastAsia" w:ascii="宋体" w:hAnsi="宋体" w:eastAsia="宋体" w:cs="Times New Roman"/>
                <w:kern w:val="0"/>
                <w:sz w:val="21"/>
                <w:szCs w:val="24"/>
                <w:lang w:val="en-US" w:eastAsia="zh-CN" w:bidi="ar-SA"/>
              </w:rPr>
            </w:pPr>
          </w:p>
          <w:p>
            <w:pPr>
              <w:widowControl/>
              <w:ind w:left="320" w:leftChars="100"/>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理</w:t>
            </w:r>
          </w:p>
        </w:tc>
        <w:tc>
          <w:tcPr>
            <w:tcW w:w="5438"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72、自行配制放射性药品的应设置药检室，负责放射性药品配制全过程的检验。具备制备和检验放射性药品相适应的场所、仪器和设备。仪器设备应定期校验，确保状态正常，并有仪器设备操作和校验规程、使用和维修记录。（三、四类）</w:t>
            </w:r>
          </w:p>
        </w:tc>
        <w:tc>
          <w:tcPr>
            <w:tcW w:w="3129"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查现场。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noWrap w:val="0"/>
            <w:vAlign w:val="center"/>
          </w:tcPr>
          <w:p>
            <w:pPr>
              <w:widowControl/>
              <w:jc w:val="center"/>
              <w:rPr>
                <w:rFonts w:hint="eastAsia" w:ascii="宋体" w:hAnsi="宋体" w:eastAsia="宋体" w:cs="Times New Roman"/>
                <w:kern w:val="0"/>
                <w:sz w:val="21"/>
                <w:szCs w:val="24"/>
                <w:lang w:val="en-US" w:eastAsia="zh-CN" w:bidi="ar-SA"/>
              </w:rPr>
            </w:pPr>
          </w:p>
        </w:tc>
        <w:tc>
          <w:tcPr>
            <w:tcW w:w="5438"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73、对自行配制的放射性药品要按放射性药品质量控制指导原则规定检验。必须有完整的检验原始记录及所有批号的检验报告单。检验记录的书写应规范，字迹要清楚，如有更改应有更改人签字并有检验人、复核人签字，原始记录应保留一年。制剂成品检验报告单应有检验人、负责人签字。（三、四类）</w:t>
            </w:r>
          </w:p>
        </w:tc>
        <w:tc>
          <w:tcPr>
            <w:tcW w:w="3129"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查检验原始记录及检验报告单。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1008" w:type="dxa"/>
            <w:vMerge w:val="continue"/>
            <w:noWrap w:val="0"/>
            <w:vAlign w:val="center"/>
          </w:tcPr>
          <w:p>
            <w:pPr>
              <w:widowControl/>
              <w:jc w:val="center"/>
              <w:rPr>
                <w:rFonts w:hint="eastAsia" w:ascii="宋体" w:hAnsi="宋体" w:eastAsia="宋体" w:cs="Times New Roman"/>
                <w:kern w:val="0"/>
                <w:sz w:val="21"/>
                <w:szCs w:val="24"/>
                <w:lang w:val="en-US" w:eastAsia="zh-CN" w:bidi="ar-SA"/>
              </w:rPr>
            </w:pPr>
          </w:p>
        </w:tc>
        <w:tc>
          <w:tcPr>
            <w:tcW w:w="5438"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*74、所配放射性药品按质量标准检验合格后，方可用于临床。（三、四类）</w:t>
            </w:r>
          </w:p>
        </w:tc>
        <w:tc>
          <w:tcPr>
            <w:tcW w:w="3129"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 xml:space="preserve">查制剂质量标准及检验报告单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restart"/>
            <w:shd w:val="clear" w:color="auto" w:fill="auto"/>
            <w:noWrap w:val="0"/>
            <w:vAlign w:val="center"/>
          </w:tcPr>
          <w:p>
            <w:pPr>
              <w:widowControl/>
              <w:ind w:left="320" w:leftChars="100"/>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九、</w:t>
            </w:r>
          </w:p>
          <w:p>
            <w:pPr>
              <w:widowControl/>
              <w:ind w:left="320" w:leftChars="100"/>
              <w:rPr>
                <w:rFonts w:hint="eastAsia" w:ascii="宋体" w:hAnsi="宋体" w:eastAsia="宋体" w:cs="Times New Roman"/>
                <w:kern w:val="0"/>
                <w:sz w:val="21"/>
                <w:szCs w:val="24"/>
                <w:lang w:val="en-US" w:eastAsia="zh-CN" w:bidi="ar-SA"/>
              </w:rPr>
            </w:pPr>
          </w:p>
          <w:p>
            <w:pPr>
              <w:widowControl/>
              <w:ind w:left="320" w:leftChars="100"/>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使</w:t>
            </w:r>
          </w:p>
          <w:p>
            <w:pPr>
              <w:widowControl/>
              <w:ind w:left="320" w:leftChars="100"/>
              <w:rPr>
                <w:rFonts w:hint="eastAsia" w:ascii="宋体" w:hAnsi="宋体" w:eastAsia="宋体" w:cs="Times New Roman"/>
                <w:kern w:val="0"/>
                <w:sz w:val="21"/>
                <w:szCs w:val="24"/>
                <w:lang w:val="en-US" w:eastAsia="zh-CN" w:bidi="ar-SA"/>
              </w:rPr>
            </w:pPr>
          </w:p>
          <w:p>
            <w:pPr>
              <w:widowControl/>
              <w:ind w:left="320" w:leftChars="100"/>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用</w:t>
            </w:r>
          </w:p>
          <w:p>
            <w:pPr>
              <w:widowControl/>
              <w:ind w:left="320" w:leftChars="100"/>
              <w:rPr>
                <w:rFonts w:hint="eastAsia" w:ascii="宋体" w:hAnsi="宋体" w:eastAsia="宋体" w:cs="Times New Roman"/>
                <w:kern w:val="0"/>
                <w:sz w:val="21"/>
                <w:szCs w:val="24"/>
                <w:lang w:val="en-US" w:eastAsia="zh-CN" w:bidi="ar-SA"/>
              </w:rPr>
            </w:pPr>
          </w:p>
          <w:p>
            <w:pPr>
              <w:widowControl/>
              <w:ind w:left="320" w:leftChars="100"/>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管</w:t>
            </w:r>
          </w:p>
          <w:p>
            <w:pPr>
              <w:widowControl/>
              <w:ind w:left="320" w:leftChars="100"/>
              <w:rPr>
                <w:rFonts w:hint="eastAsia" w:ascii="宋体" w:hAnsi="宋体" w:eastAsia="宋体" w:cs="Times New Roman"/>
                <w:kern w:val="0"/>
                <w:sz w:val="21"/>
                <w:szCs w:val="24"/>
                <w:lang w:val="en-US" w:eastAsia="zh-CN" w:bidi="ar-SA"/>
              </w:rPr>
            </w:pPr>
          </w:p>
          <w:p>
            <w:pPr>
              <w:widowControl/>
              <w:ind w:left="320" w:leftChars="100"/>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理</w:t>
            </w:r>
          </w:p>
        </w:tc>
        <w:tc>
          <w:tcPr>
            <w:tcW w:w="5438"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*75、放射性药品验收、发放、分装、使用必须有完整的记录或凭据。（通用）</w:t>
            </w:r>
          </w:p>
        </w:tc>
        <w:tc>
          <w:tcPr>
            <w:tcW w:w="3129"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1、查制度；</w:t>
            </w:r>
          </w:p>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2、查记录或凭据。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008" w:type="dxa"/>
            <w:vMerge w:val="continue"/>
            <w:shd w:val="clear" w:color="auto" w:fill="auto"/>
            <w:noWrap w:val="0"/>
            <w:vAlign w:val="center"/>
          </w:tcPr>
          <w:p>
            <w:pPr>
              <w:widowControl/>
              <w:jc w:val="center"/>
              <w:rPr>
                <w:rFonts w:hint="eastAsia" w:ascii="宋体" w:hAnsi="宋体" w:eastAsia="宋体" w:cs="Times New Roman"/>
                <w:kern w:val="0"/>
                <w:sz w:val="21"/>
                <w:szCs w:val="24"/>
                <w:lang w:val="en-US" w:eastAsia="zh-CN" w:bidi="ar-SA"/>
              </w:rPr>
            </w:pPr>
          </w:p>
        </w:tc>
        <w:tc>
          <w:tcPr>
            <w:tcW w:w="5438"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76、放射性药品使用过程中发现的不良反应，应按《药品不良反应监测管理办法》的规定予以记录，填表上报。保留病历和有关检验、检查报告单等原始记录至少一年备查。（通用）</w:t>
            </w:r>
          </w:p>
        </w:tc>
        <w:tc>
          <w:tcPr>
            <w:tcW w:w="3129"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8" w:hRule="atLeast"/>
        </w:trPr>
        <w:tc>
          <w:tcPr>
            <w:tcW w:w="1008" w:type="dxa"/>
            <w:vMerge w:val="continue"/>
            <w:shd w:val="clear" w:color="auto" w:fill="auto"/>
            <w:noWrap w:val="0"/>
            <w:vAlign w:val="center"/>
          </w:tcPr>
          <w:p>
            <w:pPr>
              <w:widowControl/>
              <w:jc w:val="center"/>
              <w:rPr>
                <w:rFonts w:hint="eastAsia" w:ascii="宋体" w:hAnsi="宋体" w:eastAsia="宋体" w:cs="Times New Roman"/>
                <w:kern w:val="0"/>
                <w:sz w:val="21"/>
                <w:szCs w:val="24"/>
                <w:lang w:val="en-US" w:eastAsia="zh-CN" w:bidi="ar-SA"/>
              </w:rPr>
            </w:pPr>
          </w:p>
        </w:tc>
        <w:tc>
          <w:tcPr>
            <w:tcW w:w="5438"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*77、自行配制的放射性药品调剂使用需经省级药品监督管理部门批准，并不得超出规定的期限、数量和范围。（通用）</w:t>
            </w:r>
          </w:p>
        </w:tc>
        <w:tc>
          <w:tcPr>
            <w:tcW w:w="3129" w:type="dxa"/>
            <w:noWrap w:val="0"/>
            <w:vAlign w:val="center"/>
          </w:tcPr>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1、查记录或凭据；</w:t>
            </w:r>
          </w:p>
          <w:p>
            <w:pPr>
              <w:widowControl/>
              <w:rPr>
                <w:rFonts w:hint="eastAsia" w:ascii="宋体" w:hAnsi="宋体" w:eastAsia="宋体" w:cs="Times New Roman"/>
                <w:kern w:val="0"/>
                <w:sz w:val="21"/>
                <w:szCs w:val="24"/>
                <w:lang w:val="en-US" w:eastAsia="zh-CN" w:bidi="ar-SA"/>
              </w:rPr>
            </w:pPr>
            <w:r>
              <w:rPr>
                <w:rFonts w:hint="eastAsia" w:ascii="宋体" w:hAnsi="宋体" w:eastAsia="宋体" w:cs="Times New Roman"/>
                <w:kern w:val="0"/>
                <w:sz w:val="21"/>
                <w:szCs w:val="24"/>
                <w:lang w:val="en-US" w:eastAsia="zh-CN" w:bidi="ar-SA"/>
              </w:rPr>
              <w:t>2、查批准文件。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2430"/>
    <w:rsid w:val="006B18D1"/>
    <w:rsid w:val="00976920"/>
    <w:rsid w:val="00CE586D"/>
    <w:rsid w:val="00E92430"/>
    <w:rsid w:val="00FC7BED"/>
    <w:rsid w:val="02406EB4"/>
    <w:rsid w:val="0B1C4074"/>
    <w:rsid w:val="448C43F9"/>
    <w:rsid w:val="462570AB"/>
    <w:rsid w:val="6C36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正文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900</Words>
  <Characters>5135</Characters>
  <Lines>42</Lines>
  <Paragraphs>12</Paragraphs>
  <TotalTime>3</TotalTime>
  <ScaleCrop>false</ScaleCrop>
  <LinksUpToDate>false</LinksUpToDate>
  <CharactersWithSpaces>6023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2020-10-15T03:07:00Z</dcterms:created>
  <dc:creator>未定义</dc:creator>
  <cp:lastModifiedBy>朱凌</cp:lastModifiedBy>
  <dcterms:modified xsi:type="dcterms:W3CDTF">2020-11-25T08:22:28Z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