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line="600" w:lineRule="exact"/>
        <w:jc w:val="left"/>
        <w:rPr>
          <w:rFonts w:hint="eastAsia" w:ascii="CESI黑体-GB2312" w:hAnsi="CESI黑体-GB2312" w:eastAsia="CESI黑体-GB2312" w:cs="CESI黑体-GB2312"/>
          <w:b w:val="0"/>
          <w:sz w:val="32"/>
          <w:szCs w:val="32"/>
          <w:lang w:val="en-US" w:eastAsia="zh-CN"/>
        </w:rPr>
      </w:pPr>
      <w:r>
        <w:rPr>
          <w:rFonts w:hint="eastAsia" w:ascii="CESI黑体-GB2312" w:hAnsi="CESI黑体-GB2312" w:eastAsia="CESI黑体-GB2312" w:cs="CESI黑体-GB2312"/>
          <w:b w:val="0"/>
          <w:sz w:val="32"/>
          <w:szCs w:val="32"/>
          <w:lang w:val="en-US" w:eastAsia="zh-CN"/>
        </w:rPr>
        <w:t>附件1</w:t>
      </w:r>
    </w:p>
    <w:p>
      <w:pPr>
        <w:spacing w:after="120" w:line="600" w:lineRule="exact"/>
        <w:jc w:val="left"/>
        <w:rPr>
          <w:rFonts w:hint="eastAsia" w:ascii="CESI黑体-GB2312" w:hAnsi="CESI黑体-GB2312" w:eastAsia="CESI黑体-GB2312" w:cs="CESI黑体-GB2312"/>
          <w:b w:val="0"/>
          <w:sz w:val="32"/>
          <w:szCs w:val="32"/>
          <w:lang w:val="en-US" w:eastAsia="zh-CN"/>
        </w:rPr>
      </w:pPr>
    </w:p>
    <w:p>
      <w:pPr>
        <w:keepNext w:val="0"/>
        <w:keepLines w:val="0"/>
        <w:pageBreakBefore w:val="0"/>
        <w:widowControl/>
        <w:kinsoku/>
        <w:wordWrap/>
        <w:overflowPunct/>
        <w:topLinePunct w:val="0"/>
        <w:autoSpaceDE/>
        <w:autoSpaceDN/>
        <w:bidi w:val="0"/>
        <w:adjustRightInd/>
        <w:snapToGrid/>
        <w:spacing w:after="120" w:line="500" w:lineRule="exact"/>
        <w:jc w:val="center"/>
        <w:textAlignment w:val="auto"/>
        <w:rPr>
          <w:rFonts w:hint="eastAsia" w:ascii="Times New Roman" w:hAnsi="Times New Roman" w:eastAsia="方正小标宋简体"/>
          <w:b w:val="0"/>
          <w:sz w:val="44"/>
        </w:rPr>
      </w:pPr>
      <w:r>
        <w:rPr>
          <w:rFonts w:hint="eastAsia" w:eastAsia="方正小标宋简体"/>
          <w:b w:val="0"/>
          <w:sz w:val="44"/>
          <w:lang w:val="en-US" w:eastAsia="zh-CN"/>
        </w:rPr>
        <w:t>海南省药品监督管理局</w:t>
      </w:r>
      <w:r>
        <w:rPr>
          <w:rFonts w:hint="default" w:eastAsia="方正小标宋简体"/>
          <w:b w:val="0"/>
          <w:sz w:val="44"/>
        </w:rPr>
        <w:t>关于</w:t>
      </w:r>
      <w:r>
        <w:rPr>
          <w:rFonts w:hint="eastAsia" w:ascii="Times New Roman" w:hAnsi="Times New Roman" w:eastAsia="方正小标宋简体"/>
          <w:b w:val="0"/>
          <w:sz w:val="44"/>
        </w:rPr>
        <w:t>加强</w:t>
      </w:r>
    </w:p>
    <w:p>
      <w:pPr>
        <w:keepNext w:val="0"/>
        <w:keepLines w:val="0"/>
        <w:pageBreakBefore w:val="0"/>
        <w:widowControl/>
        <w:kinsoku/>
        <w:wordWrap/>
        <w:overflowPunct/>
        <w:topLinePunct w:val="0"/>
        <w:autoSpaceDE/>
        <w:autoSpaceDN/>
        <w:bidi w:val="0"/>
        <w:adjustRightInd/>
        <w:snapToGrid/>
        <w:spacing w:after="120" w:line="500" w:lineRule="exact"/>
        <w:jc w:val="center"/>
        <w:textAlignment w:val="auto"/>
        <w:rPr>
          <w:rFonts w:hint="eastAsia" w:ascii="Times New Roman" w:hAnsi="Times New Roman" w:eastAsia="方正小标宋简体"/>
          <w:b w:val="0"/>
          <w:sz w:val="44"/>
        </w:rPr>
      </w:pPr>
      <w:r>
        <w:rPr>
          <w:rFonts w:hint="eastAsia" w:ascii="Times New Roman" w:hAnsi="Times New Roman" w:eastAsia="方正小标宋简体"/>
          <w:b w:val="0"/>
          <w:sz w:val="44"/>
        </w:rPr>
        <w:t>处方药销售线上审方管理的若干措施</w:t>
      </w:r>
    </w:p>
    <w:p>
      <w:pPr>
        <w:keepNext w:val="0"/>
        <w:keepLines w:val="0"/>
        <w:pageBreakBefore w:val="0"/>
        <w:widowControl/>
        <w:kinsoku/>
        <w:wordWrap/>
        <w:overflowPunct/>
        <w:topLinePunct w:val="0"/>
        <w:autoSpaceDE/>
        <w:autoSpaceDN/>
        <w:bidi w:val="0"/>
        <w:adjustRightInd/>
        <w:snapToGrid/>
        <w:spacing w:after="120" w:line="500" w:lineRule="exact"/>
        <w:jc w:val="center"/>
        <w:textAlignment w:val="auto"/>
        <w:rPr>
          <w:rFonts w:hint="eastAsia" w:eastAsia="方正小标宋简体"/>
          <w:lang w:eastAsia="zh-CN"/>
        </w:rPr>
      </w:pPr>
      <w:r>
        <w:rPr>
          <w:rFonts w:hint="eastAsia" w:eastAsia="方正小标宋简体"/>
          <w:b w:val="0"/>
          <w:sz w:val="44"/>
          <w:lang w:eastAsia="zh-CN"/>
        </w:rPr>
        <w:t>（征求意见稿）</w:t>
      </w:r>
    </w:p>
    <w:p>
      <w:pPr>
        <w:spacing w:line="160" w:lineRule="exact"/>
      </w:pPr>
    </w:p>
    <w:p>
      <w:pPr>
        <w:spacing w:before="0" w:after="0" w:line="560" w:lineRule="exact"/>
        <w:ind w:firstLine="640"/>
        <w:jc w:val="both"/>
      </w:pPr>
      <w:r>
        <w:rPr>
          <w:rFonts w:hint="eastAsia" w:ascii="Times New Roman" w:hAnsi="Times New Roman" w:eastAsia="仿宋_GB2312"/>
          <w:b w:val="0"/>
          <w:sz w:val="32"/>
        </w:rPr>
        <w:t>为规范网络销售处方药线上审方行为，严格执行</w:t>
      </w:r>
      <w:r>
        <w:rPr>
          <w:rFonts w:hint="eastAsia"/>
          <w:b w:val="0"/>
          <w:sz w:val="32"/>
          <w:lang w:eastAsia="zh-CN"/>
        </w:rPr>
        <w:t>“先方后药”</w:t>
      </w:r>
      <w:r>
        <w:rPr>
          <w:rFonts w:hint="eastAsia" w:ascii="Times New Roman" w:hAnsi="Times New Roman" w:eastAsia="仿宋_GB2312"/>
          <w:b w:val="0"/>
          <w:sz w:val="32"/>
        </w:rPr>
        <w:t>，确保处方来源真实、审方履职到位，防范无处方、假处方销售处方药风险，依据《中华人民共和国药品管理法》《中华人民共和国医师法》《药品网络销售监督管理办法》《处方管理办法》《互联网诊疗管理办法（试行）》《药品经营质量管理规范》等规定，结合我省实际，制定如下措施</w:t>
      </w:r>
      <w:bookmarkStart w:id="0" w:name="_GoBack"/>
      <w:bookmarkEnd w:id="0"/>
      <w:r>
        <w:rPr>
          <w:rFonts w:hint="eastAsia" w:ascii="Times New Roman" w:hAnsi="Times New Roman" w:eastAsia="仿宋_GB2312"/>
          <w:b w:val="0"/>
          <w:sz w:val="32"/>
        </w:rPr>
        <w:t>。</w:t>
      </w:r>
    </w:p>
    <w:p>
      <w:pPr>
        <w:spacing w:before="0" w:after="0" w:line="560" w:lineRule="exact"/>
        <w:ind w:firstLine="640"/>
        <w:jc w:val="both"/>
        <w:rPr>
          <w:rFonts w:hint="eastAsia" w:ascii="黑体" w:hAnsi="黑体" w:eastAsia="黑体" w:cs="黑体"/>
          <w:b w:val="0"/>
          <w:sz w:val="32"/>
        </w:rPr>
      </w:pPr>
      <w:r>
        <w:rPr>
          <w:rFonts w:hint="eastAsia" w:ascii="黑体" w:hAnsi="黑体" w:eastAsia="黑体" w:cs="黑体"/>
          <w:b w:val="0"/>
          <w:sz w:val="32"/>
        </w:rPr>
        <w:t>一、严格落实药师在岗履职要求</w:t>
      </w:r>
    </w:p>
    <w:p>
      <w:pPr>
        <w:spacing w:before="0" w:after="0" w:line="560" w:lineRule="exact"/>
        <w:ind w:firstLine="640"/>
        <w:jc w:val="both"/>
        <w:rPr>
          <w:rFonts w:hint="default" w:ascii="Times New Roman" w:hAnsi="Times New Roman" w:eastAsia="仿宋_GB2312"/>
          <w:b w:val="0"/>
          <w:sz w:val="32"/>
        </w:rPr>
      </w:pPr>
      <w:r>
        <w:rPr>
          <w:rFonts w:hint="default" w:ascii="Times New Roman" w:hAnsi="Times New Roman" w:eastAsia="仿宋_GB2312"/>
          <w:b w:val="0"/>
          <w:sz w:val="32"/>
        </w:rPr>
        <w:t>（一）落实药师实名审方</w:t>
      </w:r>
      <w:r>
        <w:rPr>
          <w:rFonts w:hint="eastAsia"/>
          <w:b w:val="0"/>
          <w:sz w:val="32"/>
          <w:lang w:eastAsia="zh-CN"/>
        </w:rPr>
        <w:t>。</w:t>
      </w:r>
      <w:r>
        <w:rPr>
          <w:rFonts w:hint="default" w:ascii="Times New Roman" w:hAnsi="Times New Roman" w:eastAsia="仿宋_GB2312"/>
          <w:b w:val="0"/>
          <w:sz w:val="32"/>
        </w:rPr>
        <w:t>药品网络销售企业开展处方审核，应当由本企业注册在岗的执业药师承担。审方环节应当实行实名认证，鼓励采取人脸识别等技术手段核验审方人员身份，审方操作与执业药师本人身份绑定，做到</w:t>
      </w:r>
      <w:r>
        <w:rPr>
          <w:rFonts w:hint="eastAsia"/>
          <w:b w:val="0"/>
          <w:sz w:val="32"/>
          <w:lang w:eastAsia="zh-CN"/>
        </w:rPr>
        <w:t>“谁审方、谁负责，全程可追溯”</w:t>
      </w:r>
      <w:r>
        <w:rPr>
          <w:rFonts w:hint="default" w:ascii="Times New Roman" w:hAnsi="Times New Roman" w:eastAsia="仿宋_GB2312"/>
          <w:b w:val="0"/>
          <w:sz w:val="32"/>
        </w:rPr>
        <w:t>。</w:t>
      </w:r>
    </w:p>
    <w:p>
      <w:pPr>
        <w:spacing w:before="0" w:after="0" w:line="560" w:lineRule="exact"/>
        <w:ind w:firstLine="640"/>
        <w:jc w:val="both"/>
        <w:rPr>
          <w:rFonts w:hint="default" w:ascii="Times New Roman" w:hAnsi="Times New Roman" w:eastAsia="仿宋_GB2312"/>
          <w:b w:val="0"/>
          <w:sz w:val="32"/>
        </w:rPr>
      </w:pPr>
      <w:r>
        <w:rPr>
          <w:rFonts w:hint="default" w:ascii="Times New Roman" w:hAnsi="Times New Roman" w:eastAsia="仿宋_GB2312"/>
          <w:b w:val="0"/>
          <w:sz w:val="32"/>
        </w:rPr>
        <w:t>（二）</w:t>
      </w:r>
      <w:r>
        <w:rPr>
          <w:rFonts w:hint="eastAsia"/>
          <w:b w:val="0"/>
          <w:sz w:val="32"/>
          <w:lang w:val="en-US" w:eastAsia="zh-CN"/>
        </w:rPr>
        <w:t>严管药师</w:t>
      </w:r>
      <w:r>
        <w:rPr>
          <w:rFonts w:hint="default" w:ascii="Times New Roman" w:hAnsi="Times New Roman" w:eastAsia="仿宋_GB2312"/>
          <w:b w:val="0"/>
          <w:sz w:val="32"/>
        </w:rPr>
        <w:t>在岗履职</w:t>
      </w:r>
      <w:r>
        <w:rPr>
          <w:rFonts w:hint="eastAsia"/>
          <w:b w:val="0"/>
          <w:sz w:val="32"/>
          <w:lang w:eastAsia="zh-CN"/>
        </w:rPr>
        <w:t>。</w:t>
      </w:r>
      <w:r>
        <w:rPr>
          <w:rFonts w:hint="default" w:ascii="Times New Roman" w:hAnsi="Times New Roman" w:eastAsia="仿宋_GB2312"/>
          <w:b w:val="0"/>
          <w:sz w:val="32"/>
        </w:rPr>
        <w:t>开展网络销售的药品零售企业，其执业药师应当在职在岗，将执业药师在岗情况纳入信息化管理。审方时间应当与企业经营时段、药师在岗状态相符。</w:t>
      </w:r>
    </w:p>
    <w:p>
      <w:pPr>
        <w:spacing w:before="0" w:after="0" w:line="560" w:lineRule="exact"/>
        <w:ind w:firstLine="640"/>
        <w:jc w:val="both"/>
        <w:rPr>
          <w:rFonts w:hint="default" w:ascii="Times New Roman" w:hAnsi="Times New Roman" w:eastAsia="仿宋_GB2312"/>
          <w:b w:val="0"/>
          <w:sz w:val="32"/>
        </w:rPr>
      </w:pPr>
      <w:r>
        <w:rPr>
          <w:rFonts w:hint="default" w:ascii="Times New Roman" w:hAnsi="Times New Roman" w:eastAsia="仿宋_GB2312"/>
          <w:b w:val="0"/>
          <w:sz w:val="32"/>
        </w:rPr>
        <w:t>（三）禁止非药师审方</w:t>
      </w:r>
      <w:r>
        <w:rPr>
          <w:rFonts w:hint="eastAsia"/>
          <w:b w:val="0"/>
          <w:sz w:val="32"/>
          <w:lang w:eastAsia="zh-CN"/>
        </w:rPr>
        <w:t>。</w:t>
      </w:r>
      <w:r>
        <w:rPr>
          <w:rFonts w:hint="default" w:ascii="Times New Roman" w:hAnsi="Times New Roman" w:eastAsia="仿宋_GB2312"/>
          <w:b w:val="0"/>
          <w:sz w:val="32"/>
        </w:rPr>
        <w:t>严禁由企业客服、营业人员、后台人员或者人工智能系统代替执业药师完成处方审核。</w:t>
      </w:r>
      <w:r>
        <w:rPr>
          <w:rFonts w:hint="eastAsia"/>
          <w:b w:val="0"/>
          <w:sz w:val="32"/>
          <w:lang w:eastAsia="zh-CN"/>
        </w:rPr>
        <w:t>严禁</w:t>
      </w:r>
      <w:r>
        <w:rPr>
          <w:rFonts w:hint="default" w:ascii="Times New Roman" w:hAnsi="Times New Roman" w:eastAsia="仿宋_GB2312"/>
          <w:b w:val="0"/>
          <w:sz w:val="32"/>
        </w:rPr>
        <w:t>以</w:t>
      </w:r>
      <w:r>
        <w:rPr>
          <w:rFonts w:hint="eastAsia"/>
          <w:b w:val="0"/>
          <w:sz w:val="32"/>
          <w:lang w:eastAsia="zh-CN"/>
        </w:rPr>
        <w:t>“辅助审方”</w:t>
      </w:r>
      <w:r>
        <w:rPr>
          <w:rFonts w:hint="default" w:ascii="Times New Roman" w:hAnsi="Times New Roman" w:eastAsia="仿宋_GB2312"/>
          <w:b w:val="0"/>
          <w:sz w:val="32"/>
        </w:rPr>
        <w:t>名义替代药师审核职责。</w:t>
      </w:r>
    </w:p>
    <w:p>
      <w:pPr>
        <w:spacing w:before="0" w:after="0" w:line="560" w:lineRule="exact"/>
        <w:ind w:firstLine="640"/>
        <w:jc w:val="both"/>
        <w:rPr>
          <w:rFonts w:hint="default" w:ascii="黑体" w:hAnsi="黑体" w:eastAsia="黑体" w:cs="黑体"/>
          <w:b w:val="0"/>
          <w:sz w:val="32"/>
        </w:rPr>
      </w:pPr>
      <w:r>
        <w:rPr>
          <w:rFonts w:hint="default" w:ascii="黑体" w:hAnsi="黑体" w:eastAsia="黑体" w:cs="黑体"/>
          <w:b w:val="0"/>
          <w:sz w:val="32"/>
        </w:rPr>
        <w:t>二、严格处方来源真实性审核</w:t>
      </w:r>
    </w:p>
    <w:p>
      <w:pPr>
        <w:spacing w:before="0" w:after="0" w:line="560" w:lineRule="exact"/>
        <w:ind w:firstLine="640"/>
        <w:jc w:val="both"/>
        <w:rPr>
          <w:rFonts w:hint="default" w:ascii="Times New Roman" w:hAnsi="Times New Roman" w:eastAsia="仿宋_GB2312"/>
          <w:b w:val="0"/>
          <w:sz w:val="32"/>
        </w:rPr>
      </w:pPr>
      <w:r>
        <w:rPr>
          <w:rFonts w:hint="eastAsia"/>
          <w:b w:val="0"/>
          <w:sz w:val="32"/>
          <w:lang w:eastAsia="zh-CN"/>
        </w:rPr>
        <w:t>（四）</w:t>
      </w:r>
      <w:r>
        <w:rPr>
          <w:rFonts w:hint="default" w:ascii="Times New Roman" w:hAnsi="Times New Roman" w:eastAsia="仿宋_GB2312"/>
          <w:b w:val="0"/>
          <w:sz w:val="32"/>
        </w:rPr>
        <w:t>核验处方来源</w:t>
      </w:r>
      <w:r>
        <w:rPr>
          <w:rFonts w:hint="eastAsia"/>
          <w:b w:val="0"/>
          <w:sz w:val="32"/>
          <w:lang w:eastAsia="zh-CN"/>
        </w:rPr>
        <w:t>。</w:t>
      </w:r>
      <w:r>
        <w:rPr>
          <w:rFonts w:hint="default" w:ascii="Times New Roman" w:hAnsi="Times New Roman" w:eastAsia="仿宋_GB2312"/>
          <w:b w:val="0"/>
          <w:sz w:val="32"/>
        </w:rPr>
        <w:t>处方应当来源于依法取得执业许可的医疗机构或者依法备案的互联网医院。企业应当审核处方开具医疗机构资质及医师处方资格的合法性。通过系统自动生成、模板套用、一键开方等方式形成</w:t>
      </w:r>
      <w:r>
        <w:rPr>
          <w:rFonts w:hint="eastAsia"/>
          <w:b w:val="0"/>
          <w:sz w:val="32"/>
          <w:lang w:eastAsia="zh-CN"/>
        </w:rPr>
        <w:t>的</w:t>
      </w:r>
      <w:r>
        <w:rPr>
          <w:rFonts w:hint="default" w:ascii="Times New Roman" w:hAnsi="Times New Roman" w:eastAsia="仿宋_GB2312"/>
          <w:b w:val="0"/>
          <w:sz w:val="32"/>
        </w:rPr>
        <w:t>处方</w:t>
      </w:r>
      <w:r>
        <w:rPr>
          <w:rFonts w:hint="eastAsia"/>
          <w:b w:val="0"/>
          <w:sz w:val="32"/>
          <w:lang w:eastAsia="zh-CN"/>
        </w:rPr>
        <w:t>、</w:t>
      </w:r>
      <w:r>
        <w:rPr>
          <w:rFonts w:hint="default" w:ascii="Times New Roman" w:hAnsi="Times New Roman" w:eastAsia="仿宋_GB2312"/>
          <w:b w:val="0"/>
          <w:sz w:val="32"/>
        </w:rPr>
        <w:t>人工智能</w:t>
      </w:r>
      <w:r>
        <w:rPr>
          <w:rFonts w:hint="eastAsia"/>
          <w:b w:val="0"/>
          <w:sz w:val="32"/>
          <w:lang w:eastAsia="zh-CN"/>
        </w:rPr>
        <w:t>工具</w:t>
      </w:r>
      <w:r>
        <w:rPr>
          <w:rFonts w:hint="default" w:ascii="Times New Roman" w:hAnsi="Times New Roman" w:eastAsia="仿宋_GB2312"/>
          <w:b w:val="0"/>
          <w:sz w:val="32"/>
        </w:rPr>
        <w:t>自动生成</w:t>
      </w:r>
      <w:r>
        <w:rPr>
          <w:rFonts w:hint="eastAsia"/>
          <w:b w:val="0"/>
          <w:sz w:val="32"/>
          <w:lang w:eastAsia="zh-CN"/>
        </w:rPr>
        <w:t>的</w:t>
      </w:r>
      <w:r>
        <w:rPr>
          <w:rFonts w:hint="default" w:ascii="Times New Roman" w:hAnsi="Times New Roman" w:eastAsia="仿宋_GB2312"/>
          <w:b w:val="0"/>
          <w:sz w:val="32"/>
        </w:rPr>
        <w:t>处方</w:t>
      </w:r>
      <w:r>
        <w:rPr>
          <w:rFonts w:hint="eastAsia"/>
          <w:b w:val="0"/>
          <w:sz w:val="32"/>
          <w:lang w:eastAsia="zh-CN"/>
        </w:rPr>
        <w:t>、</w:t>
      </w:r>
      <w:r>
        <w:rPr>
          <w:rFonts w:hint="default" w:ascii="Times New Roman" w:hAnsi="Times New Roman" w:eastAsia="仿宋_GB2312"/>
          <w:b w:val="0"/>
          <w:sz w:val="32"/>
        </w:rPr>
        <w:t>非医师开具</w:t>
      </w:r>
      <w:r>
        <w:rPr>
          <w:rFonts w:hint="eastAsia"/>
          <w:b w:val="0"/>
          <w:sz w:val="32"/>
          <w:lang w:eastAsia="zh-CN"/>
        </w:rPr>
        <w:t>的</w:t>
      </w:r>
      <w:r>
        <w:rPr>
          <w:rFonts w:hint="default" w:ascii="Times New Roman" w:hAnsi="Times New Roman" w:eastAsia="仿宋_GB2312"/>
          <w:b w:val="0"/>
          <w:sz w:val="32"/>
        </w:rPr>
        <w:t>处方</w:t>
      </w:r>
      <w:r>
        <w:rPr>
          <w:rFonts w:hint="eastAsia"/>
          <w:b w:val="0"/>
          <w:sz w:val="32"/>
          <w:lang w:eastAsia="zh-CN"/>
        </w:rPr>
        <w:t>等</w:t>
      </w:r>
      <w:r>
        <w:rPr>
          <w:rFonts w:hint="default" w:ascii="Times New Roman" w:hAnsi="Times New Roman" w:eastAsia="仿宋_GB2312"/>
          <w:b w:val="0"/>
          <w:sz w:val="32"/>
        </w:rPr>
        <w:t>不得作为售药依据。</w:t>
      </w:r>
    </w:p>
    <w:p>
      <w:pPr>
        <w:spacing w:before="0" w:after="0" w:line="560" w:lineRule="exact"/>
        <w:ind w:firstLine="640"/>
        <w:jc w:val="both"/>
        <w:rPr>
          <w:rFonts w:hint="default" w:ascii="Times New Roman" w:hAnsi="Times New Roman" w:eastAsia="仿宋_GB2312"/>
          <w:b w:val="0"/>
          <w:sz w:val="32"/>
        </w:rPr>
      </w:pPr>
      <w:r>
        <w:rPr>
          <w:rFonts w:hint="eastAsia"/>
          <w:b w:val="0"/>
          <w:sz w:val="32"/>
          <w:lang w:eastAsia="zh-CN"/>
        </w:rPr>
        <w:t>（五）</w:t>
      </w:r>
      <w:r>
        <w:rPr>
          <w:rFonts w:hint="default" w:ascii="Times New Roman" w:hAnsi="Times New Roman" w:eastAsia="仿宋_GB2312"/>
          <w:b w:val="0"/>
          <w:sz w:val="32"/>
        </w:rPr>
        <w:t>严禁虚假和违规处方</w:t>
      </w:r>
      <w:r>
        <w:rPr>
          <w:rFonts w:hint="eastAsia"/>
          <w:b w:val="0"/>
          <w:sz w:val="32"/>
          <w:lang w:eastAsia="zh-CN"/>
        </w:rPr>
        <w:t>。</w:t>
      </w:r>
      <w:r>
        <w:rPr>
          <w:rFonts w:hint="default" w:ascii="Times New Roman" w:hAnsi="Times New Roman" w:eastAsia="仿宋_GB2312"/>
          <w:b w:val="0"/>
          <w:sz w:val="32"/>
        </w:rPr>
        <w:t>严禁使用伪造、变造、过期、重复使用、他人冒用或者与诊断病情明显不符的处方。处方用药品种、剂型、剂量、疗程应当符合诊疗规范和药品说明书要求。</w:t>
      </w:r>
    </w:p>
    <w:p>
      <w:pPr>
        <w:spacing w:before="0" w:after="0" w:line="560" w:lineRule="exact"/>
        <w:ind w:firstLine="640"/>
        <w:jc w:val="both"/>
        <w:rPr>
          <w:rFonts w:hint="default" w:ascii="Times New Roman" w:hAnsi="Times New Roman" w:eastAsia="仿宋_GB2312"/>
          <w:b w:val="0"/>
          <w:sz w:val="32"/>
        </w:rPr>
      </w:pPr>
      <w:r>
        <w:rPr>
          <w:rFonts w:hint="eastAsia"/>
          <w:b w:val="0"/>
          <w:sz w:val="32"/>
          <w:lang w:eastAsia="zh-CN"/>
        </w:rPr>
        <w:t>（六）</w:t>
      </w:r>
      <w:r>
        <w:rPr>
          <w:rFonts w:hint="default" w:ascii="Times New Roman" w:hAnsi="Times New Roman" w:eastAsia="仿宋_GB2312"/>
          <w:b w:val="0"/>
          <w:sz w:val="32"/>
        </w:rPr>
        <w:t>严守禁售品种底线</w:t>
      </w:r>
      <w:r>
        <w:rPr>
          <w:rFonts w:hint="eastAsia"/>
          <w:b w:val="0"/>
          <w:sz w:val="32"/>
          <w:lang w:eastAsia="zh-CN"/>
        </w:rPr>
        <w:t>。</w:t>
      </w:r>
      <w:r>
        <w:rPr>
          <w:rFonts w:hint="default" w:ascii="Times New Roman" w:hAnsi="Times New Roman" w:eastAsia="仿宋_GB2312"/>
          <w:b w:val="0"/>
          <w:sz w:val="32"/>
        </w:rPr>
        <w:t>严格执行药品网络销售禁止清单，不得通过网络销售疫苗、血液制品、麻醉药品、精神药品、医疗用毒性药品、放射性药品、药品类易制毒化学品等国家禁止网络销售的药品。</w:t>
      </w:r>
    </w:p>
    <w:p>
      <w:pPr>
        <w:spacing w:before="0" w:after="0" w:line="560" w:lineRule="exact"/>
        <w:ind w:firstLine="640"/>
        <w:jc w:val="both"/>
        <w:rPr>
          <w:rFonts w:hint="default" w:ascii="黑体" w:hAnsi="黑体" w:eastAsia="黑体" w:cs="黑体"/>
          <w:b w:val="0"/>
          <w:sz w:val="32"/>
        </w:rPr>
      </w:pPr>
      <w:r>
        <w:rPr>
          <w:rFonts w:hint="default" w:ascii="黑体" w:hAnsi="黑体" w:eastAsia="黑体" w:cs="黑体"/>
          <w:b w:val="0"/>
          <w:sz w:val="32"/>
        </w:rPr>
        <w:t>三、严格落实</w:t>
      </w:r>
      <w:r>
        <w:rPr>
          <w:rFonts w:hint="eastAsia" w:ascii="黑体" w:hAnsi="黑体" w:eastAsia="黑体" w:cs="黑体"/>
          <w:b w:val="0"/>
          <w:sz w:val="32"/>
          <w:lang w:eastAsia="zh-CN"/>
        </w:rPr>
        <w:t>“先方后药”</w:t>
      </w:r>
      <w:r>
        <w:rPr>
          <w:rFonts w:hint="default" w:ascii="黑体" w:hAnsi="黑体" w:eastAsia="黑体" w:cs="黑体"/>
          <w:b w:val="0"/>
          <w:sz w:val="32"/>
        </w:rPr>
        <w:t>流程</w:t>
      </w:r>
    </w:p>
    <w:p>
      <w:pPr>
        <w:spacing w:before="0" w:after="0" w:line="560" w:lineRule="exact"/>
        <w:ind w:firstLine="640"/>
        <w:jc w:val="both"/>
        <w:rPr>
          <w:rFonts w:hint="default" w:ascii="Times New Roman" w:hAnsi="Times New Roman" w:eastAsia="仿宋_GB2312"/>
          <w:b w:val="0"/>
          <w:sz w:val="32"/>
        </w:rPr>
      </w:pPr>
      <w:r>
        <w:rPr>
          <w:rFonts w:hint="eastAsia"/>
          <w:b w:val="0"/>
          <w:sz w:val="32"/>
          <w:lang w:eastAsia="zh-CN"/>
        </w:rPr>
        <w:t>（七）</w:t>
      </w:r>
      <w:r>
        <w:rPr>
          <w:rFonts w:hint="default" w:ascii="Times New Roman" w:hAnsi="Times New Roman" w:eastAsia="仿宋_GB2312"/>
          <w:b w:val="0"/>
          <w:sz w:val="32"/>
        </w:rPr>
        <w:t>处方审核前置</w:t>
      </w:r>
      <w:r>
        <w:rPr>
          <w:rFonts w:hint="eastAsia"/>
          <w:b w:val="0"/>
          <w:sz w:val="32"/>
          <w:lang w:eastAsia="zh-CN"/>
        </w:rPr>
        <w:t>。</w:t>
      </w:r>
      <w:r>
        <w:rPr>
          <w:rFonts w:hint="default" w:ascii="Times New Roman" w:hAnsi="Times New Roman" w:eastAsia="仿宋_GB2312"/>
          <w:b w:val="0"/>
          <w:sz w:val="32"/>
        </w:rPr>
        <w:t>企业应当调整完善网络销售系统，将处方审核设置为购</w:t>
      </w:r>
      <w:r>
        <w:rPr>
          <w:rFonts w:hint="eastAsia"/>
          <w:b w:val="0"/>
          <w:sz w:val="32"/>
          <w:lang w:eastAsia="zh-CN"/>
        </w:rPr>
        <w:t>买处方</w:t>
      </w:r>
      <w:r>
        <w:rPr>
          <w:rFonts w:hint="default" w:ascii="Times New Roman" w:hAnsi="Times New Roman" w:eastAsia="仿宋_GB2312"/>
          <w:b w:val="0"/>
          <w:sz w:val="32"/>
        </w:rPr>
        <w:t>药的必经环节。未通过处方审核的，系统</w:t>
      </w:r>
      <w:r>
        <w:rPr>
          <w:rFonts w:hint="eastAsia"/>
          <w:b w:val="0"/>
          <w:sz w:val="32"/>
          <w:lang w:eastAsia="zh-CN"/>
        </w:rPr>
        <w:t>不得完成处方药的销售与调配</w:t>
      </w:r>
      <w:r>
        <w:rPr>
          <w:rFonts w:hint="default" w:ascii="Times New Roman" w:hAnsi="Times New Roman" w:eastAsia="仿宋_GB2312"/>
          <w:b w:val="0"/>
          <w:sz w:val="32"/>
        </w:rPr>
        <w:t>，从技术上禁止</w:t>
      </w:r>
      <w:r>
        <w:rPr>
          <w:rFonts w:hint="eastAsia"/>
          <w:b w:val="0"/>
          <w:sz w:val="32"/>
          <w:lang w:eastAsia="zh-CN"/>
        </w:rPr>
        <w:t>“先药后方”</w:t>
      </w:r>
      <w:r>
        <w:rPr>
          <w:rFonts w:hint="default" w:ascii="Times New Roman" w:hAnsi="Times New Roman" w:eastAsia="仿宋_GB2312"/>
          <w:b w:val="0"/>
          <w:sz w:val="32"/>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仿宋_GB2312"/>
          <w:b w:val="0"/>
          <w:sz w:val="32"/>
        </w:rPr>
      </w:pPr>
      <w:r>
        <w:rPr>
          <w:rFonts w:hint="eastAsia"/>
          <w:b w:val="0"/>
          <w:sz w:val="32"/>
          <w:lang w:eastAsia="zh-CN"/>
        </w:rPr>
        <w:t>（八）</w:t>
      </w:r>
      <w:r>
        <w:rPr>
          <w:rFonts w:hint="default" w:ascii="Times New Roman" w:hAnsi="Times New Roman" w:eastAsia="仿宋_GB2312"/>
          <w:b w:val="0"/>
          <w:sz w:val="32"/>
        </w:rPr>
        <w:t>禁止事后补方</w:t>
      </w:r>
      <w:r>
        <w:rPr>
          <w:rFonts w:hint="eastAsia"/>
          <w:b w:val="0"/>
          <w:sz w:val="32"/>
          <w:lang w:eastAsia="zh-CN"/>
        </w:rPr>
        <w:t>。</w:t>
      </w:r>
      <w:r>
        <w:rPr>
          <w:rFonts w:hint="default" w:ascii="Times New Roman" w:hAnsi="Times New Roman" w:eastAsia="仿宋_GB2312"/>
          <w:b w:val="0"/>
          <w:sz w:val="32"/>
        </w:rPr>
        <w:t>严禁以</w:t>
      </w:r>
      <w:r>
        <w:rPr>
          <w:rFonts w:hint="eastAsia"/>
          <w:b w:val="0"/>
          <w:sz w:val="32"/>
          <w:lang w:eastAsia="zh-CN"/>
        </w:rPr>
        <w:t>“事后补录处方”“</w:t>
      </w:r>
      <w:r>
        <w:rPr>
          <w:rFonts w:hint="default" w:ascii="Times New Roman" w:hAnsi="Times New Roman" w:eastAsia="仿宋_GB2312"/>
          <w:b w:val="0"/>
          <w:sz w:val="32"/>
        </w:rPr>
        <w:t>销售后补审</w:t>
      </w:r>
      <w:r>
        <w:rPr>
          <w:rFonts w:hint="eastAsia"/>
          <w:b w:val="0"/>
          <w:sz w:val="32"/>
          <w:lang w:eastAsia="zh-CN"/>
        </w:rPr>
        <w:t>”</w:t>
      </w:r>
      <w:r>
        <w:rPr>
          <w:rFonts w:hint="default" w:ascii="Times New Roman" w:hAnsi="Times New Roman" w:eastAsia="仿宋_GB2312"/>
          <w:b w:val="0"/>
          <w:sz w:val="32"/>
        </w:rPr>
        <w:t>等方式规避审方前置要求。订单生成不得早于处方审核通过时间。</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仿宋_GB2312"/>
          <w:b w:val="0"/>
          <w:sz w:val="32"/>
        </w:rPr>
      </w:pPr>
      <w:r>
        <w:rPr>
          <w:rFonts w:hint="eastAsia"/>
          <w:b w:val="0"/>
          <w:sz w:val="32"/>
          <w:lang w:eastAsia="zh-CN"/>
        </w:rPr>
        <w:t>（九）</w:t>
      </w:r>
      <w:r>
        <w:rPr>
          <w:rFonts w:hint="default" w:ascii="Times New Roman" w:hAnsi="Times New Roman" w:eastAsia="仿宋_GB2312"/>
          <w:b w:val="0"/>
          <w:sz w:val="32"/>
        </w:rPr>
        <w:t>全程留痕可溯</w:t>
      </w:r>
      <w:r>
        <w:rPr>
          <w:rFonts w:hint="eastAsia"/>
          <w:b w:val="0"/>
          <w:sz w:val="32"/>
          <w:lang w:eastAsia="zh-CN"/>
        </w:rPr>
        <w:t>。</w:t>
      </w:r>
      <w:r>
        <w:rPr>
          <w:rFonts w:hint="default" w:ascii="Times New Roman" w:hAnsi="Times New Roman" w:eastAsia="仿宋_GB2312"/>
          <w:b w:val="0"/>
          <w:sz w:val="32"/>
        </w:rPr>
        <w:t>处方信息、医师信息、审方药师信息、审方时间、销售记录等应当完整留存，相关记录保存期限不少于5年，做到全过程可追溯、可核验。</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黑体" w:hAnsi="黑体" w:eastAsia="黑体" w:cs="黑体"/>
          <w:b w:val="0"/>
          <w:sz w:val="32"/>
        </w:rPr>
      </w:pPr>
      <w:r>
        <w:rPr>
          <w:rFonts w:hint="default" w:ascii="黑体" w:hAnsi="黑体" w:eastAsia="黑体" w:cs="黑体"/>
          <w:b w:val="0"/>
          <w:sz w:val="32"/>
        </w:rPr>
        <w:t>四、压实平台管理责任</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仿宋_GB2312"/>
          <w:b w:val="0"/>
          <w:sz w:val="32"/>
        </w:rPr>
      </w:pPr>
      <w:r>
        <w:rPr>
          <w:rFonts w:hint="eastAsia"/>
          <w:b w:val="0"/>
          <w:sz w:val="32"/>
          <w:lang w:eastAsia="zh-CN"/>
        </w:rPr>
        <w:t>（十）</w:t>
      </w:r>
      <w:r>
        <w:rPr>
          <w:rFonts w:hint="default" w:ascii="Times New Roman" w:hAnsi="Times New Roman" w:eastAsia="仿宋_GB2312"/>
          <w:b w:val="0"/>
          <w:sz w:val="32"/>
        </w:rPr>
        <w:t>严格入驻审核</w:t>
      </w:r>
      <w:r>
        <w:rPr>
          <w:rFonts w:hint="eastAsia"/>
          <w:b w:val="0"/>
          <w:sz w:val="32"/>
          <w:lang w:eastAsia="zh-CN"/>
        </w:rPr>
        <w:t>。</w:t>
      </w:r>
      <w:r>
        <w:rPr>
          <w:rFonts w:hint="default" w:ascii="Times New Roman" w:hAnsi="Times New Roman" w:eastAsia="仿宋_GB2312"/>
          <w:b w:val="0"/>
          <w:sz w:val="32"/>
        </w:rPr>
        <w:t>药品网络交易第三方平台应当严格审核入驻企业的《药品经营许可证》、执业药师注册证等资质，建立动态核验机制，对资质不全、过期、失效的及时下架、清退。</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仿宋_GB2312"/>
          <w:b w:val="0"/>
          <w:sz w:val="32"/>
        </w:rPr>
      </w:pPr>
      <w:r>
        <w:rPr>
          <w:rFonts w:hint="eastAsia"/>
          <w:b w:val="0"/>
          <w:sz w:val="32"/>
          <w:lang w:eastAsia="zh-CN"/>
        </w:rPr>
        <w:t>（十一）</w:t>
      </w:r>
      <w:r>
        <w:rPr>
          <w:rFonts w:hint="default" w:ascii="Times New Roman" w:hAnsi="Times New Roman" w:eastAsia="仿宋_GB2312"/>
          <w:b w:val="0"/>
          <w:sz w:val="32"/>
        </w:rPr>
        <w:t>提供合规功能</w:t>
      </w:r>
      <w:r>
        <w:rPr>
          <w:rFonts w:hint="eastAsia"/>
          <w:b w:val="0"/>
          <w:sz w:val="32"/>
          <w:lang w:eastAsia="zh-CN"/>
        </w:rPr>
        <w:t>。</w:t>
      </w:r>
      <w:r>
        <w:rPr>
          <w:rFonts w:hint="default" w:ascii="Times New Roman" w:hAnsi="Times New Roman" w:eastAsia="仿宋_GB2312"/>
          <w:b w:val="0"/>
          <w:sz w:val="32"/>
        </w:rPr>
        <w:t>平台应当提供符合规定的处方审核、处方流转和药师在岗核验功能，不得为</w:t>
      </w:r>
      <w:r>
        <w:rPr>
          <w:rFonts w:hint="eastAsia"/>
          <w:b w:val="0"/>
          <w:sz w:val="32"/>
          <w:lang w:eastAsia="zh-CN"/>
        </w:rPr>
        <w:t>“先药后方”“</w:t>
      </w:r>
      <w:r>
        <w:rPr>
          <w:rFonts w:hint="default" w:ascii="Times New Roman" w:hAnsi="Times New Roman" w:eastAsia="仿宋_GB2312"/>
          <w:b w:val="0"/>
          <w:sz w:val="32"/>
        </w:rPr>
        <w:t>自动开方</w:t>
      </w:r>
      <w:r>
        <w:rPr>
          <w:rFonts w:hint="eastAsia"/>
          <w:b w:val="0"/>
          <w:sz w:val="32"/>
          <w:lang w:eastAsia="zh-CN"/>
        </w:rPr>
        <w:t>”</w:t>
      </w:r>
      <w:r>
        <w:rPr>
          <w:rFonts w:hint="default" w:ascii="Times New Roman" w:hAnsi="Times New Roman" w:eastAsia="仿宋_GB2312"/>
          <w:b w:val="0"/>
          <w:sz w:val="32"/>
        </w:rPr>
        <w:t>提供技术支持或者便利条件。</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仿宋_GB2312"/>
          <w:b w:val="0"/>
          <w:sz w:val="32"/>
        </w:rPr>
      </w:pPr>
      <w:r>
        <w:rPr>
          <w:rFonts w:hint="eastAsia"/>
          <w:b w:val="0"/>
          <w:sz w:val="32"/>
          <w:lang w:eastAsia="zh-CN"/>
        </w:rPr>
        <w:t>（十二）</w:t>
      </w:r>
      <w:r>
        <w:rPr>
          <w:rFonts w:hint="default" w:ascii="Times New Roman" w:hAnsi="Times New Roman" w:eastAsia="仿宋_GB2312"/>
          <w:b w:val="0"/>
          <w:sz w:val="32"/>
        </w:rPr>
        <w:t>履行巡查报告义务</w:t>
      </w:r>
      <w:r>
        <w:rPr>
          <w:rFonts w:hint="eastAsia"/>
          <w:b w:val="0"/>
          <w:sz w:val="32"/>
          <w:lang w:eastAsia="zh-CN"/>
        </w:rPr>
        <w:t>。</w:t>
      </w:r>
      <w:r>
        <w:rPr>
          <w:rFonts w:hint="default" w:ascii="Times New Roman" w:hAnsi="Times New Roman" w:eastAsia="仿宋_GB2312"/>
          <w:b w:val="0"/>
          <w:sz w:val="32"/>
        </w:rPr>
        <w:t>平台应当建立日常巡查机制，发现入驻企业违规销售处方药、违反审方规定的，应当及时制止、报告监管部门，并保存相关记录。</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eastAsia" w:ascii="黑体" w:hAnsi="黑体" w:eastAsia="黑体" w:cs="黑体"/>
          <w:b w:val="0"/>
          <w:sz w:val="32"/>
        </w:rPr>
      </w:pPr>
      <w:r>
        <w:rPr>
          <w:rFonts w:hint="eastAsia" w:ascii="黑体" w:hAnsi="黑体" w:eastAsia="黑体" w:cs="黑体"/>
          <w:b w:val="0"/>
          <w:sz w:val="32"/>
        </w:rPr>
        <w:t>五、强化监督管理</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仿宋_GB2312"/>
          <w:b w:val="0"/>
          <w:sz w:val="32"/>
        </w:rPr>
      </w:pPr>
      <w:r>
        <w:rPr>
          <w:rFonts w:hint="eastAsia"/>
          <w:b w:val="0"/>
          <w:sz w:val="32"/>
          <w:lang w:eastAsia="zh-CN"/>
        </w:rPr>
        <w:t>（十三）</w:t>
      </w:r>
      <w:r>
        <w:rPr>
          <w:rFonts w:hint="default" w:ascii="Times New Roman" w:hAnsi="Times New Roman" w:eastAsia="仿宋_GB2312"/>
          <w:b w:val="0"/>
          <w:sz w:val="32"/>
        </w:rPr>
        <w:t>加强线上监测</w:t>
      </w:r>
      <w:r>
        <w:rPr>
          <w:rFonts w:hint="eastAsia"/>
          <w:b w:val="0"/>
          <w:sz w:val="32"/>
          <w:lang w:eastAsia="zh-CN"/>
        </w:rPr>
        <w:t>。</w:t>
      </w:r>
      <w:r>
        <w:rPr>
          <w:rFonts w:hint="default" w:ascii="Times New Roman" w:hAnsi="Times New Roman" w:eastAsia="仿宋_GB2312"/>
          <w:b w:val="0"/>
          <w:sz w:val="32"/>
        </w:rPr>
        <w:t>依托国家和省级药品网络销售监测平台，</w:t>
      </w:r>
      <w:r>
        <w:rPr>
          <w:rFonts w:hint="eastAsia"/>
          <w:b w:val="0"/>
          <w:sz w:val="32"/>
          <w:lang w:eastAsia="zh-CN"/>
        </w:rPr>
        <w:t>药品监督管理部门</w:t>
      </w:r>
      <w:r>
        <w:rPr>
          <w:rFonts w:hint="default" w:ascii="Times New Roman" w:hAnsi="Times New Roman" w:eastAsia="仿宋_GB2312"/>
          <w:b w:val="0"/>
          <w:sz w:val="32"/>
        </w:rPr>
        <w:t>对线上审方、处方流转情况开展常态化监测，重点筛查审方异常、处方异常、品种违规等线索，提高问题发现能力。</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仿宋_GB2312"/>
          <w:b w:val="0"/>
          <w:sz w:val="32"/>
        </w:rPr>
      </w:pPr>
      <w:r>
        <w:rPr>
          <w:rFonts w:hint="eastAsia"/>
          <w:b w:val="0"/>
          <w:sz w:val="32"/>
          <w:lang w:eastAsia="zh-CN"/>
        </w:rPr>
        <w:t>（十四）</w:t>
      </w:r>
      <w:r>
        <w:rPr>
          <w:rFonts w:hint="default" w:ascii="Times New Roman" w:hAnsi="Times New Roman" w:eastAsia="仿宋_GB2312"/>
          <w:b w:val="0"/>
          <w:sz w:val="32"/>
        </w:rPr>
        <w:t>严格依法查处</w:t>
      </w:r>
      <w:r>
        <w:rPr>
          <w:rFonts w:hint="eastAsia"/>
          <w:b w:val="0"/>
          <w:sz w:val="32"/>
          <w:lang w:eastAsia="zh-CN"/>
        </w:rPr>
        <w:t>。</w:t>
      </w:r>
      <w:r>
        <w:rPr>
          <w:rFonts w:hint="default" w:ascii="Times New Roman" w:hAnsi="Times New Roman" w:eastAsia="仿宋_GB2312"/>
          <w:b w:val="0"/>
          <w:sz w:val="32"/>
        </w:rPr>
        <w:t>对未经处方销售处方药、使用虚假处方、未履行审方职责、</w:t>
      </w:r>
      <w:r>
        <w:rPr>
          <w:rFonts w:hint="eastAsia"/>
          <w:b w:val="0"/>
          <w:sz w:val="32"/>
          <w:lang w:eastAsia="zh-CN"/>
        </w:rPr>
        <w:t>“先药后方”</w:t>
      </w:r>
      <w:r>
        <w:rPr>
          <w:rFonts w:hint="default" w:ascii="Times New Roman" w:hAnsi="Times New Roman" w:eastAsia="仿宋_GB2312"/>
          <w:b w:val="0"/>
          <w:sz w:val="32"/>
        </w:rPr>
        <w:t>等行为，依据《中华人民共和国药品管理法》《药品网络销售监督管理办法》等规定严厉查处；涉嫌犯罪的，依法移送公安机关。对典型案例公开曝光。</w:t>
      </w:r>
    </w:p>
    <w:p>
      <w:pPr>
        <w:spacing w:before="0" w:after="0" w:line="560" w:lineRule="exact"/>
        <w:ind w:firstLine="640"/>
        <w:jc w:val="both"/>
        <w:rPr>
          <w:rFonts w:hint="default" w:ascii="Times New Roman" w:hAnsi="Times New Roman" w:eastAsia="仿宋_GB2312"/>
          <w:b w:val="0"/>
          <w:sz w:val="32"/>
        </w:rPr>
      </w:pPr>
      <w:r>
        <w:rPr>
          <w:rFonts w:hint="eastAsia"/>
          <w:b w:val="0"/>
          <w:sz w:val="32"/>
          <w:lang w:eastAsia="zh-CN"/>
        </w:rPr>
        <w:t>（十五）</w:t>
      </w:r>
      <w:r>
        <w:rPr>
          <w:rFonts w:hint="default" w:ascii="Times New Roman" w:hAnsi="Times New Roman" w:eastAsia="仿宋_GB2312"/>
          <w:b w:val="0"/>
          <w:sz w:val="32"/>
        </w:rPr>
        <w:t>加强部门协同</w:t>
      </w:r>
      <w:r>
        <w:rPr>
          <w:rFonts w:hint="eastAsia"/>
          <w:b w:val="0"/>
          <w:sz w:val="32"/>
          <w:lang w:eastAsia="zh-CN"/>
        </w:rPr>
        <w:t>。</w:t>
      </w:r>
      <w:r>
        <w:rPr>
          <w:rFonts w:hint="default" w:ascii="Times New Roman" w:hAnsi="Times New Roman" w:eastAsia="仿宋_GB2312"/>
          <w:b w:val="0"/>
          <w:sz w:val="32"/>
        </w:rPr>
        <w:t>与卫生健康、网信、公安等部门建立信息共享和线索移送机制。对涉及互联网诊疗不规范、电子处方不合法、医师违规执业等问题，及时通报有关部门处理。</w:t>
      </w:r>
    </w:p>
    <w:p>
      <w:pPr>
        <w:spacing w:before="0" w:after="0" w:line="560" w:lineRule="exact"/>
        <w:ind w:firstLine="640"/>
        <w:jc w:val="both"/>
        <w:rPr>
          <w:rFonts w:hint="default" w:ascii="Times New Roman" w:hAnsi="Times New Roman" w:eastAsia="仿宋_GB2312"/>
          <w:b w:val="0"/>
          <w:sz w:val="32"/>
        </w:rPr>
      </w:pPr>
      <w:r>
        <w:rPr>
          <w:rFonts w:hint="eastAsia"/>
          <w:b w:val="0"/>
          <w:sz w:val="32"/>
          <w:lang w:eastAsia="zh-CN"/>
        </w:rPr>
        <w:t>（十六）</w:t>
      </w:r>
      <w:r>
        <w:rPr>
          <w:rFonts w:hint="default" w:ascii="Times New Roman" w:hAnsi="Times New Roman" w:eastAsia="仿宋_GB2312"/>
          <w:b w:val="0"/>
          <w:sz w:val="32"/>
        </w:rPr>
        <w:t>压实属地责任</w:t>
      </w:r>
      <w:r>
        <w:rPr>
          <w:rFonts w:hint="eastAsia"/>
          <w:b w:val="0"/>
          <w:sz w:val="32"/>
          <w:lang w:eastAsia="zh-CN"/>
        </w:rPr>
        <w:t>。</w:t>
      </w:r>
      <w:r>
        <w:rPr>
          <w:rFonts w:hint="default" w:ascii="Times New Roman" w:hAnsi="Times New Roman" w:eastAsia="仿宋_GB2312"/>
          <w:b w:val="0"/>
          <w:sz w:val="32"/>
        </w:rPr>
        <w:t>市县药品监督管理部门应当将线上审方管理纳入日常监管和年度检查计划，督促企业建立审方质量管理体系，落实常态化管理要求。</w:t>
      </w:r>
    </w:p>
    <w:p>
      <w:pPr>
        <w:spacing w:before="0" w:after="0" w:line="560" w:lineRule="exact"/>
        <w:ind w:firstLine="640"/>
        <w:jc w:val="both"/>
        <w:rPr>
          <w:rFonts w:hint="eastAsia" w:ascii="Times New Roman" w:hAnsi="Times New Roman" w:eastAsia="仿宋_GB2312"/>
          <w:b w:val="0"/>
          <w:sz w:val="32"/>
        </w:rPr>
      </w:pPr>
    </w:p>
    <w:sectPr>
      <w:footerReference r:id="rId5" w:type="default"/>
      <w:pgSz w:w="11906" w:h="16838"/>
      <w:pgMar w:top="1138" w:right="1474" w:bottom="1984" w:left="158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ＭＳ ゴシック">
    <w:altName w:val="汉仪仿宋S"/>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ＭＳ 明朝">
    <w:altName w:val="方正书宋_GBK"/>
    <w:panose1 w:val="00000000000000000000"/>
    <w:charset w:val="80"/>
    <w:family w:val="roman"/>
    <w:pitch w:val="default"/>
    <w:sig w:usb0="00000000" w:usb1="00000000" w:usb2="00000010" w:usb3="00000000" w:csb0="00020000" w:csb1="00000000"/>
  </w:font>
  <w:font w:name="Cambria">
    <w:altName w:val="Noto Sans Syriac Eastern"/>
    <w:panose1 w:val="02040503050406030204"/>
    <w:charset w:val="00"/>
    <w:family w:val="auto"/>
    <w:pitch w:val="default"/>
    <w:sig w:usb0="00000000" w:usb1="00000000" w:usb2="02000000" w:usb3="00000000" w:csb0="2000019F" w:csb1="00000000"/>
  </w:font>
  <w:font w:name="CESI黑体-GB2312">
    <w:panose1 w:val="02000500000000000000"/>
    <w:charset w:val="86"/>
    <w:family w:val="auto"/>
    <w:pitch w:val="default"/>
    <w:sig w:usb0="800002BF" w:usb1="184F6CF8" w:usb2="00000012"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ＭＳ 明朝">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4"/>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720"/>
  <w:displayHorizontalDrawingGridEvery w:val="1"/>
  <w:displayVerticalDrawingGridEvery w:val="1"/>
  <w:noPunctuationKerning w:val="true"/>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F511D8E"/>
    <w:rsid w:val="228A0E2F"/>
    <w:rsid w:val="2A410C98"/>
    <w:rsid w:val="2FFFD0F1"/>
    <w:rsid w:val="4A5B4858"/>
    <w:rsid w:val="4EFF4CA4"/>
    <w:rsid w:val="601667EC"/>
    <w:rsid w:val="643BDFFF"/>
    <w:rsid w:val="681E1B0F"/>
    <w:rsid w:val="697F04C6"/>
    <w:rsid w:val="6BEF2517"/>
    <w:rsid w:val="6BFE7969"/>
    <w:rsid w:val="73E7C43B"/>
    <w:rsid w:val="77F9190B"/>
    <w:rsid w:val="7AEF663A"/>
    <w:rsid w:val="7B81ED78"/>
    <w:rsid w:val="7EB7F33D"/>
    <w:rsid w:val="7FB75B5E"/>
    <w:rsid w:val="7FD9E97E"/>
    <w:rsid w:val="7FF7F1E3"/>
    <w:rsid w:val="7FFB3AF7"/>
    <w:rsid w:val="9BADBA99"/>
    <w:rsid w:val="9FD541AD"/>
    <w:rsid w:val="9FDF4C21"/>
    <w:rsid w:val="A5CFCF85"/>
    <w:rsid w:val="AF7A1014"/>
    <w:rsid w:val="AF7B0E35"/>
    <w:rsid w:val="BBF97F69"/>
    <w:rsid w:val="DD674D98"/>
    <w:rsid w:val="EA53EB80"/>
    <w:rsid w:val="F4FADAB4"/>
    <w:rsid w:val="F8F39996"/>
    <w:rsid w:val="FBEB1A0D"/>
    <w:rsid w:val="FBFD634E"/>
    <w:rsid w:val="FEFF7ED4"/>
    <w:rsid w:val="FFAE04A1"/>
    <w:rsid w:val="FFC71844"/>
    <w:rsid w:val="FFF7CADA"/>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_GB2312" w:cstheme="minorBidi"/>
      <w:sz w:val="32"/>
      <w:szCs w:val="22"/>
      <w:lang w:val="en-US" w:eastAsia="en-US" w:bidi="ar-SA"/>
    </w:rPr>
  </w:style>
  <w:style w:type="paragraph" w:styleId="3">
    <w:name w:val="heading 1"/>
    <w:basedOn w:val="1"/>
    <w:next w:val="1"/>
    <w:link w:val="144"/>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56"/>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8"/>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4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37"/>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4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0"/>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1"/>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contextualSpacing/>
    </w:pPr>
  </w:style>
  <w:style w:type="paragraph" w:styleId="14">
    <w:name w:val="List Number"/>
    <w:basedOn w:val="1"/>
    <w:unhideWhenUsed/>
    <w:qFormat/>
    <w:uiPriority w:val="99"/>
    <w:p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contextualSpacing/>
    </w:pPr>
  </w:style>
  <w:style w:type="paragraph" w:styleId="17">
    <w:name w:val="Body Text 3"/>
    <w:basedOn w:val="1"/>
    <w:link w:val="155"/>
    <w:unhideWhenUsed/>
    <w:qFormat/>
    <w:uiPriority w:val="99"/>
    <w:pPr>
      <w:spacing w:after="120"/>
    </w:pPr>
    <w:rPr>
      <w:sz w:val="16"/>
      <w:szCs w:val="16"/>
    </w:rPr>
  </w:style>
  <w:style w:type="paragraph" w:styleId="18">
    <w:name w:val="List Bullet 3"/>
    <w:basedOn w:val="1"/>
    <w:unhideWhenUsed/>
    <w:qFormat/>
    <w:uiPriority w:val="99"/>
    <w:pPr>
      <w:contextualSpacing/>
    </w:pPr>
  </w:style>
  <w:style w:type="paragraph" w:styleId="19">
    <w:name w:val="Body Text"/>
    <w:basedOn w:val="1"/>
    <w:link w:val="139"/>
    <w:unhideWhenUsed/>
    <w:qFormat/>
    <w:uiPriority w:val="99"/>
    <w:pPr>
      <w:spacing w:after="120"/>
    </w:pPr>
  </w:style>
  <w:style w:type="paragraph" w:styleId="20">
    <w:name w:val="List Number 3"/>
    <w:basedOn w:val="1"/>
    <w:unhideWhenUsed/>
    <w:qFormat/>
    <w:uiPriority w:val="99"/>
    <w:p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contextualSpacing/>
    </w:pPr>
  </w:style>
  <w:style w:type="paragraph" w:styleId="24">
    <w:name w:val="footer"/>
    <w:basedOn w:val="1"/>
    <w:link w:val="143"/>
    <w:unhideWhenUsed/>
    <w:qFormat/>
    <w:uiPriority w:val="99"/>
    <w:pPr>
      <w:tabs>
        <w:tab w:val="center" w:pos="4680"/>
        <w:tab w:val="right" w:pos="9360"/>
      </w:tabs>
      <w:spacing w:after="0" w:line="240" w:lineRule="auto"/>
    </w:pPr>
  </w:style>
  <w:style w:type="paragraph" w:styleId="25">
    <w:name w:val="header"/>
    <w:basedOn w:val="1"/>
    <w:link w:val="145"/>
    <w:unhideWhenUsed/>
    <w:qFormat/>
    <w:uiPriority w:val="99"/>
    <w:pPr>
      <w:tabs>
        <w:tab w:val="center" w:pos="4680"/>
        <w:tab w:val="right" w:pos="9360"/>
      </w:tabs>
      <w:spacing w:after="0" w:line="240" w:lineRule="auto"/>
    </w:pPr>
  </w:style>
  <w:style w:type="paragraph" w:styleId="26">
    <w:name w:val="Subtitle"/>
    <w:basedOn w:val="1"/>
    <w:next w:val="1"/>
    <w:link w:val="14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64"/>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38"/>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Subtle Reference"/>
    <w:basedOn w:val="133"/>
    <w:qFormat/>
    <w:uiPriority w:val="31"/>
    <w:rPr>
      <w:smallCaps/>
      <w:color w:val="C0504D" w:themeColor="accent2"/>
      <w:u w:val="single"/>
      <w14:textFill>
        <w14:solidFill>
          <w14:schemeClr w14:val="accent2"/>
        </w14:solidFill>
      </w14:textFill>
    </w:rPr>
  </w:style>
  <w:style w:type="character" w:customStyle="1" w:styleId="137">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38">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39">
    <w:name w:val="Body Text Char"/>
    <w:basedOn w:val="133"/>
    <w:link w:val="19"/>
    <w:qFormat/>
    <w:uiPriority w:val="99"/>
  </w:style>
  <w:style w:type="paragraph" w:customStyle="1" w:styleId="140">
    <w:name w:val="TOC Heading"/>
    <w:basedOn w:val="3"/>
    <w:next w:val="1"/>
    <w:semiHidden/>
    <w:unhideWhenUsed/>
    <w:qFormat/>
    <w:uiPriority w:val="39"/>
    <w:pPr>
      <w:outlineLvl w:val="9"/>
    </w:pPr>
  </w:style>
  <w:style w:type="character" w:customStyle="1" w:styleId="141">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42">
    <w:name w:val="Intense Emphasis"/>
    <w:basedOn w:val="133"/>
    <w:qFormat/>
    <w:uiPriority w:val="21"/>
    <w:rPr>
      <w:b/>
      <w:bCs/>
      <w:i/>
      <w:iCs/>
      <w:color w:val="4F81BD" w:themeColor="accent1"/>
      <w14:textFill>
        <w14:solidFill>
          <w14:schemeClr w14:val="accent1"/>
        </w14:solidFill>
      </w14:textFill>
    </w:rPr>
  </w:style>
  <w:style w:type="character" w:customStyle="1" w:styleId="143">
    <w:name w:val="Footer Char"/>
    <w:basedOn w:val="133"/>
    <w:link w:val="24"/>
    <w:qFormat/>
    <w:uiPriority w:val="99"/>
  </w:style>
  <w:style w:type="character" w:customStyle="1" w:styleId="144">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5">
    <w:name w:val="Header Char"/>
    <w:basedOn w:val="133"/>
    <w:link w:val="25"/>
    <w:qFormat/>
    <w:uiPriority w:val="99"/>
  </w:style>
  <w:style w:type="character" w:customStyle="1" w:styleId="146">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47">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48">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9">
    <w:name w:val="Macro Text Char"/>
    <w:basedOn w:val="133"/>
    <w:link w:val="2"/>
    <w:qFormat/>
    <w:uiPriority w:val="99"/>
    <w:rPr>
      <w:rFonts w:ascii="Courier" w:hAnsi="Courier"/>
      <w:sz w:val="20"/>
      <w:szCs w:val="20"/>
    </w:rPr>
  </w:style>
  <w:style w:type="paragraph" w:styleId="150">
    <w:name w:val="List Paragraph"/>
    <w:basedOn w:val="1"/>
    <w:qFormat/>
    <w:uiPriority w:val="34"/>
    <w:pPr>
      <w:ind w:left="720"/>
      <w:contextualSpacing/>
    </w:p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Quote Char"/>
    <w:basedOn w:val="133"/>
    <w:link w:val="153"/>
    <w:qFormat/>
    <w:uiPriority w:val="29"/>
    <w:rPr>
      <w:i/>
      <w:iCs/>
      <w:color w:val="000000" w:themeColor="text1"/>
      <w14:textFill>
        <w14:solidFill>
          <w14:schemeClr w14:val="tx1"/>
        </w14:solidFill>
      </w14:textFill>
    </w:rPr>
  </w:style>
  <w:style w:type="paragraph" w:styleId="153">
    <w:name w:val="Quote"/>
    <w:basedOn w:val="1"/>
    <w:next w:val="1"/>
    <w:link w:val="152"/>
    <w:qFormat/>
    <w:uiPriority w:val="29"/>
    <w:rPr>
      <w:i/>
      <w:iCs/>
      <w:color w:val="000000" w:themeColor="text1"/>
      <w14:textFill>
        <w14:solidFill>
          <w14:schemeClr w14:val="tx1"/>
        </w14:solidFill>
      </w14:textFill>
    </w:rPr>
  </w:style>
  <w:style w:type="paragraph" w:styleId="154">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55">
    <w:name w:val="Body Text 3 Char"/>
    <w:basedOn w:val="133"/>
    <w:link w:val="17"/>
    <w:qFormat/>
    <w:uiPriority w:val="99"/>
    <w:rPr>
      <w:sz w:val="16"/>
      <w:szCs w:val="16"/>
    </w:rPr>
  </w:style>
  <w:style w:type="character" w:customStyle="1" w:styleId="156">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7">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58">
    <w:name w:val="Intense Quote Char"/>
    <w:basedOn w:val="133"/>
    <w:link w:val="159"/>
    <w:qFormat/>
    <w:uiPriority w:val="30"/>
    <w:rPr>
      <w:b/>
      <w:bCs/>
      <w:i/>
      <w:iCs/>
      <w:color w:val="4F81BD" w:themeColor="accent1"/>
      <w14:textFill>
        <w14:solidFill>
          <w14:schemeClr w14:val="accent1"/>
        </w14:solidFill>
      </w14:textFill>
    </w:rPr>
  </w:style>
  <w:style w:type="paragraph" w:styleId="159">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1">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62">
    <w:name w:val="Book Title"/>
    <w:basedOn w:val="133"/>
    <w:qFormat/>
    <w:uiPriority w:val="33"/>
    <w:rPr>
      <w:b/>
      <w:bCs/>
      <w:smallCaps/>
      <w:spacing w:val="5"/>
    </w:rPr>
  </w:style>
  <w:style w:type="character" w:customStyle="1" w:styleId="163">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4">
    <w:name w:val="Body Text 2 Char"/>
    <w:basedOn w:val="133"/>
    <w:link w:val="28"/>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2102</Words>
  <Characters>2109</Characters>
  <TotalTime>16</TotalTime>
  <ScaleCrop>false</ScaleCrop>
  <LinksUpToDate>false</LinksUpToDate>
  <CharactersWithSpaces>2111</CharactersWithSpaces>
  <Application>WPS Office_11.8.2.10125_F1E327BC-269C-435d-A152-05C5408002CA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2026-10-18T08:53:00Z</dcterms:created>
  <dc:creator>puer</dc:creator>
  <cp:lastModifiedBy>uos</cp:lastModifiedBy>
  <dcterms:modified xsi:type="dcterms:W3CDTF">2026-10-30T12:01:16Z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eyJoZGlkIjoiOTUxZjYxMmU4N2RmODZhNmJlOTAwMzMyNmY3NjQ4Y2MiLCJ1c2VySWQiOiI0NjA1MjY4NzMifQ==</vt:lpwstr>
  </property>
  <property fmtid="{D5CDD505-2E9C-101B-9397-08002B2CF9AE}" pid="4" name="ICV">
    <vt:lpwstr>7D466398801744258796BBD0F38731C4_12</vt:lpwstr>
  </property>
</Properties>
</file>