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adjustRightInd w:val="0"/>
        <w:spacing w:line="360" w:lineRule="auto"/>
        <w:jc w:val="center"/>
        <w:rPr>
          <w:rFonts w:hint="eastAsia" w:asci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  <w:lang w:eastAsia="zh-CN"/>
        </w:rPr>
        <w:t>海南省中药材标准征求意见稿</w:t>
      </w:r>
    </w:p>
    <w:p>
      <w:pPr>
        <w:adjustRightInd w:val="0"/>
        <w:spacing w:line="360" w:lineRule="auto"/>
        <w:jc w:val="center"/>
        <w:rPr>
          <w:rFonts w:ascii="黑体" w:eastAsia="黑体"/>
          <w:bCs/>
          <w:sz w:val="32"/>
          <w:szCs w:val="32"/>
        </w:rPr>
      </w:pPr>
      <w:r>
        <w:rPr>
          <w:rFonts w:hint="eastAsia" w:ascii="黑体" w:eastAsia="黑体"/>
          <w:bCs/>
          <w:sz w:val="32"/>
          <w:szCs w:val="32"/>
        </w:rPr>
        <w:t>沉香叶</w:t>
      </w:r>
    </w:p>
    <w:p>
      <w:pPr>
        <w:adjustRightInd w:val="0"/>
        <w:spacing w:line="360" w:lineRule="auto"/>
        <w:jc w:val="center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Chenxiangye</w:t>
      </w:r>
    </w:p>
    <w:p>
      <w:pPr>
        <w:adjustRightInd w:val="0"/>
        <w:spacing w:line="360" w:lineRule="auto"/>
        <w:jc w:val="center"/>
        <w:rPr>
          <w:rFonts w:eastAsia="黑体"/>
          <w:bCs/>
          <w:iCs/>
          <w:sz w:val="24"/>
        </w:rPr>
      </w:pPr>
      <w:bookmarkStart w:id="0" w:name="OLE_LINK1"/>
      <w:r>
        <w:rPr>
          <w:rFonts w:hint="eastAsia"/>
          <w:iCs/>
          <w:sz w:val="24"/>
        </w:rPr>
        <w:t>AQUILARIAE SINENSIS FOLIUM</w:t>
      </w:r>
    </w:p>
    <w:bookmarkEnd w:id="0"/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本品为瑞香科植物</w:t>
      </w:r>
      <w:bookmarkStart w:id="1" w:name="OLE_LINK7"/>
      <w:r>
        <w:rPr>
          <w:kern w:val="0"/>
          <w:sz w:val="24"/>
        </w:rPr>
        <w:t>白木香</w:t>
      </w:r>
      <w:bookmarkStart w:id="2" w:name="OLE_LINK2"/>
      <w:r>
        <w:rPr>
          <w:i/>
          <w:iCs/>
          <w:kern w:val="0"/>
          <w:sz w:val="24"/>
        </w:rPr>
        <w:t>Aquilaria sinensis</w:t>
      </w:r>
      <w:bookmarkEnd w:id="1"/>
      <w:bookmarkEnd w:id="2"/>
      <w:r>
        <w:rPr>
          <w:rFonts w:hint="eastAsia"/>
          <w:i/>
          <w:iCs/>
          <w:kern w:val="0"/>
          <w:sz w:val="24"/>
        </w:rPr>
        <w:t xml:space="preserve"> </w:t>
      </w:r>
      <w:r>
        <w:rPr>
          <w:kern w:val="0"/>
          <w:sz w:val="24"/>
        </w:rPr>
        <w:t>Gilg的干燥叶。全年可采收，除去杂质，干燥。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【性状】</w:t>
      </w:r>
      <w:r>
        <w:rPr>
          <w:rFonts w:hint="eastAsia"/>
          <w:kern w:val="0"/>
          <w:sz w:val="24"/>
        </w:rPr>
        <w:t xml:space="preserve"> 本品多破碎，完整叶片展平后呈椭圆形或卵形，长6-12cm，宽2-5cm。表面黄绿色或黄褐色，微有光泽，先端渐尖，基部楔形或广楔形，边缘光滑，具短叶柄。革质而脆，搓之易碎。气芳香，味微苦。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【鉴别】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（1）</w:t>
      </w:r>
      <w:r>
        <w:rPr>
          <w:rFonts w:hAnsi="宋体"/>
          <w:kern w:val="0"/>
          <w:sz w:val="24"/>
        </w:rPr>
        <w:t>本品粉末</w:t>
      </w:r>
      <w:r>
        <w:rPr>
          <w:rFonts w:hint="eastAsia" w:hAnsi="宋体"/>
          <w:kern w:val="0"/>
          <w:sz w:val="24"/>
        </w:rPr>
        <w:t>黄绿</w:t>
      </w:r>
      <w:r>
        <w:rPr>
          <w:rFonts w:hAnsi="宋体"/>
          <w:kern w:val="0"/>
          <w:sz w:val="24"/>
        </w:rPr>
        <w:t>色</w:t>
      </w:r>
      <w:r>
        <w:rPr>
          <w:rFonts w:hint="eastAsia" w:hAnsi="宋体"/>
          <w:kern w:val="0"/>
          <w:sz w:val="24"/>
        </w:rPr>
        <w:t>或黄褐色，叶表皮细胞</w:t>
      </w:r>
      <w:r>
        <w:rPr>
          <w:rFonts w:hAnsi="宋体"/>
          <w:kern w:val="0"/>
          <w:sz w:val="24"/>
        </w:rPr>
        <w:t>，多角形。纤维成束，多断裂，直径</w:t>
      </w:r>
      <w:r>
        <w:rPr>
          <w:rFonts w:hint="eastAsia"/>
          <w:kern w:val="0"/>
          <w:sz w:val="24"/>
        </w:rPr>
        <w:t>10</w:t>
      </w:r>
      <w:r>
        <w:rPr>
          <w:kern w:val="0"/>
          <w:sz w:val="24"/>
        </w:rPr>
        <w:t>~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0μm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螺</w:t>
      </w:r>
      <w:r>
        <w:rPr>
          <w:rFonts w:hAnsi="宋体"/>
          <w:kern w:val="0"/>
          <w:sz w:val="24"/>
        </w:rPr>
        <w:t>纹导管，梯纹导管，具缘纹孔导管，</w:t>
      </w:r>
      <w:r>
        <w:rPr>
          <w:rFonts w:hint="eastAsia" w:hAnsi="宋体"/>
          <w:kern w:val="0"/>
          <w:sz w:val="24"/>
        </w:rPr>
        <w:t>散在或成束</w:t>
      </w:r>
      <w:r>
        <w:rPr>
          <w:rFonts w:hAnsi="宋体"/>
          <w:kern w:val="0"/>
          <w:sz w:val="24"/>
        </w:rPr>
        <w:t>。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  本品叶横切面：上表皮细胞为1列方形细胞组成，稍大型，偶见气孔；下表皮有1层较小型的长方形细胞组成，可见凹陷的气孔，近主脉处表皮细胞呈乳突状；栅栏组织由1列组成，长短不一；海绵组织空腔大小不一。主脉向下表皮突出；维管束外韧型；韧皮部较窄；木质部宽广，木射线由1列细胞组成，呈放射状排列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（2）取本品粉末1g，加甲醇50ml，超声处理20分钟，</w:t>
      </w:r>
      <w:r>
        <w:rPr>
          <w:rFonts w:hint="eastAsia"/>
          <w:sz w:val="24"/>
        </w:rPr>
        <w:t>6000rpm离心5min，取上层溶液</w:t>
      </w:r>
      <w:r>
        <w:rPr>
          <w:sz w:val="24"/>
        </w:rPr>
        <w:t>作为供试品溶液</w:t>
      </w:r>
      <w:r>
        <w:rPr>
          <w:kern w:val="0"/>
          <w:sz w:val="24"/>
        </w:rPr>
        <w:t>。另取沉香叶对照药材1g，同法制成对照药材溶液。照薄层色谱法（</w:t>
      </w:r>
      <w:r>
        <w:rPr>
          <w:rFonts w:hint="eastAsia"/>
          <w:kern w:val="0"/>
          <w:sz w:val="24"/>
        </w:rPr>
        <w:t>药典2020版四部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0502</w:t>
      </w:r>
      <w:r>
        <w:rPr>
          <w:kern w:val="0"/>
          <w:sz w:val="24"/>
        </w:rPr>
        <w:t>）试验，吸取</w:t>
      </w:r>
      <w:r>
        <w:rPr>
          <w:rFonts w:hAnsi="宋体"/>
          <w:kern w:val="0"/>
          <w:sz w:val="24"/>
        </w:rPr>
        <w:t>供试品溶液和对照药材溶液</w:t>
      </w:r>
      <w:r>
        <w:rPr>
          <w:kern w:val="0"/>
          <w:sz w:val="24"/>
        </w:rPr>
        <w:t>各7μl，分别点于同一硅胶G薄层板上，以正丁醇-乙酸-水（4：2：0.2）为展开剂，展开，取出，晾干，喷以15%的硫酸乙醇溶液，在105℃加热至斑点显色清晰。供试品色谱中，在与对照药材色谱相应的位置上，显相同颜色的斑点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【检查】</w:t>
      </w:r>
      <w:r>
        <w:rPr>
          <w:b/>
          <w:kern w:val="0"/>
          <w:sz w:val="24"/>
        </w:rPr>
        <w:t>水分</w:t>
      </w:r>
      <w:r>
        <w:rPr>
          <w:kern w:val="0"/>
          <w:sz w:val="24"/>
        </w:rPr>
        <w:t xml:space="preserve">  不得过</w:t>
      </w:r>
      <w:r>
        <w:rPr>
          <w:rFonts w:hint="eastAsia"/>
          <w:kern w:val="0"/>
          <w:sz w:val="24"/>
        </w:rPr>
        <w:t>10.0</w:t>
      </w:r>
      <w:r>
        <w:rPr>
          <w:kern w:val="0"/>
          <w:sz w:val="24"/>
        </w:rPr>
        <w:t>%（</w:t>
      </w:r>
      <w:r>
        <w:rPr>
          <w:rFonts w:hint="eastAsia"/>
          <w:kern w:val="0"/>
          <w:sz w:val="24"/>
        </w:rPr>
        <w:t>药典2020版四部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0832第二法</w:t>
      </w:r>
      <w:r>
        <w:rPr>
          <w:kern w:val="0"/>
          <w:sz w:val="24"/>
        </w:rPr>
        <w:t>）</w:t>
      </w:r>
    </w:p>
    <w:p>
      <w:pPr>
        <w:adjustRightInd w:val="0"/>
        <w:spacing w:line="360" w:lineRule="auto"/>
        <w:ind w:firstLine="1445" w:firstLineChars="600"/>
        <w:rPr>
          <w:kern w:val="0"/>
          <w:sz w:val="24"/>
        </w:rPr>
      </w:pPr>
      <w:r>
        <w:rPr>
          <w:b/>
          <w:kern w:val="0"/>
          <w:sz w:val="24"/>
        </w:rPr>
        <w:t>总灰分</w:t>
      </w:r>
      <w:r>
        <w:rPr>
          <w:kern w:val="0"/>
          <w:sz w:val="24"/>
        </w:rPr>
        <w:t xml:space="preserve"> 不得过8</w:t>
      </w:r>
      <w:r>
        <w:rPr>
          <w:rFonts w:hint="eastAsia"/>
          <w:kern w:val="0"/>
          <w:sz w:val="24"/>
        </w:rPr>
        <w:t>.0</w:t>
      </w:r>
      <w:r>
        <w:rPr>
          <w:kern w:val="0"/>
          <w:sz w:val="24"/>
        </w:rPr>
        <w:t>%（</w:t>
      </w:r>
      <w:r>
        <w:rPr>
          <w:rFonts w:hint="eastAsia"/>
          <w:kern w:val="0"/>
          <w:sz w:val="24"/>
        </w:rPr>
        <w:t>药典2020版四部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2302</w:t>
      </w:r>
      <w:r>
        <w:rPr>
          <w:kern w:val="0"/>
          <w:sz w:val="24"/>
        </w:rPr>
        <w:t>）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【浸出物】 照醇溶性浸出物测定法（</w:t>
      </w:r>
      <w:r>
        <w:rPr>
          <w:rFonts w:hint="eastAsia"/>
          <w:kern w:val="0"/>
          <w:sz w:val="24"/>
        </w:rPr>
        <w:t>药典2020版四部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2201</w:t>
      </w:r>
      <w:r>
        <w:rPr>
          <w:kern w:val="0"/>
          <w:sz w:val="24"/>
        </w:rPr>
        <w:t>）项下的热浸法测定，以乙醇作溶剂，不得少于</w:t>
      </w:r>
      <w:r>
        <w:rPr>
          <w:rFonts w:hint="eastAsia"/>
          <w:kern w:val="0"/>
          <w:sz w:val="24"/>
        </w:rPr>
        <w:t>22</w:t>
      </w:r>
      <w:r>
        <w:rPr>
          <w:kern w:val="0"/>
          <w:sz w:val="24"/>
        </w:rPr>
        <w:t>.0%。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【性味与归经】</w:t>
      </w:r>
      <w:r>
        <w:rPr>
          <w:rFonts w:hint="eastAsia"/>
          <w:kern w:val="0"/>
          <w:sz w:val="24"/>
        </w:rPr>
        <w:t>味苦，性辛温</w:t>
      </w:r>
      <w:r>
        <w:rPr>
          <w:kern w:val="0"/>
          <w:sz w:val="24"/>
        </w:rPr>
        <w:t>。</w:t>
      </w:r>
      <w:r>
        <w:rPr>
          <w:rFonts w:hint="eastAsia"/>
          <w:kern w:val="0"/>
          <w:sz w:val="24"/>
        </w:rPr>
        <w:t>归肾、脾、胃经。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【功能与主治】</w:t>
      </w:r>
      <w:r>
        <w:rPr>
          <w:rFonts w:hint="eastAsia"/>
          <w:kern w:val="0"/>
          <w:sz w:val="24"/>
        </w:rPr>
        <w:t>行气止痛，纳气平喘。主治脘腹冷痛，气逆喘息，胃寒呕吐呃逆等证</w:t>
      </w:r>
      <w:r>
        <w:rPr>
          <w:kern w:val="0"/>
          <w:sz w:val="24"/>
        </w:rPr>
        <w:t>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【用法与用量】</w:t>
      </w:r>
      <w:r>
        <w:rPr>
          <w:rFonts w:hint="eastAsia"/>
          <w:kern w:val="0"/>
          <w:sz w:val="24"/>
        </w:rPr>
        <w:t>8-20g</w:t>
      </w:r>
      <w:r>
        <w:rPr>
          <w:kern w:val="0"/>
          <w:sz w:val="24"/>
        </w:rPr>
        <w:t>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【贮藏】置干燥处。</w:t>
      </w:r>
    </w:p>
    <w:p>
      <w:pPr>
        <w:widowControl/>
        <w:spacing w:line="360" w:lineRule="auto"/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</w:rPr>
      </w:pPr>
    </w:p>
    <w:p>
      <w:pPr>
        <w:widowControl/>
        <w:spacing w:line="360" w:lineRule="auto"/>
        <w:rPr>
          <w:rFonts w:hint="eastAsia" w:ascii="Times New Roman" w:hAnsi="Times New Roman" w:eastAsia="宋体" w:cs="Times New Roman"/>
          <w:b/>
          <w:color w:val="auto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标准起草单位:</w:t>
      </w:r>
      <w:r>
        <w:rPr>
          <w:rFonts w:hint="eastAsia" w:cs="Times New Roman"/>
          <w:b/>
          <w:color w:val="auto"/>
          <w:sz w:val="24"/>
          <w:szCs w:val="24"/>
          <w:shd w:val="clear" w:color="auto" w:fill="FFFFFF"/>
          <w:lang w:eastAsia="zh-CN"/>
        </w:rPr>
        <w:t>海南医学院</w:t>
      </w:r>
    </w:p>
    <w:p>
      <w:pPr>
        <w:widowControl/>
        <w:spacing w:line="360" w:lineRule="auto"/>
        <w:rPr>
          <w:rFonts w:hint="eastAsia" w:ascii="Times New Roman" w:hAnsi="Times New Roman" w:eastAsia="宋体" w:cs="Times New Roman"/>
          <w:b/>
          <w:color w:val="auto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标准复核单位:</w:t>
      </w: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  <w:lang w:eastAsia="zh-CN"/>
        </w:rPr>
        <w:t>海南省检验检测研究院</w:t>
      </w:r>
    </w:p>
    <w:p>
      <w:pPr>
        <w:adjustRightInd w:val="0"/>
        <w:spacing w:line="360" w:lineRule="auto"/>
        <w:rPr>
          <w:rFonts w:ascii="宋体" w:hAnsi="宋体"/>
          <w:kern w:val="0"/>
          <w:sz w:val="2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黑体" w:eastAsia="黑体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ascii="宋体" w:hAnsi="宋体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ascii="宋体" w:hAnsi="宋体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hint="eastAsia" w:ascii="宋体" w:hAnsi="宋体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ascii="宋体" w:hAnsi="宋体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ascii="宋体" w:hAnsi="宋体"/>
          <w:kern w:val="0"/>
          <w:sz w:val="24"/>
        </w:rPr>
      </w:pPr>
    </w:p>
    <w:p>
      <w:pPr>
        <w:adjustRightInd w:val="0"/>
        <w:spacing w:line="360" w:lineRule="auto"/>
        <w:jc w:val="center"/>
        <w:rPr>
          <w:rFonts w:ascii="宋体" w:hAnsi="宋体"/>
          <w:kern w:val="0"/>
          <w:sz w:val="24"/>
        </w:rPr>
      </w:pPr>
      <w:r>
        <w:rPr>
          <w:rFonts w:hint="eastAsia" w:ascii="黑体" w:hAnsi="黑体" w:eastAsia="黑体"/>
          <w:bCs/>
          <w:sz w:val="32"/>
          <w:szCs w:val="32"/>
          <w:lang w:eastAsia="zh-CN"/>
        </w:rPr>
        <w:t>沉香叶质量标准起草说明</w:t>
      </w:r>
      <w:bookmarkStart w:id="8" w:name="_GoBack"/>
      <w:bookmarkEnd w:id="8"/>
    </w:p>
    <w:p>
      <w:pPr>
        <w:numPr>
          <w:ilvl w:val="0"/>
          <w:numId w:val="1"/>
        </w:numPr>
        <w:tabs>
          <w:tab w:val="left" w:pos="267"/>
        </w:tabs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别名</w:t>
      </w:r>
      <w:r>
        <w:rPr>
          <w:rFonts w:hint="eastAsia" w:hAnsi="宋体"/>
          <w:sz w:val="24"/>
        </w:rPr>
        <w:t>:白木香叶</w:t>
      </w:r>
      <w:r>
        <w:rPr>
          <w:rFonts w:hAnsi="宋体"/>
          <w:sz w:val="24"/>
        </w:rPr>
        <w:t>、</w:t>
      </w:r>
      <w:r>
        <w:rPr>
          <w:rFonts w:hint="eastAsia" w:hAnsi="宋体"/>
          <w:sz w:val="24"/>
        </w:rPr>
        <w:t>土沉香叶</w:t>
      </w:r>
      <w:r>
        <w:rPr>
          <w:rFonts w:hAnsi="宋体"/>
          <w:sz w:val="24"/>
        </w:rPr>
        <w:t>。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沉香</w:t>
      </w:r>
      <w:r>
        <w:rPr>
          <w:rFonts w:hAnsi="宋体"/>
          <w:kern w:val="0"/>
          <w:sz w:val="24"/>
        </w:rPr>
        <w:t>为我省常用的中草药，收载于《</w:t>
      </w:r>
      <w:r>
        <w:rPr>
          <w:rFonts w:hint="eastAsia" w:hAnsi="宋体"/>
          <w:kern w:val="0"/>
          <w:sz w:val="24"/>
        </w:rPr>
        <w:t>中华本草</w:t>
      </w:r>
      <w:r>
        <w:rPr>
          <w:rFonts w:hAnsi="宋体"/>
          <w:kern w:val="0"/>
          <w:sz w:val="24"/>
        </w:rPr>
        <w:t>》</w:t>
      </w:r>
      <w:r>
        <w:rPr>
          <w:rFonts w:hint="eastAsia" w:hAnsi="宋体"/>
          <w:kern w:val="0"/>
          <w:sz w:val="24"/>
          <w:vertAlign w:val="superscript"/>
        </w:rPr>
        <w:t>[1]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沉香</w:t>
      </w:r>
      <w:r>
        <w:rPr>
          <w:rFonts w:hAnsi="宋体"/>
          <w:kern w:val="0"/>
          <w:sz w:val="24"/>
        </w:rPr>
        <w:t>有</w:t>
      </w:r>
      <w:r>
        <w:rPr>
          <w:rFonts w:hint="eastAsia" w:hAnsi="宋体"/>
          <w:kern w:val="0"/>
          <w:sz w:val="24"/>
        </w:rPr>
        <w:t>抗炎</w:t>
      </w:r>
      <w:r>
        <w:rPr>
          <w:rFonts w:hAnsi="宋体"/>
          <w:kern w:val="0"/>
          <w:sz w:val="24"/>
        </w:rPr>
        <w:t>、</w:t>
      </w:r>
      <w:r>
        <w:rPr>
          <w:rFonts w:hint="eastAsia" w:hAnsi="宋体"/>
          <w:kern w:val="0"/>
          <w:sz w:val="24"/>
        </w:rPr>
        <w:t>镇痛</w:t>
      </w:r>
      <w:r>
        <w:rPr>
          <w:rFonts w:hAnsi="宋体"/>
          <w:kern w:val="0"/>
          <w:sz w:val="24"/>
        </w:rPr>
        <w:t>、</w:t>
      </w:r>
      <w:r>
        <w:rPr>
          <w:rFonts w:hint="eastAsia" w:hAnsi="宋体"/>
          <w:kern w:val="0"/>
          <w:sz w:val="24"/>
        </w:rPr>
        <w:t>降血糖</w:t>
      </w:r>
      <w:r>
        <w:rPr>
          <w:rFonts w:hAnsi="宋体"/>
          <w:kern w:val="0"/>
          <w:sz w:val="24"/>
        </w:rPr>
        <w:t>的功效，主治</w:t>
      </w:r>
      <w:r>
        <w:rPr>
          <w:rFonts w:hint="eastAsia" w:hAnsi="宋体"/>
          <w:kern w:val="0"/>
          <w:sz w:val="24"/>
        </w:rPr>
        <w:t>便秘</w:t>
      </w:r>
      <w:r>
        <w:rPr>
          <w:rFonts w:hAnsi="宋体"/>
          <w:kern w:val="0"/>
          <w:sz w:val="24"/>
        </w:rPr>
        <w:t>、</w:t>
      </w:r>
      <w:r>
        <w:rPr>
          <w:rFonts w:hint="eastAsia" w:hAnsi="宋体"/>
          <w:kern w:val="0"/>
          <w:sz w:val="24"/>
        </w:rPr>
        <w:t>肠梗阻</w:t>
      </w:r>
      <w:r>
        <w:rPr>
          <w:rFonts w:hAnsi="宋体"/>
          <w:kern w:val="0"/>
          <w:sz w:val="24"/>
        </w:rPr>
        <w:t>、</w:t>
      </w:r>
      <w:r>
        <w:rPr>
          <w:rFonts w:hint="eastAsia" w:hAnsi="宋体"/>
          <w:kern w:val="0"/>
          <w:sz w:val="24"/>
        </w:rPr>
        <w:t>出血及脑缺血</w:t>
      </w:r>
      <w:r>
        <w:rPr>
          <w:rFonts w:hAnsi="宋体"/>
          <w:kern w:val="0"/>
          <w:sz w:val="24"/>
        </w:rPr>
        <w:t>等症。</w:t>
      </w:r>
      <w:r>
        <w:rPr>
          <w:rFonts w:hint="eastAsia" w:hAnsi="宋体"/>
          <w:kern w:val="0"/>
          <w:sz w:val="24"/>
        </w:rPr>
        <w:t>沉香叶为白木香的非药用部位，其性味归经、功能主治和用法用量尚无报道。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生境分布</w:t>
      </w:r>
      <w:r>
        <w:rPr>
          <w:rFonts w:hint="eastAsia" w:hAnsi="宋体"/>
          <w:sz w:val="24"/>
        </w:rPr>
        <w:t>:</w:t>
      </w:r>
    </w:p>
    <w:p>
      <w:pPr>
        <w:autoSpaceDE w:val="0"/>
        <w:autoSpaceDN w:val="0"/>
        <w:adjustRightInd w:val="0"/>
        <w:spacing w:line="360" w:lineRule="auto"/>
        <w:ind w:left="360"/>
        <w:rPr>
          <w:sz w:val="24"/>
        </w:rPr>
      </w:pPr>
      <w:r>
        <w:rPr>
          <w:rFonts w:hAnsi="宋体"/>
          <w:sz w:val="24"/>
        </w:rPr>
        <w:t>生态环境</w:t>
      </w:r>
      <w:r>
        <w:rPr>
          <w:rFonts w:hAnsi="宋体"/>
          <w:kern w:val="0"/>
          <w:sz w:val="24"/>
        </w:rPr>
        <w:t>低海拔的山地、丘陵以及路边疏林中。</w:t>
      </w:r>
      <w:r>
        <w:rPr>
          <w:rFonts w:hAnsi="宋体"/>
          <w:sz w:val="24"/>
        </w:rPr>
        <w:t>资源分布主要分布于海南省</w:t>
      </w:r>
      <w:r>
        <w:rPr>
          <w:rFonts w:hint="eastAsia" w:hAnsi="宋体"/>
          <w:sz w:val="24"/>
        </w:rPr>
        <w:t>、广东省</w:t>
      </w:r>
      <w:r>
        <w:rPr>
          <w:rFonts w:hAnsi="宋体"/>
          <w:sz w:val="24"/>
        </w:rPr>
        <w:t>。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植物形态</w:t>
      </w:r>
      <w:r>
        <w:rPr>
          <w:rFonts w:hint="eastAsia" w:hAnsi="宋体"/>
          <w:sz w:val="24"/>
        </w:rPr>
        <w:t>: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参考《海南植物图志》</w:t>
      </w:r>
      <w:r>
        <w:rPr>
          <w:kern w:val="0"/>
          <w:sz w:val="24"/>
          <w:vertAlign w:val="superscript"/>
        </w:rPr>
        <w:t>[1]</w:t>
      </w:r>
      <w:r>
        <w:rPr>
          <w:rFonts w:hAnsi="宋体"/>
          <w:kern w:val="0"/>
          <w:sz w:val="24"/>
        </w:rPr>
        <w:t>及采集的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植物形态制订：</w:t>
      </w:r>
      <w:r>
        <w:rPr>
          <w:rFonts w:hint="eastAsia" w:hAnsi="宋体"/>
          <w:kern w:val="0"/>
          <w:sz w:val="24"/>
        </w:rPr>
        <w:t>采集的沉香叶植物形态制订：常绿乔木，高15米，树皮灰褐色；小枝、叶柄及花序均被柔毛或灰白色绒毛。叶互生，叶柄长约5mm；叶片革质，长卵形、倒卵形或椭圆形，长6-12cm，宽2-4.5cm，先端渐尖，基部宽楔形，全缘，两面被疏毛，后渐脱落，光滑而亮。伞形花序顶生和腋生；小花梗长0.5-1.2cm；花黄绿色，被绒毛；花被钟形，5裂，长圆形，长约7mm。宽约4mm，先端钝圆，花被喉管部有鳞片10枚，密被白色绒毛，长约5mm，基部连合成一环；雄蕊10，花丝粗壮；子房卵形，密被绒毛，蒴果倒卵形，木质，扁压状，长2.5-3cm，密被灰白色毛，基部具稍带木质的宿存花被。种子黑棕色，卵形，长约1cm，先端渐尖，种子基部延长为角状附属物，红棕色，长达2cm，上部扩大。花期3-5月。果期5-6月。</w:t>
      </w:r>
    </w:p>
    <w:p>
      <w:pPr>
        <w:widowControl/>
        <w:autoSpaceDE w:val="0"/>
        <w:autoSpaceDN w:val="0"/>
        <w:adjustRightInd w:val="0"/>
        <w:spacing w:line="360" w:lineRule="auto"/>
        <w:ind w:left="120" w:hanging="120" w:hangingChars="50"/>
        <w:jc w:val="left"/>
        <w:rPr>
          <w:kern w:val="0"/>
          <w:sz w:val="24"/>
        </w:rPr>
      </w:pPr>
      <w:r>
        <w:rPr>
          <w:kern w:val="0"/>
          <w:sz w:val="24"/>
        </w:rPr>
        <w:drawing>
          <wp:inline distT="0" distB="0" distL="0" distR="0">
            <wp:extent cx="2470785" cy="1849755"/>
            <wp:effectExtent l="19050" t="0" r="5569" b="0"/>
            <wp:docPr id="19" name="图片 19" descr="C:\Users\lenovo\Desktop\timg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o\Desktop\timg.jpg"/>
                    <pic:cNvPicPr>
                      <a:picLocks noChangeAspect="true" noChangeArrowheads="true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0684" cy="184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 xml:space="preserve">  </w:t>
      </w:r>
      <w:r>
        <w:rPr>
          <w:kern w:val="0"/>
          <w:sz w:val="24"/>
        </w:rPr>
        <w:drawing>
          <wp:inline distT="0" distB="0" distL="0" distR="0">
            <wp:extent cx="2463800" cy="1845945"/>
            <wp:effectExtent l="19050" t="0" r="0" b="0"/>
            <wp:docPr id="22" name="图片 22" descr="C:\Users\lenovo\Desktop\e811b54f82c4ad302d978da06dc9326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lenovo\Desktop\e811b54f82c4ad302d978da06dc9326.jpg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177" cy="184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 xml:space="preserve">1  </w:t>
      </w:r>
      <w:r>
        <w:rPr>
          <w:rFonts w:hint="eastAsia"/>
          <w:kern w:val="0"/>
          <w:sz w:val="24"/>
        </w:rPr>
        <w:t>沉香叶</w:t>
      </w:r>
      <w:r>
        <w:rPr>
          <w:rFonts w:hAnsi="宋体"/>
          <w:kern w:val="0"/>
          <w:sz w:val="24"/>
        </w:rPr>
        <w:t>植物形态图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4.</w:t>
      </w:r>
      <w:r>
        <w:rPr>
          <w:rFonts w:hAnsi="宋体"/>
          <w:kern w:val="0"/>
          <w:sz w:val="24"/>
        </w:rPr>
        <w:t>性状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根据收集到的样品实际观察，进行描述：</w:t>
      </w:r>
      <w:r>
        <w:rPr>
          <w:rFonts w:hint="eastAsia" w:hAnsi="宋体"/>
          <w:kern w:val="0"/>
          <w:sz w:val="24"/>
        </w:rPr>
        <w:t>叶片外形是其特征之一</w:t>
      </w:r>
      <w:r>
        <w:rPr>
          <w:rFonts w:hint="eastAsia"/>
          <w:kern w:val="0"/>
          <w:sz w:val="24"/>
        </w:rPr>
        <w:t>，完整叶片展平后呈椭圆形或卵形，长6-12cm，宽2-5cm。</w:t>
      </w:r>
      <w:r>
        <w:rPr>
          <w:rFonts w:hAnsi="宋体"/>
          <w:kern w:val="0"/>
          <w:sz w:val="24"/>
        </w:rPr>
        <w:t>观察根表面颜色为</w:t>
      </w:r>
      <w:r>
        <w:rPr>
          <w:rFonts w:hint="eastAsia"/>
          <w:kern w:val="0"/>
          <w:sz w:val="24"/>
        </w:rPr>
        <w:t>表面黄绿色或黄褐色，微有光泽，先端渐尖，基部楔形或广楔形，边缘光滑，具短叶柄，</w:t>
      </w:r>
      <w:r>
        <w:rPr>
          <w:rFonts w:hAnsi="宋体"/>
          <w:kern w:val="0"/>
          <w:sz w:val="24"/>
        </w:rPr>
        <w:t>也是其特征之一。</w:t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drawing>
          <wp:inline distT="0" distB="0" distL="0" distR="0">
            <wp:extent cx="2327910" cy="3101975"/>
            <wp:effectExtent l="19050" t="0" r="0" b="0"/>
            <wp:docPr id="27" name="图片 27" descr="C:\Users\lenovo\Desktop\6c15ea18d8dda2f85e97902c6cf55d6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lenovo\Desktop\6c15ea18d8dda2f85e97902c6cf55d6.jpg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 xml:space="preserve">   </w:t>
      </w:r>
      <w:r>
        <w:rPr>
          <w:kern w:val="0"/>
          <w:sz w:val="24"/>
        </w:rPr>
        <w:drawing>
          <wp:inline distT="0" distB="0" distL="0" distR="0">
            <wp:extent cx="2327910" cy="3101975"/>
            <wp:effectExtent l="19050" t="0" r="0" b="0"/>
            <wp:docPr id="28" name="图片 28" descr="../5952bee95e558a349d34420b79b50ea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../5952bee95e558a349d34420b79b50ea.jpg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 xml:space="preserve">2  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药材图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5.</w:t>
      </w:r>
      <w:r>
        <w:rPr>
          <w:rFonts w:hAnsi="宋体"/>
          <w:kern w:val="0"/>
          <w:sz w:val="24"/>
        </w:rPr>
        <w:t>化学成分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白木香</w:t>
      </w:r>
      <w:r>
        <w:rPr>
          <w:i/>
          <w:iCs/>
          <w:kern w:val="0"/>
          <w:sz w:val="24"/>
        </w:rPr>
        <w:t>Aquilaria sinensis</w:t>
      </w:r>
      <w:r>
        <w:rPr>
          <w:rFonts w:hint="eastAsia"/>
          <w:i/>
          <w:iCs/>
          <w:kern w:val="0"/>
          <w:sz w:val="24"/>
        </w:rPr>
        <w:t>.</w:t>
      </w:r>
      <w:r>
        <w:rPr>
          <w:rFonts w:hAnsi="宋体"/>
          <w:kern w:val="0"/>
          <w:sz w:val="24"/>
        </w:rPr>
        <w:t>的化学成分</w:t>
      </w:r>
      <w:r>
        <w:rPr>
          <w:rFonts w:hint="eastAsia" w:hAnsi="宋体"/>
          <w:kern w:val="0"/>
          <w:sz w:val="24"/>
        </w:rPr>
        <w:t>表明，沉香叶中</w:t>
      </w:r>
      <w:r>
        <w:rPr>
          <w:rFonts w:hAnsi="宋体"/>
          <w:kern w:val="0"/>
          <w:sz w:val="24"/>
        </w:rPr>
        <w:t>含有</w:t>
      </w:r>
      <w:r>
        <w:rPr>
          <w:rFonts w:hint="eastAsia" w:hAnsi="宋体"/>
          <w:kern w:val="0"/>
          <w:sz w:val="24"/>
        </w:rPr>
        <w:t>黄酮、多酚、</w:t>
      </w:r>
      <w:r>
        <w:rPr>
          <w:rFonts w:hAnsi="宋体"/>
          <w:kern w:val="0"/>
          <w:sz w:val="24"/>
        </w:rPr>
        <w:t>多糖、氨基酸</w:t>
      </w:r>
      <w:r>
        <w:rPr>
          <w:rFonts w:hint="eastAsia" w:hAnsi="宋体"/>
          <w:kern w:val="0"/>
          <w:sz w:val="24"/>
        </w:rPr>
        <w:t>类</w:t>
      </w:r>
      <w:r>
        <w:rPr>
          <w:rFonts w:hAnsi="宋体"/>
          <w:kern w:val="0"/>
          <w:sz w:val="24"/>
        </w:rPr>
        <w:t>成</w:t>
      </w:r>
      <w:r>
        <w:rPr>
          <w:rFonts w:hint="eastAsia" w:hAnsi="宋体"/>
          <w:kern w:val="0"/>
          <w:sz w:val="24"/>
        </w:rPr>
        <w:t>份</w:t>
      </w:r>
      <w:r>
        <w:rPr>
          <w:kern w:val="0"/>
          <w:sz w:val="24"/>
          <w:vertAlign w:val="superscript"/>
        </w:rPr>
        <w:t>[2]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已有文献报道芫花素</w:t>
      </w:r>
      <w:r>
        <w:rPr>
          <w:rFonts w:hAnsi="宋体"/>
          <w:kern w:val="0"/>
          <w:sz w:val="24"/>
        </w:rPr>
        <w:t>作为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的含量测定指标</w:t>
      </w:r>
      <w:r>
        <w:rPr>
          <w:kern w:val="0"/>
          <w:sz w:val="24"/>
          <w:vertAlign w:val="superscript"/>
        </w:rPr>
        <w:t>[3]</w:t>
      </w:r>
      <w:r>
        <w:rPr>
          <w:rFonts w:hAnsi="宋体"/>
          <w:kern w:val="0"/>
          <w:sz w:val="24"/>
        </w:rPr>
        <w:t>。</w:t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6.</w:t>
      </w:r>
      <w:r>
        <w:rPr>
          <w:rFonts w:hAnsi="宋体"/>
          <w:kern w:val="0"/>
          <w:sz w:val="24"/>
        </w:rPr>
        <w:t>药材来源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spacing w:line="360" w:lineRule="auto"/>
        <w:ind w:firstLine="48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药材采集于海南，经本校药学院生药学田建平教授鉴定确定为</w:t>
      </w:r>
      <w:r>
        <w:rPr>
          <w:rFonts w:hint="eastAsia" w:hAnsi="宋体"/>
          <w:kern w:val="0"/>
          <w:sz w:val="24"/>
        </w:rPr>
        <w:t>瑞香</w:t>
      </w:r>
      <w:r>
        <w:rPr>
          <w:rFonts w:hAnsi="宋体"/>
          <w:kern w:val="0"/>
          <w:sz w:val="24"/>
        </w:rPr>
        <w:t>科植物</w:t>
      </w:r>
      <w:r>
        <w:rPr>
          <w:rFonts w:hint="eastAsia" w:hAnsi="宋体"/>
          <w:kern w:val="0"/>
          <w:sz w:val="24"/>
        </w:rPr>
        <w:t>沉香属白木香</w:t>
      </w:r>
      <w:r>
        <w:rPr>
          <w:rFonts w:hint="eastAsia" w:hAnsi="宋体"/>
          <w:i/>
          <w:kern w:val="0"/>
          <w:sz w:val="24"/>
        </w:rPr>
        <w:t>Aquilaria sinensis</w:t>
      </w:r>
      <w:r>
        <w:rPr>
          <w:rFonts w:hint="eastAsia" w:hAnsi="宋体"/>
          <w:kern w:val="0"/>
          <w:sz w:val="24"/>
        </w:rPr>
        <w:t>的叶。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 xml:space="preserve">1 </w:t>
      </w:r>
      <w:r>
        <w:rPr>
          <w:rFonts w:hAnsi="黑体" w:eastAsia="黑体"/>
          <w:kern w:val="0"/>
          <w:sz w:val="24"/>
          <w:szCs w:val="21"/>
        </w:rPr>
        <w:t>不同批次的</w:t>
      </w:r>
      <w:r>
        <w:rPr>
          <w:rFonts w:hint="eastAsia" w:hAnsi="黑体" w:eastAsia="黑体"/>
          <w:kern w:val="0"/>
          <w:sz w:val="24"/>
          <w:szCs w:val="21"/>
        </w:rPr>
        <w:t>沉香叶</w:t>
      </w:r>
      <w:r>
        <w:rPr>
          <w:rFonts w:hAnsi="黑体" w:eastAsia="黑体"/>
          <w:kern w:val="0"/>
          <w:sz w:val="24"/>
          <w:szCs w:val="21"/>
        </w:rPr>
        <w:t>药材样品</w:t>
      </w:r>
    </w:p>
    <w:tbl>
      <w:tblPr>
        <w:tblStyle w:val="9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4"/>
        <w:gridCol w:w="3975"/>
        <w:gridCol w:w="3003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编号</w:t>
            </w:r>
          </w:p>
        </w:tc>
        <w:tc>
          <w:tcPr>
            <w:tcW w:w="397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产地</w:t>
            </w:r>
          </w:p>
        </w:tc>
        <w:tc>
          <w:tcPr>
            <w:tcW w:w="300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采收时间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  <w:tcBorders>
              <w:top w:val="single" w:color="auto" w:sz="4" w:space="0"/>
              <w:bottom w:val="nil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20190401</w:t>
            </w:r>
          </w:p>
        </w:tc>
        <w:tc>
          <w:tcPr>
            <w:tcW w:w="3975" w:type="dxa"/>
            <w:tcBorders>
              <w:top w:val="single" w:color="auto" w:sz="4" w:space="0"/>
              <w:bottom w:val="nil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int="eastAsia" w:hAnsi="宋体"/>
                <w:kern w:val="0"/>
                <w:sz w:val="24"/>
              </w:rPr>
              <w:t>海南屯昌（对照药材）</w:t>
            </w:r>
          </w:p>
        </w:tc>
        <w:tc>
          <w:tcPr>
            <w:tcW w:w="3003" w:type="dxa"/>
            <w:tcBorders>
              <w:top w:val="single" w:color="auto" w:sz="4" w:space="0"/>
              <w:bottom w:val="nil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2019.04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  <w:tcBorders>
              <w:top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201906</w:t>
            </w:r>
            <w:r>
              <w:rPr>
                <w:kern w:val="0"/>
                <w:sz w:val="24"/>
              </w:rPr>
              <w:t>01</w:t>
            </w:r>
          </w:p>
        </w:tc>
        <w:tc>
          <w:tcPr>
            <w:tcW w:w="3975" w:type="dxa"/>
            <w:tcBorders>
              <w:top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海南海口</w:t>
            </w:r>
          </w:p>
        </w:tc>
        <w:tc>
          <w:tcPr>
            <w:tcW w:w="3003" w:type="dxa"/>
            <w:tcBorders>
              <w:top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2019.06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201906</w:t>
            </w:r>
            <w:r>
              <w:rPr>
                <w:kern w:val="0"/>
                <w:sz w:val="24"/>
              </w:rPr>
              <w:t>02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海南海口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2019.06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201906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3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海南儋州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2019.06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201906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4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海南儋州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2019.06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bookmarkStart w:id="3" w:name="OLE_LINK4" w:colFirst="1" w:colLast="1"/>
            <w:r>
              <w:rPr>
                <w:rFonts w:hint="eastAsia"/>
                <w:kern w:val="0"/>
                <w:sz w:val="24"/>
              </w:rPr>
              <w:t>201906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5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海南屯昌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2019.06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201906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6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海南屯昌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2019.06</w:t>
            </w:r>
          </w:p>
        </w:tc>
      </w:tr>
      <w:bookmarkEnd w:id="3"/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201906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7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海南屯昌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2019.06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201906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8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海南屯昌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2019.06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201906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9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海南琼中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2019.06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20190610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海南琼中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2019.06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int="eastAsia" w:hAnsi="宋体"/>
                <w:kern w:val="0"/>
                <w:sz w:val="24"/>
              </w:rPr>
              <w:t>海南屯昌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int="eastAsia" w:hAnsi="宋体"/>
                <w:kern w:val="0"/>
                <w:sz w:val="24"/>
              </w:rPr>
              <w:t>海南屯昌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44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</w:t>
            </w:r>
          </w:p>
        </w:tc>
        <w:tc>
          <w:tcPr>
            <w:tcW w:w="3975" w:type="dxa"/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int="eastAsia" w:hAnsi="宋体"/>
                <w:kern w:val="0"/>
                <w:sz w:val="24"/>
              </w:rPr>
              <w:t>海南澄迈</w:t>
            </w:r>
          </w:p>
        </w:tc>
        <w:tc>
          <w:tcPr>
            <w:tcW w:w="3003" w:type="dxa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2020.12</w:t>
            </w:r>
          </w:p>
        </w:tc>
      </w:tr>
    </w:tbl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7. </w:t>
      </w:r>
      <w:r>
        <w:rPr>
          <w:rFonts w:hAnsi="宋体"/>
          <w:kern w:val="0"/>
          <w:sz w:val="24"/>
        </w:rPr>
        <w:t>鉴别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/>
          <w:kern w:val="0"/>
          <w:sz w:val="24"/>
        </w:rPr>
        <w:t>7.</w:t>
      </w:r>
      <w:r>
        <w:rPr>
          <w:kern w:val="0"/>
          <w:sz w:val="24"/>
        </w:rPr>
        <w:t>1.</w:t>
      </w:r>
      <w:r>
        <w:rPr>
          <w:rFonts w:hAnsi="宋体"/>
          <w:kern w:val="0"/>
          <w:sz w:val="24"/>
        </w:rPr>
        <w:t>显微鉴别：通过对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药材粉末显微特征进行制订。本品粉末</w:t>
      </w:r>
      <w:r>
        <w:rPr>
          <w:rFonts w:hint="eastAsia" w:hAnsi="宋体"/>
          <w:kern w:val="0"/>
          <w:sz w:val="24"/>
        </w:rPr>
        <w:t>黄绿</w:t>
      </w:r>
      <w:r>
        <w:rPr>
          <w:rFonts w:hAnsi="宋体"/>
          <w:kern w:val="0"/>
          <w:sz w:val="24"/>
        </w:rPr>
        <w:t>色</w:t>
      </w:r>
      <w:r>
        <w:rPr>
          <w:rFonts w:hint="eastAsia" w:hAnsi="宋体"/>
          <w:kern w:val="0"/>
          <w:sz w:val="24"/>
        </w:rPr>
        <w:t>或黄褐色，叶表皮细胞</w:t>
      </w:r>
      <w:r>
        <w:rPr>
          <w:rFonts w:hAnsi="宋体"/>
          <w:kern w:val="0"/>
          <w:sz w:val="24"/>
        </w:rPr>
        <w:t>，多角形。纤维成束，多断裂，直径</w:t>
      </w:r>
      <w:r>
        <w:rPr>
          <w:rFonts w:hint="eastAsia"/>
          <w:kern w:val="0"/>
          <w:sz w:val="24"/>
        </w:rPr>
        <w:t>10</w:t>
      </w:r>
      <w:r>
        <w:rPr>
          <w:kern w:val="0"/>
          <w:sz w:val="24"/>
        </w:rPr>
        <w:t>~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0μm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螺</w:t>
      </w:r>
      <w:r>
        <w:rPr>
          <w:rFonts w:hAnsi="宋体"/>
          <w:kern w:val="0"/>
          <w:sz w:val="24"/>
        </w:rPr>
        <w:t>纹导管，梯纹导管，具缘纹孔导管，</w:t>
      </w:r>
      <w:r>
        <w:rPr>
          <w:rFonts w:hint="eastAsia" w:hAnsi="宋体"/>
          <w:kern w:val="0"/>
          <w:sz w:val="24"/>
        </w:rPr>
        <w:t>散在或成束</w:t>
      </w:r>
      <w:r>
        <w:rPr>
          <w:rFonts w:hAnsi="宋体"/>
          <w:kern w:val="0"/>
          <w:sz w:val="24"/>
        </w:rPr>
        <w:t>。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本品叶横切面：上表皮细胞为1列方形细胞组成，稍大型，偶见气孔；下表皮有1层较小型的长方形细胞组成，可见凹陷的气孔，近主脉处表皮细胞呈乳突状；栅栏组织由1列组成，长短不一；海绵组织空腔大小不一。主脉向下表皮突出；维管束外韧型；韧皮部较窄；木质部宽广，木射线由1列细胞组成，呈放射状排列。</w:t>
      </w:r>
    </w:p>
    <w:p>
      <w:pPr>
        <w:widowControl/>
        <w:adjustRightInd w:val="0"/>
        <w:spacing w:line="360" w:lineRule="auto"/>
        <w:ind w:firstLine="105" w:firstLineChars="50"/>
        <w:jc w:val="left"/>
        <w:rPr>
          <w:kern w:val="0"/>
          <w:sz w:val="24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2278380" cy="1706880"/>
            <wp:effectExtent l="19050" t="0" r="7054" b="0"/>
            <wp:docPr id="1" name="图片 78" descr="图像_62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8" descr="图像_6225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370" cy="1710767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 xml:space="preserve">   </w:t>
      </w:r>
      <w:r>
        <w:rPr>
          <w:rFonts w:hint="eastAsia"/>
          <w:kern w:val="0"/>
          <w:sz w:val="24"/>
        </w:rPr>
        <w:drawing>
          <wp:inline distT="0" distB="0" distL="0" distR="0">
            <wp:extent cx="2285365" cy="1714500"/>
            <wp:effectExtent l="19050" t="0" r="400" b="0"/>
            <wp:docPr id="2" name="图片 80" descr="图像_62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0" descr="图像_6239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681" cy="171531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 w:firstLine="1200" w:firstLineChars="5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薄壁细胞                            螺纹</w:t>
      </w:r>
      <w:r>
        <w:rPr>
          <w:rFonts w:hAnsi="宋体"/>
          <w:kern w:val="0"/>
          <w:sz w:val="24"/>
        </w:rPr>
        <w:t>导管</w:t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drawing>
          <wp:inline distT="0" distB="0" distL="0" distR="0">
            <wp:extent cx="2336800" cy="1750695"/>
            <wp:effectExtent l="19050" t="0" r="5861" b="0"/>
            <wp:docPr id="3" name="图片 82" descr="图像_62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2" descr="图像_6238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923" cy="17509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 xml:space="preserve">   </w:t>
      </w:r>
      <w:r>
        <w:rPr>
          <w:kern w:val="0"/>
          <w:sz w:val="24"/>
        </w:rPr>
        <w:drawing>
          <wp:inline distT="0" distB="0" distL="0" distR="0">
            <wp:extent cx="2365375" cy="1772285"/>
            <wp:effectExtent l="0" t="0" r="15875" b="18415"/>
            <wp:docPr id="4" name="图片 81" descr="图像_62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1" descr="图像_6226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668" cy="17726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 w:firstLine="1320" w:firstLineChars="55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螺纹</w:t>
      </w:r>
      <w:r>
        <w:rPr>
          <w:rFonts w:hAnsi="宋体"/>
          <w:kern w:val="0"/>
          <w:sz w:val="24"/>
        </w:rPr>
        <w:t>导管</w:t>
      </w:r>
      <w:r>
        <w:rPr>
          <w:rFonts w:hint="eastAsia" w:hAnsi="宋体"/>
          <w:kern w:val="0"/>
          <w:sz w:val="24"/>
        </w:rPr>
        <w:t xml:space="preserve">                          </w:t>
      </w:r>
      <w:r>
        <w:rPr>
          <w:rFonts w:hAnsi="宋体"/>
          <w:kern w:val="0"/>
          <w:sz w:val="24"/>
        </w:rPr>
        <w:t>纤维束</w:t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 w:firstLine="21" w:firstLineChars="9"/>
        <w:jc w:val="left"/>
        <w:rPr>
          <w:kern w:val="0"/>
          <w:sz w:val="24"/>
        </w:rPr>
      </w:pPr>
      <w:r>
        <w:rPr>
          <w:kern w:val="0"/>
          <w:sz w:val="24"/>
        </w:rPr>
        <w:drawing>
          <wp:inline distT="0" distB="0" distL="0" distR="0">
            <wp:extent cx="2272665" cy="1704975"/>
            <wp:effectExtent l="0" t="0" r="0" b="0"/>
            <wp:docPr id="24" name="图片 24" descr="I:\显微图片\沉香叶\图像_13476.ti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:\显微图片\沉香叶\图像_13476.tif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942" cy="170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hint="eastAsia" w:eastAsiaTheme="minorEastAsia"/>
          <w:snapToGrid w:val="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                                                                         </w:t>
      </w:r>
      <w:r>
        <w:rPr>
          <w:kern w:val="0"/>
          <w:sz w:val="24"/>
        </w:rPr>
        <w:drawing>
          <wp:inline distT="0" distB="0" distL="0" distR="0">
            <wp:extent cx="2286000" cy="1714500"/>
            <wp:effectExtent l="0" t="0" r="0" b="0"/>
            <wp:docPr id="25" name="图片 25" descr="I:\显微图片\沉香叶\图像_13474.ti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:\显微图片\沉香叶\图像_13474.tif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006" cy="172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 w:firstLine="2040" w:firstLineChars="85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梯纹导管                      具缘纹孔导管</w:t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center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 xml:space="preserve">3 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粉末显微鉴别图</w:t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center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center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drawing>
          <wp:inline distT="0" distB="0" distL="0" distR="0">
            <wp:extent cx="2069465" cy="1552575"/>
            <wp:effectExtent l="0" t="0" r="6985" b="0"/>
            <wp:docPr id="21" name="图片 21" descr="I:\显微图片\横切\沉香叶\图像_4022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:\显微图片\横切\沉香叶\图像_40222.jpg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596" cy="155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宋体"/>
          <w:kern w:val="0"/>
          <w:sz w:val="24"/>
        </w:rPr>
        <w:t xml:space="preserve">  </w:t>
      </w:r>
      <w:r>
        <w:rPr>
          <w:rFonts w:hAnsi="宋体"/>
          <w:kern w:val="0"/>
          <w:sz w:val="24"/>
        </w:rPr>
        <w:drawing>
          <wp:inline distT="0" distB="0" distL="0" distR="0">
            <wp:extent cx="2066925" cy="1550035"/>
            <wp:effectExtent l="0" t="0" r="0" b="0"/>
            <wp:docPr id="23" name="图片 23" descr="I:\显微图片\横切\沉香叶\图像_40220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:\显微图片\横切\沉香叶\图像_40220.jpg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838" cy="15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center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rFonts w:hint="eastAsia"/>
          <w:kern w:val="0"/>
          <w:sz w:val="24"/>
        </w:rPr>
        <w:t>4</w:t>
      </w:r>
      <w:r>
        <w:rPr>
          <w:kern w:val="0"/>
          <w:sz w:val="24"/>
        </w:rPr>
        <w:t xml:space="preserve"> </w:t>
      </w:r>
      <w:r>
        <w:rPr>
          <w:rFonts w:hint="eastAsia" w:hAnsi="宋体"/>
          <w:kern w:val="0"/>
          <w:sz w:val="24"/>
        </w:rPr>
        <w:t>沉香叶横切面</w:t>
      </w:r>
      <w:r>
        <w:rPr>
          <w:rFonts w:hAnsi="宋体"/>
          <w:kern w:val="0"/>
          <w:sz w:val="24"/>
        </w:rPr>
        <w:t>显微鉴别图</w:t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center"/>
        <w:rPr>
          <w:rFonts w:hAnsi="宋体"/>
          <w:kern w:val="0"/>
          <w:sz w:val="24"/>
        </w:rPr>
      </w:pPr>
    </w:p>
    <w:p>
      <w:pPr>
        <w:adjustRightInd w:val="0"/>
        <w:spacing w:line="360" w:lineRule="auto"/>
        <w:rPr>
          <w:bCs/>
          <w:sz w:val="24"/>
        </w:rPr>
      </w:pPr>
      <w:r>
        <w:rPr>
          <w:bCs/>
          <w:sz w:val="24"/>
        </w:rPr>
        <w:t>7.2薄层鉴别</w:t>
      </w:r>
    </w:p>
    <w:p>
      <w:pPr>
        <w:rPr>
          <w:sz w:val="24"/>
        </w:rPr>
      </w:pPr>
      <w:r>
        <w:rPr>
          <w:sz w:val="24"/>
        </w:rPr>
        <w:t>7.2.1供试品溶液的制备</w:t>
      </w:r>
    </w:p>
    <w:p>
      <w:pPr>
        <w:spacing w:line="360" w:lineRule="auto"/>
        <w:rPr>
          <w:sz w:val="24"/>
        </w:rPr>
      </w:pPr>
      <w:r>
        <w:rPr>
          <w:sz w:val="24"/>
        </w:rPr>
        <w:t>　　　取本品粉末1g，加甲醇50ml，超声处理20分钟，</w:t>
      </w:r>
      <w:r>
        <w:rPr>
          <w:rFonts w:hint="eastAsia"/>
          <w:sz w:val="24"/>
        </w:rPr>
        <w:t>6000rpm离心6min，即得</w:t>
      </w:r>
      <w:r>
        <w:rPr>
          <w:sz w:val="24"/>
        </w:rPr>
        <w:t>。</w:t>
      </w:r>
    </w:p>
    <w:p>
      <w:pPr>
        <w:spacing w:line="360" w:lineRule="auto"/>
        <w:rPr>
          <w:sz w:val="24"/>
        </w:rPr>
      </w:pPr>
      <w:r>
        <w:rPr>
          <w:sz w:val="24"/>
        </w:rPr>
        <w:t>7.2.2对照药材溶液的制备</w:t>
      </w:r>
    </w:p>
    <w:p>
      <w:pPr>
        <w:spacing w:line="360" w:lineRule="auto"/>
        <w:rPr>
          <w:sz w:val="24"/>
        </w:rPr>
      </w:pPr>
      <w:r>
        <w:rPr>
          <w:sz w:val="24"/>
        </w:rPr>
        <w:t>　　　取沉香叶对照药材1g，加甲醇50ml，超声处理20分钟，</w:t>
      </w:r>
      <w:r>
        <w:rPr>
          <w:rFonts w:hint="eastAsia"/>
          <w:sz w:val="24"/>
        </w:rPr>
        <w:t>6000rpm离心6min，即得</w:t>
      </w:r>
      <w:r>
        <w:rPr>
          <w:sz w:val="24"/>
        </w:rPr>
        <w:t>。</w:t>
      </w:r>
    </w:p>
    <w:p>
      <w:pPr>
        <w:spacing w:line="360" w:lineRule="auto"/>
        <w:rPr>
          <w:sz w:val="24"/>
        </w:rPr>
      </w:pPr>
      <w:r>
        <w:rPr>
          <w:sz w:val="24"/>
        </w:rPr>
        <w:t>7.2.3薄层色谱的展开与显色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照薄层色谱法试验，吸取供试品溶液和对照药材溶液各7μl，分别点于同一硅胶GF254薄层板上，以正丁醇-乙酸-水（4：2：0.2）为展开剂，展开，取出，晾干。喷以15%硫酸乙醇溶液，在105℃加热至斑点显色清晰。供试品色谱中，在与对照药材色谱相应的位置上，显相同颜色的斑点。</w:t>
      </w:r>
    </w:p>
    <w:p>
      <w:pPr>
        <w:spacing w:line="360" w:lineRule="auto"/>
        <w:rPr>
          <w:sz w:val="24"/>
        </w:rPr>
      </w:pPr>
      <w:r>
        <w:rPr>
          <w:sz w:val="24"/>
        </w:rPr>
        <w:t>7.2.4展开溶剂的考察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实验中采用硅胶GF254薄层板，对乙酸乙酯-甲醇-乙酸（4：0.5：0.2）、二氯甲烷-甲醇-乙酸（4：0.5：0.1）、正丁醇-乙酸-水（4：2：0.2），共计3种展开剂进行了考察，见图</w:t>
      </w:r>
      <w:r>
        <w:rPr>
          <w:rFonts w:hint="eastAsia"/>
          <w:sz w:val="24"/>
        </w:rPr>
        <w:t>5</w:t>
      </w:r>
      <w:r>
        <w:rPr>
          <w:sz w:val="24"/>
        </w:rPr>
        <w:t>，结果显示正丁醇-乙酸-水（4：2：0.2）对沉香叶药材分离效果较好，Rf值适中，故采用正丁醇-乙酸-水（4：2：0.2）系统作为沉香叶药材的薄层色谱鉴别的展开剂。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0" distR="0">
            <wp:extent cx="1287145" cy="2384425"/>
            <wp:effectExtent l="19050" t="0" r="8255" b="0"/>
            <wp:docPr id="5" name="图片 21" descr="cxy改2_副本4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 descr="cxy改2_副本4_副本"/>
                    <pic:cNvPicPr>
                      <a:picLocks noChangeAspect="true" noChangeArrowheads="true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2384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szCs w:val="21"/>
        </w:rPr>
        <w:drawing>
          <wp:inline distT="0" distB="0" distL="0" distR="0">
            <wp:extent cx="1490980" cy="2377440"/>
            <wp:effectExtent l="19050" t="0" r="0" b="0"/>
            <wp:docPr id="6" name="图片 22" descr="cxy改2_副本_副本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cxy改2_副本_副本3"/>
                    <pic:cNvPicPr>
                      <a:picLocks noChangeAspect="true" noChangeArrowheads="true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23774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szCs w:val="21"/>
        </w:rPr>
        <w:drawing>
          <wp:inline distT="0" distB="0" distL="0" distR="0">
            <wp:extent cx="1512570" cy="2391410"/>
            <wp:effectExtent l="0" t="0" r="11430" b="8890"/>
            <wp:docPr id="7" name="图片 23" descr="cxy改2_副本_副本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 descr="cxy改2_副本_副本1"/>
                    <pic:cNvPicPr>
                      <a:picLocks noChangeAspect="true" noChangeArrowheads="true"/>
                    </pic:cNvPicPr>
                  </pic:nvPicPr>
                  <pic:blipFill>
                    <a:blip r:embed="rId18"/>
                    <a:srcRect t="-829" r="7465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3914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 xml:space="preserve">     A                   B                    C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 xml:space="preserve">  A.乙酸乙酯-甲醇-乙酸（4：0.5：0.2）；B.二氯甲烷-甲醇-乙酸（4：0.5：0.1）、C.正丁醇-乙酸-水（4：2：0.2）</w:t>
      </w:r>
      <w:r>
        <w:rPr>
          <w:rFonts w:hint="eastAsia"/>
          <w:sz w:val="24"/>
        </w:rPr>
        <w:t>；</w:t>
      </w:r>
      <w:r>
        <w:rPr>
          <w:sz w:val="24"/>
        </w:rPr>
        <w:t>1-空白溶剂，2-对照药材溶液，3-供试品溶液，4-供试品溶液</w:t>
      </w:r>
    </w:p>
    <w:p>
      <w:pPr>
        <w:ind w:firstLine="240" w:firstLineChars="100"/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5</w:t>
      </w:r>
      <w:r>
        <w:rPr>
          <w:sz w:val="24"/>
        </w:rPr>
        <w:t xml:space="preserve">  不同薄层色谱展开剂的考察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7.2.5显色方法的考察</w:t>
      </w:r>
    </w:p>
    <w:p>
      <w:pPr>
        <w:spacing w:line="360" w:lineRule="auto"/>
        <w:ind w:firstLine="480" w:firstLineChars="200"/>
        <w:rPr>
          <w:sz w:val="24"/>
        </w:rPr>
      </w:pPr>
      <w:bookmarkStart w:id="4" w:name="OLE_LINK3"/>
      <w:r>
        <w:rPr>
          <w:sz w:val="24"/>
        </w:rPr>
        <w:t>分别对荧光显色和15%硫酸乙醇溶液显色方法进行了考察，结果显示15%硫酸乙醇显色斑点清晰，因此选择15%硫酸乙醇作为</w:t>
      </w:r>
      <w:r>
        <w:rPr>
          <w:rFonts w:hint="eastAsia"/>
          <w:sz w:val="24"/>
        </w:rPr>
        <w:t>沉香叶</w:t>
      </w:r>
      <w:r>
        <w:rPr>
          <w:sz w:val="24"/>
        </w:rPr>
        <w:t>药材薄层色谱鉴别的显色方法，见图</w:t>
      </w:r>
      <w:r>
        <w:rPr>
          <w:rFonts w:hint="eastAsia"/>
          <w:sz w:val="24"/>
        </w:rPr>
        <w:t>6</w:t>
      </w:r>
      <w:r>
        <w:rPr>
          <w:sz w:val="24"/>
        </w:rPr>
        <w:t>。</w:t>
      </w:r>
      <w:bookmarkEnd w:id="4"/>
    </w:p>
    <w:p>
      <w:pPr>
        <w:ind w:firstLine="945" w:firstLineChars="450"/>
      </w:pPr>
      <w:r>
        <w:rPr>
          <w:rFonts w:hint="eastAsia"/>
        </w:rPr>
        <w:drawing>
          <wp:inline distT="0" distB="0" distL="0" distR="0">
            <wp:extent cx="1435100" cy="2384425"/>
            <wp:effectExtent l="19050" t="0" r="0" b="0"/>
            <wp:docPr id="8" name="图片 31" descr="cxy改8_副本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1" descr="cxy改8_副本2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384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</w:rPr>
        <w:drawing>
          <wp:inline distT="0" distB="0" distL="0" distR="0">
            <wp:extent cx="1526540" cy="2384425"/>
            <wp:effectExtent l="19050" t="0" r="0" b="0"/>
            <wp:docPr id="9" name="图片 32" descr="cxy改7_副本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2" descr="cxy改7_副本2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384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60" w:firstLineChars="900"/>
        <w:rPr>
          <w:sz w:val="24"/>
        </w:rPr>
      </w:pPr>
      <w:r>
        <w:rPr>
          <w:sz w:val="24"/>
        </w:rPr>
        <w:t>A                       B</w:t>
      </w:r>
    </w:p>
    <w:p>
      <w:pPr>
        <w:rPr>
          <w:sz w:val="24"/>
        </w:rPr>
      </w:pPr>
      <w:r>
        <w:rPr>
          <w:sz w:val="24"/>
        </w:rPr>
        <w:t>A.365nm荧光显色；B. 15%硫酸乙醇显色；1-空白溶剂，2-对照药材溶液，3-供试品溶液，4-供试品溶液</w:t>
      </w:r>
    </w:p>
    <w:p>
      <w:pPr>
        <w:ind w:firstLine="240" w:firstLineChars="100"/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6</w:t>
      </w:r>
      <w:r>
        <w:rPr>
          <w:sz w:val="24"/>
        </w:rPr>
        <w:t xml:space="preserve">  不同薄层色谱显色方法的考察</w:t>
      </w:r>
    </w:p>
    <w:p>
      <w:pPr>
        <w:rPr>
          <w:sz w:val="24"/>
        </w:rPr>
      </w:pPr>
      <w:r>
        <w:rPr>
          <w:sz w:val="24"/>
        </w:rPr>
        <w:t>7.2.6不同点样量的考察</w:t>
      </w:r>
    </w:p>
    <w:p>
      <w:pPr>
        <w:spacing w:line="360" w:lineRule="auto"/>
        <w:rPr>
          <w:sz w:val="24"/>
        </w:rPr>
      </w:pPr>
      <w:r>
        <w:rPr>
          <w:sz w:val="24"/>
        </w:rPr>
        <w:t>分别对3，5，7μl</w:t>
      </w:r>
      <w:r>
        <w:rPr>
          <w:rFonts w:hint="eastAsia"/>
          <w:sz w:val="24"/>
        </w:rPr>
        <w:t>沉香叶</w:t>
      </w:r>
      <w:r>
        <w:rPr>
          <w:sz w:val="24"/>
        </w:rPr>
        <w:t>供试品溶液的点样量进行了考察，结果显示7μl的点样量，斑点清晰度最佳，因此选择7μl作为</w:t>
      </w:r>
      <w:r>
        <w:rPr>
          <w:rFonts w:hint="eastAsia"/>
          <w:sz w:val="24"/>
        </w:rPr>
        <w:t>沉香叶</w:t>
      </w:r>
      <w:r>
        <w:rPr>
          <w:sz w:val="24"/>
        </w:rPr>
        <w:t>药材薄层色谱鉴别的点样量，见图</w:t>
      </w:r>
      <w:r>
        <w:rPr>
          <w:rFonts w:hint="eastAsia"/>
          <w:sz w:val="24"/>
        </w:rPr>
        <w:t>7</w:t>
      </w:r>
      <w:r>
        <w:rPr>
          <w:sz w:val="24"/>
        </w:rPr>
        <w:t>。</w:t>
      </w:r>
    </w:p>
    <w:p>
      <w:pPr>
        <w:jc w:val="center"/>
        <w:rPr>
          <w:sz w:val="24"/>
        </w:rPr>
      </w:pPr>
      <w:r>
        <w:rPr>
          <w:szCs w:val="21"/>
        </w:rPr>
        <w:drawing>
          <wp:inline distT="0" distB="0" distL="0" distR="0">
            <wp:extent cx="1364615" cy="2327910"/>
            <wp:effectExtent l="19050" t="0" r="6985" b="0"/>
            <wp:docPr id="10" name="图片 33" descr="cxy不同点样量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3" descr="cxy不同点样量_副本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23279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>1-空白溶剂，2-对照药材溶液，3-供试品溶液3μl，4-供试品溶液5μl，5-供试品溶液7μl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7</w:t>
      </w:r>
      <w:r>
        <w:rPr>
          <w:sz w:val="24"/>
        </w:rPr>
        <w:t xml:space="preserve">  不同点样量的考察</w:t>
      </w:r>
    </w:p>
    <w:p>
      <w:pPr>
        <w:rPr>
          <w:sz w:val="24"/>
        </w:rPr>
      </w:pPr>
      <w:r>
        <w:rPr>
          <w:rFonts w:hint="eastAsia"/>
          <w:sz w:val="24"/>
        </w:rPr>
        <w:t>7.2.7不同温度的考察</w:t>
      </w:r>
    </w:p>
    <w:p>
      <w:pPr>
        <w:spacing w:line="360" w:lineRule="auto"/>
        <w:rPr>
          <w:sz w:val="24"/>
        </w:rPr>
      </w:pPr>
      <w:r>
        <w:rPr>
          <w:sz w:val="24"/>
        </w:rPr>
        <w:t>分别</w:t>
      </w:r>
      <w:r>
        <w:rPr>
          <w:rFonts w:hint="eastAsia"/>
          <w:sz w:val="24"/>
        </w:rPr>
        <w:t>在4℃</w:t>
      </w:r>
      <w:r>
        <w:rPr>
          <w:sz w:val="24"/>
        </w:rPr>
        <w:t>和</w:t>
      </w:r>
      <w:r>
        <w:rPr>
          <w:rFonts w:hint="eastAsia"/>
          <w:sz w:val="24"/>
        </w:rPr>
        <w:t>室温</w:t>
      </w:r>
      <w:r>
        <w:rPr>
          <w:sz w:val="24"/>
        </w:rPr>
        <w:t>进行了</w:t>
      </w:r>
      <w:r>
        <w:rPr>
          <w:rFonts w:hint="eastAsia"/>
          <w:sz w:val="24"/>
        </w:rPr>
        <w:t>温度</w:t>
      </w:r>
      <w:r>
        <w:rPr>
          <w:sz w:val="24"/>
        </w:rPr>
        <w:t>考察，结果显示</w:t>
      </w:r>
      <w:r>
        <w:rPr>
          <w:rFonts w:hint="eastAsia"/>
          <w:sz w:val="24"/>
        </w:rPr>
        <w:t>室温</w:t>
      </w:r>
      <w:r>
        <w:rPr>
          <w:sz w:val="24"/>
        </w:rPr>
        <w:t>显色斑点清晰，因此选择</w:t>
      </w:r>
      <w:r>
        <w:rPr>
          <w:rFonts w:hint="eastAsia"/>
          <w:sz w:val="24"/>
        </w:rPr>
        <w:t>室温</w:t>
      </w:r>
      <w:r>
        <w:rPr>
          <w:sz w:val="24"/>
        </w:rPr>
        <w:t>作为</w:t>
      </w:r>
      <w:r>
        <w:rPr>
          <w:rFonts w:hint="eastAsia"/>
          <w:sz w:val="24"/>
        </w:rPr>
        <w:t>沉香叶</w:t>
      </w:r>
      <w:r>
        <w:rPr>
          <w:sz w:val="24"/>
        </w:rPr>
        <w:t>药材薄层色谱鉴别的方法，见图</w:t>
      </w:r>
      <w:r>
        <w:rPr>
          <w:rFonts w:hint="eastAsia"/>
          <w:sz w:val="24"/>
        </w:rPr>
        <w:t>8</w:t>
      </w:r>
      <w:r>
        <w:rPr>
          <w:sz w:val="24"/>
        </w:rPr>
        <w:t>。</w:t>
      </w:r>
    </w:p>
    <w:p>
      <w:pPr>
        <w:ind w:firstLine="720" w:firstLineChars="300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1428115" cy="2384425"/>
            <wp:effectExtent l="19050" t="0" r="635" b="0"/>
            <wp:docPr id="11" name="图片 73" descr="cxy4℃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3" descr="cxy4℃_副本"/>
                    <pic:cNvPicPr>
                      <a:picLocks noChangeAspect="true" noChangeArrowheads="true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384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 </w:t>
      </w:r>
      <w:r>
        <w:rPr>
          <w:sz w:val="24"/>
        </w:rPr>
        <w:drawing>
          <wp:inline distT="0" distB="0" distL="0" distR="0">
            <wp:extent cx="1568450" cy="2384425"/>
            <wp:effectExtent l="19050" t="0" r="0" b="0"/>
            <wp:docPr id="12" name="图片 74" descr="cxy 室温 1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4" descr="cxy 室温 1_副本"/>
                    <pic:cNvPicPr>
                      <a:picLocks noChangeAspect="true" noChangeArrowheads="true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384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60" w:firstLineChars="900"/>
        <w:rPr>
          <w:sz w:val="24"/>
        </w:rPr>
      </w:pPr>
      <w:r>
        <w:rPr>
          <w:rFonts w:hint="eastAsia"/>
          <w:sz w:val="24"/>
        </w:rPr>
        <w:t>A                       B</w:t>
      </w:r>
    </w:p>
    <w:p>
      <w:pPr>
        <w:jc w:val="center"/>
        <w:rPr>
          <w:sz w:val="24"/>
        </w:rPr>
      </w:pPr>
      <w:bookmarkStart w:id="5" w:name="OLE_LINK6"/>
      <w:r>
        <w:rPr>
          <w:rFonts w:hint="eastAsia"/>
          <w:sz w:val="24"/>
        </w:rPr>
        <w:t>A.4℃；B.室温；1</w:t>
      </w:r>
      <w:r>
        <w:rPr>
          <w:sz w:val="24"/>
        </w:rPr>
        <w:t>-空白溶剂，</w:t>
      </w:r>
      <w:r>
        <w:rPr>
          <w:rFonts w:hint="eastAsia"/>
          <w:sz w:val="24"/>
        </w:rPr>
        <w:t>2</w:t>
      </w:r>
      <w:r>
        <w:rPr>
          <w:sz w:val="24"/>
        </w:rPr>
        <w:t>-对照药材溶液，</w:t>
      </w:r>
      <w:r>
        <w:rPr>
          <w:rFonts w:hint="eastAsia"/>
          <w:sz w:val="24"/>
        </w:rPr>
        <w:t>3</w:t>
      </w:r>
      <w:r>
        <w:rPr>
          <w:sz w:val="24"/>
        </w:rPr>
        <w:t>-供试品溶液</w:t>
      </w:r>
      <w:r>
        <w:rPr>
          <w:rFonts w:hint="eastAsia"/>
          <w:sz w:val="24"/>
        </w:rPr>
        <w:t>，4-</w:t>
      </w:r>
      <w:r>
        <w:rPr>
          <w:sz w:val="24"/>
        </w:rPr>
        <w:t>供试品溶液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8</w:t>
      </w:r>
      <w:r>
        <w:rPr>
          <w:sz w:val="24"/>
        </w:rPr>
        <w:t xml:space="preserve">  </w:t>
      </w:r>
      <w:r>
        <w:rPr>
          <w:rFonts w:hint="eastAsia"/>
          <w:sz w:val="24"/>
        </w:rPr>
        <w:t>不同温度的</w:t>
      </w:r>
      <w:r>
        <w:rPr>
          <w:sz w:val="24"/>
        </w:rPr>
        <w:t>薄层鉴别</w:t>
      </w:r>
      <w:bookmarkEnd w:id="5"/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7.2.8不同湿度的考察</w:t>
      </w:r>
    </w:p>
    <w:p>
      <w:pPr>
        <w:spacing w:line="360" w:lineRule="auto"/>
        <w:rPr>
          <w:sz w:val="24"/>
        </w:rPr>
      </w:pPr>
      <w:r>
        <w:rPr>
          <w:sz w:val="24"/>
        </w:rPr>
        <w:t>分别对3</w:t>
      </w:r>
      <w:r>
        <w:rPr>
          <w:rFonts w:hint="eastAsia"/>
          <w:sz w:val="24"/>
        </w:rPr>
        <w:t>2%</w:t>
      </w:r>
      <w:r>
        <w:rPr>
          <w:sz w:val="24"/>
        </w:rPr>
        <w:t>，</w:t>
      </w:r>
      <w:r>
        <w:rPr>
          <w:rFonts w:hint="eastAsia"/>
          <w:sz w:val="24"/>
        </w:rPr>
        <w:t>68%</w:t>
      </w:r>
      <w:r>
        <w:rPr>
          <w:sz w:val="24"/>
        </w:rPr>
        <w:t>，</w:t>
      </w:r>
      <w:r>
        <w:rPr>
          <w:rFonts w:hint="eastAsia"/>
          <w:sz w:val="24"/>
        </w:rPr>
        <w:t>88%不同湿度</w:t>
      </w:r>
      <w:r>
        <w:rPr>
          <w:sz w:val="24"/>
        </w:rPr>
        <w:t>进行了考察，结果显示不同</w:t>
      </w:r>
      <w:r>
        <w:rPr>
          <w:rFonts w:hint="eastAsia"/>
          <w:sz w:val="24"/>
        </w:rPr>
        <w:t>湿度条件下</w:t>
      </w:r>
      <w:r>
        <w:rPr>
          <w:sz w:val="24"/>
        </w:rPr>
        <w:t>，薄层色谱相差不大</w:t>
      </w:r>
      <w:r>
        <w:rPr>
          <w:rFonts w:hint="eastAsia"/>
          <w:sz w:val="24"/>
        </w:rPr>
        <w:t>，</w:t>
      </w:r>
      <w:r>
        <w:rPr>
          <w:sz w:val="24"/>
        </w:rPr>
        <w:t>见图</w:t>
      </w:r>
      <w:r>
        <w:rPr>
          <w:rFonts w:hint="eastAsia"/>
          <w:sz w:val="24"/>
        </w:rPr>
        <w:t>9</w:t>
      </w:r>
      <w:r>
        <w:rPr>
          <w:sz w:val="24"/>
        </w:rPr>
        <w:t>。因此沉香叶的薄层鉴别</w:t>
      </w:r>
      <w:r>
        <w:rPr>
          <w:rFonts w:hint="eastAsia"/>
          <w:sz w:val="24"/>
        </w:rPr>
        <w:t>条件不做湿度控制</w:t>
      </w:r>
      <w:r>
        <w:rPr>
          <w:sz w:val="24"/>
        </w:rPr>
        <w:t>。</w:t>
      </w:r>
    </w:p>
    <w:p>
      <w:pPr>
        <w:ind w:firstLine="360" w:firstLineChars="150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1378585" cy="2384425"/>
            <wp:effectExtent l="19050" t="0" r="0" b="0"/>
            <wp:docPr id="13" name="图片 75" descr="cxy32%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5" descr="cxy32%_副本"/>
                    <pic:cNvPicPr>
                      <a:picLocks noChangeAspect="true" noChangeArrowheads="true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2384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drawing>
          <wp:inline distT="0" distB="0" distL="0" distR="0">
            <wp:extent cx="1456055" cy="2384425"/>
            <wp:effectExtent l="19050" t="0" r="0" b="0"/>
            <wp:docPr id="14" name="图片 76" descr="cxy58%1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6" descr="cxy58%1_副本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2384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drawing>
          <wp:inline distT="0" distB="0" distL="0" distR="0">
            <wp:extent cx="1421130" cy="2384425"/>
            <wp:effectExtent l="19050" t="0" r="7620" b="0"/>
            <wp:docPr id="15" name="图片 77" descr="cxy80%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7" descr="cxy80%_副本"/>
                    <pic:cNvPicPr>
                      <a:picLocks noChangeAspect="true" noChangeArrowheads="true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2384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600"/>
        <w:rPr>
          <w:sz w:val="24"/>
        </w:rPr>
      </w:pPr>
      <w:r>
        <w:rPr>
          <w:rFonts w:hint="eastAsia"/>
          <w:sz w:val="24"/>
        </w:rPr>
        <w:t>A                     B                     C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>A.32%；B.58%；C.80%；1</w:t>
      </w:r>
      <w:r>
        <w:rPr>
          <w:sz w:val="24"/>
        </w:rPr>
        <w:t>-空白溶剂，</w:t>
      </w:r>
      <w:r>
        <w:rPr>
          <w:rFonts w:hint="eastAsia"/>
          <w:sz w:val="24"/>
        </w:rPr>
        <w:t>2</w:t>
      </w:r>
      <w:r>
        <w:rPr>
          <w:sz w:val="24"/>
        </w:rPr>
        <w:t>-对照药材溶液，</w:t>
      </w:r>
      <w:r>
        <w:rPr>
          <w:rFonts w:hint="eastAsia"/>
          <w:sz w:val="24"/>
        </w:rPr>
        <w:t>3</w:t>
      </w:r>
      <w:r>
        <w:rPr>
          <w:sz w:val="24"/>
        </w:rPr>
        <w:t>-供试品溶液</w:t>
      </w:r>
      <w:r>
        <w:rPr>
          <w:rFonts w:hint="eastAsia"/>
          <w:sz w:val="24"/>
        </w:rPr>
        <w:t>，4-</w:t>
      </w:r>
      <w:r>
        <w:rPr>
          <w:sz w:val="24"/>
        </w:rPr>
        <w:t>供试品溶液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9不同湿度的</w:t>
      </w:r>
      <w:r>
        <w:rPr>
          <w:sz w:val="24"/>
        </w:rPr>
        <w:t>薄层鉴别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</w:t>
      </w:r>
      <w:r>
        <w:rPr>
          <w:rFonts w:hint="eastAsia"/>
          <w:sz w:val="24"/>
        </w:rPr>
        <w:t>9</w:t>
      </w:r>
      <w:r>
        <w:rPr>
          <w:sz w:val="24"/>
        </w:rPr>
        <w:t>不同批次沉香叶药材的薄层鉴别</w:t>
      </w:r>
    </w:p>
    <w:p>
      <w:pPr>
        <w:spacing w:line="360" w:lineRule="auto"/>
        <w:rPr>
          <w:sz w:val="24"/>
        </w:rPr>
      </w:pPr>
      <w:r>
        <w:rPr>
          <w:sz w:val="24"/>
        </w:rPr>
        <w:t>通过对不同展开剂、显色方法和点样量的考察，最终选择了硅胶GF254薄层板，以正丁醇-乙酸-水（4：2：0.2）为展开剂，15%硫酸乙醇溶液在105℃加热至斑点显色清晰的显色方法，点样量7μl，对10批沉香叶药材进行了薄层鉴别，结果见图</w:t>
      </w:r>
      <w:r>
        <w:rPr>
          <w:rFonts w:hint="eastAsia"/>
          <w:sz w:val="24"/>
        </w:rPr>
        <w:t>10</w:t>
      </w:r>
      <w:r>
        <w:rPr>
          <w:sz w:val="24"/>
        </w:rPr>
        <w:t>。</w:t>
      </w:r>
    </w:p>
    <w:p>
      <w:pPr>
        <w:jc w:val="center"/>
      </w:pPr>
      <w:r>
        <w:drawing>
          <wp:inline distT="0" distB="0" distL="0" distR="0">
            <wp:extent cx="2370455" cy="2384425"/>
            <wp:effectExtent l="19050" t="0" r="0" b="0"/>
            <wp:docPr id="16" name="图片 34" descr="cxy改5_副本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4" descr="cxy改5_副本2"/>
                    <pic:cNvPicPr>
                      <a:picLocks noChangeAspect="true" noChangeArrowheads="true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384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2187575" cy="2384425"/>
            <wp:effectExtent l="19050" t="0" r="3175" b="0"/>
            <wp:docPr id="17" name="图片 35" descr="cxy改5_副本1_副本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5" descr="cxy改5_副本1_副本3"/>
                    <pic:cNvPicPr>
                      <a:picLocks noChangeAspect="true" noChangeArrowheads="true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2384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A                                        B</w:t>
      </w:r>
    </w:p>
    <w:p>
      <w:pPr>
        <w:jc w:val="center"/>
      </w:pPr>
      <w:r>
        <w:rPr>
          <w:rFonts w:hint="eastAsia"/>
          <w:szCs w:val="21"/>
        </w:rPr>
        <w:drawing>
          <wp:inline distT="0" distB="0" distL="114300" distR="114300">
            <wp:extent cx="1859280" cy="2403475"/>
            <wp:effectExtent l="0" t="0" r="7620" b="15875"/>
            <wp:docPr id="20" name="图片 20" descr="沉香叶复核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沉香叶复核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C</w:t>
      </w:r>
    </w:p>
    <w:p>
      <w:pPr>
        <w:numPr>
          <w:ilvl w:val="0"/>
          <w:numId w:val="2"/>
        </w:numPr>
        <w:jc w:val="center"/>
        <w:rPr>
          <w:sz w:val="24"/>
        </w:rPr>
      </w:pPr>
      <w:r>
        <w:rPr>
          <w:rFonts w:hint="eastAsia"/>
          <w:sz w:val="24"/>
        </w:rPr>
        <w:t xml:space="preserve">B </w:t>
      </w:r>
      <w:r>
        <w:rPr>
          <w:sz w:val="24"/>
        </w:rPr>
        <w:t>1-空白溶剂，2-对照药材，3、4、5、6、7-供试品溶液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C  1-空白溶剂，2-对照药材，3,4,5-供试品溶液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10</w:t>
      </w:r>
      <w:r>
        <w:rPr>
          <w:sz w:val="24"/>
        </w:rPr>
        <w:t xml:space="preserve">  十批不同产地沉香叶药材</w:t>
      </w:r>
      <w:r>
        <w:rPr>
          <w:rFonts w:hint="eastAsia"/>
          <w:sz w:val="24"/>
        </w:rPr>
        <w:t>（A、B）、三批药材（C）</w:t>
      </w:r>
      <w:r>
        <w:rPr>
          <w:sz w:val="24"/>
        </w:rPr>
        <w:t>的薄层鉴别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</w:t>
      </w:r>
      <w:r>
        <w:rPr>
          <w:rFonts w:hint="eastAsia"/>
          <w:sz w:val="24"/>
        </w:rPr>
        <w:t>10不同薄层板的考察</w:t>
      </w:r>
    </w:p>
    <w:p>
      <w:pPr>
        <w:spacing w:line="360" w:lineRule="auto"/>
        <w:rPr>
          <w:sz w:val="24"/>
        </w:rPr>
      </w:pPr>
      <w:r>
        <w:rPr>
          <w:sz w:val="24"/>
        </w:rPr>
        <w:t>分别对硅胶GF</w:t>
      </w:r>
      <w:r>
        <w:rPr>
          <w:rFonts w:hint="eastAsia"/>
          <w:sz w:val="24"/>
        </w:rPr>
        <w:t>254板和硅胶G板对沉香叶的薄层色谱进行了</w:t>
      </w:r>
      <w:r>
        <w:rPr>
          <w:sz w:val="24"/>
        </w:rPr>
        <w:t>考察，结果显示不同薄层板的薄层色谱相差不大</w:t>
      </w:r>
      <w:r>
        <w:rPr>
          <w:rFonts w:hint="eastAsia"/>
          <w:sz w:val="24"/>
        </w:rPr>
        <w:t>，</w:t>
      </w:r>
      <w:r>
        <w:rPr>
          <w:sz w:val="24"/>
        </w:rPr>
        <w:t>见图</w:t>
      </w:r>
      <w:r>
        <w:rPr>
          <w:rFonts w:hint="eastAsia"/>
          <w:sz w:val="24"/>
        </w:rPr>
        <w:t>11</w:t>
      </w:r>
      <w:r>
        <w:rPr>
          <w:sz w:val="24"/>
        </w:rPr>
        <w:t>。因此选择硅胶G板为沉香叶的薄层鉴别</w:t>
      </w:r>
      <w:r>
        <w:rPr>
          <w:rFonts w:hint="eastAsia"/>
          <w:sz w:val="24"/>
        </w:rPr>
        <w:t>条件</w:t>
      </w:r>
      <w:r>
        <w:rPr>
          <w:sz w:val="24"/>
        </w:rPr>
        <w:t>。</w:t>
      </w:r>
    </w:p>
    <w:p>
      <w:pPr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2639060</wp:posOffset>
                </wp:positionV>
                <wp:extent cx="1666875" cy="289560"/>
                <wp:effectExtent l="0" t="0" r="0" b="6350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6668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1   2    3   4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15.45pt;margin-top:207.8pt;height:22.8pt;width:131.25pt;z-index:251660288;mso-width-relative:page;mso-height-relative:margin;mso-height-percent:200;" filled="f" stroked="f" coordsize="21600,21600" o:gfxdata="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GHTaDDZAAAACwEAAA8AAAAAAAAAAQAgAAAAOAAAAGRycy9kb3ducmV2LnhtbFBLAQIUABQAAAAI&#10;AIdO4kB1BzLlDwIAAOYDAAAOAAAAAAAAAAEAIAAAAD4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 xml:space="preserve">1   2    3   4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2670175</wp:posOffset>
                </wp:positionV>
                <wp:extent cx="1952625" cy="313055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952625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1   2    3   4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5.75pt;margin-top:210.25pt;height:24.65pt;width:153.75pt;z-index:251659264;mso-width-relative:page;mso-height-relative:page;" filled="f" stroked="f" coordsize="21600,21600" o:gfxdata="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rX&#10;nobXAAAACwEAAA8AAAAAAAAAAQAgAAAAOAAAAGRycy9kb3ducmV2LnhtbFBLAQIUABQAAAAIAIdO&#10;4kDNbDYcDgIAAOYDAAAOAAAAAAAAAAEAIAAAADw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 xml:space="preserve">1   2    3   4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w:t xml:space="preserve">          </w:t>
      </w:r>
      <w:r>
        <w:rPr>
          <w:rFonts w:ascii="黑体" w:hAnsi="黑体" w:eastAsia="黑体" w:cs="黑体"/>
          <w:sz w:val="22"/>
        </w:rPr>
        <w:drawing>
          <wp:inline distT="0" distB="0" distL="0" distR="0">
            <wp:extent cx="1477645" cy="2870200"/>
            <wp:effectExtent l="0" t="0" r="8255" b="6350"/>
            <wp:docPr id="33" name="图片 33" descr="C:\Users\lenovo\AppData\Local\Temp\WeChat Files\920cedc4fd6d746d4c21661e027c2ac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lenovo\AppData\Local\Temp\WeChat Files\920cedc4fd6d746d4c21661e027c2ac.jpg"/>
                    <pic:cNvPicPr>
                      <a:picLocks noChangeAspect="true" noChangeArrowheads="true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16935" t="2119" r="16935" b="1475"/>
                    <a:stretch>
                      <a:fillRect/>
                    </a:stretch>
                  </pic:blipFill>
                  <pic:spPr>
                    <a:xfrm>
                      <a:off x="0" y="0"/>
                      <a:ext cx="1478884" cy="287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2"/>
        </w:rPr>
        <w:t xml:space="preserve">      </w:t>
      </w:r>
      <w:r>
        <w:rPr>
          <w:rFonts w:ascii="黑体" w:hAnsi="黑体" w:eastAsia="黑体" w:cs="黑体"/>
          <w:sz w:val="22"/>
        </w:rPr>
        <w:drawing>
          <wp:inline distT="0" distB="0" distL="0" distR="0">
            <wp:extent cx="1360805" cy="2881630"/>
            <wp:effectExtent l="0" t="0" r="0" b="0"/>
            <wp:docPr id="34" name="图片 34" descr="C:\Users\lenovo\AppData\Local\Temp\WeChat Files\81a5a233714a7dc3c5ccdbece975ce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lenovo\AppData\Local\Temp\WeChat Files\81a5a233714a7dc3c5ccdbece975ce3.jpg"/>
                    <pic:cNvPicPr>
                      <a:picLocks noChangeAspect="true" noChangeArrowheads="true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16532" r="20564"/>
                    <a:stretch>
                      <a:fillRect/>
                    </a:stretch>
                  </pic:blipFill>
                  <pic:spPr>
                    <a:xfrm>
                      <a:off x="0" y="0"/>
                      <a:ext cx="1361113" cy="288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3703955</wp:posOffset>
                </wp:positionH>
                <wp:positionV relativeFrom="paragraph">
                  <wp:posOffset>2720340</wp:posOffset>
                </wp:positionV>
                <wp:extent cx="1666875" cy="289560"/>
                <wp:effectExtent l="0" t="0" r="0" b="6350"/>
                <wp:wrapNone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6668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11    12   13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91.65pt;margin-top:214.2pt;height:22.8pt;width:131.25pt;z-index:251663360;mso-width-relative:page;mso-height-relative:margin;mso-height-percent:200;" filled="f" stroked="f" coordsize="21600,21600" o:gfxdata="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CtQf5V2QAAAAsBAAAPAAAAAAAAAAEAIAAAADgAAABkcnMvZG93bnJldi54bWxQSwECFAAUAAAA&#10;CACHTuJAJiqbqhACAADmAwAADgAAAAAAAAABACAAAAA+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 xml:space="preserve">11    12   13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2719070</wp:posOffset>
                </wp:positionV>
                <wp:extent cx="1666875" cy="289560"/>
                <wp:effectExtent l="0" t="0" r="0" b="6350"/>
                <wp:wrapNone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6668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6  7   8   9  10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50.1pt;margin-top:214.1pt;height:22.8pt;width:131.25pt;z-index:251662336;mso-width-relative:page;mso-height-relative:margin;mso-height-percent:200;" filled="f" stroked="f" coordsize="21600,21600" o:gfxdata="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AFVRGv2QAAAAsBAAAPAAAAAAAAAAEAIAAAADgAAABkcnMvZG93bnJldi54bWxQSwECFAAUAAAA&#10;CACHTuJAgiKnQBACAADmAwAADgAAAAAAAAABACAAAAA+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 xml:space="preserve">6  7   8   9  10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2732405</wp:posOffset>
                </wp:positionV>
                <wp:extent cx="1952625" cy="313055"/>
                <wp:effectExtent l="0" t="0" r="0" b="0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952625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1  2  3  4   5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.25pt;margin-top:215.15pt;height:24.65pt;width:153.75pt;z-index:251661312;mso-width-relative:page;mso-height-relative:page;" filled="f" stroked="f" coordsize="21600,21600" o:gfxdata="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A6&#10;S2Es1wAAAAoBAAAPAAAAAAAAAAEAIAAAADgAAABkcnMvZG93bnJldi54bWxQSwECFAAUAAAACACH&#10;TuJAdGIDIw8CAADmAwAADgAAAAAAAAABACAAAAA8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1  2  3  4   5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w:t xml:space="preserve">   </w:t>
      </w:r>
    </w:p>
    <w:p>
      <w:pPr>
        <w:ind w:left="105"/>
        <w:jc w:val="center"/>
        <w:rPr>
          <w:rFonts w:ascii="黑体" w:hAnsi="黑体" w:eastAsia="黑体" w:cs="黑体"/>
          <w:sz w:val="18"/>
          <w:szCs w:val="18"/>
        </w:rPr>
      </w:pPr>
      <w:r>
        <w:rPr>
          <w:rFonts w:hint="eastAsia" w:ascii="黑体" w:hAnsi="黑体" w:eastAsia="黑体" w:cs="黑体"/>
          <w:sz w:val="18"/>
          <w:szCs w:val="18"/>
        </w:rPr>
        <w:t>1-对照药材、2-4样品（</w:t>
      </w:r>
      <w:r>
        <w:rPr>
          <w:rFonts w:hint="eastAsia"/>
        </w:rPr>
        <w:t>202012001，202012002，202012003</w:t>
      </w:r>
      <w:r>
        <w:rPr>
          <w:rFonts w:hint="eastAsia" w:ascii="黑体" w:hAnsi="黑体" w:eastAsia="黑体" w:cs="黑体"/>
          <w:sz w:val="18"/>
          <w:szCs w:val="18"/>
        </w:rPr>
        <w:t>）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11</w:t>
      </w:r>
      <w:r>
        <w:rPr>
          <w:sz w:val="24"/>
        </w:rPr>
        <w:t>不同薄层板对沉香叶药材的薄层鉴别的影响</w:t>
      </w:r>
    </w:p>
    <w:p>
      <w:pPr>
        <w:rPr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8. </w:t>
      </w:r>
      <w:r>
        <w:rPr>
          <w:rFonts w:hAnsi="宋体"/>
          <w:kern w:val="0"/>
          <w:sz w:val="24"/>
        </w:rPr>
        <w:t>水分的检查标准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按照水分测定法第二法进行测定。取不同批次的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细粉约</w:t>
      </w:r>
      <w:r>
        <w:rPr>
          <w:kern w:val="0"/>
          <w:sz w:val="24"/>
        </w:rPr>
        <w:t>2.0g</w:t>
      </w:r>
      <w:r>
        <w:rPr>
          <w:rFonts w:hAnsi="宋体"/>
          <w:kern w:val="0"/>
          <w:sz w:val="24"/>
        </w:rPr>
        <w:t>（过二号筛），精密称定，每批平行测定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份，测定结果见表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rFonts w:hAnsi="宋体"/>
          <w:kern w:val="0"/>
          <w:sz w:val="24"/>
        </w:rPr>
      </w:pPr>
    </w:p>
    <w:p>
      <w:pPr>
        <w:widowControl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表</w:t>
      </w:r>
      <w:r>
        <w:rPr>
          <w:kern w:val="0"/>
          <w:sz w:val="24"/>
        </w:rPr>
        <w:t xml:space="preserve">2 </w:t>
      </w:r>
      <w:r>
        <w:rPr>
          <w:rFonts w:hAnsi="宋体"/>
          <w:kern w:val="0"/>
          <w:sz w:val="24"/>
        </w:rPr>
        <w:t>不同批次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水分的含量测定结果</w:t>
      </w:r>
    </w:p>
    <w:tbl>
      <w:tblPr>
        <w:tblStyle w:val="1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No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称量量</w:t>
            </w:r>
            <w:r>
              <w:rPr>
                <w:kern w:val="0"/>
                <w:sz w:val="24"/>
                <w:szCs w:val="21"/>
              </w:rPr>
              <w:t>g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水分含量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平均值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20190601-1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2.01</w:t>
            </w:r>
            <w:r>
              <w:rPr>
                <w:rFonts w:hint="eastAsia"/>
                <w:kern w:val="0"/>
                <w:sz w:val="24"/>
                <w:szCs w:val="21"/>
              </w:rPr>
              <w:t>45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4.51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20190601-2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2.0035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4.55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20190602-1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2.01</w:t>
            </w:r>
            <w:r>
              <w:rPr>
                <w:rFonts w:hint="eastAsia"/>
                <w:kern w:val="0"/>
                <w:sz w:val="24"/>
                <w:szCs w:val="21"/>
              </w:rPr>
              <w:t>25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3.86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20190602-2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2.0061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3.76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067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4.57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2.0003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4.57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</w:t>
            </w:r>
            <w:r>
              <w:rPr>
                <w:rFonts w:hint="eastAsia"/>
                <w:kern w:val="0"/>
                <w:sz w:val="24"/>
                <w:szCs w:val="21"/>
              </w:rPr>
              <w:t>04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104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4.41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2.0028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4.39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120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4.28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4.43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2.0016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4.57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300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4.70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4.76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2.0042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4.82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</w:t>
            </w:r>
            <w:r>
              <w:rPr>
                <w:rFonts w:hint="eastAsia"/>
                <w:kern w:val="0"/>
                <w:sz w:val="24"/>
                <w:szCs w:val="21"/>
              </w:rPr>
              <w:t>07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454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4.33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4.31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</w:t>
            </w:r>
            <w:r>
              <w:rPr>
                <w:rFonts w:hint="eastAsia"/>
                <w:kern w:val="0"/>
                <w:sz w:val="24"/>
                <w:szCs w:val="21"/>
              </w:rPr>
              <w:t>07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2.0064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4.30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</w:t>
            </w:r>
            <w:r>
              <w:rPr>
                <w:rFonts w:hint="eastAsia"/>
                <w:kern w:val="0"/>
                <w:sz w:val="24"/>
                <w:szCs w:val="21"/>
              </w:rPr>
              <w:t>08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294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4.57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</w:t>
            </w:r>
            <w:r>
              <w:rPr>
                <w:rFonts w:hint="eastAsia"/>
                <w:kern w:val="0"/>
                <w:sz w:val="24"/>
                <w:szCs w:val="21"/>
              </w:rPr>
              <w:t>08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2.0010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4.59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9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208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4.89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</w:t>
            </w:r>
            <w:r>
              <w:rPr>
                <w:rFonts w:hint="eastAsia"/>
                <w:kern w:val="0"/>
                <w:sz w:val="24"/>
                <w:szCs w:val="21"/>
              </w:rPr>
              <w:t>09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1.9995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4.90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684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4.76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4.87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2.0019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4.98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202012001-1</w:t>
            </w:r>
          </w:p>
        </w:tc>
        <w:tc>
          <w:tcPr>
            <w:tcW w:w="2130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2.0011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2.58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202012001-2</w:t>
            </w:r>
          </w:p>
        </w:tc>
        <w:tc>
          <w:tcPr>
            <w:tcW w:w="2130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2.0099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2.63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202012002-1</w:t>
            </w:r>
          </w:p>
        </w:tc>
        <w:tc>
          <w:tcPr>
            <w:tcW w:w="2130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2.0048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1.42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1.65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202012002-2</w:t>
            </w:r>
          </w:p>
        </w:tc>
        <w:tc>
          <w:tcPr>
            <w:tcW w:w="2130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2.0020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1.89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202012003-1</w:t>
            </w:r>
          </w:p>
        </w:tc>
        <w:tc>
          <w:tcPr>
            <w:tcW w:w="2130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2.0020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3.17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202012003-1</w:t>
            </w:r>
          </w:p>
        </w:tc>
        <w:tc>
          <w:tcPr>
            <w:tcW w:w="2130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2.0038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3.14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t>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  <w:szCs w:val="21"/>
        </w:rPr>
      </w:pPr>
      <w:r>
        <w:rPr>
          <w:rFonts w:hAnsi="宋体"/>
          <w:kern w:val="0"/>
          <w:sz w:val="24"/>
        </w:rPr>
        <w:t>以上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批水分测定结果显示，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的水分含量范围为</w:t>
      </w:r>
      <w:r>
        <w:rPr>
          <w:rFonts w:hint="eastAsia"/>
          <w:kern w:val="0"/>
          <w:sz w:val="24"/>
        </w:rPr>
        <w:t>1.65</w:t>
      </w:r>
      <w:r>
        <w:rPr>
          <w:kern w:val="0"/>
          <w:sz w:val="24"/>
        </w:rPr>
        <w:t>%~</w:t>
      </w:r>
      <w:r>
        <w:rPr>
          <w:rFonts w:hint="eastAsia"/>
          <w:kern w:val="0"/>
          <w:sz w:val="24"/>
        </w:rPr>
        <w:t>4.90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平水分含量为4.04%。</w:t>
      </w:r>
      <w:r>
        <w:rPr>
          <w:rFonts w:hAnsi="宋体"/>
          <w:kern w:val="0"/>
          <w:sz w:val="24"/>
        </w:rPr>
        <w:t>根据以上测定结果，并参照一般</w:t>
      </w:r>
      <w:r>
        <w:rPr>
          <w:rFonts w:hint="eastAsia" w:hAnsi="宋体"/>
          <w:kern w:val="0"/>
          <w:sz w:val="24"/>
        </w:rPr>
        <w:t>叶</w:t>
      </w:r>
      <w:r>
        <w:rPr>
          <w:rFonts w:hAnsi="宋体"/>
          <w:kern w:val="0"/>
          <w:sz w:val="24"/>
        </w:rPr>
        <w:t>类药材的水分含量限度，</w:t>
      </w:r>
      <w:r>
        <w:rPr>
          <w:rFonts w:hint="eastAsia" w:hAnsi="宋体"/>
          <w:kern w:val="0"/>
          <w:sz w:val="24"/>
        </w:rPr>
        <w:t>考虑到海南湿度的影响，</w:t>
      </w:r>
      <w:r>
        <w:rPr>
          <w:rFonts w:hAnsi="宋体"/>
          <w:kern w:val="0"/>
          <w:sz w:val="24"/>
        </w:rPr>
        <w:t>故暂规定，本品按《中国药典》</w:t>
      </w:r>
      <w:r>
        <w:rPr>
          <w:rFonts w:hint="eastAsia" w:hAnsi="宋体"/>
          <w:kern w:val="0"/>
          <w:sz w:val="24"/>
        </w:rPr>
        <w:t>2020版</w:t>
      </w:r>
      <w:r>
        <w:rPr>
          <w:rFonts w:hint="eastAsia"/>
          <w:kern w:val="0"/>
          <w:sz w:val="24"/>
        </w:rPr>
        <w:t>四部</w:t>
      </w:r>
      <w:r>
        <w:rPr>
          <w:rFonts w:hAnsi="宋体"/>
          <w:kern w:val="0"/>
          <w:sz w:val="24"/>
        </w:rPr>
        <w:t>通则</w:t>
      </w:r>
      <w:r>
        <w:rPr>
          <w:kern w:val="0"/>
          <w:sz w:val="24"/>
        </w:rPr>
        <w:t>0832</w:t>
      </w:r>
      <w:r>
        <w:rPr>
          <w:rFonts w:hAnsi="宋体"/>
          <w:kern w:val="0"/>
          <w:sz w:val="24"/>
        </w:rPr>
        <w:t>第二法进行测定，水分含量不得过</w:t>
      </w:r>
      <w:r>
        <w:rPr>
          <w:rFonts w:hint="eastAsia"/>
          <w:kern w:val="0"/>
          <w:sz w:val="24"/>
          <w:szCs w:val="21"/>
        </w:rPr>
        <w:t>10.0%。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9. </w:t>
      </w:r>
      <w:r>
        <w:rPr>
          <w:rFonts w:hAnsi="宋体"/>
          <w:kern w:val="0"/>
          <w:sz w:val="24"/>
        </w:rPr>
        <w:t>总灰分的检查标准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按《中国药典》（</w:t>
      </w:r>
      <w:r>
        <w:rPr>
          <w:kern w:val="0"/>
          <w:sz w:val="24"/>
        </w:rPr>
        <w:t>20</w:t>
      </w:r>
      <w:r>
        <w:rPr>
          <w:rFonts w:hint="eastAsia"/>
          <w:kern w:val="0"/>
          <w:sz w:val="24"/>
        </w:rPr>
        <w:t>20</w:t>
      </w:r>
      <w:r>
        <w:rPr>
          <w:rFonts w:hAnsi="宋体"/>
          <w:kern w:val="0"/>
          <w:sz w:val="24"/>
        </w:rPr>
        <w:t>版）</w:t>
      </w:r>
      <w:r>
        <w:rPr>
          <w:rFonts w:hint="eastAsia"/>
          <w:kern w:val="0"/>
          <w:sz w:val="24"/>
        </w:rPr>
        <w:t>四部</w:t>
      </w:r>
      <w:r>
        <w:rPr>
          <w:rFonts w:hAnsi="宋体"/>
          <w:kern w:val="0"/>
          <w:sz w:val="24"/>
        </w:rPr>
        <w:t>通则</w:t>
      </w:r>
      <w:r>
        <w:rPr>
          <w:kern w:val="0"/>
          <w:sz w:val="24"/>
        </w:rPr>
        <w:t>2302</w:t>
      </w:r>
      <w:r>
        <w:rPr>
          <w:rFonts w:hAnsi="宋体"/>
          <w:kern w:val="0"/>
          <w:sz w:val="24"/>
        </w:rPr>
        <w:t>总灰分测定法进行测定。取不同批次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细粉约</w:t>
      </w:r>
      <w:r>
        <w:rPr>
          <w:kern w:val="0"/>
          <w:sz w:val="24"/>
        </w:rPr>
        <w:t>2g</w:t>
      </w:r>
      <w:r>
        <w:rPr>
          <w:rFonts w:hAnsi="宋体"/>
          <w:kern w:val="0"/>
          <w:sz w:val="24"/>
        </w:rPr>
        <w:t>（过二号筛），精密称定，每批平行测定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份，置炽灼至恒重的坩埚中，称定重量（准确至</w:t>
      </w:r>
      <w:r>
        <w:rPr>
          <w:kern w:val="0"/>
          <w:sz w:val="24"/>
        </w:rPr>
        <w:t>0.01</w:t>
      </w:r>
      <w:r>
        <w:rPr>
          <w:rFonts w:hAnsi="宋体"/>
          <w:kern w:val="0"/>
          <w:sz w:val="24"/>
        </w:rPr>
        <w:t>ｇ），缓缓炽热，至完全炭化时，逐渐升高温度至</w:t>
      </w:r>
      <w:r>
        <w:rPr>
          <w:kern w:val="0"/>
          <w:sz w:val="24"/>
        </w:rPr>
        <w:t>550℃</w:t>
      </w:r>
      <w:r>
        <w:rPr>
          <w:rFonts w:hAnsi="宋体"/>
          <w:kern w:val="0"/>
          <w:sz w:val="24"/>
        </w:rPr>
        <w:t>，使完全灰化并至恒重。根据残渣重量，计算供试品中总灰分的含量（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）。测定结果见表</w:t>
      </w:r>
      <w:r>
        <w:rPr>
          <w:kern w:val="0"/>
          <w:sz w:val="24"/>
        </w:rPr>
        <w:t>3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</w:p>
    <w:p>
      <w:pPr>
        <w:widowControl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表</w:t>
      </w:r>
      <w:r>
        <w:rPr>
          <w:kern w:val="0"/>
          <w:sz w:val="24"/>
        </w:rPr>
        <w:t xml:space="preserve">3  </w:t>
      </w:r>
      <w:r>
        <w:rPr>
          <w:rFonts w:hAnsi="宋体"/>
          <w:kern w:val="0"/>
          <w:sz w:val="24"/>
        </w:rPr>
        <w:t>不同批次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总灰分的测定结果</w:t>
      </w:r>
    </w:p>
    <w:tbl>
      <w:tblPr>
        <w:tblStyle w:val="1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No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称量量</w:t>
            </w:r>
            <w:r>
              <w:rPr>
                <w:kern w:val="0"/>
                <w:sz w:val="24"/>
                <w:szCs w:val="21"/>
              </w:rPr>
              <w:t>g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 w:hAnsi="宋体"/>
                <w:kern w:val="0"/>
                <w:sz w:val="24"/>
                <w:szCs w:val="21"/>
              </w:rPr>
              <w:t>灰</w:t>
            </w:r>
            <w:r>
              <w:rPr>
                <w:rFonts w:hAnsi="宋体"/>
                <w:kern w:val="0"/>
                <w:sz w:val="24"/>
                <w:szCs w:val="21"/>
              </w:rPr>
              <w:t>分含量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平均值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20190601-1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2.00</w:t>
            </w:r>
            <w:r>
              <w:rPr>
                <w:rFonts w:hint="eastAsia"/>
                <w:kern w:val="0"/>
                <w:sz w:val="24"/>
                <w:szCs w:val="21"/>
              </w:rPr>
              <w:t>07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4.13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20190601-2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2.0012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4.13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20190602-1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145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3.91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20190602-2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2.0134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3.88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2.00</w:t>
            </w:r>
            <w:r>
              <w:rPr>
                <w:rFonts w:hint="eastAsia"/>
                <w:kern w:val="0"/>
                <w:sz w:val="24"/>
                <w:szCs w:val="21"/>
              </w:rPr>
              <w:t>55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4.64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2.0042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4.53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2.01</w:t>
            </w:r>
            <w:r>
              <w:rPr>
                <w:rFonts w:hint="eastAsia"/>
                <w:kern w:val="0"/>
                <w:sz w:val="24"/>
                <w:szCs w:val="21"/>
              </w:rPr>
              <w:t>55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4.49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2.0136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4.69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2.01</w:t>
            </w:r>
            <w:r>
              <w:rPr>
                <w:rFonts w:hint="eastAsia"/>
                <w:kern w:val="0"/>
                <w:sz w:val="24"/>
                <w:szCs w:val="21"/>
              </w:rPr>
              <w:t>67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3.85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3.84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2.0124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3.83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2.00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4.15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2.0015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4.08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</w:t>
            </w:r>
            <w:r>
              <w:rPr>
                <w:rFonts w:hint="eastAsia"/>
                <w:kern w:val="0"/>
                <w:sz w:val="24"/>
                <w:szCs w:val="21"/>
              </w:rPr>
              <w:t>07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151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3.6</w:t>
            </w:r>
            <w:r>
              <w:rPr>
                <w:kern w:val="0"/>
                <w:sz w:val="24"/>
                <w:szCs w:val="21"/>
              </w:rPr>
              <w:t>7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</w:t>
            </w:r>
            <w:r>
              <w:rPr>
                <w:rFonts w:hint="eastAsia"/>
                <w:kern w:val="0"/>
                <w:sz w:val="24"/>
                <w:szCs w:val="21"/>
              </w:rPr>
              <w:t>07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2.0117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3.49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</w:t>
            </w:r>
            <w:r>
              <w:rPr>
                <w:rFonts w:hint="eastAsia"/>
                <w:kern w:val="0"/>
                <w:sz w:val="24"/>
                <w:szCs w:val="21"/>
              </w:rPr>
              <w:t>08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190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5.</w:t>
            </w:r>
            <w:r>
              <w:rPr>
                <w:rFonts w:hint="eastAsia"/>
                <w:kern w:val="0"/>
                <w:sz w:val="24"/>
                <w:szCs w:val="21"/>
              </w:rPr>
              <w:t>75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5.72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2019060</w:t>
            </w:r>
            <w:r>
              <w:rPr>
                <w:rFonts w:hint="eastAsia"/>
                <w:kern w:val="0"/>
                <w:sz w:val="24"/>
                <w:szCs w:val="21"/>
              </w:rPr>
              <w:t>8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2.0168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5.68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</w:t>
            </w:r>
            <w:r>
              <w:rPr>
                <w:rFonts w:hint="eastAsia"/>
                <w:kern w:val="0"/>
                <w:sz w:val="24"/>
                <w:szCs w:val="21"/>
              </w:rPr>
              <w:t>09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102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5.66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5.64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</w:t>
            </w:r>
            <w:r>
              <w:rPr>
                <w:rFonts w:hint="eastAsia"/>
                <w:kern w:val="0"/>
                <w:sz w:val="24"/>
                <w:szCs w:val="21"/>
              </w:rPr>
              <w:t>09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2.0092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5.61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150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6.30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6.31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2019061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2.0119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6.31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202012001-1</w:t>
            </w:r>
          </w:p>
        </w:tc>
        <w:tc>
          <w:tcPr>
            <w:tcW w:w="2130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31.9335</w:t>
            </w:r>
          </w:p>
        </w:tc>
        <w:tc>
          <w:tcPr>
            <w:tcW w:w="2131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5.54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5.59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202012001-2</w:t>
            </w:r>
          </w:p>
        </w:tc>
        <w:tc>
          <w:tcPr>
            <w:tcW w:w="2130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31.0496</w:t>
            </w:r>
          </w:p>
        </w:tc>
        <w:tc>
          <w:tcPr>
            <w:tcW w:w="2131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5.64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202012002-1</w:t>
            </w:r>
          </w:p>
        </w:tc>
        <w:tc>
          <w:tcPr>
            <w:tcW w:w="2130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34.1698</w:t>
            </w:r>
          </w:p>
        </w:tc>
        <w:tc>
          <w:tcPr>
            <w:tcW w:w="2131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5.44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202012002-2</w:t>
            </w:r>
          </w:p>
        </w:tc>
        <w:tc>
          <w:tcPr>
            <w:tcW w:w="2130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33.8366</w:t>
            </w:r>
          </w:p>
        </w:tc>
        <w:tc>
          <w:tcPr>
            <w:tcW w:w="2131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5.29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202012003-1</w:t>
            </w:r>
          </w:p>
        </w:tc>
        <w:tc>
          <w:tcPr>
            <w:tcW w:w="2130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32.4475</w:t>
            </w:r>
          </w:p>
        </w:tc>
        <w:tc>
          <w:tcPr>
            <w:tcW w:w="2131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5.50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202012003-1</w:t>
            </w:r>
          </w:p>
        </w:tc>
        <w:tc>
          <w:tcPr>
            <w:tcW w:w="2130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35.4095</w:t>
            </w:r>
          </w:p>
        </w:tc>
        <w:tc>
          <w:tcPr>
            <w:tcW w:w="2131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5.19</w:t>
            </w:r>
          </w:p>
        </w:tc>
        <w:tc>
          <w:tcPr>
            <w:tcW w:w="213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以上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灰</w:t>
      </w:r>
      <w:r>
        <w:rPr>
          <w:rFonts w:hAnsi="宋体"/>
          <w:kern w:val="0"/>
          <w:sz w:val="24"/>
        </w:rPr>
        <w:t>分测定结果显示，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的总灰分范围为</w:t>
      </w:r>
      <w:r>
        <w:rPr>
          <w:kern w:val="0"/>
          <w:sz w:val="24"/>
        </w:rPr>
        <w:t>3.</w:t>
      </w:r>
      <w:r>
        <w:rPr>
          <w:rFonts w:hint="eastAsia"/>
          <w:kern w:val="0"/>
          <w:sz w:val="24"/>
        </w:rPr>
        <w:t>49</w:t>
      </w:r>
      <w:r>
        <w:rPr>
          <w:kern w:val="0"/>
          <w:sz w:val="24"/>
        </w:rPr>
        <w:t>%~</w:t>
      </w:r>
      <w:r>
        <w:rPr>
          <w:rFonts w:hint="eastAsia"/>
          <w:kern w:val="0"/>
          <w:sz w:val="24"/>
        </w:rPr>
        <w:t>6.31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平均总灰分含量为4.82%。</w:t>
      </w:r>
      <w:r>
        <w:rPr>
          <w:rFonts w:hAnsi="宋体"/>
          <w:kern w:val="0"/>
          <w:sz w:val="24"/>
        </w:rPr>
        <w:t>根据以上测定结果，并参照一般</w:t>
      </w:r>
      <w:r>
        <w:rPr>
          <w:rFonts w:hint="eastAsia" w:hAnsi="宋体"/>
          <w:kern w:val="0"/>
          <w:sz w:val="24"/>
        </w:rPr>
        <w:t>叶</w:t>
      </w:r>
      <w:r>
        <w:rPr>
          <w:rFonts w:hAnsi="宋体"/>
          <w:kern w:val="0"/>
          <w:sz w:val="24"/>
        </w:rPr>
        <w:t>类药材的总灰分限度，故暂规定，本品按《中国药典》通则</w:t>
      </w:r>
      <w:r>
        <w:rPr>
          <w:kern w:val="0"/>
          <w:sz w:val="24"/>
        </w:rPr>
        <w:t>2302</w:t>
      </w:r>
      <w:r>
        <w:rPr>
          <w:rFonts w:hAnsi="宋体"/>
          <w:kern w:val="0"/>
          <w:sz w:val="24"/>
        </w:rPr>
        <w:t>进行测定，总灰分含量不得过</w:t>
      </w:r>
      <w:r>
        <w:rPr>
          <w:kern w:val="0"/>
          <w:sz w:val="24"/>
        </w:rPr>
        <w:t>8.0%</w:t>
      </w:r>
      <w:r>
        <w:rPr>
          <w:rFonts w:hAnsi="宋体"/>
          <w:kern w:val="0"/>
          <w:sz w:val="24"/>
        </w:rPr>
        <w:t>。</w:t>
      </w:r>
    </w:p>
    <w:p>
      <w:pPr>
        <w:rPr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10. </w:t>
      </w:r>
      <w:r>
        <w:rPr>
          <w:rFonts w:hAnsi="宋体"/>
          <w:kern w:val="0"/>
          <w:sz w:val="24"/>
        </w:rPr>
        <w:t>浸出物的检查标准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由于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药材的主要成分为黄酮</w:t>
      </w:r>
      <w:r>
        <w:rPr>
          <w:rFonts w:hint="eastAsia" w:hAnsi="宋体"/>
          <w:kern w:val="0"/>
          <w:sz w:val="24"/>
        </w:rPr>
        <w:t>类化合物</w:t>
      </w:r>
      <w:r>
        <w:rPr>
          <w:rFonts w:hAnsi="宋体"/>
          <w:kern w:val="0"/>
          <w:sz w:val="24"/>
        </w:rPr>
        <w:t>，在醇性溶剂中溶解度较高，因此按《中国药典》醇溶性浸出物（</w:t>
      </w:r>
      <w:r>
        <w:rPr>
          <w:rFonts w:hint="eastAsia"/>
          <w:kern w:val="0"/>
          <w:sz w:val="24"/>
        </w:rPr>
        <w:t>四部</w:t>
      </w:r>
      <w:r>
        <w:rPr>
          <w:rFonts w:hAnsi="宋体"/>
          <w:kern w:val="0"/>
          <w:sz w:val="24"/>
        </w:rPr>
        <w:t>通则</w:t>
      </w:r>
      <w:r>
        <w:rPr>
          <w:kern w:val="0"/>
          <w:sz w:val="24"/>
        </w:rPr>
        <w:t>2201</w:t>
      </w:r>
      <w:r>
        <w:rPr>
          <w:rFonts w:hAnsi="宋体"/>
          <w:kern w:val="0"/>
          <w:sz w:val="24"/>
        </w:rPr>
        <w:t>）项下热浸法测定。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分别取不同批次的</w:t>
      </w:r>
      <w:r>
        <w:rPr>
          <w:rFonts w:hint="eastAsia"/>
          <w:kern w:val="0"/>
          <w:sz w:val="24"/>
        </w:rPr>
        <w:t>沉香叶</w:t>
      </w:r>
      <w:r>
        <w:rPr>
          <w:kern w:val="0"/>
          <w:sz w:val="24"/>
        </w:rPr>
        <w:t>细粉（过二号筛）约2ｇ，精密称定，置250ｍl锥形瓶中，精密加入95%乙醇100ml，密塞，称定重量，静置１小时后，连接回流冷凝管，加热至沸腾，并保持微沸１小时。放冷后，取下锥形瓶，密塞，再称定重量，用95%乙醇补足减失的重量，摇匀，滤过，精密量取续滤液25ml，置己干燥至恒重的蒸发皿中，在105℃干燥3小时，置干燥器中室温放置30分钟，迅速精密称定重量，计算浸出物的含量，毎批平行测定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份，结果见表4。</w:t>
      </w:r>
    </w:p>
    <w:p>
      <w:pPr>
        <w:widowControl/>
        <w:spacing w:line="360" w:lineRule="auto"/>
        <w:jc w:val="center"/>
        <w:rPr>
          <w:kern w:val="0"/>
          <w:szCs w:val="21"/>
        </w:rPr>
      </w:pPr>
      <w:r>
        <w:rPr>
          <w:kern w:val="0"/>
          <w:szCs w:val="21"/>
        </w:rPr>
        <w:t>表4  不同批次沉香叶浸出物的测定结果</w:t>
      </w:r>
    </w:p>
    <w:tbl>
      <w:tblPr>
        <w:tblStyle w:val="10"/>
        <w:tblW w:w="875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1133"/>
        <w:gridCol w:w="1267"/>
        <w:gridCol w:w="1275"/>
        <w:gridCol w:w="2127"/>
        <w:gridCol w:w="14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No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称量量g</w:t>
            </w:r>
          </w:p>
        </w:tc>
        <w:tc>
          <w:tcPr>
            <w:tcW w:w="12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水分含量%</w:t>
            </w: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浸出物的量g</w:t>
            </w:r>
          </w:p>
        </w:tc>
        <w:tc>
          <w:tcPr>
            <w:tcW w:w="2127" w:type="dxa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按干燥品计算浸出物的量</w:t>
            </w:r>
            <w:r>
              <w:rPr>
                <w:rFonts w:hint="eastAsia"/>
                <w:kern w:val="0"/>
                <w:szCs w:val="21"/>
              </w:rPr>
              <w:t>%</w:t>
            </w:r>
          </w:p>
        </w:tc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平均值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bookmarkStart w:id="6" w:name="OLE_LINK8" w:colFirst="1" w:colLast="3"/>
            <w:r>
              <w:rPr>
                <w:kern w:val="0"/>
                <w:szCs w:val="21"/>
              </w:rPr>
              <w:t>20190601-1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</w:t>
            </w:r>
            <w:r>
              <w:rPr>
                <w:rFonts w:hint="eastAsia"/>
                <w:kern w:val="0"/>
                <w:szCs w:val="21"/>
              </w:rPr>
              <w:t>49</w:t>
            </w:r>
          </w:p>
        </w:tc>
        <w:tc>
          <w:tcPr>
            <w:tcW w:w="126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4.53</w:t>
            </w:r>
          </w:p>
        </w:tc>
        <w:tc>
          <w:tcPr>
            <w:tcW w:w="1275" w:type="dxa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</w:t>
            </w:r>
            <w:r>
              <w:rPr>
                <w:rFonts w:hint="eastAsia"/>
                <w:kern w:val="0"/>
                <w:szCs w:val="21"/>
              </w:rPr>
              <w:t>1076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22.48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22.49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20190601-2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2.0134</w:t>
            </w:r>
          </w:p>
        </w:tc>
        <w:tc>
          <w:tcPr>
            <w:tcW w:w="126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75" w:type="dxa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0.1095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22.78</w:t>
            </w:r>
          </w:p>
        </w:tc>
        <w:tc>
          <w:tcPr>
            <w:tcW w:w="141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bookmarkEnd w:id="6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20190602-1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</w:t>
            </w:r>
            <w:r>
              <w:rPr>
                <w:rFonts w:hint="eastAsia"/>
                <w:kern w:val="0"/>
                <w:szCs w:val="21"/>
              </w:rPr>
              <w:t>31</w:t>
            </w:r>
          </w:p>
        </w:tc>
        <w:tc>
          <w:tcPr>
            <w:tcW w:w="126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3.</w:t>
            </w:r>
            <w:r>
              <w:rPr>
                <w:rFonts w:hint="eastAsia"/>
                <w:kern w:val="0"/>
                <w:szCs w:val="21"/>
              </w:rPr>
              <w:t>81</w:t>
            </w:r>
          </w:p>
        </w:tc>
        <w:tc>
          <w:tcPr>
            <w:tcW w:w="1275" w:type="dxa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</w:t>
            </w:r>
            <w:r>
              <w:rPr>
                <w:rFonts w:hint="eastAsia"/>
                <w:kern w:val="0"/>
                <w:szCs w:val="21"/>
              </w:rPr>
              <w:t>1469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30.49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30.50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20190602-2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2.0065</w:t>
            </w:r>
          </w:p>
        </w:tc>
        <w:tc>
          <w:tcPr>
            <w:tcW w:w="126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75" w:type="dxa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0.1392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28.84</w:t>
            </w:r>
          </w:p>
        </w:tc>
        <w:tc>
          <w:tcPr>
            <w:tcW w:w="141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20190603-1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</w:t>
            </w:r>
            <w:r>
              <w:rPr>
                <w:rFonts w:hint="eastAsia"/>
                <w:kern w:val="0"/>
                <w:szCs w:val="21"/>
              </w:rPr>
              <w:t>47</w:t>
            </w:r>
          </w:p>
        </w:tc>
        <w:tc>
          <w:tcPr>
            <w:tcW w:w="126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4.57</w:t>
            </w: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</w:t>
            </w:r>
            <w:r>
              <w:rPr>
                <w:rFonts w:hint="eastAsia"/>
                <w:kern w:val="0"/>
                <w:szCs w:val="21"/>
              </w:rPr>
              <w:t>1359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28.41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28.41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20190603-2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2.0031</w:t>
            </w:r>
          </w:p>
        </w:tc>
        <w:tc>
          <w:tcPr>
            <w:tcW w:w="126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0.1467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30.69</w:t>
            </w:r>
          </w:p>
        </w:tc>
        <w:tc>
          <w:tcPr>
            <w:tcW w:w="141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20190604-1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</w:t>
            </w:r>
            <w:r>
              <w:rPr>
                <w:rFonts w:hint="eastAsia"/>
                <w:kern w:val="0"/>
                <w:szCs w:val="21"/>
              </w:rPr>
              <w:t>84</w:t>
            </w:r>
          </w:p>
        </w:tc>
        <w:tc>
          <w:tcPr>
            <w:tcW w:w="126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4.40</w:t>
            </w: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</w:t>
            </w:r>
            <w:r>
              <w:rPr>
                <w:rFonts w:hint="eastAsia"/>
                <w:kern w:val="0"/>
                <w:szCs w:val="21"/>
              </w:rPr>
              <w:t>1266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26.37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26.37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20190604-2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2.0064</w:t>
            </w:r>
          </w:p>
        </w:tc>
        <w:tc>
          <w:tcPr>
            <w:tcW w:w="126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0.1362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28.40</w:t>
            </w:r>
          </w:p>
        </w:tc>
        <w:tc>
          <w:tcPr>
            <w:tcW w:w="141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20190605-1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</w:t>
            </w:r>
            <w:r>
              <w:rPr>
                <w:rFonts w:hint="eastAsia"/>
                <w:kern w:val="0"/>
                <w:szCs w:val="21"/>
              </w:rPr>
              <w:t>56</w:t>
            </w:r>
          </w:p>
        </w:tc>
        <w:tc>
          <w:tcPr>
            <w:tcW w:w="126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4.43</w:t>
            </w: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</w:t>
            </w:r>
            <w:r>
              <w:rPr>
                <w:rFonts w:hint="eastAsia"/>
                <w:kern w:val="0"/>
                <w:szCs w:val="21"/>
              </w:rPr>
              <w:t>1405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29.32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29.32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20190605-2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2.0021</w:t>
            </w:r>
          </w:p>
        </w:tc>
        <w:tc>
          <w:tcPr>
            <w:tcW w:w="126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0.1367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28.57</w:t>
            </w:r>
          </w:p>
        </w:tc>
        <w:tc>
          <w:tcPr>
            <w:tcW w:w="141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20190606-1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</w:t>
            </w:r>
            <w:r>
              <w:rPr>
                <w:rFonts w:hint="eastAsia"/>
                <w:kern w:val="0"/>
                <w:szCs w:val="21"/>
              </w:rPr>
              <w:t>18</w:t>
            </w:r>
          </w:p>
        </w:tc>
        <w:tc>
          <w:tcPr>
            <w:tcW w:w="126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4.76</w:t>
            </w: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</w:t>
            </w:r>
            <w:r>
              <w:rPr>
                <w:rFonts w:hint="eastAsia"/>
                <w:kern w:val="0"/>
                <w:szCs w:val="21"/>
              </w:rPr>
              <w:t>1316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27.61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27.61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20190606-2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2.0068</w:t>
            </w:r>
          </w:p>
        </w:tc>
        <w:tc>
          <w:tcPr>
            <w:tcW w:w="126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0.1348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28.21</w:t>
            </w:r>
          </w:p>
        </w:tc>
        <w:tc>
          <w:tcPr>
            <w:tcW w:w="141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20190607-1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</w:t>
            </w:r>
            <w:r>
              <w:rPr>
                <w:rFonts w:hint="eastAsia"/>
                <w:kern w:val="0"/>
                <w:szCs w:val="21"/>
              </w:rPr>
              <w:t>55</w:t>
            </w:r>
          </w:p>
        </w:tc>
        <w:tc>
          <w:tcPr>
            <w:tcW w:w="126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4.31</w:t>
            </w: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</w:t>
            </w:r>
            <w:r>
              <w:rPr>
                <w:rFonts w:hint="eastAsia"/>
                <w:kern w:val="0"/>
                <w:szCs w:val="21"/>
              </w:rPr>
              <w:t>1584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33.01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33.02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20190607-2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2.0035</w:t>
            </w:r>
          </w:p>
        </w:tc>
        <w:tc>
          <w:tcPr>
            <w:tcW w:w="126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0.1564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32.63</w:t>
            </w:r>
          </w:p>
        </w:tc>
        <w:tc>
          <w:tcPr>
            <w:tcW w:w="141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20190608-1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</w:t>
            </w:r>
            <w:r>
              <w:rPr>
                <w:rFonts w:hint="eastAsia"/>
                <w:kern w:val="0"/>
                <w:szCs w:val="21"/>
              </w:rPr>
              <w:t>022</w:t>
            </w:r>
          </w:p>
        </w:tc>
        <w:tc>
          <w:tcPr>
            <w:tcW w:w="126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4.58</w:t>
            </w: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</w:t>
            </w:r>
            <w:r>
              <w:rPr>
                <w:rFonts w:hint="eastAsia"/>
                <w:kern w:val="0"/>
                <w:szCs w:val="21"/>
              </w:rPr>
              <w:t>1299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27.19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27.20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20190608-2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2.0167</w:t>
            </w:r>
          </w:p>
        </w:tc>
        <w:tc>
          <w:tcPr>
            <w:tcW w:w="126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0.1349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28.04</w:t>
            </w:r>
          </w:p>
        </w:tc>
        <w:tc>
          <w:tcPr>
            <w:tcW w:w="141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20190609-1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</w:t>
            </w:r>
            <w:r>
              <w:rPr>
                <w:rFonts w:hint="eastAsia"/>
                <w:kern w:val="0"/>
                <w:szCs w:val="21"/>
              </w:rPr>
              <w:t>41</w:t>
            </w:r>
          </w:p>
        </w:tc>
        <w:tc>
          <w:tcPr>
            <w:tcW w:w="126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4.90</w:t>
            </w: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0.1332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27.95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27.96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20190609-2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2.0049</w:t>
            </w:r>
          </w:p>
        </w:tc>
        <w:tc>
          <w:tcPr>
            <w:tcW w:w="126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0.1416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29.70</w:t>
            </w:r>
          </w:p>
        </w:tc>
        <w:tc>
          <w:tcPr>
            <w:tcW w:w="141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20190610-1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</w:t>
            </w:r>
            <w:r>
              <w:rPr>
                <w:rFonts w:hint="eastAsia"/>
                <w:kern w:val="0"/>
                <w:szCs w:val="21"/>
              </w:rPr>
              <w:t>124</w:t>
            </w:r>
          </w:p>
        </w:tc>
        <w:tc>
          <w:tcPr>
            <w:tcW w:w="126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4.87</w:t>
            </w: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</w:t>
            </w:r>
            <w:r>
              <w:rPr>
                <w:rFonts w:hint="eastAsia"/>
                <w:kern w:val="0"/>
                <w:szCs w:val="21"/>
              </w:rPr>
              <w:t>1361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28.43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28.44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20190610-2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2.0053</w:t>
            </w:r>
          </w:p>
        </w:tc>
        <w:tc>
          <w:tcPr>
            <w:tcW w:w="126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75" w:type="dxa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0.1357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28.45</w:t>
            </w:r>
          </w:p>
        </w:tc>
        <w:tc>
          <w:tcPr>
            <w:tcW w:w="141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202012001-1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2.0078 </w:t>
            </w:r>
          </w:p>
        </w:tc>
        <w:tc>
          <w:tcPr>
            <w:tcW w:w="126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2.60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0.1185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24.23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24.69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202012001-2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2.0070 </w:t>
            </w:r>
          </w:p>
        </w:tc>
        <w:tc>
          <w:tcPr>
            <w:tcW w:w="126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0.1229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25.14</w:t>
            </w:r>
          </w:p>
        </w:tc>
        <w:tc>
          <w:tcPr>
            <w:tcW w:w="141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202012002-1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2.0065 </w:t>
            </w:r>
          </w:p>
        </w:tc>
        <w:tc>
          <w:tcPr>
            <w:tcW w:w="126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1.65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0.1300 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26.36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26.23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202012002-2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2.0064 </w:t>
            </w:r>
          </w:p>
        </w:tc>
        <w:tc>
          <w:tcPr>
            <w:tcW w:w="126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0.1288 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26.1</w:t>
            </w:r>
          </w:p>
        </w:tc>
        <w:tc>
          <w:tcPr>
            <w:tcW w:w="141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202012003-1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2.0061 </w:t>
            </w:r>
          </w:p>
        </w:tc>
        <w:tc>
          <w:tcPr>
            <w:tcW w:w="126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3.16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0.1176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24.21</w:t>
            </w:r>
          </w:p>
        </w:tc>
        <w:tc>
          <w:tcPr>
            <w:tcW w:w="1417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24.63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202012003-1</w:t>
            </w:r>
          </w:p>
        </w:tc>
        <w:tc>
          <w:tcPr>
            <w:tcW w:w="1133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2.0065 </w:t>
            </w:r>
          </w:p>
        </w:tc>
        <w:tc>
          <w:tcPr>
            <w:tcW w:w="126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0.1217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25.05</w:t>
            </w:r>
          </w:p>
        </w:tc>
        <w:tc>
          <w:tcPr>
            <w:tcW w:w="1417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以上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浸出物</w:t>
      </w:r>
      <w:r>
        <w:rPr>
          <w:rFonts w:hAnsi="宋体"/>
          <w:kern w:val="0"/>
          <w:sz w:val="24"/>
        </w:rPr>
        <w:t>测定结果显示，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的</w:t>
      </w:r>
      <w:r>
        <w:rPr>
          <w:rFonts w:hint="eastAsia" w:hAnsi="宋体"/>
          <w:kern w:val="0"/>
          <w:sz w:val="24"/>
        </w:rPr>
        <w:t>醇溶性浸出物</w:t>
      </w:r>
      <w:r>
        <w:rPr>
          <w:rFonts w:hAnsi="宋体"/>
          <w:kern w:val="0"/>
          <w:sz w:val="24"/>
        </w:rPr>
        <w:t>范围为</w:t>
      </w:r>
      <w:r>
        <w:rPr>
          <w:rFonts w:hint="eastAsia"/>
          <w:kern w:val="0"/>
          <w:sz w:val="24"/>
        </w:rPr>
        <w:t>22.49</w:t>
      </w:r>
      <w:r>
        <w:rPr>
          <w:kern w:val="0"/>
          <w:sz w:val="24"/>
        </w:rPr>
        <w:t>%~</w:t>
      </w:r>
      <w:r>
        <w:rPr>
          <w:rFonts w:hint="eastAsia"/>
          <w:kern w:val="0"/>
          <w:sz w:val="24"/>
        </w:rPr>
        <w:t>33.02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平均浸出物含量为27.45%。</w:t>
      </w:r>
      <w:r>
        <w:rPr>
          <w:rFonts w:hAnsi="宋体"/>
          <w:kern w:val="0"/>
          <w:sz w:val="24"/>
        </w:rPr>
        <w:t>根据以上测定结果，</w:t>
      </w:r>
      <w:r>
        <w:rPr>
          <w:rFonts w:hint="eastAsia" w:hAnsi="宋体"/>
          <w:kern w:val="0"/>
          <w:sz w:val="24"/>
        </w:rPr>
        <w:t>按平均含量的80%取整，作为浸出物限度</w:t>
      </w:r>
      <w:r>
        <w:rPr>
          <w:rFonts w:hAnsi="宋体"/>
          <w:kern w:val="0"/>
          <w:sz w:val="24"/>
        </w:rPr>
        <w:t>，故暂规定，本品按《中国药典》通则</w:t>
      </w:r>
      <w:r>
        <w:rPr>
          <w:rFonts w:hint="eastAsia"/>
          <w:kern w:val="0"/>
          <w:sz w:val="24"/>
        </w:rPr>
        <w:t>2201</w:t>
      </w:r>
      <w:r>
        <w:rPr>
          <w:rFonts w:hAnsi="宋体"/>
          <w:kern w:val="0"/>
          <w:sz w:val="24"/>
        </w:rPr>
        <w:t>进行测定，</w:t>
      </w:r>
      <w:r>
        <w:rPr>
          <w:rFonts w:hint="eastAsia" w:hAnsi="宋体"/>
          <w:kern w:val="0"/>
          <w:sz w:val="24"/>
        </w:rPr>
        <w:t>以乙醇作溶剂，</w:t>
      </w:r>
      <w:r>
        <w:rPr>
          <w:rFonts w:hAnsi="宋体"/>
          <w:kern w:val="0"/>
          <w:sz w:val="24"/>
        </w:rPr>
        <w:t>不得</w:t>
      </w:r>
      <w:r>
        <w:rPr>
          <w:rFonts w:hint="eastAsia" w:hAnsi="宋体"/>
          <w:kern w:val="0"/>
          <w:sz w:val="24"/>
        </w:rPr>
        <w:t>少于</w:t>
      </w:r>
      <w:r>
        <w:rPr>
          <w:rFonts w:hint="eastAsia"/>
          <w:kern w:val="0"/>
          <w:sz w:val="24"/>
        </w:rPr>
        <w:t>22.0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rPr>
          <w:szCs w:val="21"/>
        </w:rPr>
      </w:pP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12. </w:t>
      </w:r>
      <w:r>
        <w:rPr>
          <w:rFonts w:hAnsi="宋体"/>
          <w:kern w:val="0"/>
          <w:sz w:val="24"/>
        </w:rPr>
        <w:t>含量测定方法的研究</w:t>
      </w:r>
    </w:p>
    <w:p>
      <w:pPr>
        <w:widowControl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 xml:space="preserve">.1 </w:t>
      </w:r>
      <w:r>
        <w:rPr>
          <w:rFonts w:hAnsi="宋体"/>
          <w:kern w:val="0"/>
          <w:sz w:val="24"/>
        </w:rPr>
        <w:t>色谱条件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12.1.1色谱柱的选择：参照文献，</w:t>
      </w:r>
      <w:r>
        <w:rPr>
          <w:rFonts w:hint="eastAsia"/>
          <w:kern w:val="0"/>
          <w:sz w:val="24"/>
        </w:rPr>
        <w:t xml:space="preserve">取芫花素对照品溶液和样品（20190401）提取液，分别对Hanbon </w:t>
      </w:r>
      <w:r>
        <w:rPr>
          <w:kern w:val="0"/>
          <w:sz w:val="24"/>
        </w:rPr>
        <w:t>lichrospher C18 250×4.6mm色谱柱、</w:t>
      </w:r>
      <w:r>
        <w:rPr>
          <w:rFonts w:hint="eastAsia"/>
          <w:kern w:val="0"/>
          <w:sz w:val="24"/>
        </w:rPr>
        <w:t>岛津VP-ODS色谱柱 150</w:t>
      </w:r>
      <w:r>
        <w:rPr>
          <w:kern w:val="0"/>
          <w:sz w:val="24"/>
        </w:rPr>
        <w:t>×4.6mm</w:t>
      </w:r>
      <w:r>
        <w:rPr>
          <w:rFonts w:hint="eastAsia"/>
          <w:kern w:val="0"/>
          <w:sz w:val="24"/>
        </w:rPr>
        <w:t>进行了考察，流动相条件0.4%磷酸水-甲醇（65：35），柱温40</w:t>
      </w:r>
      <w:r>
        <w:rPr>
          <w:kern w:val="0"/>
          <w:sz w:val="24"/>
        </w:rPr>
        <w:t>℃，</w:t>
      </w:r>
      <w:r>
        <w:rPr>
          <w:rFonts w:hint="eastAsia"/>
          <w:kern w:val="0"/>
          <w:sz w:val="24"/>
        </w:rPr>
        <w:t>流速1.0ml/min，检测波长332nm。结果显示岛津VP-ODS色谱柱对芫花素的分离效果较好。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12.1.2流动相条件的优化：取芫花素对照品溶液和样品（20190401）提取液，以</w:t>
      </w:r>
      <w:r>
        <w:rPr>
          <w:kern w:val="0"/>
          <w:sz w:val="24"/>
        </w:rPr>
        <w:t>色谱柱：</w:t>
      </w:r>
      <w:r>
        <w:rPr>
          <w:rFonts w:hint="eastAsia"/>
          <w:kern w:val="0"/>
          <w:sz w:val="24"/>
        </w:rPr>
        <w:t>VP-ODS 150</w:t>
      </w:r>
      <w:r>
        <w:rPr>
          <w:kern w:val="0"/>
          <w:sz w:val="24"/>
        </w:rPr>
        <w:t>×4.6mm色谱柱；检测波长：332nm；流速：1.0mL/min；柱温：40℃</w:t>
      </w:r>
      <w:r>
        <w:rPr>
          <w:rFonts w:hint="eastAsia"/>
          <w:kern w:val="0"/>
          <w:sz w:val="24"/>
        </w:rPr>
        <w:t>为基础条件，对流动相条件进行优化</w:t>
      </w:r>
      <w:r>
        <w:rPr>
          <w:kern w:val="0"/>
          <w:sz w:val="24"/>
        </w:rPr>
        <w:t>。</w:t>
      </w:r>
      <w:r>
        <w:rPr>
          <w:rFonts w:hint="eastAsia"/>
          <w:kern w:val="0"/>
          <w:sz w:val="24"/>
        </w:rPr>
        <w:t>分别对0.4%磷酸水-甲醇（30：70），0.4%磷酸水-甲醇（28：72），0.4%磷酸水-甲醇（38：62）进行了考察，结果显示0.4%磷酸水-甲醇（38：62）对芫花素的分离效果较好，保留时间短。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以优化后的的色谱条件（岛津VP-ODS 150</w:t>
      </w:r>
      <w:r>
        <w:rPr>
          <w:kern w:val="0"/>
          <w:sz w:val="24"/>
        </w:rPr>
        <w:t>×4.6mm色谱柱；</w:t>
      </w:r>
      <w:r>
        <w:rPr>
          <w:rFonts w:hint="eastAsia"/>
          <w:kern w:val="0"/>
          <w:sz w:val="24"/>
        </w:rPr>
        <w:t>流动相为0.4%磷酸水-乙醇（38：62）</w:t>
      </w:r>
      <w:r>
        <w:rPr>
          <w:kern w:val="0"/>
          <w:sz w:val="24"/>
        </w:rPr>
        <w:t>；</w:t>
      </w:r>
      <w:r>
        <w:rPr>
          <w:rFonts w:hint="eastAsia"/>
          <w:kern w:val="0"/>
          <w:sz w:val="24"/>
        </w:rPr>
        <w:t>流速1.0ml/min；</w:t>
      </w:r>
      <w:r>
        <w:rPr>
          <w:kern w:val="0"/>
          <w:sz w:val="24"/>
        </w:rPr>
        <w:t>检测波长：332nm；</w:t>
      </w:r>
      <w:r>
        <w:rPr>
          <w:rFonts w:hint="eastAsia"/>
          <w:kern w:val="0"/>
          <w:sz w:val="24"/>
        </w:rPr>
        <w:t>柱</w:t>
      </w:r>
      <w:r>
        <w:rPr>
          <w:kern w:val="0"/>
          <w:sz w:val="24"/>
        </w:rPr>
        <w:t>温：40℃）</w:t>
      </w:r>
      <w:r>
        <w:rPr>
          <w:rFonts w:hint="eastAsia"/>
          <w:kern w:val="0"/>
          <w:sz w:val="24"/>
        </w:rPr>
        <w:t>，分别对空白溶剂（甲醇）、对照品溶液和样品溶液（批号201904001）进行进样分析，结果显示芫花素在样品中得到了较好的分离，理论塔板数为5248，分离度为7.19，溶剂对样品无干扰。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drawing>
          <wp:inline distT="0" distB="0" distL="0" distR="0">
            <wp:extent cx="4572000" cy="2215515"/>
            <wp:effectExtent l="19050" t="0" r="0" b="0"/>
            <wp:docPr id="68" name="图片 68" descr="C:\Users\lenovo\Desktop\空白.jpeg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lenovo\Desktop\空白.jpeg.jpeg"/>
                    <pic:cNvPicPr>
                      <a:picLocks noChangeAspect="true" noChangeArrowheads="true"/>
                    </pic:cNvPicPr>
                  </pic:nvPicPr>
                  <pic:blipFill>
                    <a:blip r:embed="rId32" cstate="print"/>
                    <a:srcRect l="8945" t="38934" r="4266" b="305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drawing>
          <wp:inline distT="0" distB="0" distL="0" distR="0">
            <wp:extent cx="4487545" cy="2145030"/>
            <wp:effectExtent l="19050" t="0" r="8255" b="0"/>
            <wp:docPr id="75" name="图片 75" descr="C:\Users\lenovo\Desktop\对照品2.jpeg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lenovo\Desktop\对照品2.jpeg.jpeg"/>
                    <pic:cNvPicPr>
                      <a:picLocks noChangeAspect="true" noChangeArrowheads="true"/>
                    </pic:cNvPicPr>
                  </pic:nvPicPr>
                  <pic:blipFill>
                    <a:blip r:embed="rId33" cstate="print"/>
                    <a:srcRect l="8943" t="31650" r="4279" b="38155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kern w:val="0"/>
          <w:sz w:val="24"/>
        </w:rPr>
      </w:pPr>
      <w:r>
        <w:rPr>
          <w:kern w:val="0"/>
          <w:sz w:val="24"/>
        </w:rPr>
        <w:drawing>
          <wp:inline distT="0" distB="0" distL="0" distR="0">
            <wp:extent cx="4526915" cy="2131695"/>
            <wp:effectExtent l="0" t="0" r="6985" b="1905"/>
            <wp:docPr id="433" name="图片 433" descr="样品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3" descr="样品2"/>
                    <pic:cNvPicPr>
                      <a:picLocks noChangeAspect="true" noChangeArrowheads="true"/>
                    </pic:cNvPicPr>
                  </pic:nvPicPr>
                  <pic:blipFill>
                    <a:blip r:embed="rId34"/>
                    <a:srcRect l="5893" t="30186" r="9991" b="40390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 xml:space="preserve">.2  </w:t>
      </w:r>
      <w:r>
        <w:rPr>
          <w:rFonts w:hAnsi="宋体"/>
          <w:kern w:val="0"/>
          <w:sz w:val="24"/>
        </w:rPr>
        <w:t>提取方法考察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.2.2</w:t>
      </w:r>
      <w:r>
        <w:rPr>
          <w:rFonts w:hAnsi="宋体"/>
          <w:kern w:val="0"/>
          <w:sz w:val="24"/>
        </w:rPr>
        <w:t>提取溶剂考察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药材粉末（20190</w:t>
      </w:r>
      <w:r>
        <w:rPr>
          <w:rFonts w:hint="eastAsia" w:hAnsi="宋体"/>
          <w:kern w:val="0"/>
          <w:sz w:val="24"/>
        </w:rPr>
        <w:t>4</w:t>
      </w:r>
      <w:r>
        <w:rPr>
          <w:rFonts w:hAnsi="宋体"/>
          <w:kern w:val="0"/>
          <w:sz w:val="24"/>
        </w:rPr>
        <w:t>0</w:t>
      </w:r>
      <w:r>
        <w:rPr>
          <w:rFonts w:hint="eastAsia" w:hAnsi="宋体"/>
          <w:kern w:val="0"/>
          <w:sz w:val="24"/>
        </w:rPr>
        <w:t>0</w:t>
      </w:r>
      <w:r>
        <w:rPr>
          <w:rFonts w:hAnsi="宋体"/>
          <w:kern w:val="0"/>
          <w:sz w:val="24"/>
        </w:rPr>
        <w:t>1，</w:t>
      </w:r>
      <w:r>
        <w:rPr>
          <w:rFonts w:hint="eastAsia" w:hAnsi="宋体"/>
          <w:kern w:val="0"/>
          <w:sz w:val="24"/>
        </w:rPr>
        <w:t>过二号筛</w:t>
      </w:r>
      <w:r>
        <w:rPr>
          <w:rFonts w:hAnsi="宋体"/>
          <w:kern w:val="0"/>
          <w:sz w:val="24"/>
        </w:rPr>
        <w:t>）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，共</w:t>
      </w:r>
      <w:r>
        <w:rPr>
          <w:kern w:val="0"/>
          <w:sz w:val="24"/>
        </w:rPr>
        <w:t>3</w:t>
      </w:r>
      <w:r>
        <w:rPr>
          <w:rFonts w:hAnsi="宋体"/>
          <w:kern w:val="0"/>
          <w:sz w:val="24"/>
        </w:rPr>
        <w:t>份，</w:t>
      </w:r>
      <w:r>
        <w:rPr>
          <w:rFonts w:hint="eastAsia" w:hAnsi="宋体"/>
          <w:kern w:val="0"/>
          <w:sz w:val="24"/>
        </w:rPr>
        <w:t>置具塞锥形瓶中，分别加入30%乙醇、50%乙醇和70%乙醇各50ml，称定重量，超声20分钟，</w:t>
      </w:r>
      <w:r>
        <w:rPr>
          <w:rFonts w:hAnsi="宋体"/>
          <w:kern w:val="0"/>
          <w:sz w:val="24"/>
        </w:rPr>
        <w:t>放冷，</w:t>
      </w:r>
      <w:r>
        <w:rPr>
          <w:rFonts w:hint="eastAsia" w:hAnsi="宋体"/>
          <w:kern w:val="0"/>
          <w:sz w:val="24"/>
        </w:rPr>
        <w:t>再称定重量，以提取溶剂补足减失的重量</w:t>
      </w:r>
      <w:r>
        <w:rPr>
          <w:rFonts w:hAnsi="宋体"/>
          <w:kern w:val="0"/>
          <w:sz w:val="24"/>
        </w:rPr>
        <w:t>。按</w:t>
      </w:r>
      <w:r>
        <w:rPr>
          <w:kern w:val="0"/>
          <w:sz w:val="24"/>
        </w:rPr>
        <w:t>5.1</w:t>
      </w:r>
      <w:r>
        <w:rPr>
          <w:rFonts w:hAnsi="宋体"/>
          <w:kern w:val="0"/>
          <w:sz w:val="24"/>
        </w:rPr>
        <w:t>中所用方法测定不同提取溶剂</w:t>
      </w:r>
      <w:r>
        <w:rPr>
          <w:rFonts w:hint="eastAsia" w:hAnsi="宋体"/>
          <w:kern w:val="0"/>
          <w:sz w:val="24"/>
        </w:rPr>
        <w:t>芫花素</w:t>
      </w:r>
      <w:r>
        <w:rPr>
          <w:rFonts w:hAnsi="宋体"/>
          <w:kern w:val="0"/>
          <w:sz w:val="24"/>
        </w:rPr>
        <w:t>的含量，记录峰面积值，</w:t>
      </w:r>
      <w:r>
        <w:rPr>
          <w:rFonts w:hint="eastAsia" w:hAnsi="宋体"/>
          <w:kern w:val="0"/>
          <w:sz w:val="24"/>
        </w:rPr>
        <w:t>计算样品中芫花素含量，</w:t>
      </w:r>
      <w:r>
        <w:rPr>
          <w:rFonts w:hAnsi="宋体"/>
          <w:kern w:val="0"/>
          <w:sz w:val="24"/>
        </w:rPr>
        <w:t>结果见表</w:t>
      </w:r>
      <w:r>
        <w:rPr>
          <w:kern w:val="0"/>
          <w:sz w:val="24"/>
        </w:rPr>
        <w:t>5</w:t>
      </w:r>
      <w:r>
        <w:rPr>
          <w:rFonts w:hAnsi="宋体"/>
          <w:kern w:val="0"/>
          <w:sz w:val="24"/>
        </w:rPr>
        <w:t>。结果表明：</w:t>
      </w:r>
      <w:r>
        <w:rPr>
          <w:kern w:val="0"/>
          <w:sz w:val="24"/>
        </w:rPr>
        <w:t>50%</w:t>
      </w:r>
      <w:r>
        <w:rPr>
          <w:rFonts w:hAnsi="宋体"/>
          <w:kern w:val="0"/>
          <w:sz w:val="24"/>
        </w:rPr>
        <w:t>乙醇</w:t>
      </w:r>
      <w:r>
        <w:rPr>
          <w:rFonts w:hint="eastAsia" w:hAnsi="宋体"/>
          <w:kern w:val="0"/>
          <w:sz w:val="24"/>
        </w:rPr>
        <w:t>对沉香叶药材中芫花素的提取率最高</w:t>
      </w:r>
      <w:r>
        <w:rPr>
          <w:rFonts w:hAnsi="宋体"/>
          <w:kern w:val="0"/>
          <w:sz w:val="24"/>
        </w:rPr>
        <w:t>，故确定</w:t>
      </w:r>
      <w:r>
        <w:rPr>
          <w:kern w:val="0"/>
          <w:sz w:val="24"/>
        </w:rPr>
        <w:t>50%</w:t>
      </w:r>
      <w:r>
        <w:rPr>
          <w:rFonts w:hAnsi="宋体"/>
          <w:kern w:val="0"/>
          <w:sz w:val="24"/>
        </w:rPr>
        <w:t>乙醇为最佳提取溶剂。</w:t>
      </w:r>
    </w:p>
    <w:p>
      <w:pPr>
        <w:widowControl/>
        <w:spacing w:line="360" w:lineRule="auto"/>
        <w:jc w:val="left"/>
        <w:rPr>
          <w:rFonts w:eastAsia="黑体"/>
          <w:kern w:val="0"/>
          <w:sz w:val="24"/>
          <w:szCs w:val="21"/>
        </w:rPr>
      </w:pP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</w:rPr>
        <w:t>6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Ansi="黑体" w:eastAsia="黑体"/>
          <w:kern w:val="0"/>
          <w:sz w:val="24"/>
          <w:szCs w:val="21"/>
        </w:rPr>
        <w:t>不同提取溶剂比较</w:t>
      </w:r>
    </w:p>
    <w:tbl>
      <w:tblPr>
        <w:tblStyle w:val="9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221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溶剂</w:t>
            </w:r>
          </w:p>
        </w:tc>
        <w:tc>
          <w:tcPr>
            <w:tcW w:w="2210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芫花素含量mg/g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30%</w:t>
            </w:r>
            <w:r>
              <w:rPr>
                <w:rFonts w:hAnsi="宋体"/>
                <w:kern w:val="0"/>
                <w:sz w:val="24"/>
              </w:rPr>
              <w:t>乙醇</w:t>
            </w:r>
          </w:p>
        </w:tc>
        <w:tc>
          <w:tcPr>
            <w:tcW w:w="2210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50%</w:t>
            </w:r>
            <w:r>
              <w:rPr>
                <w:rFonts w:hAnsi="宋体"/>
                <w:kern w:val="0"/>
                <w:sz w:val="24"/>
              </w:rPr>
              <w:t>乙醇</w:t>
            </w:r>
          </w:p>
        </w:tc>
        <w:tc>
          <w:tcPr>
            <w:tcW w:w="2210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0.99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70%</w:t>
            </w:r>
            <w:r>
              <w:rPr>
                <w:rFonts w:hAnsi="宋体"/>
                <w:kern w:val="0"/>
                <w:sz w:val="24"/>
              </w:rPr>
              <w:t>乙醇</w:t>
            </w:r>
          </w:p>
        </w:tc>
        <w:tc>
          <w:tcPr>
            <w:tcW w:w="2210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90%</w:t>
            </w:r>
            <w:r>
              <w:rPr>
                <w:rFonts w:hint="eastAsia"/>
                <w:kern w:val="0"/>
                <w:sz w:val="24"/>
              </w:rPr>
              <w:t>乙醇</w:t>
            </w:r>
          </w:p>
        </w:tc>
        <w:tc>
          <w:tcPr>
            <w:tcW w:w="2210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0.53</w:t>
            </w: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.2.3</w:t>
      </w:r>
      <w:r>
        <w:rPr>
          <w:rFonts w:hint="eastAsia" w:hAnsi="宋体"/>
          <w:kern w:val="0"/>
          <w:sz w:val="24"/>
        </w:rPr>
        <w:t>溶剂用量的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药材粉末（20190</w:t>
      </w:r>
      <w:r>
        <w:rPr>
          <w:rFonts w:hint="eastAsia" w:hAnsi="宋体"/>
          <w:kern w:val="0"/>
          <w:sz w:val="24"/>
        </w:rPr>
        <w:t>4</w:t>
      </w:r>
      <w:r>
        <w:rPr>
          <w:rFonts w:hAnsi="宋体"/>
          <w:kern w:val="0"/>
          <w:sz w:val="24"/>
        </w:rPr>
        <w:t>0</w:t>
      </w:r>
      <w:r>
        <w:rPr>
          <w:rFonts w:hint="eastAsia" w:hAnsi="宋体"/>
          <w:kern w:val="0"/>
          <w:sz w:val="24"/>
        </w:rPr>
        <w:t>0</w:t>
      </w:r>
      <w:r>
        <w:rPr>
          <w:rFonts w:hAnsi="宋体"/>
          <w:kern w:val="0"/>
          <w:sz w:val="24"/>
        </w:rPr>
        <w:t>1，</w:t>
      </w:r>
      <w:r>
        <w:rPr>
          <w:rFonts w:hint="eastAsia" w:hAnsi="宋体"/>
          <w:kern w:val="0"/>
          <w:sz w:val="24"/>
        </w:rPr>
        <w:t>过二号筛</w:t>
      </w:r>
      <w:r>
        <w:rPr>
          <w:rFonts w:hAnsi="宋体"/>
          <w:kern w:val="0"/>
          <w:sz w:val="24"/>
        </w:rPr>
        <w:t>）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，共</w:t>
      </w:r>
      <w:r>
        <w:rPr>
          <w:kern w:val="0"/>
          <w:sz w:val="24"/>
        </w:rPr>
        <w:t>3</w:t>
      </w:r>
      <w:r>
        <w:rPr>
          <w:rFonts w:hAnsi="宋体"/>
          <w:kern w:val="0"/>
          <w:sz w:val="24"/>
        </w:rPr>
        <w:t>份，</w:t>
      </w:r>
      <w:r>
        <w:rPr>
          <w:rFonts w:hint="eastAsia" w:hAnsi="宋体"/>
          <w:kern w:val="0"/>
          <w:sz w:val="24"/>
        </w:rPr>
        <w:t>置具塞锥形瓶中，分别加入50%乙醇各20ml、50ml和100ml，称定重量，超声20分钟，</w:t>
      </w:r>
      <w:r>
        <w:rPr>
          <w:rFonts w:hAnsi="宋体"/>
          <w:kern w:val="0"/>
          <w:sz w:val="24"/>
        </w:rPr>
        <w:t>放冷，</w:t>
      </w:r>
      <w:r>
        <w:rPr>
          <w:rFonts w:hint="eastAsia" w:hAnsi="宋体"/>
          <w:kern w:val="0"/>
          <w:sz w:val="24"/>
        </w:rPr>
        <w:t>再称定重量，以50%乙醇补足减失的重量</w:t>
      </w:r>
      <w:r>
        <w:rPr>
          <w:rFonts w:hAnsi="宋体"/>
          <w:kern w:val="0"/>
          <w:sz w:val="24"/>
        </w:rPr>
        <w:t>。按</w:t>
      </w:r>
      <w:r>
        <w:rPr>
          <w:kern w:val="0"/>
          <w:sz w:val="24"/>
        </w:rPr>
        <w:t>5.1</w:t>
      </w:r>
      <w:r>
        <w:rPr>
          <w:rFonts w:hAnsi="宋体"/>
          <w:kern w:val="0"/>
          <w:sz w:val="24"/>
        </w:rPr>
        <w:t>中所用方法测定不同提取溶剂</w:t>
      </w:r>
      <w:r>
        <w:rPr>
          <w:rFonts w:hint="eastAsia" w:hAnsi="宋体"/>
          <w:kern w:val="0"/>
          <w:sz w:val="24"/>
        </w:rPr>
        <w:t>芫花素</w:t>
      </w:r>
      <w:r>
        <w:rPr>
          <w:rFonts w:hAnsi="宋体"/>
          <w:kern w:val="0"/>
          <w:sz w:val="24"/>
        </w:rPr>
        <w:t>的含量，记录峰面积值，</w:t>
      </w:r>
      <w:r>
        <w:rPr>
          <w:rFonts w:hint="eastAsia" w:hAnsi="宋体"/>
          <w:kern w:val="0"/>
          <w:sz w:val="24"/>
        </w:rPr>
        <w:t>计算样品中芫花素含量，</w:t>
      </w:r>
      <w:r>
        <w:rPr>
          <w:rFonts w:hAnsi="宋体"/>
          <w:kern w:val="0"/>
          <w:sz w:val="24"/>
        </w:rPr>
        <w:t>结果见表</w:t>
      </w:r>
      <w:r>
        <w:rPr>
          <w:kern w:val="0"/>
          <w:sz w:val="24"/>
        </w:rPr>
        <w:t>6</w:t>
      </w:r>
      <w:r>
        <w:rPr>
          <w:rFonts w:hAnsi="宋体"/>
          <w:kern w:val="0"/>
          <w:sz w:val="24"/>
        </w:rPr>
        <w:t>。结果表明：</w:t>
      </w:r>
      <w:r>
        <w:rPr>
          <w:rFonts w:hint="eastAsia" w:hAnsi="宋体"/>
          <w:kern w:val="0"/>
          <w:sz w:val="24"/>
        </w:rPr>
        <w:t>溶剂用量为50ml时，测定的样品中芫花素含量最高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因此</w:t>
      </w:r>
      <w:r>
        <w:rPr>
          <w:rFonts w:hAnsi="宋体"/>
          <w:kern w:val="0"/>
          <w:sz w:val="24"/>
        </w:rPr>
        <w:t>确定</w:t>
      </w:r>
      <w:r>
        <w:rPr>
          <w:rFonts w:hint="eastAsia" w:hAnsi="宋体"/>
          <w:kern w:val="0"/>
          <w:sz w:val="24"/>
        </w:rPr>
        <w:t>最佳溶剂用量为50ml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</w:rPr>
        <w:t>7</w:t>
      </w:r>
      <w:r>
        <w:rPr>
          <w:rFonts w:hAnsi="黑体" w:eastAsia="黑体"/>
          <w:kern w:val="0"/>
          <w:sz w:val="24"/>
          <w:szCs w:val="21"/>
        </w:rPr>
        <w:t>溶剂</w:t>
      </w:r>
      <w:r>
        <w:rPr>
          <w:rFonts w:hint="eastAsia" w:hAnsi="黑体" w:eastAsia="黑体"/>
          <w:kern w:val="0"/>
          <w:sz w:val="24"/>
          <w:szCs w:val="21"/>
        </w:rPr>
        <w:t>用量考察</w:t>
      </w:r>
    </w:p>
    <w:tbl>
      <w:tblPr>
        <w:tblStyle w:val="9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8"/>
        <w:gridCol w:w="221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溶剂用量</w:t>
            </w:r>
          </w:p>
        </w:tc>
        <w:tc>
          <w:tcPr>
            <w:tcW w:w="2210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芫花素含量mg/g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</w:t>
            </w:r>
            <w:r>
              <w:rPr>
                <w:rFonts w:hint="eastAsia"/>
                <w:kern w:val="0"/>
                <w:sz w:val="24"/>
              </w:rPr>
              <w:t>ml</w:t>
            </w:r>
          </w:p>
        </w:tc>
        <w:tc>
          <w:tcPr>
            <w:tcW w:w="2210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</w:t>
            </w:r>
            <w:r>
              <w:rPr>
                <w:rFonts w:hint="eastAsia"/>
                <w:kern w:val="0"/>
                <w:sz w:val="24"/>
              </w:rPr>
              <w:t>ml</w:t>
            </w:r>
          </w:p>
        </w:tc>
        <w:tc>
          <w:tcPr>
            <w:tcW w:w="2210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</w:t>
            </w:r>
            <w:r>
              <w:rPr>
                <w:rFonts w:hint="eastAsia"/>
                <w:kern w:val="0"/>
                <w:sz w:val="24"/>
              </w:rPr>
              <w:t>ml</w:t>
            </w:r>
          </w:p>
        </w:tc>
        <w:tc>
          <w:tcPr>
            <w:tcW w:w="2210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0.91</w:t>
            </w:r>
          </w:p>
        </w:tc>
      </w:tr>
    </w:tbl>
    <w:p>
      <w:pPr>
        <w:widowControl/>
        <w:spacing w:line="360" w:lineRule="auto"/>
        <w:ind w:firstLine="480" w:firstLineChars="200"/>
        <w:jc w:val="center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.2.4</w:t>
      </w:r>
      <w:r>
        <w:rPr>
          <w:rFonts w:hint="eastAsia" w:hAnsi="宋体"/>
          <w:kern w:val="0"/>
          <w:sz w:val="24"/>
        </w:rPr>
        <w:t>提取时间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沉香叶</w:t>
      </w:r>
      <w:r>
        <w:rPr>
          <w:rFonts w:hAnsi="宋体"/>
          <w:kern w:val="0"/>
          <w:sz w:val="24"/>
        </w:rPr>
        <w:t>药材粉末（20190</w:t>
      </w:r>
      <w:r>
        <w:rPr>
          <w:rFonts w:hint="eastAsia" w:hAnsi="宋体"/>
          <w:kern w:val="0"/>
          <w:sz w:val="24"/>
        </w:rPr>
        <w:t>4</w:t>
      </w:r>
      <w:r>
        <w:rPr>
          <w:rFonts w:hAnsi="宋体"/>
          <w:kern w:val="0"/>
          <w:sz w:val="24"/>
        </w:rPr>
        <w:t>0</w:t>
      </w:r>
      <w:r>
        <w:rPr>
          <w:rFonts w:hint="eastAsia" w:hAnsi="宋体"/>
          <w:kern w:val="0"/>
          <w:sz w:val="24"/>
        </w:rPr>
        <w:t>0</w:t>
      </w:r>
      <w:r>
        <w:rPr>
          <w:rFonts w:hAnsi="宋体"/>
          <w:kern w:val="0"/>
          <w:sz w:val="24"/>
        </w:rPr>
        <w:t>1，</w:t>
      </w:r>
      <w:r>
        <w:rPr>
          <w:rFonts w:hint="eastAsia" w:hAnsi="宋体"/>
          <w:kern w:val="0"/>
          <w:sz w:val="24"/>
        </w:rPr>
        <w:t>过二号筛</w:t>
      </w:r>
      <w:r>
        <w:rPr>
          <w:rFonts w:hAnsi="宋体"/>
          <w:kern w:val="0"/>
          <w:sz w:val="24"/>
        </w:rPr>
        <w:t>）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，共</w:t>
      </w:r>
      <w:r>
        <w:rPr>
          <w:kern w:val="0"/>
          <w:sz w:val="24"/>
        </w:rPr>
        <w:t>3</w:t>
      </w:r>
      <w:r>
        <w:rPr>
          <w:rFonts w:hAnsi="宋体"/>
          <w:kern w:val="0"/>
          <w:sz w:val="24"/>
        </w:rPr>
        <w:t>份，</w:t>
      </w:r>
      <w:r>
        <w:rPr>
          <w:rFonts w:hint="eastAsia" w:hAnsi="宋体"/>
          <w:kern w:val="0"/>
          <w:sz w:val="24"/>
        </w:rPr>
        <w:t>置具塞锥形瓶中，分别加入50%乙醇各50ml，称定重量，分别超声10分钟、20分钟和30分钟，</w:t>
      </w:r>
      <w:r>
        <w:rPr>
          <w:rFonts w:hAnsi="宋体"/>
          <w:kern w:val="0"/>
          <w:sz w:val="24"/>
        </w:rPr>
        <w:t>放冷，</w:t>
      </w:r>
      <w:r>
        <w:rPr>
          <w:rFonts w:hint="eastAsia" w:hAnsi="宋体"/>
          <w:kern w:val="0"/>
          <w:sz w:val="24"/>
        </w:rPr>
        <w:t>再称定重量，以50%乙醇补足减失的重量</w:t>
      </w:r>
      <w:r>
        <w:rPr>
          <w:rFonts w:hAnsi="宋体"/>
          <w:kern w:val="0"/>
          <w:sz w:val="24"/>
        </w:rPr>
        <w:t>。按</w:t>
      </w:r>
      <w:r>
        <w:rPr>
          <w:kern w:val="0"/>
          <w:sz w:val="24"/>
        </w:rPr>
        <w:t>5.1</w:t>
      </w:r>
      <w:r>
        <w:rPr>
          <w:rFonts w:hAnsi="宋体"/>
          <w:kern w:val="0"/>
          <w:sz w:val="24"/>
        </w:rPr>
        <w:t>中所用方法测定不同提取溶剂</w:t>
      </w:r>
      <w:r>
        <w:rPr>
          <w:rFonts w:hint="eastAsia" w:hAnsi="宋体"/>
          <w:kern w:val="0"/>
          <w:sz w:val="24"/>
        </w:rPr>
        <w:t>芫花素</w:t>
      </w:r>
      <w:r>
        <w:rPr>
          <w:rFonts w:hAnsi="宋体"/>
          <w:kern w:val="0"/>
          <w:sz w:val="24"/>
        </w:rPr>
        <w:t>的含量，记录峰面积值，</w:t>
      </w:r>
      <w:r>
        <w:rPr>
          <w:rFonts w:hint="eastAsia" w:hAnsi="宋体"/>
          <w:kern w:val="0"/>
          <w:sz w:val="24"/>
        </w:rPr>
        <w:t>计算样品中芫花素含量，</w:t>
      </w:r>
      <w:r>
        <w:rPr>
          <w:rFonts w:hAnsi="宋体"/>
          <w:kern w:val="0"/>
          <w:sz w:val="24"/>
        </w:rPr>
        <w:t>结果见表</w:t>
      </w:r>
      <w:r>
        <w:rPr>
          <w:rFonts w:hint="eastAsia"/>
          <w:kern w:val="0"/>
          <w:sz w:val="24"/>
        </w:rPr>
        <w:t>8</w:t>
      </w:r>
      <w:r>
        <w:rPr>
          <w:rFonts w:hAnsi="宋体"/>
          <w:kern w:val="0"/>
          <w:sz w:val="24"/>
        </w:rPr>
        <w:t>。结果表明</w:t>
      </w:r>
      <w:r>
        <w:rPr>
          <w:rFonts w:hint="eastAsia" w:hAnsi="宋体"/>
          <w:kern w:val="0"/>
          <w:sz w:val="24"/>
        </w:rPr>
        <w:t>超声30分钟时，沉香叶药材中芫花素的含量最高</w:t>
      </w:r>
      <w:r>
        <w:rPr>
          <w:rFonts w:hAnsi="宋体"/>
          <w:kern w:val="0"/>
          <w:sz w:val="24"/>
        </w:rPr>
        <w:t>，故确定</w:t>
      </w:r>
      <w:r>
        <w:rPr>
          <w:rFonts w:hint="eastAsia" w:hAnsi="宋体"/>
          <w:kern w:val="0"/>
          <w:sz w:val="24"/>
        </w:rPr>
        <w:t>超声提取时间</w:t>
      </w:r>
      <w:r>
        <w:rPr>
          <w:rFonts w:hAnsi="宋体"/>
          <w:kern w:val="0"/>
          <w:sz w:val="24"/>
        </w:rPr>
        <w:t>为</w:t>
      </w:r>
      <w:r>
        <w:rPr>
          <w:rFonts w:hint="eastAsia" w:hAnsi="宋体"/>
          <w:kern w:val="0"/>
          <w:sz w:val="24"/>
        </w:rPr>
        <w:t>3</w:t>
      </w:r>
      <w:r>
        <w:rPr>
          <w:kern w:val="0"/>
          <w:sz w:val="24"/>
        </w:rPr>
        <w:t>0</w:t>
      </w:r>
      <w:r>
        <w:rPr>
          <w:rFonts w:hint="eastAsia"/>
          <w:kern w:val="0"/>
          <w:sz w:val="24"/>
        </w:rPr>
        <w:t>分钟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</w:rPr>
        <w:t>8</w:t>
      </w:r>
      <w:r>
        <w:rPr>
          <w:rFonts w:hint="eastAsia" w:hAnsi="黑体" w:eastAsia="黑体"/>
          <w:kern w:val="0"/>
          <w:sz w:val="24"/>
          <w:szCs w:val="21"/>
        </w:rPr>
        <w:t>提取时间考察</w:t>
      </w:r>
    </w:p>
    <w:tbl>
      <w:tblPr>
        <w:tblStyle w:val="9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221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6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时间</w:t>
            </w:r>
          </w:p>
        </w:tc>
        <w:tc>
          <w:tcPr>
            <w:tcW w:w="2210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芫花素含量mg/g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6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</w:t>
            </w:r>
            <w:r>
              <w:rPr>
                <w:rFonts w:hint="eastAsia"/>
                <w:kern w:val="0"/>
                <w:sz w:val="24"/>
              </w:rPr>
              <w:t>分钟</w:t>
            </w:r>
          </w:p>
        </w:tc>
        <w:tc>
          <w:tcPr>
            <w:tcW w:w="2210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6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</w:t>
            </w:r>
            <w:r>
              <w:rPr>
                <w:rFonts w:hint="eastAsia"/>
                <w:kern w:val="0"/>
                <w:sz w:val="24"/>
              </w:rPr>
              <w:t>分钟</w:t>
            </w:r>
          </w:p>
        </w:tc>
        <w:tc>
          <w:tcPr>
            <w:tcW w:w="2210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1.04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6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</w:t>
            </w:r>
            <w:r>
              <w:rPr>
                <w:rFonts w:hint="eastAsia"/>
                <w:kern w:val="0"/>
                <w:sz w:val="24"/>
              </w:rPr>
              <w:t>分钟</w:t>
            </w:r>
          </w:p>
        </w:tc>
        <w:tc>
          <w:tcPr>
            <w:tcW w:w="2210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1.</w:t>
            </w:r>
            <w:r>
              <w:rPr>
                <w:rFonts w:hint="eastAsia"/>
                <w:kern w:val="0"/>
                <w:sz w:val="24"/>
              </w:rPr>
              <w:t>09</w:t>
            </w:r>
          </w:p>
        </w:tc>
      </w:tr>
    </w:tbl>
    <w:p>
      <w:pPr>
        <w:widowControl/>
        <w:spacing w:line="360" w:lineRule="auto"/>
        <w:ind w:firstLine="480" w:firstLineChars="200"/>
        <w:jc w:val="center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 xml:space="preserve">.4  </w:t>
      </w:r>
      <w:r>
        <w:rPr>
          <w:rFonts w:hint="eastAsia" w:hAnsi="宋体"/>
          <w:kern w:val="0"/>
          <w:sz w:val="24"/>
        </w:rPr>
        <w:t>芫花素的方法学考察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.4.1</w:t>
      </w:r>
      <w:r>
        <w:rPr>
          <w:rFonts w:hint="eastAsia" w:hAnsi="宋体"/>
          <w:kern w:val="0"/>
          <w:sz w:val="24"/>
        </w:rPr>
        <w:t>溶液</w:t>
      </w:r>
      <w:r>
        <w:rPr>
          <w:rFonts w:hAnsi="宋体"/>
          <w:kern w:val="0"/>
          <w:sz w:val="24"/>
        </w:rPr>
        <w:t>的制备</w:t>
      </w:r>
    </w:p>
    <w:p>
      <w:pPr>
        <w:widowControl/>
        <w:adjustRightInd w:val="0"/>
        <w:spacing w:line="360" w:lineRule="auto"/>
        <w:ind w:firstLine="481" w:firstLineChars="200"/>
        <w:jc w:val="left"/>
        <w:rPr>
          <w:kern w:val="0"/>
          <w:sz w:val="24"/>
        </w:rPr>
      </w:pPr>
      <w:r>
        <w:rPr>
          <w:rFonts w:hAnsi="宋体"/>
          <w:b/>
          <w:kern w:val="0"/>
          <w:sz w:val="24"/>
        </w:rPr>
        <w:t>对照品溶液的制备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芫花素</w:t>
      </w:r>
      <w:r>
        <w:rPr>
          <w:rFonts w:hAnsi="宋体"/>
          <w:kern w:val="0"/>
          <w:sz w:val="24"/>
        </w:rPr>
        <w:t>对照品适量，精密称定，加甲醇制成每</w:t>
      </w:r>
      <w:r>
        <w:rPr>
          <w:kern w:val="0"/>
          <w:sz w:val="24"/>
        </w:rPr>
        <w:t>1ml</w:t>
      </w:r>
      <w:r>
        <w:rPr>
          <w:rFonts w:hAnsi="宋体"/>
          <w:kern w:val="0"/>
          <w:sz w:val="24"/>
        </w:rPr>
        <w:t>含</w:t>
      </w:r>
      <w:r>
        <w:rPr>
          <w:kern w:val="0"/>
          <w:sz w:val="24"/>
        </w:rPr>
        <w:t>0.0</w:t>
      </w:r>
      <w:r>
        <w:rPr>
          <w:rFonts w:hint="eastAsia"/>
          <w:kern w:val="0"/>
          <w:sz w:val="24"/>
        </w:rPr>
        <w:t>22m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的溶液，即得。</w:t>
      </w:r>
    </w:p>
    <w:p>
      <w:pPr>
        <w:widowControl/>
        <w:adjustRightInd w:val="0"/>
        <w:spacing w:line="360" w:lineRule="auto"/>
        <w:ind w:firstLine="481" w:firstLineChars="200"/>
        <w:jc w:val="left"/>
        <w:rPr>
          <w:kern w:val="0"/>
          <w:sz w:val="24"/>
        </w:rPr>
      </w:pPr>
      <w:r>
        <w:rPr>
          <w:rFonts w:hAnsi="宋体"/>
          <w:b/>
          <w:kern w:val="0"/>
          <w:sz w:val="24"/>
        </w:rPr>
        <w:t>供试品溶液的制备</w:t>
      </w:r>
      <w:r>
        <w:rPr>
          <w:rFonts w:hAnsi="宋体"/>
          <w:kern w:val="0"/>
          <w:sz w:val="24"/>
        </w:rPr>
        <w:t>取本品粉末（过二号筛）约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，精密称定，置具塞锥形瓶中，加入</w:t>
      </w:r>
      <w:r>
        <w:rPr>
          <w:kern w:val="0"/>
          <w:sz w:val="24"/>
        </w:rPr>
        <w:t>50%</w:t>
      </w:r>
      <w:r>
        <w:rPr>
          <w:rFonts w:hAnsi="宋体"/>
          <w:kern w:val="0"/>
          <w:sz w:val="24"/>
        </w:rPr>
        <w:t>乙醇</w:t>
      </w:r>
      <w:r>
        <w:rPr>
          <w:kern w:val="0"/>
          <w:sz w:val="24"/>
        </w:rPr>
        <w:t>50ml</w:t>
      </w:r>
      <w:r>
        <w:rPr>
          <w:rFonts w:hAnsi="宋体"/>
          <w:kern w:val="0"/>
          <w:sz w:val="24"/>
        </w:rPr>
        <w:t>，密塞，称定重量，超声处理（功率</w:t>
      </w:r>
      <w:r>
        <w:rPr>
          <w:kern w:val="0"/>
          <w:sz w:val="24"/>
        </w:rPr>
        <w:t>250W</w:t>
      </w:r>
      <w:r>
        <w:rPr>
          <w:rFonts w:hAnsi="宋体"/>
          <w:kern w:val="0"/>
          <w:sz w:val="24"/>
        </w:rPr>
        <w:t>，频率</w:t>
      </w:r>
      <w:r>
        <w:rPr>
          <w:kern w:val="0"/>
          <w:sz w:val="24"/>
        </w:rPr>
        <w:t>40kHz</w:t>
      </w:r>
      <w:r>
        <w:rPr>
          <w:rFonts w:hAnsi="宋体"/>
          <w:kern w:val="0"/>
          <w:sz w:val="24"/>
        </w:rPr>
        <w:t>）</w:t>
      </w:r>
      <w:r>
        <w:rPr>
          <w:rFonts w:hint="eastAsia" w:hAnsi="宋体"/>
          <w:kern w:val="0"/>
          <w:sz w:val="24"/>
        </w:rPr>
        <w:t>3</w:t>
      </w:r>
      <w:r>
        <w:rPr>
          <w:kern w:val="0"/>
          <w:sz w:val="24"/>
        </w:rPr>
        <w:t>0</w:t>
      </w:r>
      <w:r>
        <w:rPr>
          <w:rFonts w:hAnsi="宋体"/>
          <w:kern w:val="0"/>
          <w:sz w:val="24"/>
        </w:rPr>
        <w:t>分钟，放冷，再称定重量，用</w:t>
      </w:r>
      <w:r>
        <w:rPr>
          <w:kern w:val="0"/>
          <w:sz w:val="24"/>
        </w:rPr>
        <w:t>50%</w:t>
      </w:r>
      <w:r>
        <w:rPr>
          <w:rFonts w:hAnsi="宋体"/>
          <w:kern w:val="0"/>
          <w:sz w:val="24"/>
        </w:rPr>
        <w:t>乙醇补足减失的重量，摇匀，滤过，取续滤液，即得。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.4.2</w:t>
      </w:r>
      <w:r>
        <w:rPr>
          <w:rFonts w:hAnsi="宋体"/>
          <w:kern w:val="0"/>
          <w:sz w:val="24"/>
        </w:rPr>
        <w:t>线性关系考察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取对照品</w:t>
      </w:r>
      <w:r>
        <w:rPr>
          <w:rFonts w:hint="eastAsia" w:hAnsi="宋体"/>
          <w:kern w:val="0"/>
          <w:sz w:val="24"/>
        </w:rPr>
        <w:t>溶液（0.022mg/ml）</w:t>
      </w:r>
      <w:r>
        <w:rPr>
          <w:rFonts w:hAnsi="宋体"/>
          <w:kern w:val="0"/>
          <w:sz w:val="24"/>
        </w:rPr>
        <w:t>，采用序列进样法依次进样</w:t>
      </w:r>
      <w:r>
        <w:rPr>
          <w:kern w:val="0"/>
          <w:sz w:val="24"/>
        </w:rPr>
        <w:t>2μL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4μL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6μL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8μL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10μL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12</w:t>
      </w:r>
      <w:bookmarkStart w:id="7" w:name="OLE_LINK5"/>
      <w:r>
        <w:rPr>
          <w:kern w:val="0"/>
          <w:sz w:val="24"/>
        </w:rPr>
        <w:t>μL</w:t>
      </w:r>
      <w:bookmarkEnd w:id="7"/>
      <w:r>
        <w:rPr>
          <w:rFonts w:hint="eastAsia"/>
          <w:kern w:val="0"/>
          <w:sz w:val="24"/>
        </w:rPr>
        <w:t>、14</w:t>
      </w:r>
      <w:r>
        <w:rPr>
          <w:kern w:val="0"/>
          <w:sz w:val="24"/>
        </w:rPr>
        <w:t>μL</w:t>
      </w:r>
      <w:r>
        <w:rPr>
          <w:rFonts w:hAnsi="宋体"/>
          <w:kern w:val="0"/>
          <w:sz w:val="24"/>
        </w:rPr>
        <w:t>，以进样量（</w:t>
      </w:r>
      <w:r>
        <w:rPr>
          <w:rFonts w:hint="eastAsia"/>
          <w:kern w:val="0"/>
          <w:sz w:val="24"/>
        </w:rPr>
        <w:t>n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）为横坐标，峰面积为纵坐标，绘制标准曲线。结果表明</w:t>
      </w:r>
      <w:r>
        <w:rPr>
          <w:rFonts w:hint="eastAsia" w:hAnsi="宋体"/>
          <w:kern w:val="0"/>
          <w:sz w:val="24"/>
        </w:rPr>
        <w:t>芫花素</w:t>
      </w:r>
      <w:r>
        <w:rPr>
          <w:rFonts w:hAnsi="宋体"/>
          <w:kern w:val="0"/>
          <w:sz w:val="24"/>
        </w:rPr>
        <w:t>在</w:t>
      </w:r>
      <w:r>
        <w:rPr>
          <w:rFonts w:hint="eastAsia"/>
          <w:kern w:val="0"/>
          <w:sz w:val="24"/>
        </w:rPr>
        <w:t>44</w:t>
      </w:r>
      <w:r>
        <w:rPr>
          <w:kern w:val="0"/>
          <w:sz w:val="24"/>
        </w:rPr>
        <w:t>~</w:t>
      </w:r>
      <w:r>
        <w:rPr>
          <w:rFonts w:hint="eastAsia"/>
          <w:kern w:val="0"/>
          <w:sz w:val="24"/>
        </w:rPr>
        <w:t>30</w:t>
      </w:r>
      <w:r>
        <w:rPr>
          <w:kern w:val="0"/>
          <w:sz w:val="24"/>
        </w:rPr>
        <w:t>8</w:t>
      </w:r>
      <w:r>
        <w:rPr>
          <w:rFonts w:hint="eastAsia"/>
          <w:kern w:val="0"/>
          <w:sz w:val="24"/>
        </w:rPr>
        <w:t>n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范围内线性关系良好，结果见表</w:t>
      </w:r>
      <w:r>
        <w:rPr>
          <w:rFonts w:hint="eastAsia"/>
          <w:kern w:val="0"/>
          <w:sz w:val="24"/>
        </w:rPr>
        <w:t>9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</w:rPr>
        <w:t>9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int="eastAsia" w:hAnsi="黑体" w:eastAsia="黑体"/>
          <w:kern w:val="0"/>
          <w:sz w:val="24"/>
          <w:szCs w:val="21"/>
        </w:rPr>
        <w:t>芫花素的</w:t>
      </w:r>
      <w:r>
        <w:rPr>
          <w:rFonts w:hAnsi="黑体" w:eastAsia="黑体"/>
          <w:kern w:val="0"/>
          <w:sz w:val="24"/>
          <w:szCs w:val="21"/>
        </w:rPr>
        <w:t>线性关系</w:t>
      </w:r>
    </w:p>
    <w:tbl>
      <w:tblPr>
        <w:tblStyle w:val="9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1"/>
        <w:gridCol w:w="1000"/>
        <w:gridCol w:w="977"/>
        <w:gridCol w:w="1054"/>
        <w:gridCol w:w="1054"/>
        <w:gridCol w:w="1054"/>
        <w:gridCol w:w="1111"/>
        <w:gridCol w:w="99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1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i/>
                <w:iCs/>
                <w:kern w:val="0"/>
                <w:szCs w:val="21"/>
              </w:rPr>
            </w:pPr>
            <w:r>
              <w:rPr>
                <w:rFonts w:hAnsi="宋体"/>
                <w:i/>
                <w:iCs/>
                <w:kern w:val="0"/>
                <w:szCs w:val="21"/>
              </w:rPr>
              <w:t>进样量</w:t>
            </w:r>
            <w:r>
              <w:rPr>
                <w:i/>
                <w:iCs/>
                <w:kern w:val="0"/>
                <w:szCs w:val="21"/>
              </w:rPr>
              <w:t>/</w:t>
            </w:r>
            <w:r>
              <w:rPr>
                <w:rFonts w:hint="eastAsia"/>
                <w:i/>
                <w:iCs/>
                <w:kern w:val="0"/>
                <w:szCs w:val="21"/>
              </w:rPr>
              <w:t>n</w:t>
            </w:r>
            <w:r>
              <w:rPr>
                <w:i/>
                <w:iCs/>
                <w:kern w:val="0"/>
                <w:szCs w:val="21"/>
              </w:rPr>
              <w:t>g</w:t>
            </w:r>
          </w:p>
        </w:tc>
        <w:tc>
          <w:tcPr>
            <w:tcW w:w="1000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i/>
                <w:iCs/>
                <w:kern w:val="0"/>
                <w:szCs w:val="21"/>
              </w:rPr>
            </w:pPr>
            <w:r>
              <w:rPr>
                <w:rFonts w:hint="eastAsia"/>
                <w:i/>
                <w:iCs/>
                <w:kern w:val="0"/>
                <w:szCs w:val="21"/>
              </w:rPr>
              <w:t>44</w:t>
            </w:r>
          </w:p>
        </w:tc>
        <w:tc>
          <w:tcPr>
            <w:tcW w:w="977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i/>
                <w:iCs/>
                <w:kern w:val="0"/>
                <w:szCs w:val="21"/>
              </w:rPr>
            </w:pPr>
            <w:r>
              <w:rPr>
                <w:rFonts w:hint="eastAsia"/>
                <w:i/>
                <w:iCs/>
                <w:kern w:val="0"/>
                <w:szCs w:val="21"/>
              </w:rPr>
              <w:t>88</w:t>
            </w:r>
          </w:p>
        </w:tc>
        <w:tc>
          <w:tcPr>
            <w:tcW w:w="1054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i/>
                <w:iCs/>
                <w:kern w:val="0"/>
                <w:szCs w:val="21"/>
              </w:rPr>
            </w:pPr>
            <w:r>
              <w:rPr>
                <w:rFonts w:hint="eastAsia"/>
                <w:i/>
                <w:iCs/>
                <w:kern w:val="0"/>
                <w:szCs w:val="21"/>
              </w:rPr>
              <w:t>132</w:t>
            </w:r>
          </w:p>
        </w:tc>
        <w:tc>
          <w:tcPr>
            <w:tcW w:w="1054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i/>
                <w:iCs/>
                <w:kern w:val="0"/>
                <w:szCs w:val="21"/>
              </w:rPr>
            </w:pPr>
            <w:r>
              <w:rPr>
                <w:rFonts w:hint="eastAsia"/>
                <w:i/>
                <w:iCs/>
                <w:kern w:val="0"/>
                <w:szCs w:val="21"/>
              </w:rPr>
              <w:t>176</w:t>
            </w:r>
          </w:p>
        </w:tc>
        <w:tc>
          <w:tcPr>
            <w:tcW w:w="1054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i/>
                <w:iCs/>
                <w:kern w:val="0"/>
                <w:szCs w:val="21"/>
              </w:rPr>
            </w:pPr>
            <w:r>
              <w:rPr>
                <w:rFonts w:hint="eastAsia"/>
                <w:i/>
                <w:iCs/>
                <w:kern w:val="0"/>
                <w:szCs w:val="21"/>
              </w:rPr>
              <w:t>220</w:t>
            </w:r>
          </w:p>
        </w:tc>
        <w:tc>
          <w:tcPr>
            <w:tcW w:w="1111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i/>
                <w:iCs/>
                <w:kern w:val="0"/>
                <w:szCs w:val="21"/>
              </w:rPr>
            </w:pPr>
            <w:r>
              <w:rPr>
                <w:rFonts w:hint="eastAsia"/>
                <w:i/>
                <w:iCs/>
                <w:kern w:val="0"/>
                <w:szCs w:val="21"/>
              </w:rPr>
              <w:t>264</w:t>
            </w:r>
          </w:p>
        </w:tc>
        <w:tc>
          <w:tcPr>
            <w:tcW w:w="995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left"/>
              <w:rPr>
                <w:i/>
                <w:iCs/>
                <w:kern w:val="0"/>
                <w:szCs w:val="21"/>
              </w:rPr>
            </w:pPr>
            <w:r>
              <w:rPr>
                <w:rFonts w:hint="eastAsia"/>
                <w:i/>
                <w:iCs/>
                <w:kern w:val="0"/>
                <w:szCs w:val="21"/>
              </w:rPr>
              <w:t>308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1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Ansi="宋体"/>
                <w:kern w:val="0"/>
                <w:szCs w:val="21"/>
              </w:rPr>
              <w:t>峰面积</w:t>
            </w:r>
          </w:p>
        </w:tc>
        <w:tc>
          <w:tcPr>
            <w:tcW w:w="1000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  <w:r>
              <w:rPr>
                <w:rFonts w:hint="eastAsia"/>
                <w:kern w:val="0"/>
                <w:szCs w:val="21"/>
              </w:rPr>
              <w:t>81177</w:t>
            </w:r>
          </w:p>
        </w:tc>
        <w:tc>
          <w:tcPr>
            <w:tcW w:w="977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381248</w:t>
            </w:r>
          </w:p>
        </w:tc>
        <w:tc>
          <w:tcPr>
            <w:tcW w:w="1054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573405</w:t>
            </w:r>
          </w:p>
        </w:tc>
        <w:tc>
          <w:tcPr>
            <w:tcW w:w="1054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765162</w:t>
            </w:r>
          </w:p>
        </w:tc>
        <w:tc>
          <w:tcPr>
            <w:tcW w:w="1054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960095</w:t>
            </w:r>
          </w:p>
        </w:tc>
        <w:tc>
          <w:tcPr>
            <w:tcW w:w="1111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1149248</w:t>
            </w:r>
          </w:p>
        </w:tc>
        <w:tc>
          <w:tcPr>
            <w:tcW w:w="995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1342445</w:t>
            </w:r>
          </w:p>
        </w:tc>
      </w:tr>
    </w:tbl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drawing>
          <wp:inline distT="0" distB="0" distL="0" distR="0">
            <wp:extent cx="5066665" cy="3048000"/>
            <wp:effectExtent l="4443" t="4443" r="14600" b="14599"/>
            <wp:docPr id="18" name="Chart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 xml:space="preserve">.4.3  </w:t>
      </w:r>
      <w:r>
        <w:rPr>
          <w:rFonts w:hAnsi="宋体"/>
          <w:kern w:val="0"/>
          <w:sz w:val="24"/>
        </w:rPr>
        <w:t>精密度考察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精密</w:t>
      </w:r>
      <w:r>
        <w:rPr>
          <w:rFonts w:hint="eastAsia" w:hAnsi="宋体"/>
          <w:kern w:val="0"/>
          <w:sz w:val="24"/>
        </w:rPr>
        <w:t>称取沉香叶药材粉末（20190401，过二号筛）1.0g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置具塞锥形瓶中，加入50%乙醇50ml，称定重量，超声提取30分钟，取出，放冷，以50%乙醇补足减失的重量，滤过，取续滤液</w:t>
      </w:r>
      <w:r>
        <w:rPr>
          <w:rFonts w:hAnsi="宋体"/>
          <w:kern w:val="0"/>
          <w:sz w:val="24"/>
        </w:rPr>
        <w:t>连续进样</w:t>
      </w:r>
      <w:r>
        <w:rPr>
          <w:rFonts w:hint="eastAsia" w:hAnsi="宋体"/>
          <w:kern w:val="0"/>
          <w:sz w:val="24"/>
        </w:rPr>
        <w:t>8</w:t>
      </w:r>
      <w:r>
        <w:rPr>
          <w:rFonts w:hAnsi="宋体"/>
          <w:kern w:val="0"/>
          <w:sz w:val="24"/>
        </w:rPr>
        <w:t>次，记录</w:t>
      </w:r>
      <w:r>
        <w:rPr>
          <w:rFonts w:hint="eastAsia" w:hAnsi="宋体"/>
          <w:kern w:val="0"/>
          <w:sz w:val="24"/>
        </w:rPr>
        <w:t>芫花素的</w:t>
      </w:r>
      <w:r>
        <w:rPr>
          <w:rFonts w:hAnsi="宋体"/>
          <w:kern w:val="0"/>
          <w:sz w:val="24"/>
        </w:rPr>
        <w:t>峰面积，并计算</w:t>
      </w:r>
      <w:r>
        <w:rPr>
          <w:kern w:val="0"/>
          <w:sz w:val="24"/>
        </w:rPr>
        <w:t>RSD</w:t>
      </w:r>
      <w:r>
        <w:rPr>
          <w:rFonts w:hAnsi="宋体"/>
          <w:kern w:val="0"/>
          <w:sz w:val="24"/>
        </w:rPr>
        <w:t>值以考察精密度，结果见表</w:t>
      </w:r>
      <w:r>
        <w:rPr>
          <w:rFonts w:hint="eastAsia"/>
          <w:kern w:val="0"/>
          <w:sz w:val="24"/>
        </w:rPr>
        <w:t>10</w:t>
      </w:r>
      <w:r>
        <w:rPr>
          <w:rFonts w:hAnsi="宋体"/>
          <w:kern w:val="0"/>
          <w:sz w:val="24"/>
        </w:rPr>
        <w:t>。结果表明：</w:t>
      </w:r>
      <w:r>
        <w:rPr>
          <w:rFonts w:hint="eastAsia" w:hAnsi="宋体"/>
          <w:kern w:val="0"/>
          <w:sz w:val="24"/>
        </w:rPr>
        <w:t>芫花素峰面积</w:t>
      </w:r>
      <w:r>
        <w:rPr>
          <w:rFonts w:hAnsi="宋体"/>
          <w:kern w:val="0"/>
          <w:sz w:val="24"/>
        </w:rPr>
        <w:t>的</w:t>
      </w:r>
      <w:r>
        <w:rPr>
          <w:kern w:val="0"/>
          <w:sz w:val="24"/>
        </w:rPr>
        <w:t>RSD</w:t>
      </w:r>
      <w:r>
        <w:rPr>
          <w:rFonts w:hAnsi="宋体"/>
          <w:kern w:val="0"/>
          <w:sz w:val="24"/>
        </w:rPr>
        <w:t>为</w:t>
      </w:r>
      <w:r>
        <w:rPr>
          <w:rFonts w:hint="eastAsia"/>
          <w:kern w:val="0"/>
          <w:sz w:val="24"/>
        </w:rPr>
        <w:t>0.92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，说明仪器精密度良好。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</w:rPr>
        <w:t>10</w:t>
      </w:r>
      <w:r>
        <w:rPr>
          <w:rFonts w:hAnsi="黑体" w:eastAsia="黑体"/>
          <w:kern w:val="0"/>
          <w:sz w:val="24"/>
          <w:szCs w:val="21"/>
        </w:rPr>
        <w:t>精密度考察</w:t>
      </w:r>
    </w:p>
    <w:tbl>
      <w:tblPr>
        <w:tblStyle w:val="9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4"/>
        <w:gridCol w:w="2183"/>
        <w:gridCol w:w="2113"/>
        <w:gridCol w:w="2112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Ansi="宋体"/>
                <w:i/>
                <w:iCs/>
                <w:kern w:val="0"/>
                <w:sz w:val="24"/>
                <w:szCs w:val="21"/>
              </w:rPr>
              <w:t>序号</w:t>
            </w:r>
          </w:p>
        </w:tc>
        <w:tc>
          <w:tcPr>
            <w:tcW w:w="2183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峰面积</w:t>
            </w:r>
          </w:p>
        </w:tc>
        <w:tc>
          <w:tcPr>
            <w:tcW w:w="2113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/>
                <w:i/>
                <w:iCs/>
                <w:kern w:val="0"/>
                <w:sz w:val="24"/>
                <w:szCs w:val="21"/>
              </w:rPr>
              <w:t>平均峰面积</w:t>
            </w:r>
          </w:p>
        </w:tc>
        <w:tc>
          <w:tcPr>
            <w:tcW w:w="2112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1</w:t>
            </w:r>
          </w:p>
        </w:tc>
        <w:tc>
          <w:tcPr>
            <w:tcW w:w="2183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468147</w:t>
            </w:r>
          </w:p>
        </w:tc>
        <w:tc>
          <w:tcPr>
            <w:tcW w:w="2113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474606</w:t>
            </w:r>
          </w:p>
        </w:tc>
        <w:tc>
          <w:tcPr>
            <w:tcW w:w="2112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0.92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</w:t>
            </w:r>
          </w:p>
        </w:tc>
        <w:tc>
          <w:tcPr>
            <w:tcW w:w="218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469997</w:t>
            </w:r>
          </w:p>
        </w:tc>
        <w:tc>
          <w:tcPr>
            <w:tcW w:w="2113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</w:t>
            </w:r>
          </w:p>
        </w:tc>
        <w:tc>
          <w:tcPr>
            <w:tcW w:w="218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472425</w:t>
            </w:r>
          </w:p>
        </w:tc>
        <w:tc>
          <w:tcPr>
            <w:tcW w:w="2113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4</w:t>
            </w:r>
          </w:p>
        </w:tc>
        <w:tc>
          <w:tcPr>
            <w:tcW w:w="218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473862</w:t>
            </w:r>
          </w:p>
        </w:tc>
        <w:tc>
          <w:tcPr>
            <w:tcW w:w="2113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5</w:t>
            </w:r>
          </w:p>
        </w:tc>
        <w:tc>
          <w:tcPr>
            <w:tcW w:w="218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475197</w:t>
            </w:r>
          </w:p>
        </w:tc>
        <w:tc>
          <w:tcPr>
            <w:tcW w:w="2113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6</w:t>
            </w:r>
          </w:p>
        </w:tc>
        <w:tc>
          <w:tcPr>
            <w:tcW w:w="218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477594</w:t>
            </w:r>
          </w:p>
        </w:tc>
        <w:tc>
          <w:tcPr>
            <w:tcW w:w="2113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7</w:t>
            </w:r>
          </w:p>
        </w:tc>
        <w:tc>
          <w:tcPr>
            <w:tcW w:w="218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479236</w:t>
            </w:r>
          </w:p>
        </w:tc>
        <w:tc>
          <w:tcPr>
            <w:tcW w:w="2113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bottom w:val="single" w:color="auto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8</w:t>
            </w:r>
          </w:p>
        </w:tc>
        <w:tc>
          <w:tcPr>
            <w:tcW w:w="2183" w:type="dxa"/>
            <w:tcBorders>
              <w:bottom w:val="single" w:color="auto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480390</w:t>
            </w:r>
          </w:p>
        </w:tc>
        <w:tc>
          <w:tcPr>
            <w:tcW w:w="2113" w:type="dxa"/>
            <w:tcBorders>
              <w:bottom w:val="single" w:color="auto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.4.4</w:t>
      </w:r>
      <w:r>
        <w:rPr>
          <w:rFonts w:hint="eastAsia" w:hAnsi="宋体"/>
          <w:kern w:val="0"/>
          <w:sz w:val="24"/>
        </w:rPr>
        <w:t>稳定性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精密</w:t>
      </w:r>
      <w:r>
        <w:rPr>
          <w:rFonts w:hint="eastAsia" w:hAnsi="宋体"/>
          <w:kern w:val="0"/>
          <w:sz w:val="24"/>
        </w:rPr>
        <w:t>称取沉香叶药材粉末（20190401，过二号筛）1.0g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置具塞锥形瓶中，加入50%乙醇50ml，称定重量，超声提取30分钟，取出，放冷，以50%乙醇补足减失的重量，滤过，取续滤液分别与0h、2h、4h、6h、8h、10h、12h和14h</w:t>
      </w:r>
      <w:r>
        <w:rPr>
          <w:rFonts w:hAnsi="宋体"/>
          <w:kern w:val="0"/>
          <w:sz w:val="24"/>
        </w:rPr>
        <w:t>进样，记录</w:t>
      </w:r>
      <w:r>
        <w:rPr>
          <w:rFonts w:hint="eastAsia" w:hAnsi="宋体"/>
          <w:kern w:val="0"/>
          <w:sz w:val="24"/>
        </w:rPr>
        <w:t>芫花素的</w:t>
      </w:r>
      <w:r>
        <w:rPr>
          <w:rFonts w:hAnsi="宋体"/>
          <w:kern w:val="0"/>
          <w:sz w:val="24"/>
        </w:rPr>
        <w:t>峰面积，并计算</w:t>
      </w:r>
      <w:r>
        <w:rPr>
          <w:kern w:val="0"/>
          <w:sz w:val="24"/>
        </w:rPr>
        <w:t>RSD</w:t>
      </w:r>
      <w:r>
        <w:rPr>
          <w:rFonts w:hAnsi="宋体"/>
          <w:kern w:val="0"/>
          <w:sz w:val="24"/>
        </w:rPr>
        <w:t>值以考</w:t>
      </w:r>
      <w:r>
        <w:rPr>
          <w:rFonts w:hint="eastAsia" w:hAnsi="宋体"/>
          <w:kern w:val="0"/>
          <w:sz w:val="24"/>
        </w:rPr>
        <w:t>样品稳定性</w:t>
      </w:r>
      <w:r>
        <w:rPr>
          <w:rFonts w:hAnsi="宋体"/>
          <w:kern w:val="0"/>
          <w:sz w:val="24"/>
        </w:rPr>
        <w:t>，结果见表</w:t>
      </w:r>
      <w:r>
        <w:rPr>
          <w:kern w:val="0"/>
          <w:sz w:val="24"/>
        </w:rPr>
        <w:t>10</w:t>
      </w:r>
      <w:r>
        <w:rPr>
          <w:rFonts w:hAnsi="宋体"/>
          <w:kern w:val="0"/>
          <w:sz w:val="24"/>
        </w:rPr>
        <w:t>。结果表明：</w:t>
      </w:r>
      <w:r>
        <w:rPr>
          <w:rFonts w:hint="eastAsia" w:hAnsi="宋体"/>
          <w:kern w:val="0"/>
          <w:sz w:val="24"/>
        </w:rPr>
        <w:t>芫花素在14h内稳定，峰面积</w:t>
      </w:r>
      <w:r>
        <w:rPr>
          <w:rFonts w:hAnsi="宋体"/>
          <w:kern w:val="0"/>
          <w:sz w:val="24"/>
        </w:rPr>
        <w:t>的</w:t>
      </w:r>
      <w:r>
        <w:rPr>
          <w:kern w:val="0"/>
          <w:sz w:val="24"/>
        </w:rPr>
        <w:t>RSD</w:t>
      </w:r>
      <w:r>
        <w:rPr>
          <w:rFonts w:hAnsi="宋体"/>
          <w:kern w:val="0"/>
          <w:sz w:val="24"/>
        </w:rPr>
        <w:t>为</w:t>
      </w:r>
      <w:r>
        <w:rPr>
          <w:kern w:val="0"/>
          <w:sz w:val="24"/>
        </w:rPr>
        <w:t>2.</w:t>
      </w:r>
      <w:r>
        <w:rPr>
          <w:rFonts w:hint="eastAsia"/>
          <w:kern w:val="0"/>
          <w:sz w:val="24"/>
        </w:rPr>
        <w:t>84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kern w:val="0"/>
          <w:sz w:val="24"/>
        </w:rPr>
      </w:pP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>1</w:t>
      </w:r>
      <w:r>
        <w:rPr>
          <w:rFonts w:hint="eastAsia" w:eastAsia="黑体"/>
          <w:kern w:val="0"/>
          <w:sz w:val="24"/>
          <w:szCs w:val="21"/>
        </w:rPr>
        <w:t>1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Ansi="黑体" w:eastAsia="黑体"/>
          <w:kern w:val="0"/>
          <w:sz w:val="24"/>
          <w:szCs w:val="21"/>
        </w:rPr>
        <w:t>稳定性考察结果</w:t>
      </w:r>
    </w:p>
    <w:tbl>
      <w:tblPr>
        <w:tblStyle w:val="9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3"/>
        <w:gridCol w:w="2139"/>
        <w:gridCol w:w="1979"/>
        <w:gridCol w:w="2681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Ansi="宋体"/>
                <w:i/>
                <w:iCs/>
                <w:kern w:val="0"/>
                <w:sz w:val="24"/>
                <w:szCs w:val="21"/>
              </w:rPr>
              <w:t>时间</w:t>
            </w:r>
          </w:p>
        </w:tc>
        <w:tc>
          <w:tcPr>
            <w:tcW w:w="2139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峰面积</w:t>
            </w:r>
          </w:p>
        </w:tc>
        <w:tc>
          <w:tcPr>
            <w:tcW w:w="1979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平均峰面积</w:t>
            </w:r>
          </w:p>
        </w:tc>
        <w:tc>
          <w:tcPr>
            <w:tcW w:w="2681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0h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468147</w:t>
            </w:r>
          </w:p>
        </w:tc>
        <w:tc>
          <w:tcPr>
            <w:tcW w:w="1979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487877.9</w:t>
            </w:r>
          </w:p>
        </w:tc>
        <w:tc>
          <w:tcPr>
            <w:tcW w:w="2681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</w:t>
            </w:r>
            <w:r>
              <w:rPr>
                <w:rFonts w:hint="eastAsia"/>
                <w:kern w:val="0"/>
                <w:sz w:val="24"/>
                <w:szCs w:val="21"/>
              </w:rPr>
              <w:t>84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475197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481829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488018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8</w:t>
            </w:r>
            <w:r>
              <w:rPr>
                <w:kern w:val="0"/>
                <w:sz w:val="24"/>
                <w:szCs w:val="21"/>
              </w:rPr>
              <w:t>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494416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500788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12h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506750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4h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512347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.4.5</w:t>
      </w:r>
      <w:r>
        <w:rPr>
          <w:rFonts w:hint="eastAsia" w:hAnsi="宋体"/>
          <w:kern w:val="0"/>
          <w:sz w:val="24"/>
        </w:rPr>
        <w:t>重复性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精密</w:t>
      </w:r>
      <w:r>
        <w:rPr>
          <w:rFonts w:hint="eastAsia" w:hAnsi="宋体"/>
          <w:kern w:val="0"/>
          <w:sz w:val="24"/>
        </w:rPr>
        <w:t>称取沉香叶药材粉末（20190401，过二号筛）6份，每份约1.0g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置具塞锥形瓶中，加入50%乙醇50ml，称定重量，超声提取30分钟，取出，放冷，以50%乙醇补足减失的重量，滤过，取续滤液</w:t>
      </w:r>
      <w:r>
        <w:rPr>
          <w:rFonts w:hAnsi="宋体"/>
          <w:kern w:val="0"/>
          <w:sz w:val="24"/>
        </w:rPr>
        <w:t>进样，记录</w:t>
      </w:r>
      <w:r>
        <w:rPr>
          <w:rFonts w:hint="eastAsia" w:hAnsi="宋体"/>
          <w:kern w:val="0"/>
          <w:sz w:val="24"/>
        </w:rPr>
        <w:t>芫花素的</w:t>
      </w:r>
      <w:r>
        <w:rPr>
          <w:rFonts w:hAnsi="宋体"/>
          <w:kern w:val="0"/>
          <w:sz w:val="24"/>
        </w:rPr>
        <w:t>峰面积，并计算</w:t>
      </w:r>
      <w:r>
        <w:rPr>
          <w:rFonts w:hint="eastAsia" w:hAnsi="宋体"/>
          <w:kern w:val="0"/>
          <w:sz w:val="24"/>
        </w:rPr>
        <w:t>药材中芫花素的含量和</w:t>
      </w:r>
      <w:r>
        <w:rPr>
          <w:kern w:val="0"/>
          <w:sz w:val="24"/>
        </w:rPr>
        <w:t>RSD，</w:t>
      </w:r>
      <w:r>
        <w:rPr>
          <w:rFonts w:hAnsi="宋体"/>
          <w:kern w:val="0"/>
          <w:sz w:val="24"/>
        </w:rPr>
        <w:t>以</w:t>
      </w:r>
      <w:r>
        <w:rPr>
          <w:rFonts w:hint="eastAsia" w:hAnsi="宋体"/>
          <w:kern w:val="0"/>
          <w:sz w:val="24"/>
        </w:rPr>
        <w:t>考察重复性</w:t>
      </w:r>
      <w:r>
        <w:rPr>
          <w:rFonts w:hAnsi="宋体"/>
          <w:kern w:val="0"/>
          <w:sz w:val="24"/>
        </w:rPr>
        <w:t>，结果见表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2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>1</w:t>
      </w:r>
      <w:r>
        <w:rPr>
          <w:rFonts w:hint="eastAsia" w:eastAsia="黑体"/>
          <w:kern w:val="0"/>
          <w:sz w:val="24"/>
          <w:szCs w:val="21"/>
        </w:rPr>
        <w:t>2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int="eastAsia" w:hAnsi="黑体" w:eastAsia="黑体"/>
          <w:kern w:val="0"/>
          <w:sz w:val="24"/>
          <w:szCs w:val="21"/>
        </w:rPr>
        <w:t>重复</w:t>
      </w:r>
      <w:r>
        <w:rPr>
          <w:rFonts w:hAnsi="黑体" w:eastAsia="黑体"/>
          <w:kern w:val="0"/>
          <w:sz w:val="24"/>
          <w:szCs w:val="21"/>
        </w:rPr>
        <w:t>性考察结果</w:t>
      </w:r>
    </w:p>
    <w:tbl>
      <w:tblPr>
        <w:tblStyle w:val="9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1"/>
        <w:gridCol w:w="1708"/>
        <w:gridCol w:w="1578"/>
        <w:gridCol w:w="1716"/>
        <w:gridCol w:w="2149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称量量g</w:t>
            </w:r>
          </w:p>
        </w:tc>
        <w:tc>
          <w:tcPr>
            <w:tcW w:w="1708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峰面积</w:t>
            </w:r>
          </w:p>
        </w:tc>
        <w:tc>
          <w:tcPr>
            <w:tcW w:w="1578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含量mg/g</w:t>
            </w:r>
          </w:p>
        </w:tc>
        <w:tc>
          <w:tcPr>
            <w:tcW w:w="1716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平均含量mg/g</w:t>
            </w:r>
          </w:p>
        </w:tc>
        <w:tc>
          <w:tcPr>
            <w:tcW w:w="2149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1.0023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442413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1.0233</w:t>
            </w:r>
          </w:p>
        </w:tc>
        <w:tc>
          <w:tcPr>
            <w:tcW w:w="1716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1.0892</w:t>
            </w:r>
          </w:p>
        </w:tc>
        <w:tc>
          <w:tcPr>
            <w:tcW w:w="2149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4.42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1.0033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456079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1.0533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1.0031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480670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1.1094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1.0052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465014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1.0716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1.0074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489950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1.1256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1.0021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498756.5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1.1516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.4.</w:t>
      </w:r>
      <w:r>
        <w:rPr>
          <w:rFonts w:hint="eastAsia"/>
          <w:kern w:val="0"/>
          <w:sz w:val="24"/>
        </w:rPr>
        <w:t>6</w:t>
      </w:r>
      <w:r>
        <w:rPr>
          <w:rFonts w:hint="eastAsia" w:hAnsi="宋体"/>
          <w:kern w:val="0"/>
          <w:sz w:val="24"/>
        </w:rPr>
        <w:t>加样回收率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精密</w:t>
      </w:r>
      <w:r>
        <w:rPr>
          <w:rFonts w:hint="eastAsia" w:hAnsi="宋体"/>
          <w:kern w:val="0"/>
          <w:sz w:val="24"/>
        </w:rPr>
        <w:t>称取沉香叶药材粉末（20190401，过二号筛）6份，每份约0.5g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置具塞锥形瓶中，分别加入对照品溶液（0.352mg/ml）1.6ml，再加入50%乙醇48.4ml，称定重量，超声提取30分钟，取出，放冷，以50%乙醇补足减失的重量，滤过，取续滤液</w:t>
      </w:r>
      <w:r>
        <w:rPr>
          <w:rFonts w:hAnsi="宋体"/>
          <w:kern w:val="0"/>
          <w:sz w:val="24"/>
        </w:rPr>
        <w:t>进样，记录</w:t>
      </w:r>
      <w:r>
        <w:rPr>
          <w:rFonts w:hint="eastAsia" w:hAnsi="宋体"/>
          <w:kern w:val="0"/>
          <w:sz w:val="24"/>
        </w:rPr>
        <w:t>芫花素的</w:t>
      </w:r>
      <w:r>
        <w:rPr>
          <w:rFonts w:hAnsi="宋体"/>
          <w:kern w:val="0"/>
          <w:sz w:val="24"/>
        </w:rPr>
        <w:t>峰面积，并计算</w:t>
      </w:r>
      <w:r>
        <w:rPr>
          <w:rFonts w:hint="eastAsia" w:hAnsi="宋体"/>
          <w:kern w:val="0"/>
          <w:sz w:val="24"/>
        </w:rPr>
        <w:t>芫花素的加样回收</w:t>
      </w:r>
      <w:r>
        <w:rPr>
          <w:rFonts w:hAnsi="宋体"/>
          <w:kern w:val="0"/>
          <w:sz w:val="24"/>
        </w:rPr>
        <w:t>，结果见表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>1</w:t>
      </w:r>
      <w:r>
        <w:rPr>
          <w:rFonts w:hint="eastAsia" w:eastAsia="黑体"/>
          <w:kern w:val="0"/>
          <w:sz w:val="24"/>
          <w:szCs w:val="21"/>
        </w:rPr>
        <w:t>3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int="eastAsia" w:hAnsi="黑体" w:eastAsia="黑体"/>
          <w:kern w:val="0"/>
          <w:sz w:val="24"/>
          <w:szCs w:val="21"/>
        </w:rPr>
        <w:t>加样回收</w:t>
      </w:r>
      <w:r>
        <w:rPr>
          <w:rFonts w:hAnsi="黑体" w:eastAsia="黑体"/>
          <w:kern w:val="0"/>
          <w:sz w:val="24"/>
          <w:szCs w:val="21"/>
        </w:rPr>
        <w:t>结果</w:t>
      </w:r>
    </w:p>
    <w:tbl>
      <w:tblPr>
        <w:tblStyle w:val="9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290"/>
        <w:gridCol w:w="1176"/>
        <w:gridCol w:w="1176"/>
        <w:gridCol w:w="1057"/>
        <w:gridCol w:w="1716"/>
        <w:gridCol w:w="836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71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b/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b/>
                <w:i/>
                <w:iCs/>
                <w:kern w:val="0"/>
                <w:sz w:val="24"/>
                <w:szCs w:val="21"/>
              </w:rPr>
              <w:t>称量量g</w:t>
            </w:r>
          </w:p>
        </w:tc>
        <w:tc>
          <w:tcPr>
            <w:tcW w:w="1290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加入量mg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样品含量mg</w:t>
            </w:r>
          </w:p>
        </w:tc>
        <w:tc>
          <w:tcPr>
            <w:tcW w:w="1176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测得总量mg</w:t>
            </w:r>
          </w:p>
        </w:tc>
        <w:tc>
          <w:tcPr>
            <w:tcW w:w="1057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回收率</w:t>
            </w:r>
          </w:p>
        </w:tc>
        <w:tc>
          <w:tcPr>
            <w:tcW w:w="1716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平均回收率</w:t>
            </w:r>
          </w:p>
        </w:tc>
        <w:tc>
          <w:tcPr>
            <w:tcW w:w="836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71" w:type="dxa"/>
            <w:noWrap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0.5021</w:t>
            </w:r>
          </w:p>
        </w:tc>
        <w:tc>
          <w:tcPr>
            <w:tcW w:w="1290" w:type="dxa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0.5632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0.5468 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1.0990 </w:t>
            </w:r>
          </w:p>
        </w:tc>
        <w:tc>
          <w:tcPr>
            <w:tcW w:w="1057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98.04%</w:t>
            </w:r>
          </w:p>
        </w:tc>
        <w:tc>
          <w:tcPr>
            <w:tcW w:w="1716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101.72%</w:t>
            </w:r>
          </w:p>
        </w:tc>
        <w:tc>
          <w:tcPr>
            <w:tcW w:w="836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2.66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71" w:type="dxa"/>
            <w:noWrap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0.5014</w:t>
            </w:r>
          </w:p>
        </w:tc>
        <w:tc>
          <w:tcPr>
            <w:tcW w:w="1290" w:type="dxa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0.5632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0.5461 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1.1192 </w:t>
            </w:r>
          </w:p>
        </w:tc>
        <w:tc>
          <w:tcPr>
            <w:tcW w:w="1057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101.76%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71" w:type="dxa"/>
            <w:noWrap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0.5002</w:t>
            </w:r>
          </w:p>
        </w:tc>
        <w:tc>
          <w:tcPr>
            <w:tcW w:w="1290" w:type="dxa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0.5632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0.5448 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1.1211 </w:t>
            </w:r>
          </w:p>
        </w:tc>
        <w:tc>
          <w:tcPr>
            <w:tcW w:w="1057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102.33%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71" w:type="dxa"/>
            <w:noWrap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0.5031</w:t>
            </w:r>
          </w:p>
        </w:tc>
        <w:tc>
          <w:tcPr>
            <w:tcW w:w="1290" w:type="dxa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0.5632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0.5479 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1.1376 </w:t>
            </w:r>
          </w:p>
        </w:tc>
        <w:tc>
          <w:tcPr>
            <w:tcW w:w="1057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104.70%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71" w:type="dxa"/>
            <w:noWrap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0.5049</w:t>
            </w:r>
          </w:p>
        </w:tc>
        <w:tc>
          <w:tcPr>
            <w:tcW w:w="1290" w:type="dxa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0.5632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0.5499 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1.1379 </w:t>
            </w:r>
          </w:p>
        </w:tc>
        <w:tc>
          <w:tcPr>
            <w:tcW w:w="1057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104.41%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271" w:type="dxa"/>
            <w:noWrap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0.4997</w:t>
            </w:r>
          </w:p>
        </w:tc>
        <w:tc>
          <w:tcPr>
            <w:tcW w:w="1290" w:type="dxa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0.5632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0.5442 </w:t>
            </w:r>
          </w:p>
        </w:tc>
        <w:tc>
          <w:tcPr>
            <w:tcW w:w="1176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1.1025 </w:t>
            </w:r>
          </w:p>
        </w:tc>
        <w:tc>
          <w:tcPr>
            <w:tcW w:w="1057" w:type="dxa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99.12%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.5</w:t>
      </w:r>
      <w:r>
        <w:rPr>
          <w:rFonts w:hAnsi="宋体"/>
          <w:kern w:val="0"/>
          <w:sz w:val="24"/>
        </w:rPr>
        <w:t>不同</w:t>
      </w:r>
      <w:r>
        <w:rPr>
          <w:rFonts w:hint="eastAsia" w:hAnsi="宋体"/>
          <w:kern w:val="0"/>
          <w:sz w:val="24"/>
        </w:rPr>
        <w:t>批次沉香叶</w:t>
      </w:r>
      <w:r>
        <w:rPr>
          <w:rFonts w:hAnsi="宋体"/>
          <w:kern w:val="0"/>
          <w:sz w:val="24"/>
        </w:rPr>
        <w:t>药材中</w:t>
      </w:r>
      <w:r>
        <w:rPr>
          <w:rFonts w:hint="eastAsia" w:hAnsi="宋体"/>
          <w:kern w:val="0"/>
          <w:sz w:val="24"/>
        </w:rPr>
        <w:t>芫花素</w:t>
      </w:r>
      <w:r>
        <w:rPr>
          <w:rFonts w:hAnsi="宋体"/>
          <w:kern w:val="0"/>
          <w:sz w:val="24"/>
        </w:rPr>
        <w:t>的含量测定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精密称取不同批次的沉香叶</w:t>
      </w:r>
      <w:r>
        <w:rPr>
          <w:rFonts w:hAnsi="宋体"/>
          <w:kern w:val="0"/>
          <w:sz w:val="24"/>
        </w:rPr>
        <w:t>药材</w:t>
      </w:r>
      <w:r>
        <w:rPr>
          <w:rFonts w:hint="eastAsia" w:hAnsi="宋体"/>
          <w:kern w:val="0"/>
          <w:sz w:val="24"/>
        </w:rPr>
        <w:t>粉末（过二号筛）各2份，每份约1.0g，按</w:t>
      </w:r>
      <w:r>
        <w:rPr>
          <w:rFonts w:hAnsi="宋体"/>
          <w:kern w:val="0"/>
          <w:sz w:val="24"/>
        </w:rPr>
        <w:t>供试品</w:t>
      </w:r>
      <w:r>
        <w:rPr>
          <w:rFonts w:hint="eastAsia" w:hAnsi="宋体"/>
          <w:kern w:val="0"/>
          <w:sz w:val="24"/>
        </w:rPr>
        <w:t>制备方法项下方法制备供试品</w:t>
      </w:r>
      <w:r>
        <w:rPr>
          <w:rFonts w:hAnsi="宋体"/>
          <w:kern w:val="0"/>
          <w:sz w:val="24"/>
        </w:rPr>
        <w:t>溶液，采用序列进样法进样，测定供试品中</w:t>
      </w:r>
      <w:r>
        <w:rPr>
          <w:rFonts w:hint="eastAsia" w:hAnsi="宋体"/>
          <w:kern w:val="0"/>
          <w:sz w:val="24"/>
        </w:rPr>
        <w:t>芜花素峰面积，计算样品中芫花素</w:t>
      </w:r>
      <w:r>
        <w:rPr>
          <w:rFonts w:hAnsi="宋体"/>
          <w:kern w:val="0"/>
          <w:sz w:val="24"/>
        </w:rPr>
        <w:t>的含量，结果见表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4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>1</w:t>
      </w:r>
      <w:r>
        <w:rPr>
          <w:rFonts w:hint="eastAsia" w:eastAsia="黑体"/>
          <w:kern w:val="0"/>
          <w:sz w:val="24"/>
          <w:szCs w:val="21"/>
        </w:rPr>
        <w:t>4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Ansi="黑体" w:eastAsia="黑体"/>
          <w:kern w:val="0"/>
          <w:sz w:val="24"/>
          <w:szCs w:val="21"/>
        </w:rPr>
        <w:t>不同</w:t>
      </w:r>
      <w:r>
        <w:rPr>
          <w:rFonts w:hint="eastAsia" w:hAnsi="黑体" w:eastAsia="黑体"/>
          <w:kern w:val="0"/>
          <w:sz w:val="24"/>
          <w:szCs w:val="21"/>
        </w:rPr>
        <w:t>批次沉香叶</w:t>
      </w:r>
      <w:r>
        <w:rPr>
          <w:rFonts w:hAnsi="黑体" w:eastAsia="黑体"/>
          <w:kern w:val="0"/>
          <w:sz w:val="24"/>
          <w:szCs w:val="21"/>
        </w:rPr>
        <w:t>药材中</w:t>
      </w:r>
      <w:r>
        <w:rPr>
          <w:rFonts w:hint="eastAsia" w:hAnsi="黑体" w:eastAsia="黑体"/>
          <w:kern w:val="0"/>
          <w:sz w:val="24"/>
          <w:szCs w:val="21"/>
        </w:rPr>
        <w:t>芫花素的</w:t>
      </w:r>
      <w:r>
        <w:rPr>
          <w:rFonts w:hAnsi="黑体" w:eastAsia="黑体"/>
          <w:kern w:val="0"/>
          <w:sz w:val="24"/>
          <w:szCs w:val="21"/>
        </w:rPr>
        <w:t>含量</w:t>
      </w:r>
    </w:p>
    <w:tbl>
      <w:tblPr>
        <w:tblStyle w:val="9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1202"/>
        <w:gridCol w:w="1376"/>
        <w:gridCol w:w="2437"/>
        <w:gridCol w:w="22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批号</w:t>
            </w:r>
          </w:p>
        </w:tc>
        <w:tc>
          <w:tcPr>
            <w:tcW w:w="1202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产地</w:t>
            </w:r>
          </w:p>
        </w:tc>
        <w:tc>
          <w:tcPr>
            <w:tcW w:w="1376" w:type="dxa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水分含量%</w:t>
            </w:r>
          </w:p>
        </w:tc>
        <w:tc>
          <w:tcPr>
            <w:tcW w:w="464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芫花素含量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202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</w:p>
        </w:tc>
        <w:tc>
          <w:tcPr>
            <w:tcW w:w="1376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测定量mg/g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干燥药材含量mg/g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20190601</w:t>
            </w:r>
          </w:p>
        </w:tc>
        <w:tc>
          <w:tcPr>
            <w:tcW w:w="120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</w:t>
            </w:r>
            <w:r>
              <w:rPr>
                <w:rFonts w:hint="eastAsia" w:hAnsi="宋体"/>
                <w:kern w:val="0"/>
                <w:sz w:val="24"/>
              </w:rPr>
              <w:t>海口</w:t>
            </w:r>
          </w:p>
        </w:tc>
        <w:tc>
          <w:tcPr>
            <w:tcW w:w="1376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4.53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0.9674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1.0614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20190602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</w:t>
            </w:r>
            <w:r>
              <w:rPr>
                <w:rFonts w:hint="eastAsia" w:hAnsi="宋体"/>
                <w:kern w:val="0"/>
                <w:sz w:val="24"/>
              </w:rPr>
              <w:t>海口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3.</w:t>
            </w:r>
            <w:r>
              <w:rPr>
                <w:rFonts w:hint="eastAsia"/>
                <w:kern w:val="0"/>
                <w:sz w:val="24"/>
              </w:rPr>
              <w:t>81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0.8122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0.8778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20190</w:t>
            </w:r>
            <w:r>
              <w:rPr>
                <w:rFonts w:hint="eastAsia"/>
                <w:kern w:val="0"/>
                <w:sz w:val="24"/>
              </w:rPr>
              <w:t>6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</w:t>
            </w:r>
            <w:r>
              <w:rPr>
                <w:rFonts w:hint="eastAsia" w:hAnsi="宋体"/>
                <w:kern w:val="0"/>
                <w:sz w:val="24"/>
              </w:rPr>
              <w:t>儋州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4.57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0.4057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0.4422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2019060</w:t>
            </w:r>
            <w:r>
              <w:rPr>
                <w:rFonts w:hint="eastAsia"/>
                <w:kern w:val="0"/>
                <w:sz w:val="24"/>
              </w:rPr>
              <w:t>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</w:t>
            </w:r>
            <w:r>
              <w:rPr>
                <w:rFonts w:hint="eastAsia" w:hAnsi="宋体"/>
                <w:kern w:val="0"/>
                <w:sz w:val="24"/>
              </w:rPr>
              <w:t>儋州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4.40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0.2181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0.2244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2019060</w:t>
            </w:r>
            <w:r>
              <w:rPr>
                <w:rFonts w:hint="eastAsia"/>
                <w:kern w:val="0"/>
                <w:sz w:val="24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</w:t>
            </w:r>
            <w:r>
              <w:rPr>
                <w:rFonts w:hint="eastAsia" w:hAnsi="宋体"/>
                <w:kern w:val="0"/>
                <w:sz w:val="24"/>
              </w:rPr>
              <w:t>屯昌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4.43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0.9637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1.0551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2019060</w:t>
            </w:r>
            <w:r>
              <w:rPr>
                <w:rFonts w:hint="eastAsia"/>
                <w:kern w:val="0"/>
                <w:sz w:val="24"/>
              </w:rPr>
              <w:t>6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</w:t>
            </w:r>
            <w:r>
              <w:rPr>
                <w:rFonts w:hint="eastAsia" w:hAnsi="宋体"/>
                <w:kern w:val="0"/>
                <w:sz w:val="24"/>
              </w:rPr>
              <w:t>屯昌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4.76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0.9922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1.0939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201906</w:t>
            </w:r>
            <w:r>
              <w:rPr>
                <w:rFonts w:hint="eastAsia"/>
                <w:kern w:val="0"/>
                <w:sz w:val="24"/>
              </w:rPr>
              <w:t>07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</w:t>
            </w:r>
            <w:r>
              <w:rPr>
                <w:rFonts w:hint="eastAsia" w:hAnsi="宋体"/>
                <w:kern w:val="0"/>
                <w:sz w:val="24"/>
              </w:rPr>
              <w:t>屯昌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4.31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0.5509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0.6016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201906</w:t>
            </w:r>
            <w:r>
              <w:rPr>
                <w:rFonts w:hint="eastAsia"/>
                <w:kern w:val="0"/>
                <w:sz w:val="24"/>
              </w:rPr>
              <w:t>08</w:t>
            </w:r>
          </w:p>
        </w:tc>
        <w:tc>
          <w:tcPr>
            <w:tcW w:w="120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</w:t>
            </w:r>
            <w:r>
              <w:rPr>
                <w:rFonts w:hint="eastAsia" w:hAnsi="宋体"/>
                <w:kern w:val="0"/>
                <w:sz w:val="24"/>
              </w:rPr>
              <w:t>屯昌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4.58</w:t>
            </w:r>
          </w:p>
        </w:tc>
        <w:tc>
          <w:tcPr>
            <w:tcW w:w="2437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0.1381</w:t>
            </w:r>
          </w:p>
        </w:tc>
        <w:tc>
          <w:tcPr>
            <w:tcW w:w="2211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0.1516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201906</w:t>
            </w:r>
            <w:r>
              <w:rPr>
                <w:rFonts w:hint="eastAsia"/>
                <w:kern w:val="0"/>
                <w:sz w:val="24"/>
              </w:rPr>
              <w:t>09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</w:t>
            </w:r>
            <w:r>
              <w:rPr>
                <w:rFonts w:hint="eastAsia" w:hAnsi="宋体"/>
                <w:kern w:val="0"/>
                <w:sz w:val="24"/>
              </w:rPr>
              <w:t>琼中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4.90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0.1701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0.1881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2019061</w:t>
            </w:r>
            <w:r>
              <w:rPr>
                <w:rFonts w:hint="eastAsia"/>
                <w:kern w:val="0"/>
                <w:sz w:val="24"/>
              </w:rPr>
              <w:t>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</w:t>
            </w:r>
            <w:r>
              <w:rPr>
                <w:rFonts w:hint="eastAsia" w:hAnsi="宋体"/>
                <w:kern w:val="0"/>
                <w:sz w:val="24"/>
              </w:rPr>
              <w:t>琼中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4.87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0.2864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0.3165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</w:t>
            </w:r>
            <w:r>
              <w:rPr>
                <w:rFonts w:hint="eastAsia" w:hAnsi="宋体"/>
                <w:kern w:val="0"/>
                <w:sz w:val="24"/>
              </w:rPr>
              <w:t>屯昌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2.60%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0.5152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0.5254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海南</w:t>
            </w:r>
            <w:r>
              <w:rPr>
                <w:rFonts w:hint="eastAsia" w:hAnsi="宋体"/>
                <w:kern w:val="0"/>
                <w:sz w:val="24"/>
              </w:rPr>
              <w:t>屯昌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1.65%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0.3750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0.3677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</w:t>
            </w:r>
          </w:p>
        </w:tc>
        <w:tc>
          <w:tcPr>
            <w:tcW w:w="120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int="eastAsia" w:hAnsi="宋体"/>
                <w:kern w:val="0"/>
                <w:sz w:val="24"/>
              </w:rPr>
              <w:t>海南澄迈</w:t>
            </w:r>
          </w:p>
        </w:tc>
        <w:tc>
          <w:tcPr>
            <w:tcW w:w="1376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3.16%</w:t>
            </w:r>
          </w:p>
        </w:tc>
        <w:tc>
          <w:tcPr>
            <w:tcW w:w="2437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0.4381 </w:t>
            </w:r>
          </w:p>
        </w:tc>
        <w:tc>
          <w:tcPr>
            <w:tcW w:w="221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0.4373</w:t>
            </w:r>
          </w:p>
        </w:tc>
      </w:tr>
    </w:tbl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根据上述测定结果，沉香叶中芫花素含量差异较大，范围在0.1516~1.0939mg/g之间，尚需进一步研究，分析沉香叶的含量差异原因。因此该项目暂不列入质量标准。</w:t>
      </w:r>
    </w:p>
    <w:p>
      <w:pPr>
        <w:widowControl/>
        <w:adjustRightInd w:val="0"/>
        <w:spacing w:line="360" w:lineRule="auto"/>
        <w:ind w:firstLine="640" w:firstLineChars="200"/>
        <w:jc w:val="left"/>
        <w:rPr>
          <w:rFonts w:eastAsia="黑体"/>
          <w:bCs/>
          <w:kern w:val="0"/>
          <w:sz w:val="32"/>
          <w:szCs w:val="32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</w:rPr>
        <w:t>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12.</w:t>
      </w:r>
      <w:r>
        <w:rPr>
          <w:rFonts w:hint="eastAsia" w:hAnsi="宋体"/>
          <w:kern w:val="0"/>
          <w:sz w:val="24"/>
        </w:rPr>
        <w:t>性味归经、功能主治和用法用量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经检索《中华本草》、《中药大辞典》、《本草纲目》、《海南岛常用中草药手册》、《黎族医药》等专业医药学专著，未有沉香叶的临床应用记载，仅有沉香和土沉香的药用记载。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现代药理学研究</w:t>
      </w:r>
      <w:r>
        <w:rPr>
          <w:rFonts w:hint="eastAsia" w:hAnsi="宋体"/>
          <w:kern w:val="0"/>
          <w:sz w:val="24"/>
          <w:vertAlign w:val="superscript"/>
        </w:rPr>
        <w:t>[4-8]</w:t>
      </w:r>
      <w:r>
        <w:rPr>
          <w:rFonts w:hint="eastAsia" w:hAnsi="宋体"/>
          <w:kern w:val="0"/>
          <w:sz w:val="24"/>
        </w:rPr>
        <w:t>表明，沉香叶在镇痛、抗炎、平喘、促进小肠推进和降血糖方面，具有同沉香药材相似的药效功效，沉香叶高剂量组（相当于沉香药材的4倍剂量）与沉香药材药效结果最相近。因此依据沉香药材的性味归经和功能主治确定沉香叶的性味归经为</w:t>
      </w:r>
      <w:r>
        <w:rPr>
          <w:rFonts w:hint="eastAsia"/>
          <w:kern w:val="0"/>
          <w:sz w:val="24"/>
        </w:rPr>
        <w:t>味辛、苦，性温</w:t>
      </w:r>
      <w:r>
        <w:rPr>
          <w:kern w:val="0"/>
          <w:sz w:val="24"/>
        </w:rPr>
        <w:t>。</w:t>
      </w:r>
      <w:r>
        <w:rPr>
          <w:rFonts w:hint="eastAsia"/>
          <w:kern w:val="0"/>
          <w:sz w:val="24"/>
        </w:rPr>
        <w:t>归肾、脾、胃经。以沉香叶在</w:t>
      </w:r>
      <w:r>
        <w:rPr>
          <w:rFonts w:hint="eastAsia" w:hAnsi="宋体"/>
          <w:kern w:val="0"/>
          <w:sz w:val="24"/>
        </w:rPr>
        <w:t>镇痛、抗炎、平喘、促进小肠推进的功效，确定</w:t>
      </w:r>
      <w:r>
        <w:rPr>
          <w:kern w:val="0"/>
          <w:sz w:val="24"/>
        </w:rPr>
        <w:t>功能与主治</w:t>
      </w:r>
      <w:r>
        <w:rPr>
          <w:rFonts w:hint="eastAsia"/>
          <w:kern w:val="0"/>
          <w:sz w:val="24"/>
        </w:rPr>
        <w:t>为行气止痛，纳气平喘。主治脘腹冷痛，气逆喘息，胃寒呕吐呃逆等证</w:t>
      </w:r>
      <w:r>
        <w:rPr>
          <w:kern w:val="0"/>
          <w:sz w:val="24"/>
        </w:rPr>
        <w:t>。</w:t>
      </w:r>
      <w:r>
        <w:rPr>
          <w:rFonts w:hint="eastAsia"/>
          <w:kern w:val="0"/>
          <w:sz w:val="24"/>
        </w:rPr>
        <w:t>以沉香的临床用量2-5g为依据，沉香叶4倍剂量与沉香药材药效最接近，结合沉香叶的安全性资料</w:t>
      </w:r>
      <w:r>
        <w:rPr>
          <w:rFonts w:hint="eastAsia"/>
          <w:kern w:val="0"/>
          <w:sz w:val="24"/>
          <w:vertAlign w:val="superscript"/>
        </w:rPr>
        <w:t>[9]</w:t>
      </w:r>
      <w:r>
        <w:rPr>
          <w:rFonts w:hint="eastAsia"/>
          <w:kern w:val="0"/>
          <w:sz w:val="24"/>
        </w:rPr>
        <w:t>，确定沉香叶的</w:t>
      </w:r>
      <w:r>
        <w:rPr>
          <w:kern w:val="0"/>
          <w:sz w:val="24"/>
        </w:rPr>
        <w:t>用法与用量</w:t>
      </w:r>
      <w:r>
        <w:rPr>
          <w:rFonts w:hint="eastAsia"/>
          <w:kern w:val="0"/>
          <w:sz w:val="24"/>
        </w:rPr>
        <w:t>为8-20g</w:t>
      </w:r>
      <w:r>
        <w:rPr>
          <w:kern w:val="0"/>
          <w:sz w:val="24"/>
        </w:rPr>
        <w:t>。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参考文献：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[1] 国家中医药管理局《中华本草》编委会. 中华本草上册[M].上海：上海科学技术出版社，1996，1167-1169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 xml:space="preserve">[2] </w:t>
      </w:r>
      <w:r>
        <w:rPr>
          <w:rFonts w:hint="eastAsia"/>
          <w:kern w:val="0"/>
          <w:sz w:val="24"/>
        </w:rPr>
        <w:t>林焕泽,李红念,梅全喜,汪科元,梁林源.沉香叶的研究进展[J].今日药学, 2011, 21(09):547-549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 xml:space="preserve">[3] </w:t>
      </w:r>
      <w:r>
        <w:rPr>
          <w:rFonts w:hint="eastAsia"/>
          <w:kern w:val="0"/>
          <w:sz w:val="24"/>
        </w:rPr>
        <w:t>王红刚.HPLC法测定沉香叶中芫花素含量研究[J].中医药导报, 2008(03): 69-70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 xml:space="preserve">[4]李红念,梅全喜,林焕泽,戴卫波,梁林源,蓝忠.沉香叶与沉香药材镇痛作用的对比研究[J].时珍国医国药,2012,23(08):1958-1959. </w:t>
      </w:r>
    </w:p>
    <w:p>
      <w:pPr>
        <w:spacing w:line="360" w:lineRule="auto"/>
        <w:ind w:firstLine="480" w:firstLineChars="200"/>
        <w:rPr>
          <w:kern w:val="0"/>
          <w:sz w:val="24"/>
        </w:rPr>
      </w:pPr>
      <w:r>
        <w:rPr>
          <w:rFonts w:hint="eastAsia"/>
          <w:kern w:val="0"/>
          <w:sz w:val="24"/>
        </w:rPr>
        <w:t xml:space="preserve"> [5]梅全喜,李红念,林焕泽,吴秀荣,梁林源,杨华蓝,蓝忠.沉香叶与沉香药材降血糖作用的比较研究[J].时珍国医国药,2013,24(07):1606-1607.</w:t>
      </w:r>
    </w:p>
    <w:p>
      <w:pPr>
        <w:spacing w:line="360" w:lineRule="auto"/>
        <w:ind w:firstLine="480" w:firstLineChars="200"/>
        <w:rPr>
          <w:kern w:val="0"/>
          <w:sz w:val="24"/>
        </w:rPr>
      </w:pPr>
      <w:r>
        <w:rPr>
          <w:rFonts w:hint="eastAsia"/>
          <w:kern w:val="0"/>
          <w:sz w:val="24"/>
        </w:rPr>
        <w:t>[6]吴秀荣,李红念,梅全喜,林焕泽,梁林源,杨华,蓝忠.沉香叶与沉香药材平喘作用的对比研究[J].今日药学,2013,23(06):346-347.</w:t>
      </w:r>
    </w:p>
    <w:p>
      <w:pPr>
        <w:spacing w:line="360" w:lineRule="auto"/>
        <w:ind w:firstLine="480" w:firstLineChars="200"/>
        <w:rPr>
          <w:kern w:val="0"/>
          <w:sz w:val="24"/>
        </w:rPr>
      </w:pPr>
      <w:r>
        <w:rPr>
          <w:rFonts w:hint="eastAsia"/>
          <w:kern w:val="0"/>
          <w:sz w:val="24"/>
        </w:rPr>
        <w:t>[7]李红念,江展增,梅全喜.沉香叶茶与沉香药材促进小肠推进作用的对比研究[J].亚太传统医药,2013,9(06):24-25.</w:t>
      </w:r>
    </w:p>
    <w:p>
      <w:pPr>
        <w:spacing w:line="360" w:lineRule="auto"/>
        <w:ind w:firstLine="480" w:firstLineChars="200"/>
        <w:rPr>
          <w:kern w:val="0"/>
          <w:sz w:val="24"/>
        </w:rPr>
      </w:pPr>
      <w:r>
        <w:rPr>
          <w:rFonts w:hint="eastAsia"/>
          <w:kern w:val="0"/>
          <w:sz w:val="24"/>
        </w:rPr>
        <w:t>[8]林焕泽,李红念,梅全喜.沉香叶与沉香药材抗炎作用的对比研究[J].中华中医药学刊,2013,31(03):548-549.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 xml:space="preserve"> [9]李庆,黄俊明,杨颖,陈美芬,梁扬盛,陈秀娟.沉香叶的急性毒性和遗传毒性研究[J].中国卫生检验杂志,2015,25(10):1518-1521.</w:t>
      </w:r>
    </w:p>
    <w:p>
      <w:pPr>
        <w:spacing w:line="360" w:lineRule="auto"/>
        <w:ind w:firstLine="480" w:firstLineChars="200"/>
        <w:rPr>
          <w:kern w:val="0"/>
          <w:sz w:val="24"/>
        </w:rPr>
      </w:pPr>
    </w:p>
    <w:sectPr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24554"/>
    <w:multiLevelType w:val="singleLevel"/>
    <w:tmpl w:val="8462455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F5B720F3"/>
    <w:multiLevelType w:val="singleLevel"/>
    <w:tmpl w:val="F5B720F3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bordersDoNotSurroundHeader w:val="true"/>
  <w:bordersDoNotSurroundFooter w:val="true"/>
  <w:documentProtection w:enforcement="0"/>
  <w:defaultTabStop w:val="420"/>
  <w:drawingGridHorizontalSpacing w:val="105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78B"/>
    <w:rsid w:val="00012247"/>
    <w:rsid w:val="0001303B"/>
    <w:rsid w:val="0002235D"/>
    <w:rsid w:val="00035C09"/>
    <w:rsid w:val="00040433"/>
    <w:rsid w:val="00041BB6"/>
    <w:rsid w:val="000442D5"/>
    <w:rsid w:val="00046BB2"/>
    <w:rsid w:val="000525CC"/>
    <w:rsid w:val="00054514"/>
    <w:rsid w:val="00060DE3"/>
    <w:rsid w:val="0007311A"/>
    <w:rsid w:val="00074E8D"/>
    <w:rsid w:val="0007532A"/>
    <w:rsid w:val="0007620C"/>
    <w:rsid w:val="000770C5"/>
    <w:rsid w:val="00080BCC"/>
    <w:rsid w:val="00090D1C"/>
    <w:rsid w:val="00091AEE"/>
    <w:rsid w:val="00092D59"/>
    <w:rsid w:val="0009742B"/>
    <w:rsid w:val="000A62B3"/>
    <w:rsid w:val="000B1275"/>
    <w:rsid w:val="000B1706"/>
    <w:rsid w:val="000B1E9C"/>
    <w:rsid w:val="000B6D51"/>
    <w:rsid w:val="000B7842"/>
    <w:rsid w:val="000C45BD"/>
    <w:rsid w:val="000D3EE1"/>
    <w:rsid w:val="000E174C"/>
    <w:rsid w:val="000E1D6C"/>
    <w:rsid w:val="000E2402"/>
    <w:rsid w:val="000F3143"/>
    <w:rsid w:val="00116F8D"/>
    <w:rsid w:val="001215E2"/>
    <w:rsid w:val="001338E9"/>
    <w:rsid w:val="00142C3E"/>
    <w:rsid w:val="00142F0A"/>
    <w:rsid w:val="00144746"/>
    <w:rsid w:val="001477D9"/>
    <w:rsid w:val="001501C8"/>
    <w:rsid w:val="00153B45"/>
    <w:rsid w:val="00161B72"/>
    <w:rsid w:val="00163B51"/>
    <w:rsid w:val="00180E39"/>
    <w:rsid w:val="001974A0"/>
    <w:rsid w:val="001A018F"/>
    <w:rsid w:val="001A05BA"/>
    <w:rsid w:val="001A08FE"/>
    <w:rsid w:val="001A2EAC"/>
    <w:rsid w:val="001A3C57"/>
    <w:rsid w:val="001B256A"/>
    <w:rsid w:val="001B2A46"/>
    <w:rsid w:val="001D5FB2"/>
    <w:rsid w:val="001F0ED2"/>
    <w:rsid w:val="001F1AAF"/>
    <w:rsid w:val="001F2477"/>
    <w:rsid w:val="001F519D"/>
    <w:rsid w:val="00210C3F"/>
    <w:rsid w:val="00215DFE"/>
    <w:rsid w:val="002213D3"/>
    <w:rsid w:val="002256C8"/>
    <w:rsid w:val="00230C32"/>
    <w:rsid w:val="00232A18"/>
    <w:rsid w:val="002370C3"/>
    <w:rsid w:val="00245176"/>
    <w:rsid w:val="00251754"/>
    <w:rsid w:val="00265122"/>
    <w:rsid w:val="00275D14"/>
    <w:rsid w:val="00276318"/>
    <w:rsid w:val="00285CCB"/>
    <w:rsid w:val="002C420C"/>
    <w:rsid w:val="002D359B"/>
    <w:rsid w:val="002D6831"/>
    <w:rsid w:val="002E4283"/>
    <w:rsid w:val="003013C1"/>
    <w:rsid w:val="00304C60"/>
    <w:rsid w:val="003104D9"/>
    <w:rsid w:val="00311066"/>
    <w:rsid w:val="00317E52"/>
    <w:rsid w:val="00321C60"/>
    <w:rsid w:val="00324211"/>
    <w:rsid w:val="003339F0"/>
    <w:rsid w:val="00333DF2"/>
    <w:rsid w:val="00334430"/>
    <w:rsid w:val="00341E66"/>
    <w:rsid w:val="00344A4B"/>
    <w:rsid w:val="00351C79"/>
    <w:rsid w:val="00365E33"/>
    <w:rsid w:val="00371968"/>
    <w:rsid w:val="00376A6B"/>
    <w:rsid w:val="00376B41"/>
    <w:rsid w:val="00386969"/>
    <w:rsid w:val="00386C36"/>
    <w:rsid w:val="0039205C"/>
    <w:rsid w:val="00392773"/>
    <w:rsid w:val="003A7503"/>
    <w:rsid w:val="003B053C"/>
    <w:rsid w:val="003B17BC"/>
    <w:rsid w:val="003B2348"/>
    <w:rsid w:val="003C06B7"/>
    <w:rsid w:val="003C23D1"/>
    <w:rsid w:val="003D5121"/>
    <w:rsid w:val="003E3FE3"/>
    <w:rsid w:val="003E4FEB"/>
    <w:rsid w:val="003F02C6"/>
    <w:rsid w:val="003F40DF"/>
    <w:rsid w:val="003F6A41"/>
    <w:rsid w:val="003F710D"/>
    <w:rsid w:val="003F778C"/>
    <w:rsid w:val="004022C4"/>
    <w:rsid w:val="0042478B"/>
    <w:rsid w:val="00427B51"/>
    <w:rsid w:val="0043542C"/>
    <w:rsid w:val="004356F1"/>
    <w:rsid w:val="00446E73"/>
    <w:rsid w:val="00452924"/>
    <w:rsid w:val="004536F5"/>
    <w:rsid w:val="004539F0"/>
    <w:rsid w:val="0047166C"/>
    <w:rsid w:val="00472A40"/>
    <w:rsid w:val="00483ED0"/>
    <w:rsid w:val="004853E3"/>
    <w:rsid w:val="0049127F"/>
    <w:rsid w:val="004953D0"/>
    <w:rsid w:val="004A35D3"/>
    <w:rsid w:val="004A49AB"/>
    <w:rsid w:val="004B55ED"/>
    <w:rsid w:val="004C1898"/>
    <w:rsid w:val="004C238C"/>
    <w:rsid w:val="004C4000"/>
    <w:rsid w:val="004C5F54"/>
    <w:rsid w:val="004D09BD"/>
    <w:rsid w:val="004D7D6B"/>
    <w:rsid w:val="004E0346"/>
    <w:rsid w:val="004E4A03"/>
    <w:rsid w:val="005145C5"/>
    <w:rsid w:val="00517812"/>
    <w:rsid w:val="00525065"/>
    <w:rsid w:val="005253EB"/>
    <w:rsid w:val="00527FAF"/>
    <w:rsid w:val="005321FC"/>
    <w:rsid w:val="00537784"/>
    <w:rsid w:val="00542FD4"/>
    <w:rsid w:val="005470A0"/>
    <w:rsid w:val="00553D5B"/>
    <w:rsid w:val="005555EA"/>
    <w:rsid w:val="00561DDE"/>
    <w:rsid w:val="00563C1A"/>
    <w:rsid w:val="005642DB"/>
    <w:rsid w:val="00566482"/>
    <w:rsid w:val="00580163"/>
    <w:rsid w:val="0058240A"/>
    <w:rsid w:val="005870DB"/>
    <w:rsid w:val="00592850"/>
    <w:rsid w:val="005A05C1"/>
    <w:rsid w:val="005A572A"/>
    <w:rsid w:val="005D0750"/>
    <w:rsid w:val="005E28BB"/>
    <w:rsid w:val="005E79AD"/>
    <w:rsid w:val="005F01F1"/>
    <w:rsid w:val="005F641E"/>
    <w:rsid w:val="0060111C"/>
    <w:rsid w:val="00610F57"/>
    <w:rsid w:val="006211D8"/>
    <w:rsid w:val="00622F1F"/>
    <w:rsid w:val="0062321F"/>
    <w:rsid w:val="00623A63"/>
    <w:rsid w:val="00627BBC"/>
    <w:rsid w:val="00632C4C"/>
    <w:rsid w:val="00637958"/>
    <w:rsid w:val="00637F59"/>
    <w:rsid w:val="00640A9B"/>
    <w:rsid w:val="0064644D"/>
    <w:rsid w:val="00651B6A"/>
    <w:rsid w:val="006555BD"/>
    <w:rsid w:val="006669ED"/>
    <w:rsid w:val="006808D4"/>
    <w:rsid w:val="00680DF6"/>
    <w:rsid w:val="006849BF"/>
    <w:rsid w:val="00693885"/>
    <w:rsid w:val="006C1C78"/>
    <w:rsid w:val="006E1230"/>
    <w:rsid w:val="006E28A9"/>
    <w:rsid w:val="006E4601"/>
    <w:rsid w:val="006E6076"/>
    <w:rsid w:val="006F25A5"/>
    <w:rsid w:val="00703DEA"/>
    <w:rsid w:val="00722B3F"/>
    <w:rsid w:val="00740839"/>
    <w:rsid w:val="00757101"/>
    <w:rsid w:val="0076174A"/>
    <w:rsid w:val="00766FBA"/>
    <w:rsid w:val="00775890"/>
    <w:rsid w:val="00785C52"/>
    <w:rsid w:val="00792B85"/>
    <w:rsid w:val="007A031C"/>
    <w:rsid w:val="007A343B"/>
    <w:rsid w:val="007A3943"/>
    <w:rsid w:val="007B1050"/>
    <w:rsid w:val="007B17E0"/>
    <w:rsid w:val="007B41AE"/>
    <w:rsid w:val="007B628C"/>
    <w:rsid w:val="007B71E5"/>
    <w:rsid w:val="007D10B9"/>
    <w:rsid w:val="007E6EF7"/>
    <w:rsid w:val="007F5A17"/>
    <w:rsid w:val="007F7218"/>
    <w:rsid w:val="00800656"/>
    <w:rsid w:val="00801A6E"/>
    <w:rsid w:val="00805EAA"/>
    <w:rsid w:val="00811B21"/>
    <w:rsid w:val="00814A9A"/>
    <w:rsid w:val="00817372"/>
    <w:rsid w:val="008229DC"/>
    <w:rsid w:val="00823D0A"/>
    <w:rsid w:val="00831F9F"/>
    <w:rsid w:val="008323E1"/>
    <w:rsid w:val="0083448D"/>
    <w:rsid w:val="00837E60"/>
    <w:rsid w:val="0085293A"/>
    <w:rsid w:val="00853B15"/>
    <w:rsid w:val="00856D21"/>
    <w:rsid w:val="00875F97"/>
    <w:rsid w:val="0087674D"/>
    <w:rsid w:val="00885759"/>
    <w:rsid w:val="00893EC0"/>
    <w:rsid w:val="008A213E"/>
    <w:rsid w:val="008B2898"/>
    <w:rsid w:val="008B2F0D"/>
    <w:rsid w:val="008B5AD7"/>
    <w:rsid w:val="008B7305"/>
    <w:rsid w:val="008C533A"/>
    <w:rsid w:val="008E302D"/>
    <w:rsid w:val="008E4F72"/>
    <w:rsid w:val="008F0BF0"/>
    <w:rsid w:val="00902220"/>
    <w:rsid w:val="0090360D"/>
    <w:rsid w:val="00903DEE"/>
    <w:rsid w:val="00907374"/>
    <w:rsid w:val="00912B93"/>
    <w:rsid w:val="00912D4A"/>
    <w:rsid w:val="00930FAD"/>
    <w:rsid w:val="00931396"/>
    <w:rsid w:val="009374D1"/>
    <w:rsid w:val="00950459"/>
    <w:rsid w:val="0095090C"/>
    <w:rsid w:val="00957957"/>
    <w:rsid w:val="00957CF9"/>
    <w:rsid w:val="00957E70"/>
    <w:rsid w:val="00960F23"/>
    <w:rsid w:val="00963DA1"/>
    <w:rsid w:val="009763B6"/>
    <w:rsid w:val="00990DDF"/>
    <w:rsid w:val="009934F8"/>
    <w:rsid w:val="00996C21"/>
    <w:rsid w:val="009A1CC3"/>
    <w:rsid w:val="009B69E8"/>
    <w:rsid w:val="009B7940"/>
    <w:rsid w:val="009C4279"/>
    <w:rsid w:val="009C5B89"/>
    <w:rsid w:val="009C7A63"/>
    <w:rsid w:val="009D29A0"/>
    <w:rsid w:val="009E0746"/>
    <w:rsid w:val="009E5EFF"/>
    <w:rsid w:val="009E7716"/>
    <w:rsid w:val="009E7751"/>
    <w:rsid w:val="009F1D52"/>
    <w:rsid w:val="009F22AE"/>
    <w:rsid w:val="00A005AE"/>
    <w:rsid w:val="00A07410"/>
    <w:rsid w:val="00A111CE"/>
    <w:rsid w:val="00A1383B"/>
    <w:rsid w:val="00A43568"/>
    <w:rsid w:val="00A5712B"/>
    <w:rsid w:val="00A575FC"/>
    <w:rsid w:val="00A6345A"/>
    <w:rsid w:val="00A63826"/>
    <w:rsid w:val="00A63C2F"/>
    <w:rsid w:val="00A6445B"/>
    <w:rsid w:val="00A64CBC"/>
    <w:rsid w:val="00A73C22"/>
    <w:rsid w:val="00A86A97"/>
    <w:rsid w:val="00AA675C"/>
    <w:rsid w:val="00AB2709"/>
    <w:rsid w:val="00AC1543"/>
    <w:rsid w:val="00AC76D6"/>
    <w:rsid w:val="00AD56A3"/>
    <w:rsid w:val="00AE16A9"/>
    <w:rsid w:val="00AE1ADC"/>
    <w:rsid w:val="00AE27B4"/>
    <w:rsid w:val="00AE472A"/>
    <w:rsid w:val="00AE4F11"/>
    <w:rsid w:val="00AE7395"/>
    <w:rsid w:val="00AE76C9"/>
    <w:rsid w:val="00AF11D2"/>
    <w:rsid w:val="00B0035A"/>
    <w:rsid w:val="00B02F06"/>
    <w:rsid w:val="00B03E3D"/>
    <w:rsid w:val="00B12306"/>
    <w:rsid w:val="00B2289A"/>
    <w:rsid w:val="00B322B2"/>
    <w:rsid w:val="00B42266"/>
    <w:rsid w:val="00B4265F"/>
    <w:rsid w:val="00B441F2"/>
    <w:rsid w:val="00B52634"/>
    <w:rsid w:val="00B52C53"/>
    <w:rsid w:val="00B5381A"/>
    <w:rsid w:val="00B57DDC"/>
    <w:rsid w:val="00B60770"/>
    <w:rsid w:val="00B61E37"/>
    <w:rsid w:val="00B62093"/>
    <w:rsid w:val="00B70CCB"/>
    <w:rsid w:val="00B75405"/>
    <w:rsid w:val="00B75DBE"/>
    <w:rsid w:val="00B8223E"/>
    <w:rsid w:val="00B839A6"/>
    <w:rsid w:val="00B86C19"/>
    <w:rsid w:val="00BA386F"/>
    <w:rsid w:val="00BB70AE"/>
    <w:rsid w:val="00BC43F5"/>
    <w:rsid w:val="00BC60C1"/>
    <w:rsid w:val="00BC6AD7"/>
    <w:rsid w:val="00BC6BEC"/>
    <w:rsid w:val="00BC781E"/>
    <w:rsid w:val="00BD196E"/>
    <w:rsid w:val="00BE1676"/>
    <w:rsid w:val="00BE2057"/>
    <w:rsid w:val="00BE7CAD"/>
    <w:rsid w:val="00BF005F"/>
    <w:rsid w:val="00BF03B0"/>
    <w:rsid w:val="00BF5A11"/>
    <w:rsid w:val="00C073AA"/>
    <w:rsid w:val="00C075B8"/>
    <w:rsid w:val="00C1287D"/>
    <w:rsid w:val="00C22207"/>
    <w:rsid w:val="00C22543"/>
    <w:rsid w:val="00C27837"/>
    <w:rsid w:val="00C4769D"/>
    <w:rsid w:val="00C737AA"/>
    <w:rsid w:val="00C74113"/>
    <w:rsid w:val="00C7447A"/>
    <w:rsid w:val="00C91B11"/>
    <w:rsid w:val="00C91B5C"/>
    <w:rsid w:val="00C92E2F"/>
    <w:rsid w:val="00C97EFE"/>
    <w:rsid w:val="00CA5C9F"/>
    <w:rsid w:val="00CB0387"/>
    <w:rsid w:val="00CB3300"/>
    <w:rsid w:val="00CC3146"/>
    <w:rsid w:val="00CC35D2"/>
    <w:rsid w:val="00CC5EE2"/>
    <w:rsid w:val="00CD510F"/>
    <w:rsid w:val="00CD6B7A"/>
    <w:rsid w:val="00CD6E69"/>
    <w:rsid w:val="00CD7DC2"/>
    <w:rsid w:val="00CE1DE4"/>
    <w:rsid w:val="00CE5E13"/>
    <w:rsid w:val="00D004C6"/>
    <w:rsid w:val="00D030E7"/>
    <w:rsid w:val="00D17878"/>
    <w:rsid w:val="00D17B38"/>
    <w:rsid w:val="00D20988"/>
    <w:rsid w:val="00D2443F"/>
    <w:rsid w:val="00D276AE"/>
    <w:rsid w:val="00D40122"/>
    <w:rsid w:val="00D422AD"/>
    <w:rsid w:val="00D47F91"/>
    <w:rsid w:val="00D51D03"/>
    <w:rsid w:val="00D56FAB"/>
    <w:rsid w:val="00D57EBD"/>
    <w:rsid w:val="00D754C8"/>
    <w:rsid w:val="00D8127A"/>
    <w:rsid w:val="00D82D68"/>
    <w:rsid w:val="00DA25EE"/>
    <w:rsid w:val="00DA7213"/>
    <w:rsid w:val="00DB0C66"/>
    <w:rsid w:val="00DC03FB"/>
    <w:rsid w:val="00DC74AC"/>
    <w:rsid w:val="00DD4530"/>
    <w:rsid w:val="00DE0E26"/>
    <w:rsid w:val="00DE3908"/>
    <w:rsid w:val="00DE5FB5"/>
    <w:rsid w:val="00DF506B"/>
    <w:rsid w:val="00DF68AF"/>
    <w:rsid w:val="00E15CC6"/>
    <w:rsid w:val="00E15D12"/>
    <w:rsid w:val="00E16841"/>
    <w:rsid w:val="00E27916"/>
    <w:rsid w:val="00E346AE"/>
    <w:rsid w:val="00E411C0"/>
    <w:rsid w:val="00E42533"/>
    <w:rsid w:val="00E51C6D"/>
    <w:rsid w:val="00E60100"/>
    <w:rsid w:val="00E62406"/>
    <w:rsid w:val="00E62A9D"/>
    <w:rsid w:val="00E6412E"/>
    <w:rsid w:val="00E67F77"/>
    <w:rsid w:val="00E70F38"/>
    <w:rsid w:val="00E73907"/>
    <w:rsid w:val="00E7569C"/>
    <w:rsid w:val="00E77C5F"/>
    <w:rsid w:val="00E80D0D"/>
    <w:rsid w:val="00E8522E"/>
    <w:rsid w:val="00E873D3"/>
    <w:rsid w:val="00E96776"/>
    <w:rsid w:val="00EA356E"/>
    <w:rsid w:val="00EC514A"/>
    <w:rsid w:val="00EC5944"/>
    <w:rsid w:val="00EE348B"/>
    <w:rsid w:val="00EE5E38"/>
    <w:rsid w:val="00EE67F4"/>
    <w:rsid w:val="00EF0A9C"/>
    <w:rsid w:val="00EF6BCD"/>
    <w:rsid w:val="00F00809"/>
    <w:rsid w:val="00F057C2"/>
    <w:rsid w:val="00F1209B"/>
    <w:rsid w:val="00F1699A"/>
    <w:rsid w:val="00F236AF"/>
    <w:rsid w:val="00F2610D"/>
    <w:rsid w:val="00F46A72"/>
    <w:rsid w:val="00F600E5"/>
    <w:rsid w:val="00F61EDE"/>
    <w:rsid w:val="00F6432F"/>
    <w:rsid w:val="00F7442F"/>
    <w:rsid w:val="00F766F8"/>
    <w:rsid w:val="00F81B78"/>
    <w:rsid w:val="00F90FCB"/>
    <w:rsid w:val="00F91A67"/>
    <w:rsid w:val="00F9206D"/>
    <w:rsid w:val="00FA04F1"/>
    <w:rsid w:val="00FA4FD6"/>
    <w:rsid w:val="00FA7329"/>
    <w:rsid w:val="00FE21A3"/>
    <w:rsid w:val="00FE6D77"/>
    <w:rsid w:val="00FF1ABD"/>
    <w:rsid w:val="00FF4381"/>
    <w:rsid w:val="00FF5923"/>
    <w:rsid w:val="00FF6BDB"/>
    <w:rsid w:val="014C6357"/>
    <w:rsid w:val="01653FEA"/>
    <w:rsid w:val="04685D2D"/>
    <w:rsid w:val="0577785F"/>
    <w:rsid w:val="093A4919"/>
    <w:rsid w:val="0A752B20"/>
    <w:rsid w:val="0B8760FD"/>
    <w:rsid w:val="0BB968EA"/>
    <w:rsid w:val="0C7D0493"/>
    <w:rsid w:val="107F1FA3"/>
    <w:rsid w:val="11204277"/>
    <w:rsid w:val="11FD5403"/>
    <w:rsid w:val="12752033"/>
    <w:rsid w:val="13452E1F"/>
    <w:rsid w:val="13D2010D"/>
    <w:rsid w:val="15587A13"/>
    <w:rsid w:val="15FF198C"/>
    <w:rsid w:val="16382347"/>
    <w:rsid w:val="17A139AD"/>
    <w:rsid w:val="19DF5549"/>
    <w:rsid w:val="1A4A1F45"/>
    <w:rsid w:val="1AF6459C"/>
    <w:rsid w:val="1B482D89"/>
    <w:rsid w:val="1C722F1E"/>
    <w:rsid w:val="1E2E2966"/>
    <w:rsid w:val="1F7274A7"/>
    <w:rsid w:val="214E19F2"/>
    <w:rsid w:val="21EA36A7"/>
    <w:rsid w:val="22505DF0"/>
    <w:rsid w:val="228807A6"/>
    <w:rsid w:val="24130F63"/>
    <w:rsid w:val="243D73A3"/>
    <w:rsid w:val="256C3138"/>
    <w:rsid w:val="25C667B0"/>
    <w:rsid w:val="270E35C6"/>
    <w:rsid w:val="290D143F"/>
    <w:rsid w:val="29922601"/>
    <w:rsid w:val="2A1520DC"/>
    <w:rsid w:val="2AD1304A"/>
    <w:rsid w:val="2B227798"/>
    <w:rsid w:val="2C454AE4"/>
    <w:rsid w:val="2E8227C8"/>
    <w:rsid w:val="2F5C770C"/>
    <w:rsid w:val="30B00099"/>
    <w:rsid w:val="323B1E54"/>
    <w:rsid w:val="363E65DC"/>
    <w:rsid w:val="36AE6235"/>
    <w:rsid w:val="39954F17"/>
    <w:rsid w:val="39FB7564"/>
    <w:rsid w:val="3B8405A1"/>
    <w:rsid w:val="3CDB0E43"/>
    <w:rsid w:val="3E07515F"/>
    <w:rsid w:val="412C7779"/>
    <w:rsid w:val="444E0F21"/>
    <w:rsid w:val="45D33027"/>
    <w:rsid w:val="478365B6"/>
    <w:rsid w:val="48E93055"/>
    <w:rsid w:val="49B107C9"/>
    <w:rsid w:val="4BBD02E5"/>
    <w:rsid w:val="4C3764E3"/>
    <w:rsid w:val="4C5E5B6D"/>
    <w:rsid w:val="4CFB5F65"/>
    <w:rsid w:val="50AF3946"/>
    <w:rsid w:val="511E4A9F"/>
    <w:rsid w:val="52A17131"/>
    <w:rsid w:val="52CF0357"/>
    <w:rsid w:val="534D12BE"/>
    <w:rsid w:val="54B827F2"/>
    <w:rsid w:val="5540622B"/>
    <w:rsid w:val="55892146"/>
    <w:rsid w:val="56650D12"/>
    <w:rsid w:val="56A2283B"/>
    <w:rsid w:val="56D138A0"/>
    <w:rsid w:val="585B61DC"/>
    <w:rsid w:val="5A0C7AD6"/>
    <w:rsid w:val="60C42D28"/>
    <w:rsid w:val="61B70798"/>
    <w:rsid w:val="623A1524"/>
    <w:rsid w:val="62B7179C"/>
    <w:rsid w:val="634277CC"/>
    <w:rsid w:val="650E57BE"/>
    <w:rsid w:val="66740D25"/>
    <w:rsid w:val="668F1E84"/>
    <w:rsid w:val="681842C2"/>
    <w:rsid w:val="69612B1A"/>
    <w:rsid w:val="6A5A07E8"/>
    <w:rsid w:val="6A9E2A40"/>
    <w:rsid w:val="6ADA0D52"/>
    <w:rsid w:val="6CC33065"/>
    <w:rsid w:val="6F7258F2"/>
    <w:rsid w:val="6F8A2926"/>
    <w:rsid w:val="6FBFDCFF"/>
    <w:rsid w:val="704D7392"/>
    <w:rsid w:val="70A94220"/>
    <w:rsid w:val="70C75F8D"/>
    <w:rsid w:val="730D1678"/>
    <w:rsid w:val="73910329"/>
    <w:rsid w:val="743B5885"/>
    <w:rsid w:val="75051CCB"/>
    <w:rsid w:val="752226C9"/>
    <w:rsid w:val="76F34C1D"/>
    <w:rsid w:val="77E65304"/>
    <w:rsid w:val="7836093A"/>
    <w:rsid w:val="79AD40F2"/>
    <w:rsid w:val="7C602D3C"/>
    <w:rsid w:val="7DED40BF"/>
    <w:rsid w:val="FA7E6DC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qFormat="1"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5"/>
    <w:qFormat/>
    <w:uiPriority w:val="0"/>
    <w:rPr>
      <w:rFonts w:ascii="宋体"/>
      <w:sz w:val="18"/>
      <w:szCs w:val="18"/>
    </w:rPr>
  </w:style>
  <w:style w:type="paragraph" w:styleId="3">
    <w:name w:val="Body Text"/>
    <w:basedOn w:val="1"/>
    <w:qFormat/>
    <w:uiPriority w:val="0"/>
    <w:pPr>
      <w:adjustRightInd w:val="0"/>
      <w:spacing w:line="360" w:lineRule="auto"/>
    </w:pPr>
    <w:rPr>
      <w:rFonts w:ascii="宋体" w:hAnsi="宋体"/>
      <w:b/>
      <w:bCs/>
      <w:sz w:val="36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Balloon Text"/>
    <w:basedOn w:val="1"/>
    <w:link w:val="17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autoSpaceDE w:val="0"/>
      <w:autoSpaceDN w:val="0"/>
      <w:adjustRightInd w:val="0"/>
      <w:jc w:val="center"/>
    </w:pPr>
    <w:rPr>
      <w:rFonts w:hint="eastAsia" w:ascii="宋体"/>
      <w:kern w:val="0"/>
      <w:sz w:val="2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10">
    <w:name w:val="Table Grid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Classic 1"/>
    <w:basedOn w:val="9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6" w:space="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13">
    <w:name w:val="page number"/>
    <w:basedOn w:val="12"/>
    <w:qFormat/>
    <w:uiPriority w:val="0"/>
  </w:style>
  <w:style w:type="character" w:customStyle="1" w:styleId="14">
    <w:name w:val="def3"/>
    <w:qFormat/>
    <w:uiPriority w:val="0"/>
  </w:style>
  <w:style w:type="character" w:customStyle="1" w:styleId="15">
    <w:name w:val="文档结构图 Char"/>
    <w:link w:val="2"/>
    <w:qFormat/>
    <w:uiPriority w:val="0"/>
    <w:rPr>
      <w:rFonts w:ascii="宋体"/>
      <w:kern w:val="2"/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2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chart" Target="charts/chart1.xml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theme" Target="theme/theme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6.tiff"/><Relationship Id="rId12" Type="http://schemas.openxmlformats.org/officeDocument/2006/relationships/image" Target="media/image5.tiff"/><Relationship Id="rId11" Type="http://schemas.openxmlformats.org/officeDocument/2006/relationships/image" Target="media/image4.tif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34503;&#27873;&#31563;&#21644;&#27785;&#39321;&#21494;\&#26631;&#20934;&#26354;&#32447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true"/>
    <c:plotArea>
      <c:layout>
        <c:manualLayout>
          <c:layoutTarget val="inner"/>
          <c:xMode val="edge"/>
          <c:yMode val="edge"/>
          <c:x val="0.231681479730528"/>
          <c:y val="0.105180137401495"/>
          <c:w val="0.731750000000003"/>
          <c:h val="0.692250000000001"/>
        </c:manualLayout>
      </c:layout>
      <c:scatterChart>
        <c:scatterStyle val="lineMarker"/>
        <c:varyColors val="false"/>
        <c:ser>
          <c:idx val="0"/>
          <c:order val="0"/>
          <c:spPr>
            <a:ln w="3175" cap="rnd" cmpd="sng" algn="ctr">
              <a:noFill/>
              <a:prstDash val="solid"/>
              <a:round/>
            </a:ln>
          </c:spPr>
          <c:marker>
            <c:symbol val="diamond"/>
            <c:size val="5"/>
            <c:spPr>
              <a:solidFill>
                <a:srgbClr val="000080">
                  <a:alpha val="100000"/>
                </a:srgbClr>
              </a:solidFill>
              <a:ln w="6350" cap="flat" cmpd="sng" algn="ctr">
                <a:solidFill>
                  <a:srgbClr val="000080">
                    <a:alpha val="100000"/>
                  </a:srgbClr>
                </a:solidFill>
                <a:prstDash val="solid"/>
                <a:round/>
              </a:ln>
            </c:spPr>
          </c:marker>
          <c:dLbls>
            <c:delete val="true"/>
          </c:dLbls>
          <c:trendline>
            <c:spPr>
              <a:ln w="28575" cap="rnd" cmpd="sng" algn="ctr">
                <a:solidFill>
                  <a:srgbClr val="000000">
                    <a:alpha val="100000"/>
                  </a:srgbClr>
                </a:solidFill>
                <a:prstDash val="solid"/>
                <a:round/>
              </a:ln>
            </c:spPr>
            <c:trendlineType val="linear"/>
            <c:dispRSqr val="true"/>
            <c:dispEq val="true"/>
            <c:trendlineLbl>
              <c:layout/>
              <c:numFmt formatCode="General" sourceLinked="false"/>
              <c:spPr>
                <a:noFill/>
                <a:ln w="3175">
                  <a:noFill/>
                </a:ln>
              </c:spPr>
              <c:txPr>
                <a:bodyPr rot="0" spcFirstLastPara="0" vertOverflow="ellipsis" vert="horz" wrap="square" anchor="ctr" anchorCtr="true"/>
                <a:lstStyle/>
                <a:p>
                  <a:pPr>
                    <a:defRPr lang="zh-CN" sz="1200" b="0" i="0" u="none" strike="noStrike" kern="1200" baseline="0">
                      <a:solidFill>
                        <a:srgbClr val="000000">
                          <a:alpha val="100000"/>
                        </a:srgbClr>
                      </a:solidFill>
                      <a:latin typeface="宋体" charset="-122"/>
                      <a:ea typeface="宋体" charset="-122"/>
                      <a:cs typeface="宋体" charset="-122"/>
                    </a:defRPr>
                  </a:pPr>
                </a:p>
              </c:txPr>
            </c:trendlineLbl>
          </c:trendline>
          <c:xVal>
            <c:numRef>
              <c:f>[标准曲线.xls]Sheet1!$B$19:$B$25</c:f>
              <c:numCache>
                <c:formatCode>General</c:formatCode>
                <c:ptCount val="7"/>
                <c:pt idx="0">
                  <c:v>44</c:v>
                </c:pt>
                <c:pt idx="1">
                  <c:v>88</c:v>
                </c:pt>
                <c:pt idx="2">
                  <c:v>132</c:v>
                </c:pt>
                <c:pt idx="3">
                  <c:v>176</c:v>
                </c:pt>
                <c:pt idx="4">
                  <c:v>220</c:v>
                </c:pt>
                <c:pt idx="5">
                  <c:v>264</c:v>
                </c:pt>
                <c:pt idx="6">
                  <c:v>308</c:v>
                </c:pt>
              </c:numCache>
            </c:numRef>
          </c:xVal>
          <c:yVal>
            <c:numRef>
              <c:f>[标准曲线.xls]Sheet1!$C$19:$C$25</c:f>
              <c:numCache>
                <c:formatCode>General</c:formatCode>
                <c:ptCount val="7"/>
                <c:pt idx="0">
                  <c:v>181177</c:v>
                </c:pt>
                <c:pt idx="1">
                  <c:v>381248.5</c:v>
                </c:pt>
                <c:pt idx="2">
                  <c:v>573405</c:v>
                </c:pt>
                <c:pt idx="3">
                  <c:v>765162</c:v>
                </c:pt>
                <c:pt idx="4">
                  <c:v>960095</c:v>
                </c:pt>
                <c:pt idx="5">
                  <c:v>1149248</c:v>
                </c:pt>
                <c:pt idx="6">
                  <c:v>1342445</c:v>
                </c:pt>
              </c:numCache>
            </c:numRef>
          </c:y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axId val="258418944"/>
        <c:axId val="258419520"/>
      </c:scatterChart>
      <c:valAx>
        <c:axId val="258418944"/>
        <c:scaling>
          <c:orientation val="minMax"/>
        </c:scaling>
        <c:delete val="false"/>
        <c:axPos val="b"/>
        <c:title>
          <c:tx>
            <c:rich>
              <a:bodyPr rot="0" spcFirstLastPara="0" vertOverflow="ellipsis" vert="horz" wrap="square" anchor="ctr" anchorCtr="true"/>
              <a:lstStyle/>
              <a:p>
                <a:pPr defTabSz="914400">
                  <a:defRPr lang="zh-CN" sz="1200" b="0" i="0" u="none" strike="noStrike" kern="1200" baseline="0">
                    <a:solidFill>
                      <a:srgbClr val="000000">
                        <a:alpha val="100000"/>
                      </a:srgbClr>
                    </a:solidFill>
                    <a:latin typeface="宋体" charset="-122"/>
                    <a:ea typeface="宋体" charset="-122"/>
                    <a:cs typeface="宋体" charset="-122"/>
                  </a:defRPr>
                </a:pPr>
                <a:r>
                  <a:rPr lang="en-US"/>
                  <a:t>ng</a:t>
                </a:r>
                <a:endParaRPr lang="en-US" sz="1200" b="0" i="0" u="none" strike="noStrike" baseline="0">
                  <a:solidFill>
                    <a:srgbClr val="000000">
                      <a:alpha val="100000"/>
                    </a:srgbClr>
                  </a:solidFill>
                  <a:latin typeface="宋体" charset="-122"/>
                  <a:ea typeface="宋体" charset="-122"/>
                  <a:cs typeface="宋体" charset="-122"/>
                </a:endParaRPr>
              </a:p>
            </c:rich>
          </c:tx>
          <c:layout>
            <c:manualLayout>
              <c:xMode val="edge"/>
              <c:yMode val="edge"/>
              <c:x val="0.579206010047107"/>
              <c:y val="0.874693992100789"/>
            </c:manualLayout>
          </c:layout>
          <c:overlay val="false"/>
          <c:spPr>
            <a:noFill/>
            <a:ln w="3175">
              <a:noFill/>
            </a:ln>
          </c:spPr>
        </c:title>
        <c:numFmt formatCode="General" sourceLinked="true"/>
        <c:majorTickMark val="in"/>
        <c:minorTickMark val="none"/>
        <c:tickLblPos val="nextTo"/>
        <c:spPr>
          <a:ln w="3175" cap="flat" cmpd="sng" algn="ctr">
            <a:solidFill>
              <a:srgbClr val="000000">
                <a:alpha val="100000"/>
              </a:srgbClr>
            </a:solidFill>
            <a:prstDash val="solid"/>
            <a:round/>
          </a:ln>
        </c:spPr>
        <c:txPr>
          <a:bodyPr rot="-60000000" spcFirstLastPara="0" vertOverflow="ellipsis" vert="horz" wrap="square" anchor="ctr" anchorCtr="true"/>
          <a:lstStyle/>
          <a:p>
            <a:pPr>
              <a:defRPr lang="zh-CN" sz="1200" b="0" i="0" u="none" strike="noStrike" kern="1200" baseline="0">
                <a:solidFill>
                  <a:srgbClr val="000000">
                    <a:alpha val="100000"/>
                  </a:srgbClr>
                </a:solidFill>
                <a:latin typeface="宋体" charset="-122"/>
                <a:ea typeface="宋体" charset="-122"/>
                <a:cs typeface="宋体" charset="-122"/>
              </a:defRPr>
            </a:pPr>
          </a:p>
        </c:txPr>
        <c:crossAx val="258419520"/>
        <c:crosses val="autoZero"/>
        <c:crossBetween val="midCat"/>
      </c:valAx>
      <c:valAx>
        <c:axId val="258419520"/>
        <c:scaling>
          <c:orientation val="minMax"/>
        </c:scaling>
        <c:delete val="false"/>
        <c:axPos val="l"/>
        <c:title>
          <c:tx>
            <c:rich>
              <a:bodyPr rot="-5400000" spcFirstLastPara="0" vertOverflow="ellipsis" vert="horz" wrap="square" anchor="ctr" anchorCtr="true"/>
              <a:lstStyle/>
              <a:p>
                <a:pPr defTabSz="914400">
                  <a:defRPr lang="zh-CN" sz="1200" b="0" i="0" u="none" strike="noStrike" kern="1200" baseline="0">
                    <a:solidFill>
                      <a:srgbClr val="000000">
                        <a:alpha val="100000"/>
                      </a:srgbClr>
                    </a:solidFill>
                    <a:latin typeface="宋体" charset="-122"/>
                    <a:ea typeface="宋体" charset="-122"/>
                    <a:cs typeface="宋体" charset="-122"/>
                  </a:defRPr>
                </a:pPr>
                <a:r>
                  <a:rPr lang="zh-CN" altLang="en-US"/>
                  <a:t>峰面积</a:t>
                </a:r>
                <a:endParaRPr lang="zh-CN" altLang="en-US" b="0" i="0" u="none" strike="noStrike" baseline="0">
                  <a:solidFill>
                    <a:srgbClr val="000000">
                      <a:alpha val="100000"/>
                    </a:srgbClr>
                  </a:solidFill>
                  <a:latin typeface="宋体" charset="-122"/>
                  <a:ea typeface="宋体" charset="-122"/>
                  <a:cs typeface="宋体" charset="-122"/>
                </a:endParaRPr>
              </a:p>
            </c:rich>
          </c:tx>
          <c:layout>
            <c:manualLayout>
              <c:xMode val="edge"/>
              <c:yMode val="edge"/>
              <c:x val="0.049520302380129"/>
              <c:y val="0.0171037553360663"/>
            </c:manualLayout>
          </c:layout>
          <c:overlay val="false"/>
          <c:spPr>
            <a:noFill/>
            <a:ln w="3175">
              <a:noFill/>
            </a:ln>
          </c:spPr>
        </c:title>
        <c:numFmt formatCode="General" sourceLinked="true"/>
        <c:majorTickMark val="in"/>
        <c:minorTickMark val="none"/>
        <c:tickLblPos val="low"/>
        <c:spPr>
          <a:ln w="3175" cap="flat" cmpd="sng" algn="ctr">
            <a:solidFill>
              <a:srgbClr val="000000">
                <a:alpha val="100000"/>
              </a:srgbClr>
            </a:solidFill>
            <a:prstDash val="solid"/>
            <a:round/>
          </a:ln>
        </c:spPr>
        <c:txPr>
          <a:bodyPr rot="-60000000" spcFirstLastPara="0" vertOverflow="ellipsis" vert="horz" wrap="square" anchor="ctr" anchorCtr="true"/>
          <a:lstStyle/>
          <a:p>
            <a:pPr>
              <a:defRPr lang="zh-CN" sz="1200" b="0" i="0" u="none" strike="noStrike" kern="1200" baseline="0">
                <a:solidFill>
                  <a:srgbClr val="000000">
                    <a:alpha val="100000"/>
                  </a:srgbClr>
                </a:solidFill>
                <a:latin typeface="宋体" charset="-122"/>
                <a:ea typeface="宋体" charset="-122"/>
                <a:cs typeface="宋体" charset="-122"/>
              </a:defRPr>
            </a:pPr>
          </a:p>
        </c:txPr>
        <c:crossAx val="258418944"/>
        <c:crosses val="autoZero"/>
        <c:crossBetween val="midCat"/>
      </c:valAx>
      <c:spPr>
        <a:noFill/>
        <a:ln w="3175">
          <a:noFill/>
        </a:ln>
      </c:spPr>
    </c:plotArea>
    <c:plotVisOnly val="true"/>
    <c:dispBlanksAs val="gap"/>
    <c:showDLblsOverMax val="false"/>
  </c:chart>
  <c:spPr>
    <a:solidFill>
      <a:srgbClr val="FFFFFF">
        <a:alpha val="100000"/>
      </a:srgbClr>
    </a:solidFill>
    <a:ln w="3175" cap="flat" cmpd="sng" algn="ctr">
      <a:solidFill>
        <a:srgbClr val="000000">
          <a:alpha val="100000"/>
        </a:srgbClr>
      </a:solidFill>
      <a:prstDash val="solid"/>
      <a:round/>
    </a:ln>
  </c:spPr>
  <c:txPr>
    <a:bodyPr rot="0" wrap="square" anchor="ctr" anchorCtr="true"/>
    <a:lstStyle/>
    <a:p>
      <a:pPr>
        <a:defRPr lang="zh-CN" sz="1200" b="0" i="0" u="none" strike="noStrike" baseline="0">
          <a:solidFill>
            <a:srgbClr val="000000"/>
          </a:solidFill>
          <a:latin typeface="宋体" charset="-122"/>
          <a:ea typeface="宋体" charset="-122"/>
          <a:cs typeface="宋体" charset="-122"/>
        </a:defRPr>
      </a:pPr>
    </a:p>
  </c:txPr>
  <c:externalData r:id="rId1">
    <c:autoUpdate val="false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0.42548</cdr:x>
      <cdr:y>0.01798</cdr:y>
    </cdr:from>
    <cdr:to>
      <cdr:x>0.60477</cdr:x>
      <cdr:y>0.10265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2286000" y="56515"/>
          <a:ext cx="963295" cy="266065"/>
        </a:xfrm>
        <a:prstGeom xmlns:a="http://schemas.openxmlformats.org/drawingml/2006/main" prst="rect">
          <a:avLst/>
        </a:prstGeom>
      </cdr:spPr>
      <cdr:txBody xmlns:a="http://schemas.openxmlformats.org/drawingml/2006/main">
        <a:bodyPr vertOverflow="clip" horzOverflow="clip" vert="horz" wrap="square" lIns="45720" tIns="45720" rIns="45720" bIns="45720" rtlCol="0" anchor="t" anchorCtr="false">
          <a:normAutofit/>
        </a:bodyPr>
        <a:lstStyle/>
        <a:p>
          <a:r>
            <a:rPr lang="zh-CN" altLang="en-US" sz="1200"/>
            <a:t>标准曲线</a:t>
          </a:r>
          <a:endParaRPr lang="zh-CN" altLang="en-US" sz="1200"/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22</Pages>
  <Words>7447</Words>
  <Characters>5602</Characters>
  <Lines>46</Lines>
  <Paragraphs>26</Paragraphs>
  <TotalTime>0</TotalTime>
  <ScaleCrop>false</ScaleCrop>
  <LinksUpToDate>false</LinksUpToDate>
  <CharactersWithSpaces>13023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2024-06-04T19:54:00Z</dcterms:created>
  <dc:creator>yaoxue</dc:creator>
  <cp:lastModifiedBy>uos</cp:lastModifiedBy>
  <cp:lastPrinted>2022-01-18T18:09:00Z</cp:lastPrinted>
  <dcterms:modified xsi:type="dcterms:W3CDTF">2024-06-11T15:24:10Z</dcterms:modified>
  <dc:title>学 校 代 码：     ２９４２　　　　　　　　　　　　　　　学 号：        01401026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C134817325FA41108D0DBDD6587E7946</vt:lpwstr>
  </property>
</Properties>
</file>