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Times New Roman"/>
          <w:b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Calibri" w:hAnsi="Calibri" w:eastAsia="宋体" w:cs="Times New Roman"/>
          <w:b/>
          <w:kern w:val="2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编号：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琼ZP202</w:t>
      </w: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--00</w:t>
      </w: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</w:p>
    <w:p>
      <w:pPr>
        <w:spacing w:line="600" w:lineRule="exact"/>
        <w:jc w:val="center"/>
        <w:rPr>
          <w:rFonts w:hint="eastAsia" w:ascii="仿宋_GB2312" w:hAnsi="仿宋_GB2312" w:eastAsia="仿宋_GB2312" w:cs="Times New Roman"/>
          <w:b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宋体" w:eastAsia="宋体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kern w:val="2"/>
          <w:sz w:val="36"/>
          <w:szCs w:val="36"/>
          <w:lang w:val="en-US" w:eastAsia="zh-CN" w:bidi="ar-SA"/>
        </w:rPr>
        <w:t>树舌粉</w:t>
      </w:r>
      <w:bookmarkStart w:id="8" w:name="_GoBack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Shushefen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【来源】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本品为多孔菌科树舌灵芝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eastAsia="zh-CN"/>
        </w:rPr>
        <w:t>Ganoderma applanatum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（Pers.ex Gray） Pat的干燥子实体的炮制加工品。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【炮制】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eastAsia="zh-CN"/>
        </w:rPr>
        <w:t>取原药材，除去杂质，洗净，润软，切片、干燥，粉碎成细粉。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【性状】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本品为浅褐色至深褐色的粉末，气微，味微苦。</w:t>
      </w:r>
    </w:p>
    <w:p>
      <w:pPr>
        <w:widowControl/>
        <w:spacing w:line="360" w:lineRule="auto"/>
        <w:ind w:firstLine="481" w:firstLineChars="200"/>
        <w:jc w:val="both"/>
        <w:outlineLvl w:val="0"/>
        <w:rPr>
          <w:rFonts w:ascii="宋体" w:hAnsi="宋体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【鉴别】</w:t>
      </w:r>
    </w:p>
    <w:p>
      <w:pPr>
        <w:widowControl/>
        <w:spacing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（1）本品粉末浅褐色至深褐色，孢子聚集时褐色，单个孢子卵形；菌丝体三体型，生殖菌丝壁薄，无色或浅褐色；缠绕菌丝分枝多，常扭曲，褐色或浅褐色；骨架菌丝壁厚，深褐色。</w:t>
      </w:r>
    </w:p>
    <w:p>
      <w:pPr>
        <w:widowControl/>
        <w:spacing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（2）取本品粉末0.5g，加水20ml，加热煮沸数分钟，滤过，取滤液1ml，加新配制的碱性酒石酸铜试液数滴，在沸水浴中加热数分钟，溶液变为红棕色，静置后生成红棕色沉淀。</w:t>
      </w:r>
    </w:p>
    <w:p>
      <w:pPr>
        <w:widowControl/>
        <w:spacing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（3）取本品粉末0.2g，加石油醚10ml，冷浸振摇10分钟，滤过，滤液挥干，加冰醋酸1滴，醋酐和浓硫酸1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～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2滴，即显红色，迅速转为翠绿色。</w:t>
      </w:r>
    </w:p>
    <w:p>
      <w:pPr>
        <w:widowControl/>
        <w:spacing w:line="360" w:lineRule="auto"/>
        <w:ind w:firstLine="481" w:firstLineChars="200"/>
        <w:jc w:val="both"/>
        <w:outlineLvl w:val="0"/>
        <w:rPr>
          <w:rFonts w:ascii="宋体" w:hAnsi="宋体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【检查】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水分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 xml:space="preserve">  不得过13.0%（《中国药典》20</w:t>
      </w:r>
      <w:r>
        <w:rPr>
          <w:rFonts w:ascii="宋体" w:hAnsi="宋体" w:eastAsia="宋体" w:cs="Times New Roman"/>
          <w:kern w:val="2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年版四部通则0832第二法）。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color w:val="0000FF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总灰分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不得过3.0%（《中国药典》20</w:t>
      </w:r>
      <w:r>
        <w:rPr>
          <w:rFonts w:ascii="宋体" w:hAnsi="宋体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年版四部通则2302）。</w:t>
      </w:r>
    </w:p>
    <w:p>
      <w:pPr>
        <w:widowControl/>
        <w:spacing w:line="360" w:lineRule="auto"/>
        <w:ind w:firstLine="481" w:firstLineChars="200"/>
        <w:jc w:val="both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eastAsia="zh-CN"/>
        </w:rPr>
        <w:t>酸不溶性灰分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 xml:space="preserve">  不得过1.0%《中国药典》20</w:t>
      </w:r>
      <w:r>
        <w:rPr>
          <w:rFonts w:ascii="宋体" w:hAnsi="宋体" w:eastAsia="宋体" w:cs="Times New Roman"/>
          <w:kern w:val="2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年版四部通则2302）。</w:t>
      </w:r>
    </w:p>
    <w:p>
      <w:pPr>
        <w:widowControl/>
        <w:snapToGrid w:val="0"/>
        <w:spacing w:line="360" w:lineRule="auto"/>
        <w:ind w:firstLine="481" w:firstLineChars="200"/>
        <w:jc w:val="both"/>
        <w:rPr>
          <w:rFonts w:ascii="宋体" w:hAnsi="宋体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eastAsia="zh-CN"/>
        </w:rPr>
        <w:t>微生物限度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 xml:space="preserve">  应符合中药饮片的微生物限度标准（《中国药典》20</w:t>
      </w:r>
      <w:r>
        <w:rPr>
          <w:rFonts w:ascii="宋体" w:hAnsi="宋体" w:eastAsia="宋体" w:cs="Times New Roman"/>
          <w:kern w:val="2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年版通则1107）</w:t>
      </w:r>
    </w:p>
    <w:p>
      <w:pPr>
        <w:widowControl/>
        <w:spacing w:line="360" w:lineRule="auto"/>
        <w:ind w:firstLine="481" w:firstLineChars="200"/>
        <w:jc w:val="both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eastAsia="zh-CN"/>
        </w:rPr>
        <w:t>【浸出物】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CN"/>
        </w:rPr>
        <w:t>照水溶性浸出物测定法项下的热浸法（《中国药典》2020年版四部通则2201）测定，用水作溶剂，</w:t>
      </w:r>
      <w:r>
        <w:rPr>
          <w:rFonts w:hint="eastAsia" w:ascii="宋体" w:hAnsi="宋体" w:eastAsia="宋体" w:cs="Times New Roman"/>
          <w:b w:val="0"/>
          <w:bCs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不得少于</w:t>
      </w:r>
      <w:r>
        <w:rPr>
          <w:rFonts w:hint="eastAsia" w:ascii="宋体" w:hAnsi="宋体" w:eastAsia="宋体" w:cs="Times New Roman"/>
          <w:b w:val="0"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6.0</w:t>
      </w:r>
      <w:r>
        <w:rPr>
          <w:rFonts w:hint="eastAsia" w:ascii="宋体" w:hAnsi="宋体" w:eastAsia="宋体" w:cs="Times New Roman"/>
          <w:b w:val="0"/>
          <w:bCs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%。</w:t>
      </w:r>
    </w:p>
    <w:p>
      <w:pPr>
        <w:spacing w:line="360" w:lineRule="auto"/>
        <w:ind w:firstLine="420" w:firstLineChars="200"/>
        <w:jc w:val="both"/>
        <w:rPr>
          <w:rFonts w:asciiTheme="minorEastAsia" w:hAnsiTheme="minorEastAsia" w:cstheme="minorEastAsia"/>
          <w:bCs/>
          <w:kern w:val="2"/>
          <w:sz w:val="24"/>
          <w:szCs w:val="24"/>
          <w:lang w:eastAsia="zh-CN"/>
        </w:rPr>
      </w:pPr>
      <w:r>
        <w:rPr>
          <w:rFonts w:ascii="宋体" w:hAnsi="宋体"/>
          <w:kern w:val="2"/>
          <w:sz w:val="21"/>
          <w:lang w:eastAsia="zh-CN"/>
        </w:rPr>
        <w:t>【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 xml:space="preserve">含量测定】  </w:t>
      </w:r>
      <w:r>
        <w:rPr>
          <w:rFonts w:hint="eastAsia" w:asciiTheme="minorEastAsia" w:hAnsiTheme="minorEastAsia" w:cstheme="minorEastAsia"/>
          <w:b/>
          <w:kern w:val="2"/>
          <w:sz w:val="24"/>
          <w:szCs w:val="24"/>
          <w:lang w:eastAsia="zh-CN"/>
        </w:rPr>
        <w:t>多糖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 xml:space="preserve"> 对照品溶液的制备 取无水葡萄糖对照品适量，精密称定，加水制成每1m1含0.12mg的溶液，即得。</w:t>
      </w:r>
    </w:p>
    <w:p>
      <w:pPr>
        <w:spacing w:line="360" w:lineRule="auto"/>
        <w:ind w:firstLine="480" w:firstLineChars="200"/>
        <w:jc w:val="both"/>
        <w:rPr>
          <w:rFonts w:asciiTheme="minorEastAsia" w:hAnsiTheme="minorEastAsia" w:cstheme="minorEastAsia"/>
          <w:bCs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标准曲线的制备 精密量取对照品溶液0.2、0.4、0.6、0.8、1.0、1.2ml，分别置10ml具塞试管中，各加水至2.0ml，迅速精密加入硫酸蒽酮溶液（精密称取蒽酮0.1g，加硫酸100ml使溶解，摇匀）6ml，立即摇匀，放置15分钟后，立即置冰浴中冷却15分钟，取出，以相应的试剂为空白，照紫外-可见分光光度法（通则0401），在625nm波长处测定吸光度，以吸光度为纵坐标，浓度为横坐标，绘制标准曲线。</w:t>
      </w:r>
    </w:p>
    <w:p>
      <w:pPr>
        <w:spacing w:line="360" w:lineRule="auto"/>
        <w:ind w:firstLine="480" w:firstLineChars="200"/>
        <w:jc w:val="both"/>
        <w:rPr>
          <w:rFonts w:asciiTheme="minorEastAsia" w:hAnsiTheme="minorEastAsia" w:cstheme="minorEastAsia"/>
          <w:bCs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供试品溶液的制备 取本品粉末约1.5g，精密称定，置圆底烧瓶中，加水60m1静置1小时，加热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回流4小时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，趁热滤过，用少量热水洗涤滤器和滤渣，将滤渣及滤纸置烧瓶中，加水60ml，加热回流3小时，趁热滤过，合并滤液，置水浴上蒸干，残渣用水5ml溶解，边搅拌边缓慢滴加乙醇75ml，摇匀，在4℃放置12小时，离心，弃去上清液，沉淀物用热水溶解并转移至50ml量瓶中，放冷，加水至刻度，摇匀，取溶液适量，离心，精密量取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上清液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ml，置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val="en-US" w:eastAsia="zh-CN"/>
        </w:rPr>
        <w:t>50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ml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量瓶中，加水至刻度，摇匀，即得。</w:t>
      </w:r>
    </w:p>
    <w:p>
      <w:pPr>
        <w:spacing w:line="360" w:lineRule="auto"/>
        <w:ind w:firstLine="480" w:firstLineChars="200"/>
        <w:jc w:val="both"/>
        <w:rPr>
          <w:rFonts w:asciiTheme="minorEastAsia" w:hAnsiTheme="minorEastAsia" w:cstheme="minorEastAsia"/>
          <w:bCs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测定法 精密量取供试品溶液2ml，置10ml具塞试管中，照标准曲线制备项下的方法，自“迅速精密加入硫酸蒽酮溶液6ml”起，同法操作，测定吸光度，从标准曲线上读出供试品溶液中无水葡萄糖的含量，计算，即得。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Times New Roman"/>
          <w:bCs/>
          <w:kern w:val="2"/>
          <w:sz w:val="21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本品按干燥品计算，含多糖以无水葡萄糖（C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vertAlign w:val="subscript"/>
          <w:lang w:eastAsia="zh-CN"/>
        </w:rPr>
        <w:t>6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H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vertAlign w:val="subscript"/>
          <w:lang w:eastAsia="zh-CN"/>
        </w:rPr>
        <w:t>12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O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vertAlign w:val="subscript"/>
          <w:lang w:eastAsia="zh-CN"/>
        </w:rPr>
        <w:t>6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eastAsia="zh-CN"/>
        </w:rPr>
        <w:t>）计，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不得少于0.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bCs/>
          <w:color w:val="FF0000"/>
          <w:kern w:val="2"/>
          <w:sz w:val="24"/>
          <w:szCs w:val="24"/>
          <w:lang w:eastAsia="zh-CN"/>
        </w:rPr>
        <w:t>0%</w:t>
      </w:r>
      <w:r>
        <w:rPr>
          <w:rFonts w:hint="eastAsia" w:ascii="宋体" w:hAnsi="宋体" w:eastAsia="宋体" w:cs="Times New Roman"/>
          <w:bCs/>
          <w:color w:val="FF0000"/>
          <w:kern w:val="2"/>
          <w:sz w:val="21"/>
          <w:szCs w:val="24"/>
          <w:lang w:eastAsia="zh-CN"/>
        </w:rPr>
        <w:t>。</w:t>
      </w:r>
    </w:p>
    <w:p>
      <w:pPr>
        <w:spacing w:line="360" w:lineRule="auto"/>
        <w:ind w:firstLine="481" w:firstLineChars="200"/>
        <w:jc w:val="both"/>
        <w:rPr>
          <w:rFonts w:ascii="宋体" w:hAnsi="宋体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【性味】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eastAsia="zh-CN"/>
        </w:rPr>
        <w:t>微苦，平。</w:t>
      </w:r>
    </w:p>
    <w:p>
      <w:pPr>
        <w:spacing w:line="360" w:lineRule="auto"/>
        <w:ind w:firstLine="481" w:firstLineChars="200"/>
        <w:jc w:val="both"/>
        <w:rPr>
          <w:rFonts w:ascii="宋体" w:hAnsi="宋体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【功能与主治】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eastAsia="zh-CN"/>
        </w:rPr>
        <w:t>具免疫调节功能，促进乙型肝炎表面抗原转阴；具抗癌性和消除疲劳，增长食欲的功能。用于治疗乙型肝炎，食道癌和精神衰弱。</w:t>
      </w:r>
    </w:p>
    <w:p>
      <w:pPr>
        <w:spacing w:line="360" w:lineRule="auto"/>
        <w:ind w:firstLine="481" w:firstLineChars="200"/>
        <w:jc w:val="both"/>
        <w:rPr>
          <w:rFonts w:ascii="宋体" w:hAnsi="宋体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eastAsia="zh-CN"/>
        </w:rPr>
        <w:t>【用法与用量】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eastAsia="zh-CN"/>
        </w:rPr>
        <w:t>吞服，每次</w:t>
      </w:r>
      <w:r>
        <w:rPr>
          <w:rFonts w:hint="eastAsia" w:eastAsia="宋体" w:cs="Times New Roman" w:asciiTheme="majorHAnsi" w:hAnsiTheme="majorHAnsi"/>
          <w:bCs/>
          <w:kern w:val="2"/>
          <w:sz w:val="24"/>
          <w:szCs w:val="24"/>
          <w:lang w:eastAsia="zh-CN"/>
        </w:rPr>
        <w:t>2～</w:t>
      </w:r>
      <w:r>
        <w:rPr>
          <w:rFonts w:eastAsia="宋体" w:cs="Times New Roman" w:asciiTheme="majorHAnsi" w:hAnsiTheme="majorHAnsi"/>
          <w:bCs/>
          <w:kern w:val="2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eastAsia="zh-CN"/>
        </w:rPr>
        <w:t>g，或遵医嘱。</w:t>
      </w:r>
    </w:p>
    <w:p>
      <w:pPr>
        <w:pStyle w:val="37"/>
        <w:widowControl/>
        <w:spacing w:line="360" w:lineRule="auto"/>
        <w:ind w:firstLine="482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【处方应付】</w:t>
      </w:r>
      <w:r>
        <w:rPr>
          <w:rFonts w:hint="eastAsia" w:ascii="宋体" w:hAnsi="宋体"/>
          <w:bCs/>
          <w:sz w:val="24"/>
          <w:szCs w:val="24"/>
        </w:rPr>
        <w:t>处方写树舌粉、树舌灵芝粉、平盖灵芝粉均付树舌粉。</w:t>
      </w:r>
    </w:p>
    <w:p>
      <w:pPr>
        <w:tabs>
          <w:tab w:val="left" w:pos="2159"/>
        </w:tabs>
        <w:spacing w:line="360" w:lineRule="auto"/>
        <w:ind w:firstLine="481" w:firstLineChars="200"/>
        <w:rPr>
          <w:rFonts w:hint="eastAsia" w:ascii="宋体" w:hAnsi="宋体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【贮藏】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置干燥处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。</w:t>
      </w:r>
    </w:p>
    <w:p>
      <w:pPr>
        <w:tabs>
          <w:tab w:val="left" w:pos="2159"/>
        </w:tabs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  <w:lang w:eastAsia="zh-CN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2" w:firstLineChars="200"/>
        <w:textAlignment w:val="auto"/>
        <w:rPr>
          <w:rFonts w:hint="default" w:cs="Times New Roman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炮制规范起草单位：海南康农堂中药有限公司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 xml:space="preserve">                         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2" w:firstLineChars="200"/>
        <w:textAlignment w:val="auto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标准复核单位：海南省药品检验所</w:t>
      </w:r>
    </w:p>
    <w:p>
      <w:pPr>
        <w:tabs>
          <w:tab w:val="left" w:pos="2159"/>
        </w:tabs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  <w:lang w:eastAsia="zh-CN"/>
        </w:rPr>
      </w:pPr>
    </w:p>
    <w:p>
      <w:pPr>
        <w:tabs>
          <w:tab w:val="left" w:pos="2159"/>
        </w:tabs>
        <w:spacing w:line="360" w:lineRule="auto"/>
        <w:rPr>
          <w:rFonts w:hint="eastAsia" w:ascii="宋体" w:hAnsi="宋体"/>
          <w:color w:val="FF0000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中药饮片树舌粉炮制规范起草说明</w:t>
      </w:r>
    </w:p>
    <w:p>
      <w:pPr>
        <w:spacing w:line="360" w:lineRule="auto"/>
        <w:ind w:firstLine="481" w:firstLineChars="200"/>
        <w:jc w:val="both"/>
        <w:rPr>
          <w:rFonts w:hint="eastAsia"/>
          <w:b/>
          <w:color w:val="auto"/>
          <w:sz w:val="24"/>
          <w:szCs w:val="24"/>
          <w:lang w:eastAsia="zh-CN"/>
        </w:rPr>
      </w:pPr>
      <w:r>
        <w:rPr>
          <w:rFonts w:hint="eastAsia"/>
          <w:b/>
          <w:color w:val="auto"/>
          <w:sz w:val="24"/>
          <w:szCs w:val="24"/>
          <w:lang w:eastAsia="zh-CN"/>
        </w:rPr>
        <w:t>【处方用名】</w:t>
      </w:r>
    </w:p>
    <w:p>
      <w:pPr>
        <w:spacing w:line="360" w:lineRule="auto"/>
        <w:ind w:firstLine="480" w:firstLineChars="200"/>
        <w:jc w:val="both"/>
        <w:rPr>
          <w:rFonts w:hint="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eastAsia="zh-CN"/>
        </w:rPr>
        <w:t>处方用名：树舌、平盖灵芝、皂荚蕈、老木菌等，来源于《本草纲目》、《中华本草》、《蕈菌医方集成》等，如“</w:t>
      </w:r>
      <w:r>
        <w:rPr>
          <w:lang w:eastAsia="zh-CN"/>
        </w:rPr>
        <w:t>肠风泻血 皂角树上</w:t>
      </w:r>
      <w:r>
        <w:rPr>
          <w:rFonts w:hint="eastAsia"/>
          <w:bCs/>
          <w:sz w:val="24"/>
          <w:szCs w:val="24"/>
          <w:lang w:eastAsia="zh-CN"/>
        </w:rPr>
        <w:t>蕈</w:t>
      </w:r>
      <w:r>
        <w:rPr>
          <w:lang w:eastAsia="zh-CN"/>
        </w:rPr>
        <w:t>，瓦</w:t>
      </w:r>
      <w:r>
        <w:rPr>
          <w:rFonts w:hint="eastAsia"/>
          <w:lang w:eastAsia="zh-CN"/>
        </w:rPr>
        <w:t>焙</w:t>
      </w:r>
      <w:r>
        <w:rPr>
          <w:lang w:eastAsia="zh-CN"/>
        </w:rPr>
        <w:t>为末。每服一钱</w:t>
      </w:r>
      <w:r>
        <w:rPr>
          <w:rFonts w:hint="eastAsia"/>
          <w:lang w:eastAsia="zh-CN"/>
        </w:rPr>
        <w:t>，</w:t>
      </w:r>
      <w:r>
        <w:rPr>
          <w:lang w:eastAsia="zh-CN"/>
        </w:rPr>
        <w:t>温酒下。</w:t>
      </w:r>
      <w:r>
        <w:rPr>
          <w:rFonts w:hint="eastAsia"/>
          <w:bCs/>
          <w:sz w:val="24"/>
          <w:szCs w:val="24"/>
          <w:lang w:eastAsia="zh-CN"/>
        </w:rPr>
        <w:t>”（</w:t>
      </w:r>
      <w:bookmarkStart w:id="0" w:name="_Hlk141170123"/>
      <w:r>
        <w:rPr>
          <w:rFonts w:hint="eastAsia"/>
          <w:bCs/>
          <w:sz w:val="24"/>
          <w:szCs w:val="24"/>
          <w:lang w:eastAsia="zh-CN"/>
        </w:rPr>
        <w:t>《本草纲目》菜部第二十八卷</w:t>
      </w:r>
      <w:bookmarkEnd w:id="0"/>
      <w:r>
        <w:rPr>
          <w:rFonts w:hint="eastAsia"/>
          <w:bCs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</w:t>
      </w:r>
      <w:r>
        <w:rPr>
          <w:rFonts w:hint="eastAsia" w:ascii="Times New Roman" w:hAnsi="Times New Roman" w:cs="Times New Roman"/>
          <w:b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]</w:t>
      </w:r>
      <w:r>
        <w:rPr>
          <w:rFonts w:hint="eastAsia"/>
          <w:bCs/>
          <w:sz w:val="24"/>
          <w:szCs w:val="24"/>
          <w:lang w:eastAsia="zh-CN"/>
        </w:rPr>
        <w:t xml:space="preserve">。“治鼻咽癌 </w:t>
      </w:r>
      <w:r>
        <w:rPr>
          <w:bCs/>
          <w:sz w:val="24"/>
          <w:szCs w:val="24"/>
          <w:lang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树舌，蒲葵子各</w:t>
      </w:r>
      <w:r>
        <w:rPr>
          <w:bCs/>
          <w:sz w:val="24"/>
          <w:szCs w:val="24"/>
          <w:lang w:eastAsia="zh-CN"/>
        </w:rPr>
        <w:t>30g</w:t>
      </w:r>
      <w:r>
        <w:rPr>
          <w:rFonts w:hint="eastAsia"/>
          <w:bCs/>
          <w:sz w:val="24"/>
          <w:szCs w:val="24"/>
          <w:lang w:eastAsia="zh-CN"/>
        </w:rPr>
        <w:t>。水煎分3次服。”《中华本草》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[2]</w:t>
      </w:r>
      <w:r>
        <w:rPr>
          <w:rFonts w:hint="eastAsia"/>
          <w:bCs/>
          <w:sz w:val="24"/>
          <w:szCs w:val="24"/>
          <w:lang w:eastAsia="zh-CN"/>
        </w:rPr>
        <w:t>等。</w:t>
      </w:r>
    </w:p>
    <w:p>
      <w:pPr>
        <w:spacing w:line="360" w:lineRule="auto"/>
        <w:ind w:firstLine="481" w:firstLineChars="200"/>
        <w:jc w:val="both"/>
        <w:rPr>
          <w:rFonts w:hint="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auto"/>
          <w:sz w:val="24"/>
          <w:szCs w:val="24"/>
          <w:lang w:val="en-US" w:eastAsia="zh-CN"/>
        </w:rPr>
        <w:t>【来源】</w:t>
      </w:r>
    </w:p>
    <w:p>
      <w:pPr>
        <w:spacing w:line="360" w:lineRule="auto"/>
        <w:ind w:firstLine="480" w:firstLineChars="200"/>
        <w:jc w:val="both"/>
        <w:rPr>
          <w:rFonts w:hint="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eastAsia="zh-CN"/>
        </w:rPr>
        <w:t>本品为灵芝科植物树舌灵芝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Ganoderma applanatum</w:t>
      </w: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/>
        </w:rPr>
        <w:t>（Pers.ex Gray） Pat的干燥子实体</w:t>
      </w:r>
      <w:r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  <w:t>的炮制加工品。</w:t>
      </w:r>
    </w:p>
    <w:p>
      <w:pPr>
        <w:spacing w:line="360" w:lineRule="auto"/>
        <w:ind w:firstLine="481" w:firstLineChars="200"/>
        <w:jc w:val="both"/>
        <w:rPr>
          <w:rFonts w:hint="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auto"/>
          <w:sz w:val="24"/>
          <w:szCs w:val="24"/>
          <w:lang w:val="en-US" w:eastAsia="zh-CN"/>
        </w:rPr>
        <w:t>【原植物】</w:t>
      </w:r>
    </w:p>
    <w:p>
      <w:pPr>
        <w:spacing w:line="360" w:lineRule="auto"/>
        <w:ind w:firstLine="480" w:firstLineChars="200"/>
        <w:jc w:val="both"/>
        <w:rPr>
          <w:rFonts w:ascii="Arial" w:hAnsi="Arial" w:eastAsia="宋体" w:cs="Arial"/>
          <w:bCs/>
          <w:sz w:val="24"/>
          <w:szCs w:val="24"/>
          <w:shd w:val="clear" w:color="auto" w:fill="FFFFFF"/>
          <w:lang w:eastAsia="zh-CN"/>
        </w:rPr>
      </w:pPr>
      <w:bookmarkStart w:id="1" w:name="_Hlk141173866"/>
      <w:r>
        <w:rPr>
          <w:rFonts w:hint="eastAsia" w:ascii="Arial" w:hAnsi="Arial" w:eastAsia="宋体" w:cs="Arial"/>
          <w:sz w:val="24"/>
          <w:szCs w:val="24"/>
          <w:shd w:val="clear" w:color="auto" w:fill="FFFFFF"/>
          <w:lang w:eastAsia="zh-CN"/>
        </w:rPr>
        <w:t>[习性]全年生于阔叶树树干、木桩或腐木上。引起木材白色斑点腐朽或生于活树的基部，引起树干基部腐朽。偶尔也生于针叶树上。[分布]黑龙江、吉林、辽宁、河北、山西、安徽、江苏、浙江、福建、江西、河南、湖北、湖南、海南、广东、广西、甘肃、青海、云南、西藏、新疆等地。 （《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中国大型真菌原色图鉴</w:t>
      </w:r>
      <w:r>
        <w:rPr>
          <w:rFonts w:hint="eastAsia" w:ascii="Arial" w:hAnsi="Arial" w:eastAsia="宋体" w:cs="Arial"/>
          <w:sz w:val="24"/>
          <w:szCs w:val="24"/>
          <w:shd w:val="clear" w:color="auto" w:fill="FFFFFF"/>
          <w:lang w:eastAsia="zh-CN"/>
        </w:rPr>
        <w:t>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[3]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）海南主产于五指山，长于咖啡树或茶树上。 （见图1）</w:t>
      </w:r>
    </w:p>
    <w:bookmarkEnd w:id="1"/>
    <w:p>
      <w:pPr>
        <w:spacing w:line="360" w:lineRule="auto"/>
        <w:ind w:firstLine="480" w:firstLineChars="200"/>
        <w:jc w:val="center"/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  <w:drawing>
          <wp:inline distT="0" distB="0" distL="114300" distR="114300">
            <wp:extent cx="2482215" cy="1862455"/>
            <wp:effectExtent l="0" t="0" r="13335" b="4445"/>
            <wp:docPr id="2" name="图片 2" descr="树舌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树舌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  <w:t>图1：树舌原植物</w:t>
      </w:r>
    </w:p>
    <w:p>
      <w:pPr>
        <w:spacing w:line="360" w:lineRule="auto"/>
        <w:ind w:firstLine="481" w:firstLineChars="200"/>
        <w:jc w:val="both"/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  <w:t>【产地】</w:t>
      </w:r>
    </w:p>
    <w:p>
      <w:pPr>
        <w:spacing w:line="360" w:lineRule="auto"/>
        <w:jc w:val="both"/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我国大部分地区均有分布。</w:t>
      </w:r>
    </w:p>
    <w:p>
      <w:pPr>
        <w:spacing w:line="360" w:lineRule="auto"/>
        <w:ind w:firstLine="481" w:firstLineChars="200"/>
        <w:jc w:val="both"/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  <w:t>【采收与加工】</w:t>
      </w:r>
    </w:p>
    <w:p>
      <w:pPr>
        <w:spacing w:line="360" w:lineRule="auto"/>
        <w:ind w:firstLine="480" w:firstLineChars="200"/>
        <w:jc w:val="both"/>
        <w:rPr>
          <w:rFonts w:hint="eastAsia" w:ascii="Calibri" w:hAnsi="Calibri" w:eastAsia="宋体" w:cs="Times New Roman"/>
          <w:b w:val="0"/>
          <w:bCs/>
          <w:color w:val="0000FF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color w:val="auto"/>
          <w:kern w:val="2"/>
          <w:sz w:val="24"/>
          <w:szCs w:val="24"/>
          <w:lang w:val="en-US" w:eastAsia="zh-CN"/>
        </w:rPr>
        <w:t>药用其干燥子实体。夏秋采收，晒干。 常采用皂角树（四川）或梅树（黑龙江朝鲜族）或茶树和咖啡树（海南五指山）者用药。</w:t>
      </w:r>
      <w:r>
        <w:rPr>
          <w:rFonts w:hint="eastAsia" w:ascii="Calibri" w:hAnsi="Calibri" w:eastAsia="宋体" w:cs="Times New Roman"/>
          <w:b w:val="0"/>
          <w:bCs/>
          <w:color w:val="0000FF"/>
          <w:kern w:val="2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240" w:firstLineChars="100"/>
        <w:jc w:val="both"/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color w:val="auto"/>
          <w:kern w:val="2"/>
          <w:sz w:val="24"/>
          <w:szCs w:val="24"/>
          <w:lang w:val="en-US" w:eastAsia="zh-CN"/>
        </w:rPr>
        <w:t>【炮制方法】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val="en-US" w:eastAsia="zh-CN"/>
        </w:rPr>
        <w:t>1.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炮制方法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取原药材，除去杂质，洗净，润软，切片、干燥，粉碎成细粉。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val="en-US" w:eastAsia="zh-CN"/>
        </w:rPr>
        <w:t>2.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参考依据</w:t>
      </w:r>
    </w:p>
    <w:p>
      <w:pPr>
        <w:widowControl/>
        <w:snapToGrid w:val="0"/>
        <w:spacing w:line="500" w:lineRule="atLeast"/>
        <w:ind w:firstLine="432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参考 《中国药典》2020年版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[4]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一部“三七”炮制“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洗净，干燥，碾成细粉”，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将树舌粉的炮制定为“除去杂质，洗净，润软，切片、干燥、粉碎成细粉”。</w:t>
      </w:r>
    </w:p>
    <w:p>
      <w:pPr>
        <w:widowControl/>
        <w:snapToGrid w:val="0"/>
        <w:spacing w:line="500" w:lineRule="atLeast"/>
        <w:ind w:firstLine="481" w:firstLineChars="200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【成分】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野生树舌含麦角甾醇、有机酸、D-甘露糖、氨基葡萄糖、甘露醇、脂肪酸、多肽、葡萄糖胺、腺嘌呤、腺苷、尿嘧啶、内脂、香豆精、三萜类以及多种酶类和微量元素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</w:t>
      </w:r>
      <w:r>
        <w:rPr>
          <w:rFonts w:hint="eastAsia" w:ascii="Times New Roman" w:hAnsi="Times New Roman" w:cs="Times New Roman"/>
          <w:b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【性状】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bookmarkStart w:id="2" w:name="_Toc472587955"/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根据12批样品的观察结果，将树舌粉的性状制定为：本品为浅褐色至暗褐色的粉末，气微，味微苦。（见图2，表1）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表1：12批树舌粉性状检验结果</w:t>
      </w:r>
    </w:p>
    <w:tbl>
      <w:tblPr>
        <w:tblStyle w:val="16"/>
        <w:tblW w:w="92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17"/>
        <w:gridCol w:w="1462"/>
        <w:gridCol w:w="1466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浅褐色粉末，气微，味微苦。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20181126Z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暗褐色粉末，气微，味微苦。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浅褐色粉末，气微，味微苦。</w:t>
            </w:r>
          </w:p>
        </w:tc>
      </w:tr>
    </w:tbl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drawing>
          <wp:inline distT="0" distB="0" distL="114300" distR="114300">
            <wp:extent cx="2121535" cy="1592580"/>
            <wp:effectExtent l="0" t="0" r="12065" b="7620"/>
            <wp:docPr id="1" name="图片 1" descr="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80" w:firstLineChars="1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                                                    </w:t>
      </w: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图2：树舌粉</w:t>
      </w:r>
    </w:p>
    <w:p>
      <w:pPr>
        <w:spacing w:line="360" w:lineRule="auto"/>
        <w:jc w:val="both"/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【鉴别】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val="en-US" w:eastAsia="zh-CN"/>
        </w:rPr>
        <w:t>1.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粉末显微鉴别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参考《甘肃省中药炮制规范》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[5]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2009年版树舌项下，结合树舌粉12批样品的检验结果，将菌丝和孢子进行描述，制定为：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本品粉末浅褐色至暗褐色。单个包子卵形，壁双层，浅褐色或无色；菌丝体三体形，生殖菌丝无色或浅褐色；缠绕菌丝常扭曲，褐色或浅褐色；骨架菌丝壁厚至实心，深褐色。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结果见（见图3，表2）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表2：12批树舌粉显微鉴别结果</w:t>
      </w:r>
    </w:p>
    <w:tbl>
      <w:tblPr>
        <w:tblStyle w:val="16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本品粉末暗褐色。单个包子卵形、壁双层，浅褐色或无色；菌丝体三体形，生殖菌丝无色或浅褐色；缠绕菌丝常扭曲，褐色或浅褐色；骨架菌丝壁厚至实心，深褐色。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本品粉末浅褐色。单个包子卵形、壁双层，浅褐色或无色；菌丝体三体形，生殖菌丝无色或浅褐色；缠绕菌丝常扭曲，浅褐色；骨架菌丝壁厚至实心，深褐色。</w:t>
            </w:r>
          </w:p>
        </w:tc>
      </w:tr>
    </w:tbl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br w:type="page"/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pStyle w:val="22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1871345</wp:posOffset>
                </wp:positionV>
                <wp:extent cx="396875" cy="283845"/>
                <wp:effectExtent l="0" t="0" r="0" b="0"/>
                <wp:wrapNone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96875" cy="283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93.1pt;margin-top:147.35pt;height:22.35pt;width:31.25pt;z-index:251661312;mso-width-relative:page;mso-height-relative:page;" fillcolor="#FFFFFF" filled="t" stroked="f" coordsize="21600,21600" o:gfxdata="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BKp4W3ZAAAACwEAAA8AAAAAAAAAAQAgAAAAOAAAAGRycy9kb3ducmV2LnhtbFBLAQIUABQA&#10;AAAIAIdO4kBiHt30EgIAABkEAAAOAAAAAAAAAAEAIAAAAD4BAABkcnMvZTJvRG9jLnhtbFBLBQYA&#10;AAAABgAGAFkBAADC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133350</wp:posOffset>
                </wp:positionV>
                <wp:extent cx="333375" cy="275590"/>
                <wp:effectExtent l="0" t="0" r="0" b="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337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7.2pt;margin-top:10.5pt;height:21.7pt;width:26.25pt;z-index:251659264;mso-width-relative:page;mso-height-relative:page;" fillcolor="#FFFFFF" filled="t" stroked="f" coordsize="21600,21600" o:gfxdata="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wxYuMtcAAAAJAQAADwAAAAAAAAABACAAAAA4AAAAZHJzL2Rvd25yZXYueG1sUEsBAhQAFAAAAAgA&#10;h07iQOEKVN4QAgAAGQQAAA4AAAAAAAAAAQAgAAAAPAEAAGRycy9lMm9Eb2MueG1sUEsFBgAAAAAG&#10;AAYAWQEAAL4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307975</wp:posOffset>
                </wp:positionV>
                <wp:extent cx="333375" cy="275590"/>
                <wp:effectExtent l="0" t="0" r="0" b="0"/>
                <wp:wrapNone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337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62.15pt;margin-top:24.25pt;height:21.7pt;width:26.25pt;z-index:251660288;mso-width-relative:page;mso-height-relative:page;" fillcolor="#FFFFFF" filled="t" stroked="f" coordsize="21600,21600" o:gfxdata="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x5433NkAAAAJAQAADwAAAAAAAAABACAAAAA4AAAAZHJzL2Rvd25yZXYueG1sUEsBAhQAFAAAAAgA&#10;h07iQL0sl2cOAgAAGAQAAA4AAAAAAAAAAQAgAAAAPgEAAGRycy9lMm9Eb2MueG1sUEsFBgAAAAAG&#10;AAYAWQEAAL4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1974850</wp:posOffset>
                </wp:positionV>
                <wp:extent cx="333375" cy="275590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337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2.55pt;margin-top:155.5pt;height:21.7pt;width:26.25pt;z-index:251663360;mso-width-relative:page;mso-height-relative:page;" fillcolor="#FFFFFF" filled="t" stroked="f" coordsize="21600,21600" o:gfxdata="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JpUhVdkAAAALAQAADwAAAAAAAAABACAAAAA4AAAAZHJzL2Rvd25yZXYueG1sUEsBAhQAFAAAAAgA&#10;h07iQJEbnZcOAgAAGAQAAA4AAAAAAAAAAQAgAAAAPgEAAGRycy9lMm9Eb2MueG1sUEsFBgAAAAAG&#10;AAYAWQEAAL4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2397125</wp:posOffset>
                </wp:positionV>
                <wp:extent cx="333375" cy="275590"/>
                <wp:effectExtent l="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337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41.3pt;margin-top:188.75pt;height:21.7pt;width:26.25pt;z-index:251664384;mso-width-relative:page;mso-height-relative:page;" fillcolor="#FFFFFF" filled="t" stroked="f" coordsize="21600,21600" o:gfxdata="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ygb652gAAAAsBAAAPAAAAAAAAAAEAIAAAADgAAABkcnMvZG93bnJldi54bWxQSwECFAAUAAAA&#10;CACHTuJAOo9nUg8CAAAYBAAADgAAAAAAAAABACAAAAA/AQAAZHJzL2Uyb0RvYy54bWxQSwUGAAAA&#10;AAYABgBZAQAAwA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2406650</wp:posOffset>
                </wp:positionV>
                <wp:extent cx="333375" cy="275590"/>
                <wp:effectExtent l="0" t="0" r="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3337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89.3pt;margin-top:189.5pt;height:21.7pt;width:26.25pt;z-index:251662336;mso-width-relative:page;mso-height-relative:page;" fillcolor="#FFFFFF" filled="t" stroked="f" coordsize="21600,21600" o:gfxdata="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OTBlfZAAAACwEAAA8AAAAAAAAAAQAgAAAAOAAAAGRycy9kb3ducmV2LnhtbFBLAQIUABQAAAAI&#10;AIdO4kBVdU11DwIAABgEAAAOAAAAAAAAAAEAIAAAAD4BAABkcnMvZTJvRG9jLnhtbFBLBQYAAAAA&#10;BgAGAFkBAAC/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228850" cy="1672590"/>
            <wp:effectExtent l="0" t="0" r="0" b="3810"/>
            <wp:docPr id="10" name="图片 10" descr="孢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孢子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225040" cy="1669415"/>
            <wp:effectExtent l="0" t="0" r="3810" b="6985"/>
            <wp:docPr id="9" name="图片 9" descr="缠绕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缠绕菌丝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232025" cy="1675130"/>
            <wp:effectExtent l="0" t="0" r="15875" b="1270"/>
            <wp:docPr id="8" name="图片 8" descr="骨架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骨架菌丝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233295" cy="1677035"/>
            <wp:effectExtent l="0" t="0" r="14605" b="18415"/>
            <wp:docPr id="6" name="图片 6" descr="生殖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生殖菌丝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图3：树舌粉显微特征</w:t>
      </w:r>
    </w:p>
    <w:p>
      <w:pPr>
        <w:pStyle w:val="22"/>
        <w:spacing w:line="360" w:lineRule="auto"/>
        <w:ind w:firstLine="480" w:firstLineChars="200"/>
        <w:outlineLvl w:val="2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（注：图3a-孢子，图3b-缠绕菌丝，图3c-骨架菌丝，图3d-生殖菌丝）</w:t>
      </w: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2.</w:t>
      </w:r>
      <w:r>
        <w:rPr>
          <w:rFonts w:hint="eastAsia"/>
          <w:b/>
          <w:sz w:val="24"/>
          <w:szCs w:val="24"/>
          <w:lang w:eastAsia="zh-CN"/>
        </w:rPr>
        <w:t>理化鉴别</w:t>
      </w: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）理化鉴别1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《甘肃省中药炮制规范》2009年版</w:t>
      </w:r>
      <w:r>
        <w:rPr>
          <w:rFonts w:hint="eastAsia"/>
          <w:bCs/>
          <w:sz w:val="24"/>
          <w:szCs w:val="24"/>
          <w:lang w:eastAsia="zh-CN"/>
        </w:rPr>
        <w:t>树舌， 并结合 12批样品检验过程和结果 观察，将方法定为：“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取本品粉末0.5g，加水20ml，加热煮沸数分钟，滤过，取滤液1ml，加新配制的碱性酒石酸钾铜试液数滴，在沸水浴中加热数分钟，溶液变为红棕色，静置后生成红棕色沉淀。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”12批树舌粉样品检验结果分别如下：（表3）</w:t>
      </w:r>
    </w:p>
    <w:p>
      <w:pPr>
        <w:widowControl/>
        <w:snapToGrid w:val="0"/>
        <w:spacing w:line="500" w:lineRule="atLeast"/>
        <w:ind w:firstLine="2640" w:firstLineChars="11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表3：12批树舌粉理化鉴别1结果</w:t>
      </w:r>
    </w:p>
    <w:tbl>
      <w:tblPr>
        <w:tblStyle w:val="16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溶液变为红棕色，静置后生成红棕色沉淀。</w:t>
            </w:r>
          </w:p>
        </w:tc>
      </w:tr>
    </w:tbl>
    <w:p>
      <w:pPr>
        <w:pStyle w:val="22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  <w:lang w:eastAsia="zh-CN"/>
        </w:rPr>
        <w:t>）理化鉴别2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《甘肃省中药炮制规范》2009年版</w:t>
      </w:r>
      <w:r>
        <w:rPr>
          <w:rFonts w:hint="eastAsia"/>
          <w:bCs/>
          <w:sz w:val="24"/>
          <w:szCs w:val="24"/>
          <w:lang w:eastAsia="zh-CN"/>
        </w:rPr>
        <w:t>树舌，并结合 12批样品检验过程和结果 观察，将方法定为:“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取本品粉末0.2g，加石油醚10ml，冷浸振摇10分钟，滤过，滤液挥干，加冰醋酸一滴，醋酸酐和浓硫酸1~2滴，即显红色，迅速转为翠绿色。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”12批树舌粉样品检验结果分别如下：（表4）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表4：12批树舌粉理化鉴别2结果</w:t>
      </w:r>
    </w:p>
    <w:tbl>
      <w:tblPr>
        <w:tblStyle w:val="16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即显红色，迅速转为翠绿色</w:t>
            </w:r>
          </w:p>
        </w:tc>
      </w:tr>
    </w:tbl>
    <w:p>
      <w:pPr>
        <w:pStyle w:val="22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2"/>
        <w:tabs>
          <w:tab w:val="left" w:pos="6171"/>
        </w:tabs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【检查】</w:t>
      </w:r>
      <w:r>
        <w:rPr>
          <w:rFonts w:hint="eastAsia"/>
          <w:b/>
          <w:sz w:val="24"/>
          <w:szCs w:val="24"/>
          <w:lang w:eastAsia="zh-CN"/>
        </w:rPr>
        <w:tab/>
      </w:r>
    </w:p>
    <w:bookmarkEnd w:id="2"/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3" w:name="_Toc472587960"/>
      <w:r>
        <w:rPr>
          <w:rFonts w:hint="eastAsia"/>
          <w:b/>
          <w:sz w:val="24"/>
          <w:szCs w:val="24"/>
          <w:lang w:val="en-US" w:eastAsia="zh-CN"/>
        </w:rPr>
        <w:t>1.</w:t>
      </w:r>
      <w:r>
        <w:rPr>
          <w:rFonts w:hint="eastAsia"/>
          <w:b/>
          <w:sz w:val="24"/>
          <w:szCs w:val="24"/>
          <w:lang w:eastAsia="zh-CN"/>
        </w:rPr>
        <w:t>水分</w:t>
      </w:r>
      <w:bookmarkEnd w:id="3"/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）测定方法及样品检验结果</w:t>
      </w:r>
    </w:p>
    <w:p>
      <w:pPr>
        <w:pStyle w:val="22"/>
        <w:spacing w:line="360" w:lineRule="auto"/>
        <w:ind w:firstLine="480" w:firstLineChars="200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参考《国家药品标准：第一册中药材》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[6]</w:t>
      </w:r>
      <w:r>
        <w:rPr>
          <w:rFonts w:hint="eastAsia"/>
          <w:sz w:val="24"/>
          <w:szCs w:val="24"/>
          <w:lang w:eastAsia="zh-CN"/>
        </w:rPr>
        <w:t>（卫生部1992年版）树舌，（水分测定第一法）烘干法，取本品细粉约2~4g，平铺于干燥至恒重的扁形称量瓶中，厚度不超过5mm，精密称定，开启瓶盖在105℃干燥5小时，将瓶盖盖好，移至干燥器中，放冷30分钟，精密称定，再在上述温度干燥1小时，放冷，称重，至连续两次称重的差异不超过5mg为止。根据减失的重量，计算供试品中含水量（%）。（结果见表5）</w:t>
      </w:r>
    </w:p>
    <w:p>
      <w:pPr>
        <w:jc w:val="center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表5 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12批树舌粉水分测定结果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913"/>
        <w:gridCol w:w="11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39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 xml:space="preserve"> 水分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>烘干法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85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3913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13</w:t>
            </w:r>
          </w:p>
        </w:tc>
        <w:tc>
          <w:tcPr>
            <w:tcW w:w="1124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14.2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8.0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9.0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10.5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9.5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8.5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20181126PZ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13.3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20181127PZ</w:t>
            </w:r>
          </w:p>
        </w:tc>
        <w:tc>
          <w:tcPr>
            <w:tcW w:w="3913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12.0</w:t>
            </w:r>
          </w:p>
        </w:tc>
        <w:tc>
          <w:tcPr>
            <w:tcW w:w="112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3913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11.6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3913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11.3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  <w:tcBorders>
              <w:bottom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391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10.8</w:t>
            </w:r>
          </w:p>
        </w:tc>
        <w:tc>
          <w:tcPr>
            <w:tcW w:w="112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39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11.0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2.0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</w:tbl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</w:p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）水分测定结果分析及检验方法确认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上表数据</w:t>
      </w:r>
      <w:r>
        <w:rPr>
          <w:sz w:val="24"/>
          <w:szCs w:val="24"/>
          <w:lang w:eastAsia="zh-CN"/>
        </w:rPr>
        <w:t>可以看出，中药饮片</w:t>
      </w:r>
      <w:r>
        <w:rPr>
          <w:rFonts w:hint="eastAsia"/>
          <w:sz w:val="24"/>
          <w:szCs w:val="24"/>
          <w:lang w:eastAsia="zh-CN"/>
        </w:rPr>
        <w:t>树舌粉</w:t>
      </w:r>
      <w:r>
        <w:rPr>
          <w:sz w:val="24"/>
          <w:szCs w:val="24"/>
          <w:lang w:eastAsia="zh-CN"/>
        </w:rPr>
        <w:t>水分幅度</w:t>
      </w:r>
      <w:r>
        <w:rPr>
          <w:rFonts w:hint="eastAsia"/>
          <w:sz w:val="24"/>
          <w:szCs w:val="24"/>
          <w:lang w:eastAsia="zh-CN"/>
        </w:rPr>
        <w:t>范围8.0%~14.2%，平均值分别为11.0%，综合考虑方法和限度的结果，并参考 《中国药典》2020年版四部（0212药材和饮片检定通则），最终将树舌粉的水分测定方法和限度拟定为：照水分测定法《中国药典》（ 2020年版四部通则0832）中的第二法（烘干法）测定，含水分不得过13.0%。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  <w:lang w:eastAsia="zh-CN"/>
        </w:rPr>
        <w:t>总灰分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  <w:lang w:eastAsia="zh-CN"/>
        </w:rPr>
        <w:t>）检验方法及结果</w:t>
      </w:r>
    </w:p>
    <w:p>
      <w:pPr>
        <w:pStyle w:val="22"/>
        <w:spacing w:line="360" w:lineRule="auto"/>
        <w:ind w:firstLine="480" w:firstLineChars="200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照 《中国药典》2020年版四部（通则2302 灰分测定法）中的总灰分测定法，取供试品粉末3-5g，置炽灼至恒重的坩埚中，称定重量 ，缓缓炽热，注意避免燃烧，至完全炭化时，逐渐升高温度至550℃，使完全灰化并至恒重。根据残渣重量，计算供试品中总灰分的含量（%）。结果见表6。</w:t>
      </w:r>
    </w:p>
    <w:p>
      <w:pPr>
        <w:jc w:val="center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表6 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12批树舌粉总灰分和酸不溶性灰分测定结果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灰分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 xml:space="preserve"> 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酸不溶性灰分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3.6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3.5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2.6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2.5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3.2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3.7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2.9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20181126PZ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2.7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20181127PZ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5.5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2.7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2.6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3.1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1.0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0.6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0.2</w:t>
            </w:r>
          </w:p>
        </w:tc>
      </w:tr>
    </w:tbl>
    <w:p>
      <w:pPr>
        <w:pStyle w:val="22"/>
        <w:spacing w:line="360" w:lineRule="auto"/>
        <w:outlineLvl w:val="2"/>
        <w:rPr>
          <w:sz w:val="24"/>
          <w:szCs w:val="24"/>
          <w:lang w:eastAsia="zh-CN"/>
        </w:rPr>
      </w:pPr>
    </w:p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）结果分析及限度确认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表6的数据</w:t>
      </w:r>
      <w:r>
        <w:rPr>
          <w:sz w:val="24"/>
          <w:szCs w:val="24"/>
          <w:lang w:eastAsia="zh-CN"/>
        </w:rPr>
        <w:t xml:space="preserve"> 可以看出，</w:t>
      </w:r>
      <w:r>
        <w:rPr>
          <w:rFonts w:hint="eastAsia"/>
          <w:sz w:val="24"/>
          <w:szCs w:val="24"/>
          <w:lang w:eastAsia="zh-CN"/>
        </w:rPr>
        <w:t>12批</w:t>
      </w:r>
      <w:r>
        <w:rPr>
          <w:sz w:val="24"/>
          <w:szCs w:val="24"/>
          <w:lang w:eastAsia="zh-CN"/>
        </w:rPr>
        <w:t>中药饮片</w:t>
      </w:r>
      <w:r>
        <w:rPr>
          <w:rFonts w:hint="eastAsia"/>
          <w:sz w:val="24"/>
          <w:szCs w:val="24"/>
          <w:lang w:eastAsia="zh-CN"/>
        </w:rPr>
        <w:t>树舌粉的总灰分结果在2.5%~5.5%之间，平均值为3.1%，结合《国家药品标准：中药材第一册》（卫生部1992年版）树舌项下总灰分的限度（不得过3.0%），最终拟将树舌粉的总灰分测定方法及限度定为：照 《中国药典》2020年版四部（通则2302 灰分测定法）中的总灰分测定法，不得过3.0%。</w:t>
      </w: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4" w:name="_Toc472587962"/>
      <w:r>
        <w:rPr>
          <w:rFonts w:hint="eastAsia"/>
          <w:b/>
          <w:sz w:val="24"/>
          <w:szCs w:val="24"/>
          <w:lang w:val="en-US" w:eastAsia="zh-CN"/>
        </w:rPr>
        <w:t>3.</w:t>
      </w:r>
      <w:r>
        <w:rPr>
          <w:rFonts w:hint="eastAsia"/>
          <w:b/>
          <w:sz w:val="24"/>
          <w:szCs w:val="24"/>
          <w:lang w:eastAsia="zh-CN"/>
        </w:rPr>
        <w:t>酸不溶性灰分</w:t>
      </w:r>
      <w:bookmarkEnd w:id="4"/>
    </w:p>
    <w:p>
      <w:pPr>
        <w:pStyle w:val="22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）检验方法及结果</w:t>
      </w:r>
    </w:p>
    <w:p>
      <w:pPr>
        <w:pStyle w:val="22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照（ 《中国药典》2020年版四部通则2302 灰分测定法）中的酸不溶性灰分测定法，取总灰分检测所得的灰分，在坩埚中小心加入稀盐酸约10ml，用表面皿覆盖坩埚，置水浴上加热10分钟，表面皿用热水5ml冲洗，洗液并入坩埚中，用无灰滤纸滤过，坩埚内的残渣用水洗于滤纸上，并洗涤至洗液不显氯化物反应为止。滤渣连同滤纸移至同一坩埚中，干燥，炽灼至恒重。根据残渣重量，计算供试品中酸不溶性灰分的含量(%)。结果见表6。</w:t>
      </w:r>
    </w:p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）结果分析及限度确认</w:t>
      </w:r>
    </w:p>
    <w:p>
      <w:pPr>
        <w:pStyle w:val="22"/>
        <w:spacing w:line="360" w:lineRule="auto"/>
        <w:ind w:firstLine="480" w:firstLineChars="200"/>
        <w:outlineLvl w:val="2"/>
        <w:rPr>
          <w:sz w:val="24"/>
          <w:szCs w:val="24"/>
          <w:lang w:eastAsia="zh-CN"/>
        </w:rPr>
      </w:pPr>
      <w:bookmarkStart w:id="5" w:name="_Toc472587963"/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表6的数据</w:t>
      </w:r>
      <w:r>
        <w:rPr>
          <w:sz w:val="24"/>
          <w:szCs w:val="24"/>
          <w:lang w:eastAsia="zh-CN"/>
        </w:rPr>
        <w:t xml:space="preserve"> 可以看出，中药饮片</w:t>
      </w:r>
      <w:r>
        <w:rPr>
          <w:rFonts w:hint="eastAsia"/>
          <w:sz w:val="24"/>
          <w:szCs w:val="24"/>
          <w:lang w:eastAsia="zh-CN"/>
        </w:rPr>
        <w:t>树舌粉的酸不溶性灰分结果在0.3%~0.9%之间，平均值为0.6%，最终拟定，树舌粉的酸不溶性灰分测定方法及限度定为：照 《中国药典》2020年版四部（通则2302 灰分测定法）中的酸不溶性灰分测定法，不得过1.0%。</w:t>
      </w:r>
    </w:p>
    <w:p>
      <w:pPr>
        <w:pStyle w:val="22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4.</w:t>
      </w:r>
      <w:r>
        <w:rPr>
          <w:rFonts w:hint="eastAsia"/>
          <w:b/>
          <w:sz w:val="24"/>
          <w:szCs w:val="24"/>
          <w:lang w:eastAsia="zh-CN"/>
        </w:rPr>
        <w:t xml:space="preserve"> 浸出物</w:t>
      </w:r>
      <w:bookmarkEnd w:id="5"/>
    </w:p>
    <w:p>
      <w:pPr>
        <w:pStyle w:val="22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）水溶性浸出物（热浸法）及其测试结果</w:t>
      </w:r>
    </w:p>
    <w:p>
      <w:pPr>
        <w:pStyle w:val="22"/>
        <w:spacing w:line="360" w:lineRule="auto"/>
        <w:ind w:firstLine="481" w:firstLineChars="200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照（ 《中国药典》2020年版四部通则2201 浸出物测定法）中的热浸法，取供试品约2-4g，精密称定，至250ml的锥形瓶中，精密加水100ml，密塞，称定重量，静置1小时后，连接回流冷凝管，加热至沸腾，并保持微沸1小时。放冷后，取下锥形瓶，密塞，再称定重量，用水补足减失的重量，摇匀，用干燥滤器滤过，精密量取滤液25ml，置已干燥至恒重的蒸发皿中，在水浴上蒸干后，于105℃干燥3小时，置干燥器中冷却30分钟，迅速精密称定重量。以干燥品计算供试品中水溶性浸出物的含量（%）。 </w:t>
      </w:r>
    </w:p>
    <w:p>
      <w:pPr>
        <w:pStyle w:val="22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  <w:lang w:eastAsia="zh-CN"/>
        </w:rPr>
        <w:t>）水溶性浸出物（冷浸法）及其测试结果</w:t>
      </w:r>
    </w:p>
    <w:p>
      <w:pPr>
        <w:pStyle w:val="22"/>
        <w:spacing w:line="360" w:lineRule="auto"/>
        <w:ind w:firstLine="480" w:firstLineChars="200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取供试品约4g，精密称定，置250～300ml的锥形瓶中，精密加水100ml，密塞，冷浸，前6小时内时时振摇，再静置18小时，用干燥滤器迅速滤过，精密量取续滤液20ml，置已干燥至恒重的蒸发皿中，在水浴上蒸干后，于105℃干燥3小时，置干燥器中冷却30分钟，迅速精密称定重量。除另有规定外，以干燥品计算供试品中水溶性浸出物的含量（％）。 结果见表7。</w:t>
      </w:r>
    </w:p>
    <w:p>
      <w:pPr>
        <w:pStyle w:val="22"/>
        <w:spacing w:line="360" w:lineRule="auto"/>
        <w:ind w:firstLine="440" w:firstLineChars="200"/>
        <w:jc w:val="center"/>
        <w:rPr>
          <w:rFonts w:cs="Calibri"/>
        </w:rPr>
      </w:pPr>
      <w:r>
        <w:rPr>
          <w:rFonts w:hint="eastAsia" w:cs="Calibri"/>
          <w:lang w:eastAsia="zh-CN"/>
        </w:rPr>
        <w:t xml:space="preserve">表7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12批树舌粉浸出物测定结果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浸出物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 xml:space="preserve"> 热浸法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浸出物（%）冷浸法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7.9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7.1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6.8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6.1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20181126PZ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6.0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20181127PZ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8.9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8.3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10.1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6.8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1.9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3.9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0.9</w:t>
            </w:r>
          </w:p>
        </w:tc>
      </w:tr>
    </w:tbl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</w:p>
    <w:p>
      <w:pPr>
        <w:pStyle w:val="22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  <w:lang w:eastAsia="zh-CN"/>
        </w:rPr>
        <w:t>）结果分析及方法限度确认</w:t>
      </w:r>
    </w:p>
    <w:p>
      <w:pPr>
        <w:spacing w:line="360" w:lineRule="auto"/>
        <w:ind w:firstLine="480" w:firstLineChars="200"/>
        <w:rPr>
          <w:sz w:val="24"/>
          <w:szCs w:val="24"/>
          <w:highlight w:val="yellow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中药饮片</w:t>
      </w:r>
      <w:r>
        <w:rPr>
          <w:rFonts w:hint="eastAsia"/>
          <w:sz w:val="24"/>
          <w:szCs w:val="24"/>
          <w:lang w:eastAsia="zh-CN"/>
        </w:rPr>
        <w:t>树舌粉的水溶性浸出物 ,热浸法结果幅度范围为：3.3~10.1%，平均值为6.8%，按照平均值乘以80%，得到热浸法的限度为5.44%。冷浸法结果幅度范围为：2.7%~5.4%； 平均值为3.9%，按照平均值乘以80%计算，得到冷浸法浸出物限度结果为3.12%。 根据以上结果可以看出，热浸法无论是从操作时限上还是结果上都优于冷浸法，因此，最终拟将树舌粉的浸出物测定方法和限度定为 ：照（ 《中国药典》2020年版四部通则2201 浸出物测定法）中 热浸法测定，以水为溶剂，不得少于6.0%。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</w:t>
      </w:r>
      <w:r>
        <w:rPr>
          <w:rFonts w:hint="eastAsia"/>
          <w:b/>
          <w:bCs/>
          <w:sz w:val="24"/>
          <w:szCs w:val="24"/>
          <w:lang w:eastAsia="zh-CN"/>
        </w:rPr>
        <w:t>微生物限度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  <w:lang w:eastAsia="zh-CN"/>
        </w:rPr>
        <w:t>）检验方法及限度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取供试品粉末10g，照微生物限度检查法 《中国药典》2020年版通则1105、1106、1107检查，结果应不得检出沙门菌，耐胆盐革兰氏阴性菌应小于10</w:t>
      </w:r>
      <w:r>
        <w:rPr>
          <w:rFonts w:hint="eastAsia"/>
          <w:sz w:val="24"/>
          <w:szCs w:val="24"/>
          <w:vertAlign w:val="superscript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>cfu/g。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）三批验证批次产品检验结果（表8），小试样品由于在实验室普通环境下生产，故不进行微生物限度检验。</w:t>
      </w:r>
    </w:p>
    <w:p>
      <w:pPr>
        <w:spacing w:line="360" w:lineRule="auto"/>
        <w:ind w:firstLine="1200" w:firstLineChars="500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表8：3批树舌粉（验证批次）微生物限度检验结果</w:t>
      </w:r>
    </w:p>
    <w:tbl>
      <w:tblPr>
        <w:tblStyle w:val="16"/>
        <w:tblW w:w="92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866"/>
        <w:gridCol w:w="2693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批号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181201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181202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结果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</w:tr>
    </w:tbl>
    <w:p>
      <w:pPr>
        <w:pStyle w:val="22"/>
        <w:spacing w:line="360" w:lineRule="auto"/>
        <w:outlineLvl w:val="1"/>
        <w:rPr>
          <w:b/>
          <w:sz w:val="24"/>
          <w:szCs w:val="24"/>
          <w:lang w:eastAsia="zh-CN"/>
        </w:rPr>
      </w:pPr>
      <w:bookmarkStart w:id="6" w:name="_Toc472587970"/>
      <w:r>
        <w:rPr>
          <w:rFonts w:hint="eastAsia"/>
          <w:b/>
          <w:sz w:val="24"/>
          <w:szCs w:val="24"/>
          <w:lang w:val="en-US" w:eastAsia="zh-CN"/>
        </w:rPr>
        <w:t>6.</w:t>
      </w:r>
      <w:r>
        <w:rPr>
          <w:rFonts w:hint="eastAsia"/>
          <w:b/>
          <w:sz w:val="24"/>
          <w:szCs w:val="24"/>
          <w:lang w:eastAsia="zh-CN"/>
        </w:rPr>
        <w:t>粒度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照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粒度与粒度分布测定法《中国药典》2020年四部（通则0982）测定，应符合细粉的规定。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直接口服中药饮片的粒度作为炮制工艺指标，是产品的通用指标，故该指标在炮制项下规定，并在半成品及成品的内控质量标准中对该指标进行控制，不单独列出。</w:t>
      </w:r>
    </w:p>
    <w:bookmarkEnd w:id="6"/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【性味与归经】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</w:t>
      </w:r>
      <w:r>
        <w:rPr>
          <w:rFonts w:hint="eastAsia"/>
          <w:sz w:val="24"/>
          <w:szCs w:val="24"/>
          <w:lang w:eastAsia="zh-CN"/>
        </w:rPr>
        <w:t>《国家药品标准：第一册中药材》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[6]</w:t>
      </w:r>
      <w:r>
        <w:rPr>
          <w:rFonts w:hint="eastAsia"/>
          <w:sz w:val="24"/>
          <w:szCs w:val="24"/>
          <w:lang w:eastAsia="zh-CN"/>
        </w:rPr>
        <w:t>（卫生部1992年版）树舌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，定为：微苦、平。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【功能与主治】</w:t>
      </w:r>
    </w:p>
    <w:p>
      <w:pPr>
        <w:spacing w:line="600" w:lineRule="exact"/>
        <w:ind w:firstLine="480" w:firstLineChars="20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</w:t>
      </w:r>
      <w:r>
        <w:rPr>
          <w:rFonts w:hint="eastAsia"/>
          <w:sz w:val="24"/>
          <w:szCs w:val="24"/>
          <w:lang w:eastAsia="zh-CN"/>
        </w:rPr>
        <w:t>《国家药品标准：第一册中药材》（卫生部1992年版）树舌，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制定为：</w:t>
      </w:r>
      <w:r>
        <w:rPr>
          <w:rFonts w:hint="eastAsia"/>
          <w:bCs/>
          <w:sz w:val="24"/>
          <w:szCs w:val="24"/>
          <w:lang w:eastAsia="zh-CN"/>
        </w:rPr>
        <w:t>具免疫调节功能，促进乙型肝炎表面抗原转阴；具抗癌性和消除疲劳，增长食欲的功能。用于治疗乙型肝炎，食道癌和精神衰弱。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【用法与用量】</w:t>
      </w:r>
    </w:p>
    <w:p>
      <w:pPr>
        <w:widowControl/>
        <w:spacing w:line="500" w:lineRule="atLeast"/>
        <w:ind w:firstLine="480" w:firstLineChars="200"/>
        <w:jc w:val="both"/>
        <w:rPr>
          <w:rFonts w:hint="eastAsia" w:ascii="Calibri" w:hAnsi="Calibri" w:eastAsia="宋体" w:cs="Times New Roman"/>
          <w:bCs/>
          <w:kern w:val="2"/>
          <w:sz w:val="24"/>
          <w:szCs w:val="24"/>
          <w:highlight w:val="yellow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试行标准的用法用量为 10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30g。而</w:t>
      </w:r>
      <w:r>
        <w:rPr>
          <w:rFonts w:hint="eastAsia" w:ascii="Calibri" w:hAnsi="Calibri"/>
          <w:bCs/>
          <w:sz w:val="24"/>
          <w:lang w:eastAsia="zh-CN"/>
        </w:rPr>
        <w:t>《本草纲目》</w:t>
      </w:r>
      <w:r>
        <w:rPr>
          <w:rFonts w:hint="eastAsia" w:ascii="Calibri" w:hAnsi="Calibri"/>
          <w:bCs/>
          <w:sz w:val="24"/>
          <w:vertAlign w:val="superscript"/>
          <w:lang w:eastAsia="zh-CN"/>
        </w:rPr>
        <w:t>[</w:t>
      </w:r>
      <w:r>
        <w:rPr>
          <w:rFonts w:hint="eastAsia"/>
          <w:bCs/>
          <w:sz w:val="24"/>
          <w:szCs w:val="24"/>
          <w:vertAlign w:val="superscript"/>
          <w:lang w:val="en-US" w:eastAsia="zh-CN"/>
        </w:rPr>
        <w:t>1</w:t>
      </w:r>
      <w:r>
        <w:rPr>
          <w:bCs/>
          <w:sz w:val="24"/>
          <w:szCs w:val="24"/>
          <w:vertAlign w:val="superscript"/>
          <w:lang w:eastAsia="zh-CN"/>
        </w:rPr>
        <w:t>]</w:t>
      </w:r>
      <w:r>
        <w:rPr>
          <w:rFonts w:hint="eastAsia" w:ascii="Calibri" w:hAnsi="Calibri"/>
          <w:bCs/>
          <w:sz w:val="24"/>
          <w:lang w:eastAsia="zh-CN"/>
        </w:rPr>
        <w:t>关于树舌粉的用量有载：“皂荚蕈适量，瓦焙为末，每服一钱，温酒下。治肠风下血”，计算单次用量约为3.7克。现代一些民间验方也有记载树舌粉的用法用量，如“皂荚蕈适量，研细末，每服1</w:t>
      </w:r>
      <w:r>
        <w:rPr>
          <w:rFonts w:ascii="Calibri" w:hAnsi="Calibri"/>
          <w:bCs/>
          <w:sz w:val="24"/>
          <w:lang w:eastAsia="zh-CN"/>
        </w:rPr>
        <w:t>.5</w:t>
      </w:r>
      <w:r>
        <w:rPr>
          <w:rFonts w:hint="eastAsia" w:ascii="Calibri" w:hAnsi="Calibri"/>
          <w:bCs/>
          <w:sz w:val="24"/>
          <w:lang w:eastAsia="zh-CN"/>
        </w:rPr>
        <w:t>克，赤砂糖送服。治慢性胃炎、胃痛呕吐”，又有“皂荚蕈2</w:t>
      </w:r>
      <w:r>
        <w:rPr>
          <w:rFonts w:ascii="Calibri" w:hAnsi="Calibri"/>
          <w:bCs/>
          <w:sz w:val="24"/>
          <w:lang w:eastAsia="zh-CN"/>
        </w:rPr>
        <w:t>0</w:t>
      </w:r>
      <w:r>
        <w:rPr>
          <w:rFonts w:hint="eastAsia" w:ascii="Calibri" w:hAnsi="Calibri"/>
          <w:bCs/>
          <w:sz w:val="24"/>
          <w:lang w:eastAsia="zh-CN"/>
        </w:rPr>
        <w:t>克，田七末2克，陈皮适量，共研细末，日服2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～</w:t>
      </w:r>
      <w:r>
        <w:rPr>
          <w:rFonts w:ascii="Calibri" w:hAnsi="Calibri"/>
          <w:bCs/>
          <w:sz w:val="24"/>
          <w:lang w:eastAsia="zh-CN"/>
        </w:rPr>
        <w:t>3</w:t>
      </w:r>
      <w:r>
        <w:rPr>
          <w:rFonts w:hint="eastAsia" w:ascii="Calibri" w:hAnsi="Calibri"/>
          <w:bCs/>
          <w:sz w:val="24"/>
          <w:lang w:eastAsia="zh-CN"/>
        </w:rPr>
        <w:t>次，每服1</w:t>
      </w:r>
      <w:r>
        <w:rPr>
          <w:rFonts w:ascii="Calibri" w:hAnsi="Calibri"/>
          <w:bCs/>
          <w:sz w:val="24"/>
          <w:lang w:eastAsia="zh-CN"/>
        </w:rPr>
        <w:t>.5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～</w:t>
      </w:r>
      <w:r>
        <w:rPr>
          <w:rFonts w:ascii="Calibri" w:hAnsi="Calibri"/>
          <w:bCs/>
          <w:sz w:val="24"/>
          <w:lang w:eastAsia="zh-CN"/>
        </w:rPr>
        <w:t>3</w:t>
      </w:r>
      <w:r>
        <w:rPr>
          <w:rFonts w:hint="eastAsia" w:ascii="Calibri" w:hAnsi="Calibri"/>
          <w:bCs/>
          <w:sz w:val="24"/>
          <w:lang w:eastAsia="zh-CN"/>
        </w:rPr>
        <w:t>克，饭前温水下。治胃痛、呕吐、以及胃癌的辅助治疗。”</w:t>
      </w:r>
      <w:r>
        <w:rPr>
          <w:rFonts w:hint="eastAsia" w:ascii="Calibri" w:hAnsi="Calibri"/>
          <w:bCs/>
          <w:sz w:val="24"/>
          <w:vertAlign w:val="superscript"/>
          <w:lang w:eastAsia="zh-CN"/>
        </w:rPr>
        <w:t>[</w:t>
      </w:r>
      <w:r>
        <w:rPr>
          <w:rFonts w:hint="eastAsia"/>
          <w:bCs/>
          <w:sz w:val="24"/>
          <w:szCs w:val="24"/>
          <w:vertAlign w:val="superscript"/>
          <w:lang w:val="en-US" w:eastAsia="zh-CN"/>
        </w:rPr>
        <w:t>7</w:t>
      </w:r>
      <w:r>
        <w:rPr>
          <w:bCs/>
          <w:sz w:val="24"/>
          <w:szCs w:val="24"/>
          <w:vertAlign w:val="superscript"/>
          <w:lang w:eastAsia="zh-CN"/>
        </w:rPr>
        <w:t>]</w:t>
      </w:r>
      <w:r>
        <w:rPr>
          <w:rFonts w:hint="eastAsia"/>
          <w:bCs/>
          <w:sz w:val="24"/>
          <w:szCs w:val="24"/>
          <w:lang w:eastAsia="zh-CN"/>
        </w:rPr>
        <w:t>。</w:t>
      </w:r>
      <w:r>
        <w:rPr>
          <w:rFonts w:hint="eastAsia" w:ascii="Calibri" w:hAnsi="Calibri"/>
          <w:bCs/>
          <w:sz w:val="24"/>
          <w:lang w:eastAsia="zh-CN"/>
        </w:rPr>
        <w:t>拟将用法用量修订为“吞服，每次2～3g，或遵医嘱”。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【处方应付】</w:t>
      </w:r>
    </w:p>
    <w:p>
      <w:pPr>
        <w:pStyle w:val="22"/>
        <w:spacing w:line="360" w:lineRule="auto"/>
        <w:ind w:firstLine="480" w:firstLineChars="200"/>
        <w:outlineLvl w:val="0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处方写树舌粉、平盖灵芝粉、树舌灵芝粉均付树舌粉。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【贮藏】  </w:t>
      </w:r>
    </w:p>
    <w:p>
      <w:pPr>
        <w:pStyle w:val="22"/>
        <w:spacing w:line="360" w:lineRule="auto"/>
        <w:ind w:firstLine="480" w:firstLineChars="200"/>
        <w:outlineLvl w:val="0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</w:t>
      </w:r>
      <w:r>
        <w:rPr>
          <w:rFonts w:hint="eastAsia"/>
          <w:sz w:val="24"/>
          <w:szCs w:val="24"/>
          <w:lang w:eastAsia="zh-CN"/>
        </w:rPr>
        <w:t>《国家药品标准：第一册中药材》（卫生部1992年版）树舌，定为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置干燥处 。</w:t>
      </w:r>
    </w:p>
    <w:p>
      <w:pPr>
        <w:pStyle w:val="22"/>
        <w:spacing w:line="360" w:lineRule="auto"/>
        <w:outlineLvl w:val="0"/>
        <w:rPr>
          <w:b/>
          <w:sz w:val="24"/>
          <w:szCs w:val="24"/>
          <w:lang w:eastAsia="zh-CN"/>
        </w:rPr>
      </w:pPr>
      <w:bookmarkStart w:id="7" w:name="_Toc472588005"/>
      <w:r>
        <w:rPr>
          <w:rFonts w:hint="eastAsia"/>
          <w:b/>
          <w:sz w:val="24"/>
          <w:szCs w:val="24"/>
          <w:lang w:eastAsia="zh-CN"/>
        </w:rPr>
        <w:t>参考文献</w:t>
      </w:r>
      <w:bookmarkEnd w:id="7"/>
    </w:p>
    <w:p>
      <w:pPr>
        <w:pStyle w:val="22"/>
        <w:spacing w:line="360" w:lineRule="auto"/>
        <w:ind w:left="425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[1]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李时珍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本草纲目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人民卫生出版社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.1975</w:t>
      </w:r>
    </w:p>
    <w:p>
      <w:pPr>
        <w:pStyle w:val="22"/>
        <w:spacing w:line="360" w:lineRule="auto"/>
        <w:ind w:left="425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[2]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国家中医药管理局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中华本草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上海科学技术出版社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.1999</w:t>
      </w:r>
    </w:p>
    <w:p>
      <w:pPr>
        <w:pStyle w:val="22"/>
        <w:spacing w:line="360" w:lineRule="auto"/>
        <w:ind w:left="425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[3]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黄年来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中国大型真菌原色图鉴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.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中国农业出版社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.1998</w:t>
      </w:r>
    </w:p>
    <w:p>
      <w:pPr>
        <w:pStyle w:val="22"/>
        <w:spacing w:line="360" w:lineRule="auto"/>
        <w:ind w:left="425"/>
        <w:rPr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[4]</w:t>
      </w:r>
      <w:r>
        <w:rPr>
          <w:rFonts w:hint="eastAsia"/>
          <w:sz w:val="24"/>
          <w:szCs w:val="24"/>
          <w:lang w:eastAsia="zh-CN"/>
        </w:rPr>
        <w:t xml:space="preserve"> 中华人民共和国药典</w:t>
      </w:r>
      <w:r>
        <w:rPr>
          <w:sz w:val="24"/>
          <w:szCs w:val="24"/>
          <w:lang w:eastAsia="zh-CN"/>
        </w:rPr>
        <w:t>[S]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t>2020</w:t>
      </w:r>
      <w:r>
        <w:rPr>
          <w:rFonts w:hint="eastAsia"/>
          <w:sz w:val="24"/>
          <w:szCs w:val="24"/>
          <w:lang w:eastAsia="zh-CN"/>
        </w:rPr>
        <w:t>年版</w:t>
      </w:r>
      <w:r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一部</w:t>
      </w:r>
      <w:r>
        <w:rPr>
          <w:sz w:val="24"/>
          <w:szCs w:val="24"/>
          <w:lang w:eastAsia="zh-CN"/>
        </w:rPr>
        <w:t>/</w:t>
      </w:r>
      <w:r>
        <w:rPr>
          <w:rFonts w:hint="eastAsia"/>
          <w:sz w:val="24"/>
          <w:szCs w:val="24"/>
          <w:lang w:eastAsia="zh-CN"/>
        </w:rPr>
        <w:t>国家药典委员会编</w:t>
      </w:r>
      <w:r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—北京：中国医药科技出版社，</w:t>
      </w:r>
      <w:r>
        <w:rPr>
          <w:sz w:val="24"/>
          <w:szCs w:val="24"/>
          <w:lang w:eastAsia="zh-CN"/>
        </w:rPr>
        <w:t>2015.6</w:t>
      </w:r>
    </w:p>
    <w:p>
      <w:pPr>
        <w:pStyle w:val="22"/>
        <w:spacing w:line="360" w:lineRule="auto"/>
        <w:ind w:left="425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[5]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甘肃省中药炮制规范》</w:t>
      </w:r>
      <w:r>
        <w:rPr>
          <w:sz w:val="24"/>
          <w:szCs w:val="24"/>
          <w:lang w:eastAsia="zh-CN"/>
        </w:rPr>
        <w:t>[S]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zh-CN"/>
        </w:rPr>
        <w:t>2012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年版</w:t>
      </w:r>
    </w:p>
    <w:p>
      <w:pPr>
        <w:pStyle w:val="22"/>
        <w:spacing w:line="360" w:lineRule="auto"/>
        <w:ind w:left="425"/>
        <w:rPr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[6]</w:t>
      </w:r>
      <w:r>
        <w:rPr>
          <w:rFonts w:hint="eastAsia"/>
          <w:sz w:val="24"/>
          <w:szCs w:val="24"/>
          <w:lang w:eastAsia="zh-CN"/>
        </w:rPr>
        <w:t>中华人民共和国卫生部药品标准</w:t>
      </w:r>
      <w:r>
        <w:rPr>
          <w:sz w:val="24"/>
          <w:szCs w:val="24"/>
          <w:lang w:eastAsia="zh-CN"/>
        </w:rPr>
        <w:t>[S]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t>1992</w:t>
      </w:r>
      <w:r>
        <w:rPr>
          <w:rFonts w:hint="eastAsia"/>
          <w:sz w:val="24"/>
          <w:szCs w:val="24"/>
          <w:lang w:eastAsia="zh-CN"/>
        </w:rPr>
        <w:t>年版</w:t>
      </w:r>
      <w:r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中药材第一册</w:t>
      </w:r>
      <w:r>
        <w:rPr>
          <w:sz w:val="24"/>
          <w:szCs w:val="24"/>
          <w:lang w:eastAsia="zh-CN"/>
        </w:rPr>
        <w:t>/</w:t>
      </w:r>
      <w:r>
        <w:rPr>
          <w:rFonts w:hint="eastAsia"/>
          <w:sz w:val="24"/>
          <w:szCs w:val="24"/>
          <w:lang w:eastAsia="zh-CN"/>
        </w:rPr>
        <w:t>中华人民共和国卫生部药典委员会编</w:t>
      </w:r>
      <w:r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—北京</w:t>
      </w:r>
    </w:p>
    <w:p>
      <w:pPr>
        <w:tabs>
          <w:tab w:val="left" w:pos="312"/>
        </w:tabs>
        <w:spacing w:line="360" w:lineRule="auto"/>
        <w:ind w:firstLine="481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  <w:lang w:val="en-US" w:eastAsia="zh-CN" w:bidi="ar-SA"/>
        </w:rPr>
        <w:t>[7</w:t>
      </w:r>
      <w:r>
        <w:rPr>
          <w:rFonts w:ascii="Times New Roman" w:hAnsi="Times New Roman" w:cs="Times New Roman" w:eastAsiaTheme="minorEastAsia"/>
          <w:b/>
          <w:sz w:val="24"/>
          <w:szCs w:val="24"/>
          <w:lang w:val="en-US" w:eastAsia="zh-CN" w:bidi="ar-SA"/>
        </w:rPr>
        <w:t xml:space="preserve">] 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陈士瑜，陈海英.蕈菌医方集成 .上海科学技术文献出版社.2000.1：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400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401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.</w:t>
      </w:r>
    </w:p>
    <w:p>
      <w:pPr>
        <w:spacing w:line="360" w:lineRule="auto"/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tabs>
          <w:tab w:val="left" w:pos="2159"/>
        </w:tabs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  <w:lang w:eastAsia="zh-CN"/>
        </w:rPr>
      </w:pPr>
    </w:p>
    <w:sectPr>
      <w:headerReference r:id="rId4" w:type="first"/>
      <w:headerReference r:id="rId3" w:type="default"/>
      <w:pgSz w:w="11907" w:h="16840"/>
      <w:pgMar w:top="1418" w:right="1134" w:bottom="1418" w:left="1134" w:header="851" w:footer="992" w:gutter="567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color w:val="000000"/>
        <w:sz w:val="28"/>
        <w:szCs w:val="28"/>
        <w:lang w:eastAsia="zh-CN"/>
      </w:rPr>
      <w:t>海南省药品监督管理局中药饮片炮制规范草案征求意见稿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color w:val="000000"/>
        <w:sz w:val="28"/>
        <w:szCs w:val="28"/>
        <w:lang w:eastAsia="zh-CN"/>
      </w:rPr>
      <w:t>海南省药品监督管理局中药饮片炮制规范草案征求意见稿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ZGUwMmNlNWY1MTk5ZjY4YjIwNWFjNjc4YjQ4MzYifQ=="/>
  </w:docVars>
  <w:rsids>
    <w:rsidRoot w:val="001E7FE6"/>
    <w:rsid w:val="00000467"/>
    <w:rsid w:val="00002514"/>
    <w:rsid w:val="00006744"/>
    <w:rsid w:val="000075DA"/>
    <w:rsid w:val="000144DA"/>
    <w:rsid w:val="000151D4"/>
    <w:rsid w:val="00033BAA"/>
    <w:rsid w:val="00037AAF"/>
    <w:rsid w:val="00047B2A"/>
    <w:rsid w:val="00051AE6"/>
    <w:rsid w:val="00053C81"/>
    <w:rsid w:val="00054555"/>
    <w:rsid w:val="00054794"/>
    <w:rsid w:val="0005479C"/>
    <w:rsid w:val="00061ACC"/>
    <w:rsid w:val="00065997"/>
    <w:rsid w:val="00066E1A"/>
    <w:rsid w:val="00066ECB"/>
    <w:rsid w:val="0007135A"/>
    <w:rsid w:val="000716D1"/>
    <w:rsid w:val="0007316E"/>
    <w:rsid w:val="00074775"/>
    <w:rsid w:val="00084E84"/>
    <w:rsid w:val="00091677"/>
    <w:rsid w:val="00097033"/>
    <w:rsid w:val="000A32A5"/>
    <w:rsid w:val="000A42D0"/>
    <w:rsid w:val="000A4882"/>
    <w:rsid w:val="000B22BD"/>
    <w:rsid w:val="000B29A9"/>
    <w:rsid w:val="000B2B0A"/>
    <w:rsid w:val="000B3BA4"/>
    <w:rsid w:val="000C0570"/>
    <w:rsid w:val="000C30A1"/>
    <w:rsid w:val="000C31D1"/>
    <w:rsid w:val="000C65CD"/>
    <w:rsid w:val="000D6DDE"/>
    <w:rsid w:val="000E0053"/>
    <w:rsid w:val="000E34E1"/>
    <w:rsid w:val="000F47AF"/>
    <w:rsid w:val="000F5907"/>
    <w:rsid w:val="00101489"/>
    <w:rsid w:val="00102154"/>
    <w:rsid w:val="00102ECD"/>
    <w:rsid w:val="00121678"/>
    <w:rsid w:val="0012513D"/>
    <w:rsid w:val="0012659B"/>
    <w:rsid w:val="00130D53"/>
    <w:rsid w:val="00137A52"/>
    <w:rsid w:val="001456F4"/>
    <w:rsid w:val="00147F55"/>
    <w:rsid w:val="001501C2"/>
    <w:rsid w:val="00156202"/>
    <w:rsid w:val="00160858"/>
    <w:rsid w:val="00163D40"/>
    <w:rsid w:val="00173892"/>
    <w:rsid w:val="00173DFF"/>
    <w:rsid w:val="00182077"/>
    <w:rsid w:val="001833A9"/>
    <w:rsid w:val="001839AC"/>
    <w:rsid w:val="00185562"/>
    <w:rsid w:val="00185860"/>
    <w:rsid w:val="0019085E"/>
    <w:rsid w:val="001A5ACB"/>
    <w:rsid w:val="001A6E37"/>
    <w:rsid w:val="001A7EBA"/>
    <w:rsid w:val="001B161E"/>
    <w:rsid w:val="001B1C83"/>
    <w:rsid w:val="001B39AF"/>
    <w:rsid w:val="001B5487"/>
    <w:rsid w:val="001C0E28"/>
    <w:rsid w:val="001C4681"/>
    <w:rsid w:val="001C5EF6"/>
    <w:rsid w:val="001D017E"/>
    <w:rsid w:val="001D1AFE"/>
    <w:rsid w:val="001D20F7"/>
    <w:rsid w:val="001D4E89"/>
    <w:rsid w:val="001D68CF"/>
    <w:rsid w:val="001D6D24"/>
    <w:rsid w:val="001E49AB"/>
    <w:rsid w:val="001E5E67"/>
    <w:rsid w:val="001E7FE6"/>
    <w:rsid w:val="001F2562"/>
    <w:rsid w:val="001F3194"/>
    <w:rsid w:val="001F5152"/>
    <w:rsid w:val="001F5B00"/>
    <w:rsid w:val="002038F0"/>
    <w:rsid w:val="00203A39"/>
    <w:rsid w:val="002070D9"/>
    <w:rsid w:val="00213B6B"/>
    <w:rsid w:val="00215C64"/>
    <w:rsid w:val="00220A49"/>
    <w:rsid w:val="00220B97"/>
    <w:rsid w:val="00224401"/>
    <w:rsid w:val="00230654"/>
    <w:rsid w:val="00235EFA"/>
    <w:rsid w:val="00237362"/>
    <w:rsid w:val="0023749E"/>
    <w:rsid w:val="00242D48"/>
    <w:rsid w:val="00247768"/>
    <w:rsid w:val="00254588"/>
    <w:rsid w:val="0025726E"/>
    <w:rsid w:val="00261883"/>
    <w:rsid w:val="00264047"/>
    <w:rsid w:val="00265FDE"/>
    <w:rsid w:val="002720A5"/>
    <w:rsid w:val="00276D04"/>
    <w:rsid w:val="00281DC4"/>
    <w:rsid w:val="002908E0"/>
    <w:rsid w:val="002977F1"/>
    <w:rsid w:val="002A3CA6"/>
    <w:rsid w:val="002B0B12"/>
    <w:rsid w:val="002B28A1"/>
    <w:rsid w:val="002B2BA4"/>
    <w:rsid w:val="002B3B4C"/>
    <w:rsid w:val="002C624C"/>
    <w:rsid w:val="002C62C1"/>
    <w:rsid w:val="002C6325"/>
    <w:rsid w:val="002D4D54"/>
    <w:rsid w:val="002E24C2"/>
    <w:rsid w:val="002E519B"/>
    <w:rsid w:val="002F0123"/>
    <w:rsid w:val="002F39A9"/>
    <w:rsid w:val="002F4C51"/>
    <w:rsid w:val="00303FF0"/>
    <w:rsid w:val="003118DC"/>
    <w:rsid w:val="00313A04"/>
    <w:rsid w:val="003158D7"/>
    <w:rsid w:val="00315D92"/>
    <w:rsid w:val="00322365"/>
    <w:rsid w:val="0032312D"/>
    <w:rsid w:val="0032538B"/>
    <w:rsid w:val="003303AA"/>
    <w:rsid w:val="003466A1"/>
    <w:rsid w:val="0035000A"/>
    <w:rsid w:val="00353D34"/>
    <w:rsid w:val="00354FDF"/>
    <w:rsid w:val="003568F2"/>
    <w:rsid w:val="00361A70"/>
    <w:rsid w:val="003644AB"/>
    <w:rsid w:val="00367363"/>
    <w:rsid w:val="003717AD"/>
    <w:rsid w:val="00376456"/>
    <w:rsid w:val="00376765"/>
    <w:rsid w:val="0037769E"/>
    <w:rsid w:val="003842AE"/>
    <w:rsid w:val="0038550C"/>
    <w:rsid w:val="00387437"/>
    <w:rsid w:val="00391DC6"/>
    <w:rsid w:val="003935F0"/>
    <w:rsid w:val="003A30DF"/>
    <w:rsid w:val="003A3CC7"/>
    <w:rsid w:val="003A7F5F"/>
    <w:rsid w:val="003B0265"/>
    <w:rsid w:val="003B060A"/>
    <w:rsid w:val="003B64E6"/>
    <w:rsid w:val="003B7EF0"/>
    <w:rsid w:val="003C7102"/>
    <w:rsid w:val="003D7698"/>
    <w:rsid w:val="003D79BD"/>
    <w:rsid w:val="003D7D95"/>
    <w:rsid w:val="003E52EE"/>
    <w:rsid w:val="003E76B0"/>
    <w:rsid w:val="003F1E10"/>
    <w:rsid w:val="003F2D1E"/>
    <w:rsid w:val="00402296"/>
    <w:rsid w:val="00406D32"/>
    <w:rsid w:val="004102F1"/>
    <w:rsid w:val="004160B8"/>
    <w:rsid w:val="004173ED"/>
    <w:rsid w:val="004318D2"/>
    <w:rsid w:val="00432E91"/>
    <w:rsid w:val="00435412"/>
    <w:rsid w:val="00444B8E"/>
    <w:rsid w:val="00447FB5"/>
    <w:rsid w:val="00451246"/>
    <w:rsid w:val="00452566"/>
    <w:rsid w:val="00457146"/>
    <w:rsid w:val="00464552"/>
    <w:rsid w:val="00464770"/>
    <w:rsid w:val="00476CBD"/>
    <w:rsid w:val="004802D9"/>
    <w:rsid w:val="0048379E"/>
    <w:rsid w:val="0048602B"/>
    <w:rsid w:val="00487B8D"/>
    <w:rsid w:val="00490511"/>
    <w:rsid w:val="004909E5"/>
    <w:rsid w:val="004A07CF"/>
    <w:rsid w:val="004A07FB"/>
    <w:rsid w:val="004A434A"/>
    <w:rsid w:val="004A7114"/>
    <w:rsid w:val="004B0A18"/>
    <w:rsid w:val="004B15AD"/>
    <w:rsid w:val="004B3E5A"/>
    <w:rsid w:val="004B3FE0"/>
    <w:rsid w:val="004B4329"/>
    <w:rsid w:val="004B4FBA"/>
    <w:rsid w:val="004B7959"/>
    <w:rsid w:val="004C36BA"/>
    <w:rsid w:val="004C3F5E"/>
    <w:rsid w:val="004C4364"/>
    <w:rsid w:val="004D0370"/>
    <w:rsid w:val="004D1089"/>
    <w:rsid w:val="004D12E9"/>
    <w:rsid w:val="004D688D"/>
    <w:rsid w:val="004E3EC5"/>
    <w:rsid w:val="004F2C00"/>
    <w:rsid w:val="004F3B60"/>
    <w:rsid w:val="004F6938"/>
    <w:rsid w:val="004F7153"/>
    <w:rsid w:val="004F7351"/>
    <w:rsid w:val="00507A65"/>
    <w:rsid w:val="005103DB"/>
    <w:rsid w:val="00511B64"/>
    <w:rsid w:val="00520528"/>
    <w:rsid w:val="0052233F"/>
    <w:rsid w:val="00524596"/>
    <w:rsid w:val="005272FC"/>
    <w:rsid w:val="005318B2"/>
    <w:rsid w:val="00533A2A"/>
    <w:rsid w:val="005364FF"/>
    <w:rsid w:val="00537DE9"/>
    <w:rsid w:val="00541DF7"/>
    <w:rsid w:val="0054316F"/>
    <w:rsid w:val="005445F6"/>
    <w:rsid w:val="00545CCA"/>
    <w:rsid w:val="00547EF4"/>
    <w:rsid w:val="00553559"/>
    <w:rsid w:val="005565CA"/>
    <w:rsid w:val="005702B2"/>
    <w:rsid w:val="00574B65"/>
    <w:rsid w:val="005754B8"/>
    <w:rsid w:val="00581C66"/>
    <w:rsid w:val="00586C9B"/>
    <w:rsid w:val="00590DC3"/>
    <w:rsid w:val="005A18FF"/>
    <w:rsid w:val="005A1A83"/>
    <w:rsid w:val="005A23A0"/>
    <w:rsid w:val="005A2A2C"/>
    <w:rsid w:val="005A4D48"/>
    <w:rsid w:val="005A74F1"/>
    <w:rsid w:val="005B4825"/>
    <w:rsid w:val="005B77A3"/>
    <w:rsid w:val="005C4F6E"/>
    <w:rsid w:val="005D0948"/>
    <w:rsid w:val="005E43B7"/>
    <w:rsid w:val="005E560A"/>
    <w:rsid w:val="005E5E94"/>
    <w:rsid w:val="005E6B5B"/>
    <w:rsid w:val="005E7373"/>
    <w:rsid w:val="00601503"/>
    <w:rsid w:val="00602F6A"/>
    <w:rsid w:val="00604DC9"/>
    <w:rsid w:val="00612FDB"/>
    <w:rsid w:val="006138B8"/>
    <w:rsid w:val="006202BE"/>
    <w:rsid w:val="00620F91"/>
    <w:rsid w:val="006210FD"/>
    <w:rsid w:val="00625A6E"/>
    <w:rsid w:val="00625BB0"/>
    <w:rsid w:val="0064027F"/>
    <w:rsid w:val="006508A0"/>
    <w:rsid w:val="00651906"/>
    <w:rsid w:val="00651FDC"/>
    <w:rsid w:val="00653DDB"/>
    <w:rsid w:val="00654F9E"/>
    <w:rsid w:val="00662FD4"/>
    <w:rsid w:val="00663246"/>
    <w:rsid w:val="00663885"/>
    <w:rsid w:val="00675C6C"/>
    <w:rsid w:val="00677C34"/>
    <w:rsid w:val="00677EFA"/>
    <w:rsid w:val="006811D4"/>
    <w:rsid w:val="00684047"/>
    <w:rsid w:val="00687B88"/>
    <w:rsid w:val="00690D16"/>
    <w:rsid w:val="006953F4"/>
    <w:rsid w:val="00696D49"/>
    <w:rsid w:val="006A06CE"/>
    <w:rsid w:val="006A3757"/>
    <w:rsid w:val="006A44CE"/>
    <w:rsid w:val="006A47D1"/>
    <w:rsid w:val="006A63AD"/>
    <w:rsid w:val="006A66DC"/>
    <w:rsid w:val="006B2200"/>
    <w:rsid w:val="006B2B83"/>
    <w:rsid w:val="006B52E4"/>
    <w:rsid w:val="006C06B5"/>
    <w:rsid w:val="006C5A8C"/>
    <w:rsid w:val="006C6FD5"/>
    <w:rsid w:val="006C78C1"/>
    <w:rsid w:val="006D19BE"/>
    <w:rsid w:val="006D28E5"/>
    <w:rsid w:val="006D665E"/>
    <w:rsid w:val="006F7DB4"/>
    <w:rsid w:val="007069EA"/>
    <w:rsid w:val="0071178E"/>
    <w:rsid w:val="00713B56"/>
    <w:rsid w:val="0072105D"/>
    <w:rsid w:val="00723292"/>
    <w:rsid w:val="0072354B"/>
    <w:rsid w:val="00731C8A"/>
    <w:rsid w:val="00733756"/>
    <w:rsid w:val="00747AF3"/>
    <w:rsid w:val="007539BF"/>
    <w:rsid w:val="0075601A"/>
    <w:rsid w:val="007755D0"/>
    <w:rsid w:val="007768B2"/>
    <w:rsid w:val="00785275"/>
    <w:rsid w:val="00794BCC"/>
    <w:rsid w:val="0079616F"/>
    <w:rsid w:val="00797AC9"/>
    <w:rsid w:val="007A1937"/>
    <w:rsid w:val="007A1D76"/>
    <w:rsid w:val="007A6903"/>
    <w:rsid w:val="007B1F24"/>
    <w:rsid w:val="007B27BC"/>
    <w:rsid w:val="007B2D59"/>
    <w:rsid w:val="007B3D3C"/>
    <w:rsid w:val="007B6B71"/>
    <w:rsid w:val="007C015B"/>
    <w:rsid w:val="007C0BF0"/>
    <w:rsid w:val="007C2201"/>
    <w:rsid w:val="007C4C49"/>
    <w:rsid w:val="007D1DE3"/>
    <w:rsid w:val="007D2189"/>
    <w:rsid w:val="007D6987"/>
    <w:rsid w:val="007E51BD"/>
    <w:rsid w:val="007F3E41"/>
    <w:rsid w:val="007F7C03"/>
    <w:rsid w:val="008016E7"/>
    <w:rsid w:val="0080380D"/>
    <w:rsid w:val="0080629E"/>
    <w:rsid w:val="00806311"/>
    <w:rsid w:val="00821301"/>
    <w:rsid w:val="00824341"/>
    <w:rsid w:val="00825524"/>
    <w:rsid w:val="00830927"/>
    <w:rsid w:val="008353DE"/>
    <w:rsid w:val="00835785"/>
    <w:rsid w:val="00841D93"/>
    <w:rsid w:val="00842153"/>
    <w:rsid w:val="0084490D"/>
    <w:rsid w:val="0085119C"/>
    <w:rsid w:val="008557DC"/>
    <w:rsid w:val="00863B4A"/>
    <w:rsid w:val="00872641"/>
    <w:rsid w:val="00873C07"/>
    <w:rsid w:val="00877237"/>
    <w:rsid w:val="00881FED"/>
    <w:rsid w:val="008826CD"/>
    <w:rsid w:val="008870C0"/>
    <w:rsid w:val="00891B8E"/>
    <w:rsid w:val="008922C0"/>
    <w:rsid w:val="008942BA"/>
    <w:rsid w:val="00894812"/>
    <w:rsid w:val="00894D5D"/>
    <w:rsid w:val="00897D9E"/>
    <w:rsid w:val="008A06DB"/>
    <w:rsid w:val="008B10EC"/>
    <w:rsid w:val="008B2226"/>
    <w:rsid w:val="008B4218"/>
    <w:rsid w:val="008B4CB1"/>
    <w:rsid w:val="008C0959"/>
    <w:rsid w:val="008C3979"/>
    <w:rsid w:val="008C65FB"/>
    <w:rsid w:val="008D003E"/>
    <w:rsid w:val="008D1BDF"/>
    <w:rsid w:val="008D1E40"/>
    <w:rsid w:val="008E59EA"/>
    <w:rsid w:val="008E6927"/>
    <w:rsid w:val="008F217B"/>
    <w:rsid w:val="009024D0"/>
    <w:rsid w:val="00904B30"/>
    <w:rsid w:val="009054E1"/>
    <w:rsid w:val="00906B24"/>
    <w:rsid w:val="00911F9E"/>
    <w:rsid w:val="009163C2"/>
    <w:rsid w:val="009167FE"/>
    <w:rsid w:val="00923F2C"/>
    <w:rsid w:val="009241E2"/>
    <w:rsid w:val="0093106F"/>
    <w:rsid w:val="00933756"/>
    <w:rsid w:val="00935CF9"/>
    <w:rsid w:val="00935ED2"/>
    <w:rsid w:val="009449A3"/>
    <w:rsid w:val="00946DCE"/>
    <w:rsid w:val="009507E8"/>
    <w:rsid w:val="009516B2"/>
    <w:rsid w:val="00957A9A"/>
    <w:rsid w:val="00960475"/>
    <w:rsid w:val="00962029"/>
    <w:rsid w:val="00962AE2"/>
    <w:rsid w:val="0096382A"/>
    <w:rsid w:val="009743A3"/>
    <w:rsid w:val="00975AAC"/>
    <w:rsid w:val="00981F0B"/>
    <w:rsid w:val="00987B7D"/>
    <w:rsid w:val="00992666"/>
    <w:rsid w:val="009A316C"/>
    <w:rsid w:val="009A5756"/>
    <w:rsid w:val="009A62E4"/>
    <w:rsid w:val="009A6545"/>
    <w:rsid w:val="009B5E0B"/>
    <w:rsid w:val="009C0B80"/>
    <w:rsid w:val="009C34B5"/>
    <w:rsid w:val="009C4E4C"/>
    <w:rsid w:val="009C530C"/>
    <w:rsid w:val="009C7EAE"/>
    <w:rsid w:val="009E102A"/>
    <w:rsid w:val="009F18A1"/>
    <w:rsid w:val="009F5950"/>
    <w:rsid w:val="00A02760"/>
    <w:rsid w:val="00A057B2"/>
    <w:rsid w:val="00A142A1"/>
    <w:rsid w:val="00A21D62"/>
    <w:rsid w:val="00A2294B"/>
    <w:rsid w:val="00A30C2E"/>
    <w:rsid w:val="00A319F9"/>
    <w:rsid w:val="00A4013D"/>
    <w:rsid w:val="00A44B45"/>
    <w:rsid w:val="00A503F5"/>
    <w:rsid w:val="00A611AD"/>
    <w:rsid w:val="00A618CF"/>
    <w:rsid w:val="00A63014"/>
    <w:rsid w:val="00A67EFF"/>
    <w:rsid w:val="00A70225"/>
    <w:rsid w:val="00A70A54"/>
    <w:rsid w:val="00A71B59"/>
    <w:rsid w:val="00A755B0"/>
    <w:rsid w:val="00A758C0"/>
    <w:rsid w:val="00A7631B"/>
    <w:rsid w:val="00A76522"/>
    <w:rsid w:val="00A76557"/>
    <w:rsid w:val="00A76A49"/>
    <w:rsid w:val="00A76D7A"/>
    <w:rsid w:val="00A8314C"/>
    <w:rsid w:val="00A85D1E"/>
    <w:rsid w:val="00AA08F0"/>
    <w:rsid w:val="00AA5553"/>
    <w:rsid w:val="00AB7AF5"/>
    <w:rsid w:val="00AD2491"/>
    <w:rsid w:val="00AD486C"/>
    <w:rsid w:val="00AE6934"/>
    <w:rsid w:val="00AE768B"/>
    <w:rsid w:val="00AF04FC"/>
    <w:rsid w:val="00B03D02"/>
    <w:rsid w:val="00B03F71"/>
    <w:rsid w:val="00B07361"/>
    <w:rsid w:val="00B17D37"/>
    <w:rsid w:val="00B206CF"/>
    <w:rsid w:val="00B20EE3"/>
    <w:rsid w:val="00B2161F"/>
    <w:rsid w:val="00B23671"/>
    <w:rsid w:val="00B31DAF"/>
    <w:rsid w:val="00B31DDC"/>
    <w:rsid w:val="00B32CA7"/>
    <w:rsid w:val="00B335ED"/>
    <w:rsid w:val="00B33A5A"/>
    <w:rsid w:val="00B33BD3"/>
    <w:rsid w:val="00B41C3A"/>
    <w:rsid w:val="00B420AC"/>
    <w:rsid w:val="00B46DBC"/>
    <w:rsid w:val="00B6552A"/>
    <w:rsid w:val="00B72581"/>
    <w:rsid w:val="00B74915"/>
    <w:rsid w:val="00B76812"/>
    <w:rsid w:val="00B76AC1"/>
    <w:rsid w:val="00B81D3C"/>
    <w:rsid w:val="00B84A03"/>
    <w:rsid w:val="00B8667D"/>
    <w:rsid w:val="00B911D6"/>
    <w:rsid w:val="00B913C8"/>
    <w:rsid w:val="00BA4D4F"/>
    <w:rsid w:val="00BB0E33"/>
    <w:rsid w:val="00BB412D"/>
    <w:rsid w:val="00BC064B"/>
    <w:rsid w:val="00BD5811"/>
    <w:rsid w:val="00BD5C1A"/>
    <w:rsid w:val="00BD6324"/>
    <w:rsid w:val="00BD754A"/>
    <w:rsid w:val="00BE2171"/>
    <w:rsid w:val="00BF3F89"/>
    <w:rsid w:val="00BF4726"/>
    <w:rsid w:val="00BF4C4E"/>
    <w:rsid w:val="00C10454"/>
    <w:rsid w:val="00C10C37"/>
    <w:rsid w:val="00C20C34"/>
    <w:rsid w:val="00C22EF4"/>
    <w:rsid w:val="00C23C19"/>
    <w:rsid w:val="00C25AC8"/>
    <w:rsid w:val="00C25E54"/>
    <w:rsid w:val="00C37D35"/>
    <w:rsid w:val="00C450DB"/>
    <w:rsid w:val="00C46281"/>
    <w:rsid w:val="00C46773"/>
    <w:rsid w:val="00C5066E"/>
    <w:rsid w:val="00C54F41"/>
    <w:rsid w:val="00C570B1"/>
    <w:rsid w:val="00C5773A"/>
    <w:rsid w:val="00C57A99"/>
    <w:rsid w:val="00C67EAA"/>
    <w:rsid w:val="00C714C9"/>
    <w:rsid w:val="00C80C80"/>
    <w:rsid w:val="00C819BE"/>
    <w:rsid w:val="00C825B9"/>
    <w:rsid w:val="00C83621"/>
    <w:rsid w:val="00C8506A"/>
    <w:rsid w:val="00C93009"/>
    <w:rsid w:val="00C947EA"/>
    <w:rsid w:val="00C96F78"/>
    <w:rsid w:val="00CA1D72"/>
    <w:rsid w:val="00CA3701"/>
    <w:rsid w:val="00CA7F69"/>
    <w:rsid w:val="00CB117D"/>
    <w:rsid w:val="00CB7882"/>
    <w:rsid w:val="00CC11AD"/>
    <w:rsid w:val="00CC4CD1"/>
    <w:rsid w:val="00CD7B21"/>
    <w:rsid w:val="00CE21CA"/>
    <w:rsid w:val="00CE3DEB"/>
    <w:rsid w:val="00CE4EB7"/>
    <w:rsid w:val="00CF2B80"/>
    <w:rsid w:val="00CF6DF3"/>
    <w:rsid w:val="00CF78BE"/>
    <w:rsid w:val="00D0397D"/>
    <w:rsid w:val="00D04C61"/>
    <w:rsid w:val="00D0639F"/>
    <w:rsid w:val="00D0789C"/>
    <w:rsid w:val="00D14D91"/>
    <w:rsid w:val="00D21F03"/>
    <w:rsid w:val="00D30DBA"/>
    <w:rsid w:val="00D33A23"/>
    <w:rsid w:val="00D35E4C"/>
    <w:rsid w:val="00D47E1C"/>
    <w:rsid w:val="00D547BB"/>
    <w:rsid w:val="00D55B23"/>
    <w:rsid w:val="00D55DE1"/>
    <w:rsid w:val="00D5755C"/>
    <w:rsid w:val="00D602CA"/>
    <w:rsid w:val="00D65F59"/>
    <w:rsid w:val="00D72311"/>
    <w:rsid w:val="00D85527"/>
    <w:rsid w:val="00D8675F"/>
    <w:rsid w:val="00D91B2B"/>
    <w:rsid w:val="00D936EE"/>
    <w:rsid w:val="00D9497A"/>
    <w:rsid w:val="00D95580"/>
    <w:rsid w:val="00D95983"/>
    <w:rsid w:val="00DA07A9"/>
    <w:rsid w:val="00DB20AD"/>
    <w:rsid w:val="00DB324C"/>
    <w:rsid w:val="00DB5DBA"/>
    <w:rsid w:val="00DB5EC2"/>
    <w:rsid w:val="00DB76F9"/>
    <w:rsid w:val="00DC1D36"/>
    <w:rsid w:val="00DC2DD0"/>
    <w:rsid w:val="00DC49BD"/>
    <w:rsid w:val="00DD620E"/>
    <w:rsid w:val="00DE54E5"/>
    <w:rsid w:val="00DE6542"/>
    <w:rsid w:val="00DF04F3"/>
    <w:rsid w:val="00DF267D"/>
    <w:rsid w:val="00DF34D7"/>
    <w:rsid w:val="00E00D34"/>
    <w:rsid w:val="00E0499B"/>
    <w:rsid w:val="00E10E3F"/>
    <w:rsid w:val="00E125F6"/>
    <w:rsid w:val="00E134C0"/>
    <w:rsid w:val="00E15AC7"/>
    <w:rsid w:val="00E3136E"/>
    <w:rsid w:val="00E3307A"/>
    <w:rsid w:val="00E35E81"/>
    <w:rsid w:val="00E46D8C"/>
    <w:rsid w:val="00E50449"/>
    <w:rsid w:val="00E50F54"/>
    <w:rsid w:val="00E915B4"/>
    <w:rsid w:val="00E93CE4"/>
    <w:rsid w:val="00E96337"/>
    <w:rsid w:val="00EA1825"/>
    <w:rsid w:val="00EA622B"/>
    <w:rsid w:val="00EC71FB"/>
    <w:rsid w:val="00EE0563"/>
    <w:rsid w:val="00EE0567"/>
    <w:rsid w:val="00EE3CDE"/>
    <w:rsid w:val="00EE4907"/>
    <w:rsid w:val="00EF10C8"/>
    <w:rsid w:val="00EF7400"/>
    <w:rsid w:val="00F026AB"/>
    <w:rsid w:val="00F03D8D"/>
    <w:rsid w:val="00F045C0"/>
    <w:rsid w:val="00F04DCA"/>
    <w:rsid w:val="00F04FCF"/>
    <w:rsid w:val="00F143E8"/>
    <w:rsid w:val="00F16167"/>
    <w:rsid w:val="00F1706D"/>
    <w:rsid w:val="00F2294B"/>
    <w:rsid w:val="00F24AC6"/>
    <w:rsid w:val="00F25243"/>
    <w:rsid w:val="00F31B0E"/>
    <w:rsid w:val="00F31D5B"/>
    <w:rsid w:val="00F32C29"/>
    <w:rsid w:val="00F37E21"/>
    <w:rsid w:val="00F40B21"/>
    <w:rsid w:val="00F57B44"/>
    <w:rsid w:val="00F57CD4"/>
    <w:rsid w:val="00F66E68"/>
    <w:rsid w:val="00F72B79"/>
    <w:rsid w:val="00F72CD9"/>
    <w:rsid w:val="00F75C7D"/>
    <w:rsid w:val="00F77E36"/>
    <w:rsid w:val="00F8090C"/>
    <w:rsid w:val="00F829D7"/>
    <w:rsid w:val="00F905E4"/>
    <w:rsid w:val="00F928E7"/>
    <w:rsid w:val="00F955D2"/>
    <w:rsid w:val="00FA4D9E"/>
    <w:rsid w:val="00FB0506"/>
    <w:rsid w:val="00FB1104"/>
    <w:rsid w:val="00FB5BD8"/>
    <w:rsid w:val="00FC72AB"/>
    <w:rsid w:val="00FD07EA"/>
    <w:rsid w:val="00FD6C56"/>
    <w:rsid w:val="00FD7719"/>
    <w:rsid w:val="00FF5067"/>
    <w:rsid w:val="01C60961"/>
    <w:rsid w:val="03975913"/>
    <w:rsid w:val="0C2529F3"/>
    <w:rsid w:val="0C6A1913"/>
    <w:rsid w:val="176841E2"/>
    <w:rsid w:val="17FC30B3"/>
    <w:rsid w:val="1ADD2CDD"/>
    <w:rsid w:val="1E393D36"/>
    <w:rsid w:val="1FF123A2"/>
    <w:rsid w:val="228069E2"/>
    <w:rsid w:val="26063E0E"/>
    <w:rsid w:val="268D5D84"/>
    <w:rsid w:val="27A973B0"/>
    <w:rsid w:val="28296BBF"/>
    <w:rsid w:val="3A774D59"/>
    <w:rsid w:val="40E5528D"/>
    <w:rsid w:val="4456222B"/>
    <w:rsid w:val="48B758AA"/>
    <w:rsid w:val="4EBD0F22"/>
    <w:rsid w:val="557B0928"/>
    <w:rsid w:val="596101A5"/>
    <w:rsid w:val="5AF15CC1"/>
    <w:rsid w:val="5C64203E"/>
    <w:rsid w:val="5E877420"/>
    <w:rsid w:val="5EFA555A"/>
    <w:rsid w:val="677F81EB"/>
    <w:rsid w:val="6E67554C"/>
    <w:rsid w:val="6FFA23F3"/>
    <w:rsid w:val="70467B76"/>
    <w:rsid w:val="7E121B82"/>
    <w:rsid w:val="7EA4037C"/>
    <w:rsid w:val="DE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0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 w:cs="Times New Roman"/>
      <w:b/>
      <w:sz w:val="32"/>
      <w:szCs w:val="20"/>
      <w:lang w:eastAsia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7"/>
    <w:semiHidden/>
    <w:unhideWhenUsed/>
    <w:qFormat/>
    <w:uiPriority w:val="99"/>
  </w:style>
  <w:style w:type="paragraph" w:styleId="6">
    <w:name w:val="Body Text"/>
    <w:basedOn w:val="1"/>
    <w:qFormat/>
    <w:uiPriority w:val="1"/>
    <w:pPr>
      <w:spacing w:before="27"/>
      <w:ind w:left="212"/>
    </w:pPr>
    <w:rPr>
      <w:rFonts w:ascii="宋体" w:hAnsi="宋体" w:eastAsia="宋体"/>
      <w:sz w:val="21"/>
      <w:szCs w:val="21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14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FollowedHyperlink"/>
    <w:basedOn w:val="17"/>
    <w:qFormat/>
    <w:uiPriority w:val="0"/>
    <w:rPr>
      <w:color w:val="800080"/>
      <w:u w:val="single"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table" w:customStyle="1" w:styleId="2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</w:style>
  <w:style w:type="paragraph" w:customStyle="1" w:styleId="23">
    <w:name w:val="Table Paragraph"/>
    <w:basedOn w:val="1"/>
    <w:qFormat/>
    <w:uiPriority w:val="1"/>
  </w:style>
  <w:style w:type="character" w:customStyle="1" w:styleId="24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26">
    <w:name w:val="批注框文本 字符"/>
    <w:basedOn w:val="17"/>
    <w:link w:val="8"/>
    <w:semiHidden/>
    <w:qFormat/>
    <w:uiPriority w:val="99"/>
    <w:rPr>
      <w:sz w:val="18"/>
      <w:szCs w:val="18"/>
    </w:rPr>
  </w:style>
  <w:style w:type="character" w:customStyle="1" w:styleId="27">
    <w:name w:val="批注文字 字符"/>
    <w:basedOn w:val="17"/>
    <w:link w:val="5"/>
    <w:semiHidden/>
    <w:qFormat/>
    <w:uiPriority w:val="99"/>
  </w:style>
  <w:style w:type="character" w:customStyle="1" w:styleId="28">
    <w:name w:val="批注主题 字符"/>
    <w:basedOn w:val="27"/>
    <w:link w:val="14"/>
    <w:semiHidden/>
    <w:qFormat/>
    <w:uiPriority w:val="99"/>
    <w:rPr>
      <w:b/>
      <w:bCs/>
    </w:rPr>
  </w:style>
  <w:style w:type="character" w:styleId="29">
    <w:name w:val="Placeholder Text"/>
    <w:basedOn w:val="17"/>
    <w:semiHidden/>
    <w:qFormat/>
    <w:uiPriority w:val="99"/>
    <w:rPr>
      <w:color w:val="808080"/>
    </w:rPr>
  </w:style>
  <w:style w:type="character" w:customStyle="1" w:styleId="30">
    <w:name w:val="标题 3 字符"/>
    <w:basedOn w:val="17"/>
    <w:link w:val="3"/>
    <w:qFormat/>
    <w:uiPriority w:val="0"/>
    <w:rPr>
      <w:rFonts w:ascii="Times New Roman" w:hAnsi="Times New Roman" w:eastAsia="宋体" w:cs="Times New Roman"/>
      <w:b/>
      <w:sz w:val="32"/>
      <w:szCs w:val="20"/>
      <w:lang w:eastAsia="zh-CN"/>
    </w:rPr>
  </w:style>
  <w:style w:type="paragraph" w:customStyle="1" w:styleId="31">
    <w:name w:val="列出段落1"/>
    <w:basedOn w:val="1"/>
    <w:qFormat/>
    <w:uiPriority w:val="0"/>
    <w:pPr>
      <w:widowControl/>
      <w:ind w:left="72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2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  <w:lang w:eastAsia="zh-CN"/>
    </w:rPr>
  </w:style>
  <w:style w:type="character" w:customStyle="1" w:styleId="34">
    <w:name w:val="文档结构图 字符"/>
    <w:basedOn w:val="17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35">
    <w:name w:val="列表段落1"/>
    <w:basedOn w:val="1"/>
    <w:qFormat/>
    <w:uiPriority w:val="0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character" w:customStyle="1" w:styleId="36">
    <w:name w:val="正文文本 （2） + 粗体"/>
    <w:basedOn w:val="17"/>
    <w:qFormat/>
    <w:uiPriority w:val="0"/>
    <w:rPr>
      <w:rFonts w:hint="eastAsia" w:ascii="宋体" w:hAnsi="宋体" w:eastAsia="宋体" w:cs="宋体"/>
      <w:b/>
      <w:spacing w:val="20"/>
    </w:rPr>
  </w:style>
  <w:style w:type="paragraph" w:customStyle="1" w:styleId="37">
    <w:name w:val="List Paragraph1"/>
    <w:basedOn w:val="1"/>
    <w:qFormat/>
    <w:uiPriority w:val="0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1205</Words>
  <Characters>1390</Characters>
  <Lines>10</Lines>
  <Paragraphs>2</Paragraphs>
  <TotalTime>7</TotalTime>
  <ScaleCrop>false</ScaleCrop>
  <LinksUpToDate>false</LinksUpToDate>
  <CharactersWithSpaces>1408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2017-02-10T01:38:00Z</dcterms:created>
  <dc:creator>雷帆</dc:creator>
  <cp:lastModifiedBy>uos</cp:lastModifiedBy>
  <cp:lastPrinted>2023-05-06T03:36:00Z</cp:lastPrinted>
  <dcterms:modified xsi:type="dcterms:W3CDTF">2023-07-26T11:04:42Z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2015-10-27T00:00:00Z</vt:filetime>
  </property>
  <property fmtid="{D5CDD505-2E9C-101B-9397-08002B2CF9AE}" pid="4" name="KSOProductBuildVer">
    <vt:lpwstr>2052-11.8.2.10125</vt:lpwstr>
  </property>
  <property fmtid="{D5CDD505-2E9C-101B-9397-08002B2CF9AE}" pid="5" name="ICV">
    <vt:lpwstr>C8EFC01757524F33AC4AAE4633231CE2_13</vt:lpwstr>
  </property>
</Properties>
</file>