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 xml:space="preserve">                                                                              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 w:bidi="ar"/>
        </w:rPr>
        <w:t>琼ZP202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 w:bidi="ar"/>
        </w:rPr>
        <w:t>3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 w:bidi="ar"/>
        </w:rPr>
        <w:t>--00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 w:bidi="ar"/>
        </w:rPr>
        <w:t>4</w:t>
      </w: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ascii="Times New Roman" w:hAnsi="宋体" w:eastAsia="宋体" w:cs="Times New Roman"/>
          <w:b/>
          <w:kern w:val="2"/>
          <w:sz w:val="36"/>
          <w:szCs w:val="36"/>
          <w:lang w:eastAsia="zh-CN"/>
        </w:rPr>
      </w:pPr>
      <w:r>
        <w:rPr>
          <w:rFonts w:hint="eastAsia" w:ascii="Times New Roman" w:hAnsi="宋体" w:eastAsia="宋体" w:cs="Times New Roman"/>
          <w:b/>
          <w:kern w:val="2"/>
          <w:sz w:val="36"/>
          <w:szCs w:val="36"/>
          <w:lang w:eastAsia="zh-CN"/>
        </w:rPr>
        <w:t>桑黄粉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Sang huang fen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【来源】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本品为多孔菌科真菌忍冬木层孔菌</w:t>
      </w:r>
      <w:r>
        <w:rPr>
          <w:rFonts w:ascii="Times New Roman" w:hAnsi="Times New Roman" w:eastAsia="宋体" w:cs="Times New Roman"/>
          <w:bCs/>
          <w:i/>
          <w:iCs/>
          <w:kern w:val="2"/>
          <w:sz w:val="24"/>
          <w:szCs w:val="24"/>
          <w:lang w:eastAsia="zh-CN"/>
        </w:rPr>
        <w:t>phellinus</w:t>
      </w:r>
      <w:r>
        <w:rPr>
          <w:rFonts w:hint="eastAsia" w:ascii="Times New Roman" w:hAnsi="Times New Roman" w:cs="Times New Roman"/>
          <w:bCs/>
          <w:i/>
          <w:iCs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 w:cs="Times New Roman"/>
          <w:bCs/>
          <w:i/>
          <w:iCs/>
          <w:kern w:val="2"/>
          <w:sz w:val="24"/>
          <w:szCs w:val="24"/>
          <w:lang w:eastAsia="zh-CN"/>
        </w:rPr>
        <w:t>lonicerinus</w:t>
      </w:r>
      <w:r>
        <w:rPr>
          <w:rFonts w:ascii="Times New Roman" w:hAnsi="Times New Roman" w:eastAsia="宋体" w:cs="Times New Roman"/>
          <w:bCs/>
          <w:kern w:val="2"/>
          <w:sz w:val="24"/>
          <w:szCs w:val="24"/>
          <w:lang w:eastAsia="zh-CN"/>
        </w:rPr>
        <w:t>(Bond.）Bond</w:t>
      </w:r>
      <w:r>
        <w:rPr>
          <w:rFonts w:hint="eastAsia" w:ascii="Times New Roman" w:hAnsi="Times New Roman" w:cs="Times New Roman"/>
          <w:bCs/>
          <w:kern w:val="2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bCs/>
          <w:kern w:val="2"/>
          <w:sz w:val="24"/>
          <w:szCs w:val="24"/>
          <w:lang w:eastAsia="zh-CN"/>
        </w:rPr>
        <w:t>et Sing</w:t>
      </w:r>
      <w:r>
        <w:rPr>
          <w:rFonts w:hint="eastAsia" w:ascii="Times New Roman" w:hAnsi="Times New Roman" w:cs="Times New Roman"/>
          <w:bCs/>
          <w:kern w:val="2"/>
          <w:sz w:val="24"/>
          <w:szCs w:val="24"/>
          <w:lang w:eastAsia="zh-CN"/>
        </w:rPr>
        <w:t>.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干燥子实体的炮制加工品。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【炮制】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取桑黄原药材，除去杂质和树皮，切块</w:t>
      </w:r>
      <w:r>
        <w:rPr>
          <w:rFonts w:hint="eastAsia" w:cs="Times New Roman"/>
          <w:bCs/>
          <w:kern w:val="2"/>
          <w:sz w:val="24"/>
          <w:szCs w:val="24"/>
          <w:lang w:eastAsia="zh-CN"/>
        </w:rPr>
        <w:t>或砸成小块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， 粉碎成细粉。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【性状】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本品为棕黄色至咖啡色的粉末。气微，味</w:t>
      </w:r>
      <w:r>
        <w:rPr>
          <w:rFonts w:hint="eastAsia" w:cs="Times New Roman"/>
          <w:kern w:val="2"/>
          <w:sz w:val="24"/>
          <w:szCs w:val="24"/>
          <w:lang w:eastAsia="zh-CN"/>
        </w:rPr>
        <w:t>微苦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。</w:t>
      </w:r>
      <w:bookmarkStart w:id="23" w:name="_GoBack"/>
      <w:bookmarkEnd w:id="23"/>
    </w:p>
    <w:p>
      <w:pPr>
        <w:spacing w:line="360" w:lineRule="auto"/>
        <w:ind w:firstLine="481" w:firstLineChars="200"/>
        <w:jc w:val="both"/>
        <w:outlineLvl w:val="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【鉴别】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本品粉末棕黄色至咖啡色。 生殖菌丝占多数，黄色至褐色，少有分枝，通常简单分隔，直径2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5μm，壁薄，不透明。骨架菌丝占少数，金黄色，壁厚，不分隔且不分枝，直径为3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6μm。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取本品粉末1g，加乙醇10ml，超声处理30分钟，滤过，滤液浓缩至1ml，作为供试品溶液。另取桑黄对照药材1g，同法处理，作为对照药材溶液。</w:t>
      </w:r>
      <w:r>
        <w:rPr>
          <w:rFonts w:hint="eastAsia" w:cs="Times New Roman"/>
          <w:kern w:val="2"/>
          <w:sz w:val="24"/>
          <w:szCs w:val="24"/>
          <w:lang w:eastAsia="zh-CN"/>
        </w:rPr>
        <w:t>照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薄层色谱法（《中国药典》2015年版通则0502）试验，分别吸取上述两种溶液各5μl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宋体" w:hAnsi="宋体" w:cs="Times New Roman"/>
          <w:kern w:val="2"/>
          <w:sz w:val="24"/>
          <w:szCs w:val="24"/>
          <w:lang w:eastAsia="zh-CN"/>
        </w:rPr>
        <w:t>10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μl，分别点于同一硅胶G薄层板上，以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丙酮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-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石油醚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（60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90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℃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）（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1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: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3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）为展开剂，展开，取出，晾干，喷以5%的磷钼酸乙醇溶液，加热至斑点显色清晰。供试品色谱中，在与对照药材色谱相应的位置，显相同颜色的斑点。</w:t>
      </w:r>
    </w:p>
    <w:p>
      <w:pPr>
        <w:spacing w:line="360" w:lineRule="auto"/>
        <w:ind w:firstLine="481" w:firstLineChars="200"/>
        <w:jc w:val="both"/>
        <w:outlineLvl w:val="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【检查】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水分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   不得过13.0%（《中国药典》2015年版四部通则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0832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第二法）。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总灰分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   不得过3.0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%</w:t>
      </w:r>
      <w:bookmarkStart w:id="0" w:name="OLE_LINK1"/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2302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）。</w:t>
      </w:r>
      <w:bookmarkEnd w:id="0"/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酸不溶性灰分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   不得过</w:t>
      </w:r>
      <w:r>
        <w:rPr>
          <w:rFonts w:hint="eastAsia" w:cs="Times New Roman"/>
          <w:kern w:val="2"/>
          <w:sz w:val="24"/>
          <w:szCs w:val="24"/>
          <w:lang w:eastAsia="zh-CN"/>
        </w:rPr>
        <w:t>0.5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%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2302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）。</w:t>
      </w:r>
    </w:p>
    <w:p>
      <w:pPr>
        <w:pStyle w:val="37"/>
        <w:snapToGrid w:val="0"/>
        <w:spacing w:line="360" w:lineRule="auto"/>
        <w:ind w:firstLine="482"/>
        <w:jc w:val="left"/>
        <w:rPr>
          <w:rStyle w:val="38"/>
          <w:rFonts w:hint="default" w:ascii="Times New Roman" w:hAnsi="Times New Roman" w:cs="Times New Roman"/>
          <w:spacing w:val="0"/>
          <w:sz w:val="24"/>
          <w:szCs w:val="24"/>
          <w:lang w:eastAsia="zh-CN"/>
        </w:rPr>
      </w:pPr>
      <w:r>
        <w:rPr>
          <w:rFonts w:ascii="Calibri" w:hAnsi="Calibri" w:cs="Times New Roman"/>
          <w:b/>
          <w:bCs/>
          <w:kern w:val="2"/>
          <w:sz w:val="24"/>
          <w:szCs w:val="24"/>
          <w:lang w:eastAsia="zh-CN"/>
        </w:rPr>
        <w:t xml:space="preserve">浸出物 </w:t>
      </w:r>
      <w:r>
        <w:rPr>
          <w:rFonts w:ascii="Calibri" w:hAnsi="Calibri" w:cs="Times New Roman"/>
          <w:kern w:val="2"/>
          <w:sz w:val="24"/>
          <w:szCs w:val="24"/>
          <w:lang w:eastAsia="zh-CN"/>
        </w:rPr>
        <w:t xml:space="preserve"> 按</w:t>
      </w:r>
      <w:r>
        <w:rPr>
          <w:rStyle w:val="38"/>
          <w:rFonts w:ascii="Times New Roman" w:hAnsi="Times New Roman" w:cs="Times New Roman"/>
          <w:b w:val="0"/>
          <w:spacing w:val="0"/>
          <w:sz w:val="24"/>
          <w:szCs w:val="24"/>
          <w:lang w:eastAsia="zh-TW"/>
        </w:rPr>
        <w:t>水溶性浸出物测定法</w:t>
      </w:r>
      <w:r>
        <w:rPr>
          <w:rStyle w:val="38"/>
          <w:rFonts w:ascii="Times New Roman" w:hAnsi="Times New Roman" w:cs="Times New Roman"/>
          <w:b w:val="0"/>
          <w:spacing w:val="0"/>
          <w:sz w:val="24"/>
          <w:szCs w:val="24"/>
          <w:lang w:eastAsia="zh-CN"/>
        </w:rPr>
        <w:t>（通则2201）中的热浸法测定，不得少于3.0%。</w:t>
      </w:r>
    </w:p>
    <w:p>
      <w:pPr>
        <w:widowControl/>
        <w:snapToGrid w:val="0"/>
        <w:spacing w:line="500" w:lineRule="atLeast"/>
        <w:ind w:firstLine="432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eastAsia="zh-CN"/>
        </w:rPr>
        <w:t>微生物限度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应符合</w:t>
      </w:r>
      <w:r>
        <w:rPr>
          <w:rFonts w:hint="eastAsia" w:cs="Times New Roman"/>
          <w:kern w:val="2"/>
          <w:sz w:val="24"/>
          <w:szCs w:val="24"/>
          <w:lang w:eastAsia="zh-CN"/>
        </w:rPr>
        <w:t>中药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饮片的微生物限度标准（《中国药典》2015年版通则1107）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Style w:val="38"/>
          <w:rFonts w:hint="default" w:ascii="Times New Roman" w:hAnsi="Times New Roman" w:cs="Times New Roman"/>
          <w:spacing w:val="0"/>
          <w:sz w:val="24"/>
          <w:szCs w:val="24"/>
          <w:lang w:eastAsia="zh-CN"/>
        </w:rPr>
        <w:t xml:space="preserve">【含量测定】  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三萜及甾醇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对照品溶液的制备 取齐墩果酸对照品适量，精密称定，加甲醇制成每1ml含0.2mg的溶液，即得。</w:t>
      </w:r>
    </w:p>
    <w:p>
      <w:pPr>
        <w:widowControl/>
        <w:snapToGrid w:val="0"/>
        <w:spacing w:line="480" w:lineRule="exact"/>
        <w:ind w:firstLine="432"/>
        <w:jc w:val="both"/>
        <w:rPr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精密量取对照品溶液0.1、0.2、0.3、0.4、0.5ml，分别置15ml具塞试管中，挥干，放冷，精密加入新配制的香草醛冰醋酸溶液（精密称取香草醛0.5g，加冰醋酸使溶解成10ml，即得）0.2ml，高氯酸0.8ml，摇匀，在70℃水浴中加热15分钟，立即置冰浴中冷却5分钟，取出，精密加入乙酸乙酯4ml，摇匀，以相应试剂为空白，照紫外-可见分光光度法（通则0401），在546nm波长处测定吸光度，以吸光度为纵坐标、浓度为横坐标绘制标准曲线。</w:t>
      </w:r>
    </w:p>
    <w:p>
      <w:pPr>
        <w:widowControl/>
        <w:snapToGrid w:val="0"/>
        <w:spacing w:line="480" w:lineRule="exact"/>
        <w:ind w:firstLine="432"/>
        <w:jc w:val="both"/>
        <w:rPr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供试品溶液的制备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取本品粉末约2g，精密称定，置具塞锥形瓶中，加乙醇50ml，称定重量，超声处理（功率140W，频率42kHz）45分钟，</w:t>
      </w:r>
      <w:r>
        <w:rPr>
          <w:rFonts w:hint="eastAsia" w:ascii="宋体" w:hAnsi="宋体" w:cs="宋体"/>
          <w:sz w:val="24"/>
          <w:szCs w:val="24"/>
          <w:lang w:eastAsia="zh-CN"/>
        </w:rPr>
        <w:t>放冷，再称定重量，用乙醇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补足</w:t>
      </w:r>
      <w:r>
        <w:rPr>
          <w:rFonts w:hint="eastAsia" w:ascii="宋体" w:hAnsi="宋体" w:cs="宋体"/>
          <w:sz w:val="24"/>
          <w:szCs w:val="24"/>
          <w:lang w:eastAsia="zh-CN"/>
        </w:rPr>
        <w:t>减失的重量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，摇匀，滤过，取续滤液作为供试品溶液，即得。</w:t>
      </w:r>
    </w:p>
    <w:p>
      <w:pPr>
        <w:widowControl/>
        <w:snapToGrid w:val="0"/>
        <w:spacing w:line="480" w:lineRule="exact"/>
        <w:ind w:firstLine="432"/>
        <w:jc w:val="both"/>
        <w:rPr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 xml:space="preserve">测定法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精密量取供试品溶液0.2ml，置15ml具塞试管中，照标准曲线制备项下的方法，自“挥干”起，同法操作，测定吸光度，从标准曲线上读出供试品溶液中齐墩果酸的含量，计算，即得。</w:t>
      </w:r>
    </w:p>
    <w:p>
      <w:pPr>
        <w:widowControl/>
        <w:snapToGrid w:val="0"/>
        <w:spacing w:line="480" w:lineRule="exact"/>
        <w:ind w:firstLine="432"/>
        <w:jc w:val="both"/>
        <w:rPr>
          <w:rFonts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本品按干燥品计算，含三萜及甾醇以齐墩果酸（C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48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O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）计，不得少于0.25%。</w:t>
      </w:r>
    </w:p>
    <w:p>
      <w:pPr>
        <w:spacing w:line="480" w:lineRule="exact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【性味与归经】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微苦，寒</w:t>
      </w:r>
      <w:r>
        <w:rPr>
          <w:rFonts w:hint="eastAsia" w:cs="Times New Roman"/>
          <w:bCs/>
          <w:kern w:val="2"/>
          <w:sz w:val="24"/>
          <w:szCs w:val="24"/>
          <w:lang w:eastAsia="zh-CN"/>
        </w:rPr>
        <w:t>。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归肝、胃、大肠经</w:t>
      </w:r>
      <w:r>
        <w:rPr>
          <w:rFonts w:hint="eastAsia" w:cs="Times New Roman"/>
          <w:bCs/>
          <w:kern w:val="2"/>
          <w:sz w:val="24"/>
          <w:szCs w:val="24"/>
          <w:lang w:eastAsia="zh-CN"/>
        </w:rPr>
        <w:t>。</w:t>
      </w:r>
    </w:p>
    <w:p>
      <w:pPr>
        <w:spacing w:line="480" w:lineRule="exact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【功能与主治】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软坚散结，活血止血，和胃止泻。用于癥瘕积聚，瘰疬，痰核，外伤出血，崩漏带下，</w:t>
      </w:r>
      <w:r>
        <w:rPr>
          <w:rFonts w:hint="eastAsia" w:cs="Times New Roman"/>
          <w:bCs/>
          <w:kern w:val="2"/>
          <w:sz w:val="24"/>
          <w:szCs w:val="24"/>
          <w:lang w:eastAsia="zh-CN"/>
        </w:rPr>
        <w:t>胃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热呕吐，湿热泄痢。</w:t>
      </w:r>
    </w:p>
    <w:p>
      <w:pPr>
        <w:spacing w:line="480" w:lineRule="exact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【用法与用量】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吞服，每次2-3g，或遵医嘱。</w:t>
      </w:r>
    </w:p>
    <w:p>
      <w:pPr>
        <w:pStyle w:val="23"/>
        <w:spacing w:line="480" w:lineRule="exact"/>
        <w:ind w:firstLine="481" w:firstLineChars="200"/>
        <w:jc w:val="both"/>
        <w:outlineLvl w:val="0"/>
        <w:rPr>
          <w:rFonts w:ascii="Calibri" w:hAnsi="Calibri" w:eastAsia="宋体" w:cs="Times New Roman"/>
          <w:b/>
          <w:bCs/>
          <w:kern w:val="2"/>
          <w:sz w:val="44"/>
          <w:szCs w:val="4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【贮藏】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置通风干燥处，防蛀</w:t>
      </w:r>
      <w:r>
        <w:rPr>
          <w:rFonts w:hint="eastAsia" w:cs="Times New Roman"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宋体" w:hAnsi="宋体" w:cs="Arial"/>
          <w:sz w:val="32"/>
          <w:szCs w:val="32"/>
          <w:lang w:eastAsia="zh-CN"/>
        </w:rPr>
      </w:pPr>
      <w:r>
        <w:rPr>
          <w:rFonts w:hint="eastAsia" w:ascii="宋体" w:hAnsi="宋体" w:cs="Arial"/>
          <w:sz w:val="32"/>
          <w:szCs w:val="32"/>
          <w:lang w:eastAsia="zh-CN"/>
        </w:rPr>
        <w:t xml:space="preserve">       </w:t>
      </w:r>
    </w:p>
    <w:p>
      <w:pPr>
        <w:spacing w:line="360" w:lineRule="auto"/>
        <w:rPr>
          <w:rFonts w:ascii="宋体" w:hAnsi="宋体" w:cs="Arial"/>
          <w:sz w:val="32"/>
          <w:szCs w:val="32"/>
          <w:lang w:eastAsia="zh-CN"/>
        </w:rPr>
      </w:pPr>
    </w:p>
    <w:p>
      <w:pPr>
        <w:pStyle w:val="14"/>
        <w:spacing w:beforeAutospacing="0" w:afterAutospacing="0" w:line="520" w:lineRule="exact"/>
        <w:ind w:firstLine="562" w:firstLineChars="200"/>
        <w:rPr>
          <w:rFonts w:cs="Times New Roman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炮制规范起草单位：海南康农堂中药有限公司                          </w:t>
      </w:r>
    </w:p>
    <w:p>
      <w:pPr>
        <w:pStyle w:val="14"/>
        <w:spacing w:beforeAutospacing="0" w:afterAutospacing="0" w:line="52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标准复核单位：海南省药品检验所</w:t>
      </w:r>
    </w:p>
    <w:p>
      <w:pPr>
        <w:rPr>
          <w:rFonts w:ascii="宋体" w:hAnsi="宋体"/>
          <w:sz w:val="32"/>
          <w:szCs w:val="32"/>
          <w:lang w:eastAsia="zh-CN"/>
        </w:rPr>
      </w:pPr>
    </w:p>
    <w:p>
      <w:pPr>
        <w:rPr>
          <w:rFonts w:ascii="宋体" w:hAnsi="宋体"/>
          <w:sz w:val="32"/>
          <w:szCs w:val="32"/>
          <w:lang w:eastAsia="zh-CN"/>
        </w:rPr>
      </w:pPr>
    </w:p>
    <w:p>
      <w:pPr>
        <w:jc w:val="center"/>
        <w:rPr>
          <w:rFonts w:ascii="宋体" w:hAnsi="宋体"/>
          <w:b/>
          <w:bCs/>
          <w:sz w:val="32"/>
          <w:szCs w:val="32"/>
          <w:lang w:eastAsia="zh-CN"/>
        </w:rPr>
      </w:pPr>
    </w:p>
    <w:p>
      <w:pPr>
        <w:spacing w:line="360" w:lineRule="auto"/>
        <w:ind w:firstLine="803" w:firstLineChars="250"/>
        <w:jc w:val="center"/>
        <w:rPr>
          <w:b/>
          <w:sz w:val="32"/>
          <w:szCs w:val="32"/>
          <w:lang w:eastAsia="zh-CN"/>
        </w:rPr>
      </w:pPr>
    </w:p>
    <w:p>
      <w:pPr>
        <w:spacing w:line="360" w:lineRule="auto"/>
        <w:ind w:firstLine="803" w:firstLineChars="250"/>
        <w:jc w:val="center"/>
        <w:rPr>
          <w:b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中药饮片桑黄粉炮制规范起草说明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【处方用名】</w:t>
      </w:r>
    </w:p>
    <w:p>
      <w:pPr>
        <w:spacing w:line="360" w:lineRule="auto"/>
        <w:ind w:firstLine="480" w:firstLineChars="200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处方用名：桑黄。来源于《太平圣惠方》、《药性论》等古今经典验方 。如“治久血痢不止，腹痛心烦，桑黄散方。桑黄（一两微炒）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地榆（三分锉） 黄连（三分去须微炒） 当归（一两锉微炒） 黄芩（半两） 甘草（半两炙微赤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，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锉）上件药。捣筛为散。每服三钱。以水一中盏。煎至六分。去滓。不计时候温服。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”（《太平圣惠方》）；“桑黄9克，栀子3克，龙胆草15克。水煎服。治黄疸型肝炎“（《</w:t>
      </w:r>
      <w:r>
        <w:rPr>
          <w:rFonts w:hint="eastAsia" w:ascii="Times New Roman" w:hAnsi="Times New Roman" w:cs="Times New Roman"/>
          <w:bCs/>
          <w:color w:val="FF0000"/>
          <w:sz w:val="24"/>
          <w:szCs w:val="24"/>
          <w:lang w:eastAsia="zh-CN"/>
        </w:rPr>
        <w:t>蕈菌医方集成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》）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vertAlign w:val="superscript"/>
          <w:lang w:eastAsia="zh-CN"/>
        </w:rPr>
        <w:t>[1]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【药材来源】</w:t>
      </w:r>
    </w:p>
    <w:p>
      <w:pPr>
        <w:spacing w:line="360" w:lineRule="auto"/>
        <w:ind w:firstLine="480" w:firstLineChars="200"/>
        <w:jc w:val="both"/>
        <w:rPr>
          <w:bCs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本品为多孔菌科真菌忍冬木层孔菌phellinus.lonicerinus(Bond.）Bondet Sing干燥子实体，全年均可采收，干燥。 始载于</w:t>
      </w:r>
      <w:r>
        <w:rPr>
          <w:rFonts w:hint="eastAsia"/>
          <w:bCs/>
          <w:sz w:val="24"/>
          <w:szCs w:val="24"/>
          <w:lang w:eastAsia="zh-CN"/>
        </w:rPr>
        <w:t>《药性论》，《中国药用真菌》、《本草纲目》、《神农本草经》、《中华本草》、《中药大辞典》、《肿瘤治疗的革命》等历代本草和现代医学著作中均有记载。主要用于血淋、崩漏带下、脾虚泄泻等疾病以及各类肿瘤的的辅助治疗。</w:t>
      </w:r>
    </w:p>
    <w:p>
      <w:pPr>
        <w:spacing w:line="360" w:lineRule="auto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【原植物】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原植物主要为杨、柳、白桦、栎树、榉树、杜鹃及四照花等阔叶树。桑黄生于其活立木干部，子实体多年生，多集中于树干的中下部，引起心材海绵状白色腐朽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[2]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。见图1。</w:t>
      </w: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drawing>
          <wp:inline distT="0" distB="0" distL="114300" distR="114300">
            <wp:extent cx="3334385" cy="2381885"/>
            <wp:effectExtent l="0" t="0" r="18415" b="18415"/>
            <wp:docPr id="13" name="图片 13" descr="桑黄原植物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桑黄原植物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图1：桑黄原植物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【产地】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主产于东北、云南、西藏、湖北。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【采收与加工】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药用其子实体。全年均可采收，为硬木质，与树干着生紧密，采收时需用刀切。除去杂质和附着的朽木， 晒干。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【炮制方法】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1.炮制方法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取原药材，除去树皮和杂质，切块，粉碎成细粉。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2.参考依据</w:t>
      </w:r>
    </w:p>
    <w:p>
      <w:pPr>
        <w:widowControl/>
        <w:snapToGrid w:val="0"/>
        <w:spacing w:line="500" w:lineRule="atLeast"/>
        <w:ind w:firstLine="432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参考《湖北省中药材标准》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[</w:t>
      </w:r>
      <w:r>
        <w:rPr>
          <w:rFonts w:hint="eastAsia"/>
          <w:bCs/>
          <w:sz w:val="24"/>
          <w:szCs w:val="24"/>
          <w:vertAlign w:val="superscript"/>
          <w:lang w:val="en-US" w:eastAsia="zh-CN"/>
        </w:rPr>
        <w:t>3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桑黄的炮制“除去树皮及杂质，研碎”，以及《中国药典》“三七”炮制“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洗净，干燥，碾成细粉”，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将桑黄粉的炮制定为“取原药材，除去树皮和杂质，切块，粉碎成细粉”。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【成分】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子实体含落叶松蕈酸（Agaricic acid）约4%（菌丝体不含落叶松蕈酸）。另含麦角甾醇、Metahemipinic acid、三萜酸、芳香酸、脂肪酸和多种酶类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[4]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【性状】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bookmarkStart w:id="1" w:name="_Toc472587955"/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根据12批样品的观察结果，将桑黄粉的性状制定为：本品为棕黄色至咖啡色的粉末，气微，味淡。（图2，表1）。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表1：12批桑黄粉性状检验结果</w:t>
      </w:r>
    </w:p>
    <w:tbl>
      <w:tblPr>
        <w:tblStyle w:val="17"/>
        <w:tblW w:w="93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81"/>
        <w:gridCol w:w="1406"/>
        <w:gridCol w:w="1406"/>
        <w:gridCol w:w="1405"/>
        <w:gridCol w:w="1406"/>
        <w:gridCol w:w="14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棕黄色至咖啡色的粉末，气微，味淡</w:t>
            </w:r>
          </w:p>
        </w:tc>
      </w:tr>
    </w:tbl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b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drawing>
          <wp:inline distT="0" distB="0" distL="114300" distR="114300">
            <wp:extent cx="1228090" cy="2183130"/>
            <wp:effectExtent l="0" t="0" r="10160" b="7620"/>
            <wp:docPr id="15" name="图片 15" descr="桑黄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桑黄粉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901315" cy="2177415"/>
            <wp:effectExtent l="0" t="0" r="13335" b="13335"/>
            <wp:docPr id="27" name="图片 27" descr="桑黄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桑黄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920" w:firstLineChars="800"/>
        <w:jc w:val="both"/>
        <w:rPr>
          <w:rFonts w:asciiTheme="minorEastAsia" w:hAnsi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①                           ②</w:t>
      </w:r>
    </w:p>
    <w:p>
      <w:pPr>
        <w:spacing w:line="360" w:lineRule="auto"/>
        <w:jc w:val="center"/>
        <w:rPr>
          <w:rFonts w:asciiTheme="minorEastAsia" w:hAnsi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图2桑黄和桑黄粉饮片</w:t>
      </w:r>
    </w:p>
    <w:p>
      <w:pPr>
        <w:spacing w:line="360" w:lineRule="auto"/>
        <w:jc w:val="center"/>
        <w:rPr>
          <w:rFonts w:asciiTheme="minorEastAsia" w:hAnsi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（①桑黄粉，②桑黄）</w:t>
      </w:r>
    </w:p>
    <w:p>
      <w:pPr>
        <w:spacing w:line="360" w:lineRule="auto"/>
        <w:jc w:val="center"/>
        <w:rPr>
          <w:rFonts w:asciiTheme="minorEastAsia" w:hAnsiTheme="minorEastAsia" w:cstheme="minorEastAsia"/>
          <w:bCs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【鉴别】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1.粉末显微鉴别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  参考</w:t>
      </w:r>
      <w:bookmarkStart w:id="2" w:name="_Hlk141275901"/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《湖北省中药材标准》</w:t>
      </w:r>
      <w:bookmarkEnd w:id="2"/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桑黄项下，结合桑黄粉12批样品的检验结果，将骨架菌丝和生殖菌丝进行描述， 制定为：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本品粉末棕黄色至咖啡色。 生殖菌丝占多数，黄色至褐色，少有分枝，通常简单分隔，直径2~5μm，壁薄，不透明。骨架菌丝占少数，金黄色，壁厚，不分隔且不分枝，直径为3~6μm。（见图3~图4，表2）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表2：12批桑黄粉显微鉴别结果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棕黄色至咖啡色的粉末。生殖菌丝占多数，黄色至褐色，少有分枝，通常简单分隔，直径3.09μm，壁薄，不透明。骨架菌丝占少数，金黄色，壁厚，不分隔且不分枝，直径为4.00μm。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棕黄色至咖啡色的粉末。生殖菌丝占多数，黄色至褐色，少有分枝，通常简单分隔，直径3.15μm，壁薄，不透明。骨架菌丝占少数，金黄色，壁厚，不分隔且不分枝，直径为4.09μm。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棕黄色至咖啡色的粉末。生殖菌丝占多数，黄色至褐色，少有分枝，通常简单分隔，直径3.30μm，壁薄，不透明。骨架菌丝占少数，金黄色，壁厚，不分隔且不分枝，直径为4.08μm。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棕黄色至咖啡色的粉末。生殖菌丝占多数，黄色至褐色，少有分枝，通常简单分隔，直径2.96μm，壁薄，不透明。骨架菌丝占少数，金黄色，壁厚，不分隔且不分枝，直径为3.47μm。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棕黄色至咖啡色的粉末。生殖菌丝占多数，黄色至褐色，少有分枝，通常简单分隔，直径3.08μm，壁薄，不透明。骨架菌丝占少数，金黄色，壁厚，不分隔且不分枝，直径为4.06μm。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棕黄色至咖啡色的粉末。生殖菌丝占多数，黄色至褐色，少有分枝，通常简单分隔，直径3.15μm，壁薄，不透明。骨架菌丝占少数，金黄色，壁厚，不分隔且不分枝，直径为4.63μm。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棕黄色至咖啡色的粉末。生殖菌丝占多数，黄色至褐色，少有分枝，通常简单分隔，直径3.09μm，壁薄，不透明。骨架菌丝占少数，金黄色，壁厚，不分隔且不分枝，直径为4.11μm。，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棕黄色至咖啡色的粉末。生殖菌丝占多数，黄色至褐色，少有分枝，通常简单分隔，直径4.05μm，壁薄，不透明。骨架菌丝占少数，金黄色，壁厚，不分隔且不分枝，直径为3.30μm。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棕黄色至咖啡色的粉末。生殖菌丝占多数，黄色至褐色，少有分枝，通常简单分隔，直径3.02μm，壁薄，不透明。骨架菌丝占少数，金黄色，壁厚，不分隔且不分枝，直径为4.00μm。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棕黄色至咖啡色的粉末。生殖菌丝占多数，黄色至褐色，少有分枝，通常简单分隔，直径4.31μm，壁薄，不透明。骨架菌丝占少数，金黄色，壁厚，不分隔且不分枝，直径为4.07μm。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棕黄色至咖啡色的粉末。生殖菌丝占多数，黄色至褐色，少有分枝，通常简单分隔，直径3.65μm，壁薄，不透明。骨架菌丝占少数，金黄色，壁厚，不分隔且不分枝，直径为4.07μm。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棕黄色至咖啡色的粉末。生殖菌丝占多数，黄色至褐色，少有分枝，通常简单分隔，直径3.72μm，壁薄，不透明。骨架菌丝占少数，金黄色，壁厚，不分隔且不分枝，直径为4.02μm。</w:t>
            </w:r>
          </w:p>
        </w:tc>
      </w:tr>
    </w:tbl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862455" cy="1397635"/>
            <wp:effectExtent l="0" t="0" r="4445" b="12065"/>
            <wp:docPr id="1" name="图片 1" descr="骨架菌丝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骨架菌丝1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863725" cy="1398270"/>
            <wp:effectExtent l="0" t="0" r="3175" b="11430"/>
            <wp:docPr id="3" name="图片 3" descr="骨架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骨架菌丝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spacing w:line="360" w:lineRule="auto"/>
        <w:jc w:val="center"/>
        <w:outlineLvl w:val="2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（图3：骨架菌丝）</w:t>
      </w: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767205" cy="1325880"/>
            <wp:effectExtent l="0" t="0" r="4445" b="7620"/>
            <wp:docPr id="2" name="图片 2" descr="生殖菌丝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生殖菌丝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776730" cy="1332865"/>
            <wp:effectExtent l="0" t="0" r="13970" b="635"/>
            <wp:docPr id="4" name="图片 4" descr="生殖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生殖菌丝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spacing w:line="360" w:lineRule="auto"/>
        <w:jc w:val="center"/>
        <w:outlineLvl w:val="2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（图4：生殖菌丝）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2.薄层鉴别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Calibri"/>
          <w:kern w:val="2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参考《湖北省中药材标准》桑黄，由于麦角甾烷-6，22-二烯-3,5,8-三醇对照品获取难度极大，采用对照药材进行试验。通过12批样品检验结果，将薄层鉴别定为：“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取本品粉末1g，加乙醇10ml，超声处理30分钟，滤过，滤液浓缩至1ml，作为供试品溶液。另取桑黄对照药材1g，同法处理，作为对照药材溶液。照薄层色谱法（《中国药典》</w:t>
      </w:r>
      <w:r>
        <w:rPr>
          <w:rFonts w:hint="eastAsia"/>
          <w:bCs/>
          <w:sz w:val="24"/>
          <w:szCs w:val="24"/>
          <w:vertAlign w:val="superscript"/>
          <w:lang w:eastAsia="zh-CN"/>
        </w:rPr>
        <w:t>[5]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2015年版通则0502）试验，分别吸取上述两种溶液各5μl，点于同一硅胶G薄层板上，以丙酮-石油醚（60~90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℃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 xml:space="preserve">）（1:3）为展开剂，展开，取出，晾干，喷以5%的磷钼酸乙醇溶液，加热至斑点显色清晰。供试品色谱中，在与对照药材色谱相应的位置，显相同颜色的斑点。”12批桑黄粉样品检验结果分别如下：（表3，图,5）  </w:t>
      </w:r>
    </w:p>
    <w:p>
      <w:pPr>
        <w:pStyle w:val="23"/>
        <w:spacing w:line="360" w:lineRule="auto"/>
        <w:ind w:firstLine="2640" w:firstLineChars="1100"/>
        <w:outlineLvl w:val="2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表3：12批桑黄粉薄层鉴别结果</w:t>
      </w:r>
    </w:p>
    <w:tbl>
      <w:tblPr>
        <w:tblStyle w:val="17"/>
        <w:tblW w:w="96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521"/>
        <w:gridCol w:w="1470"/>
        <w:gridCol w:w="1470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Calibri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>在与对照药材色谱相应的位置，显相同颜色的斑点</w:t>
            </w:r>
          </w:p>
        </w:tc>
      </w:tr>
    </w:tbl>
    <w:p>
      <w:pPr>
        <w:pStyle w:val="23"/>
        <w:spacing w:line="360" w:lineRule="auto"/>
        <w:jc w:val="both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296035" cy="1729740"/>
            <wp:effectExtent l="0" t="0" r="18415" b="3810"/>
            <wp:docPr id="22" name="图片 22" descr="桑黄粉20181115,20181116,201811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桑黄粉20181115,20181116,20181117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296670" cy="1729740"/>
            <wp:effectExtent l="0" t="0" r="17780" b="3810"/>
            <wp:docPr id="21" name="图片 21" descr="桑黄粉20181119,20181120,201811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桑黄粉20181119,20181120,20181121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298575" cy="1732280"/>
            <wp:effectExtent l="0" t="0" r="15875" b="1270"/>
            <wp:docPr id="20" name="图片 20" descr="桑黄粉20181122,20181123,201811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桑黄粉20181122,20181123,20181124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1290955" cy="1722120"/>
            <wp:effectExtent l="0" t="0" r="4445" b="11430"/>
            <wp:docPr id="19" name="图片 19" descr="桑黄粉验证181201、181202、18120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桑黄粉验证181201、181202、181203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spacing w:line="360" w:lineRule="auto"/>
        <w:ind w:firstLine="481" w:firstLineChars="200"/>
        <w:jc w:val="both"/>
        <w:outlineLvl w:val="2"/>
        <w:rPr>
          <w:b/>
          <w:sz w:val="21"/>
          <w:szCs w:val="21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1   2    3   4             1  5  6  7        1  8   9  10      </w:t>
      </w:r>
      <w:r>
        <w:rPr>
          <w:rFonts w:hint="eastAsia"/>
          <w:b/>
          <w:sz w:val="21"/>
          <w:szCs w:val="21"/>
          <w:lang w:eastAsia="zh-CN"/>
        </w:rPr>
        <w:t xml:space="preserve"> 1   11</w:t>
      </w:r>
      <w:r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1"/>
          <w:szCs w:val="21"/>
          <w:lang w:eastAsia="zh-CN"/>
        </w:rPr>
        <w:t xml:space="preserve"> 12 13</w:t>
      </w: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图6：桑黄粉薄层鉴别</w:t>
      </w:r>
    </w:p>
    <w:p>
      <w:pPr>
        <w:pStyle w:val="23"/>
        <w:spacing w:line="360" w:lineRule="auto"/>
        <w:outlineLvl w:val="2"/>
        <w:rPr>
          <w:rFonts w:asciiTheme="minorEastAsia" w:hAnsiTheme="minorEastAsia" w:cstheme="minorEastAsia"/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注：1.桑黄对照药材（批号HN180629）、2.20181115PZ，3.20181116PZ，4.20181117PZ，5.20181119PZ，6.20181120PZ，7.20181121PZ，8.20181122PZ，9.20181123PZ，10.20181124PZ,11.181201，12.181202，13.181203）</w:t>
      </w: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【检查】</w:t>
      </w:r>
    </w:p>
    <w:bookmarkEnd w:id="1"/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3" w:name="_Toc472587960"/>
      <w:r>
        <w:rPr>
          <w:rFonts w:hint="eastAsia"/>
          <w:b/>
          <w:sz w:val="24"/>
          <w:szCs w:val="24"/>
          <w:lang w:eastAsia="zh-CN"/>
        </w:rPr>
        <w:t>1.水分</w:t>
      </w:r>
      <w:bookmarkEnd w:id="3"/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（1）检验方法及样品检验结果</w:t>
      </w:r>
    </w:p>
    <w:p>
      <w:pPr>
        <w:pStyle w:val="23"/>
        <w:spacing w:line="360" w:lineRule="auto"/>
        <w:ind w:firstLine="480" w:firstLineChars="200"/>
        <w:outlineLvl w:val="2"/>
        <w:rPr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参考《中国药典》2015年版“灵芝”水分测定方法《中国药典》2</w:t>
      </w:r>
      <w:r>
        <w:rPr>
          <w:rFonts w:hint="eastAsia"/>
          <w:sz w:val="24"/>
          <w:szCs w:val="24"/>
          <w:lang w:eastAsia="zh-CN"/>
        </w:rPr>
        <w:t>015年版四部通则0832水分测定法）中的第二法烘干法，取本品粉末约2~4g，平铺于干燥至恒重的扁形称量瓶中，厚度不超过5mm，精密称定，开启瓶盖在105℃干燥5小时，将瓶盖盖好，移至干燥器中，放冷30分钟，精密称定，再在上述温度干燥1小时，放冷，称重，至连续两次称重的差异不超过5mg为止。根据减失的重量，计算供试品中含水量（%）。水分结果见表4。</w:t>
      </w:r>
    </w:p>
    <w:p>
      <w:pPr>
        <w:jc w:val="both"/>
        <w:rPr>
          <w:rFonts w:cs="Calibri"/>
          <w:lang w:eastAsia="zh-CN"/>
        </w:rPr>
      </w:pPr>
    </w:p>
    <w:p>
      <w:pPr>
        <w:ind w:firstLine="1540" w:firstLineChars="700"/>
        <w:jc w:val="both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表4 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12批桑黄粉水分测定结果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4075"/>
        <w:gridCol w:w="9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4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jc w:val="center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40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水分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>烘干法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44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40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12.1</w:t>
            </w:r>
          </w:p>
        </w:tc>
        <w:tc>
          <w:tcPr>
            <w:tcW w:w="99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10.1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12.2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12.4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9.7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11.6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12.4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10.8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10.6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8.4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4075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7.9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407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8.0</w:t>
            </w:r>
          </w:p>
        </w:tc>
        <w:tc>
          <w:tcPr>
            <w:tcW w:w="9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40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 xml:space="preserve">10.5 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1.7</w:t>
            </w:r>
          </w:p>
        </w:tc>
        <w:tc>
          <w:tcPr>
            <w:tcW w:w="9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</w:tbl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（2）水分测定结果分析及检验方法确认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上表数据</w:t>
      </w:r>
      <w:r>
        <w:rPr>
          <w:sz w:val="24"/>
          <w:szCs w:val="24"/>
          <w:lang w:eastAsia="zh-CN"/>
        </w:rPr>
        <w:t xml:space="preserve"> 可以看出，中药饮片</w:t>
      </w:r>
      <w:r>
        <w:rPr>
          <w:rFonts w:hint="eastAsia"/>
          <w:sz w:val="24"/>
          <w:szCs w:val="24"/>
          <w:lang w:eastAsia="zh-CN"/>
        </w:rPr>
        <w:t>桑黄粉</w:t>
      </w:r>
      <w:r>
        <w:rPr>
          <w:sz w:val="24"/>
          <w:szCs w:val="24"/>
          <w:lang w:eastAsia="zh-CN"/>
        </w:rPr>
        <w:t>水分幅度</w:t>
      </w:r>
      <w:r>
        <w:rPr>
          <w:rFonts w:hint="eastAsia"/>
          <w:sz w:val="24"/>
          <w:szCs w:val="24"/>
          <w:lang w:eastAsia="zh-CN"/>
        </w:rPr>
        <w:t>范围为7.9%~12.4%，平均值为10.5%；根据12批结果的平均值乘以120%，得出桑黄粉的水分限度标准为：12.6%。综合考虑方法和限度的结果，最终将桑黄粉的水分测定方法定和限度拟定为：照水分测定法《中国药典》（2015年版四部通则0832）中的第二法测定，含水分不得过13.0%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2.总灰分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（1）测定方法和结果</w:t>
      </w:r>
    </w:p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按照《中国药典》2015年版四部（通则2302 灰分测定法）中的总灰分测定法，取供试品粉末3-5g，置炽灼至恒重的坩埚中，称定重量 ，缓缓炽热，注意避免燃烧，至完全炭化时，逐渐升高温度至550℃，使完全灰化并至恒重。根据残渣重量，计算供试品中总灰分的含量（%）。</w:t>
      </w:r>
    </w:p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12批结果见表5。</w:t>
      </w:r>
    </w:p>
    <w:p>
      <w:pPr>
        <w:ind w:firstLine="440" w:firstLineChars="200"/>
        <w:jc w:val="center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表5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12批桑黄粉总灰分和酸不溶性灰分测定结果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jc w:val="center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灰分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酸不溶性灰分（%）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2.6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1.3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2.0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2.5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2.1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1.4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1.3</w:t>
            </w:r>
          </w:p>
        </w:tc>
        <w:tc>
          <w:tcPr>
            <w:tcW w:w="2841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1.3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1.8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0.6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0.4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0.3</w:t>
            </w:r>
          </w:p>
        </w:tc>
      </w:tr>
    </w:tbl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（2）结果分析及限度确认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表5的数据</w:t>
      </w:r>
      <w:r>
        <w:rPr>
          <w:sz w:val="24"/>
          <w:szCs w:val="24"/>
          <w:lang w:eastAsia="zh-CN"/>
        </w:rPr>
        <w:t xml:space="preserve"> 可以看出，</w:t>
      </w:r>
      <w:r>
        <w:rPr>
          <w:rFonts w:hint="eastAsia"/>
          <w:sz w:val="24"/>
          <w:szCs w:val="24"/>
          <w:lang w:eastAsia="zh-CN"/>
        </w:rPr>
        <w:t>12批</w:t>
      </w:r>
      <w:r>
        <w:rPr>
          <w:sz w:val="24"/>
          <w:szCs w:val="24"/>
          <w:lang w:eastAsia="zh-CN"/>
        </w:rPr>
        <w:t>中药饮片</w:t>
      </w:r>
      <w:r>
        <w:rPr>
          <w:rFonts w:hint="eastAsia"/>
          <w:sz w:val="24"/>
          <w:szCs w:val="24"/>
          <w:lang w:eastAsia="zh-CN"/>
        </w:rPr>
        <w:t>桑黄 桑黄粉的总灰分结果在1.2%~2.6%之间，平均值为1.8%。根据平均值乘以120%，得到饮片桑黄粉的灰分限度为2.16%。最终拟定 将桑黄的总灰分测定方法及限度定为：照《中国药典》2015年版四部（通则2302 灰分测定法）中的总灰分测定法，不得过3.0%。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4" w:name="_Toc472587962"/>
      <w:r>
        <w:rPr>
          <w:rFonts w:hint="eastAsia"/>
          <w:b/>
          <w:sz w:val="24"/>
          <w:szCs w:val="24"/>
          <w:lang w:eastAsia="zh-CN"/>
        </w:rPr>
        <w:t>3.酸不溶性灰分</w:t>
      </w:r>
      <w:bookmarkEnd w:id="4"/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（1）检验方法及结果</w:t>
      </w:r>
    </w:p>
    <w:p>
      <w:pPr>
        <w:pStyle w:val="23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照（《中国药典》2015年版四部通则2302 灰分测定法）中的酸不溶性灰分测定法，取总灰分检测所得的灰分，在坩埚中小心加入稀盐酸约10ml，用表面皿覆盖坩埚，置水浴上加热10分钟，表面皿用热水5ml冲洗，洗液并入坩埚中，用无灰滤纸滤过，坩埚内的残渣用水洗于滤纸上，并洗涤至洗液不显氯化物反应为止。滤渣连同滤纸移至同一坩埚中，干燥，炽灼至恒重。根据残渣重量，计算供试品中酸不溶性灰分的含量(%)。结果见表5。</w:t>
      </w: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（2）结果分析及限度确认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表5的数据</w:t>
      </w:r>
      <w:r>
        <w:rPr>
          <w:sz w:val="24"/>
          <w:szCs w:val="24"/>
          <w:lang w:eastAsia="zh-CN"/>
        </w:rPr>
        <w:t xml:space="preserve"> 可以看出，中药饮片</w:t>
      </w:r>
      <w:r>
        <w:rPr>
          <w:rFonts w:hint="eastAsia"/>
          <w:sz w:val="24"/>
          <w:szCs w:val="24"/>
          <w:lang w:eastAsia="zh-CN"/>
        </w:rPr>
        <w:t>桑黄粉酸不溶性灰分均 在0.1</w:t>
      </w:r>
      <w:r>
        <w:rPr>
          <w:sz w:val="24"/>
          <w:szCs w:val="24"/>
          <w:lang w:eastAsia="zh-CN"/>
        </w:rPr>
        <w:t>%-</w:t>
      </w:r>
      <w:r>
        <w:rPr>
          <w:rFonts w:hint="eastAsia"/>
          <w:sz w:val="24"/>
          <w:szCs w:val="24"/>
          <w:lang w:eastAsia="zh-CN"/>
        </w:rPr>
        <w:t>0.8</w:t>
      </w:r>
      <w:r>
        <w:rPr>
          <w:sz w:val="24"/>
          <w:szCs w:val="24"/>
          <w:lang w:eastAsia="zh-CN"/>
        </w:rPr>
        <w:t>%</w:t>
      </w:r>
      <w:r>
        <w:rPr>
          <w:rFonts w:hint="eastAsia"/>
          <w:sz w:val="24"/>
          <w:szCs w:val="24"/>
          <w:lang w:eastAsia="zh-CN"/>
        </w:rPr>
        <w:t>之间</w:t>
      </w:r>
      <w:r>
        <w:rPr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平均值为0.4%， 取平均值乘以120%，得到桑黄粉酸不溶性灰分限度分别为：0.48%，最终拟定， 桑黄的酸不溶性灰分测定方法及限度定为：照《中国药典》2015年版四部（通则2302 灰分测定法）中的酸不溶性灰分测定法，不得过1.0%。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5" w:name="_Toc472587963"/>
      <w:r>
        <w:rPr>
          <w:rFonts w:hint="eastAsia"/>
          <w:b/>
          <w:sz w:val="24"/>
          <w:szCs w:val="24"/>
          <w:lang w:eastAsia="zh-CN"/>
        </w:rPr>
        <w:t>4. 浸出物</w:t>
      </w:r>
      <w:bookmarkEnd w:id="5"/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（1）水溶性浸出物（热浸法）测定方法及结果</w:t>
      </w:r>
    </w:p>
    <w:p>
      <w:pPr>
        <w:pStyle w:val="23"/>
        <w:spacing w:line="360" w:lineRule="auto"/>
        <w:ind w:firstLine="481" w:firstLineChars="200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照《中国药典》2015年版四部通则2201 水溶性浸出物测定法）中的热浸法，取供试品约2-4g，精密称定，至250ml的锥形瓶中，精密加水100ml，密塞，称定重量，静置1小时后，连接回流冷凝管，加热至沸腾，并保持微沸1小时。放冷后，取下锥形瓶，密塞，再称定重量，用水补足减失的重量，摇匀，用干燥滤器滤过，精密量取滤液25ml，置已干燥至恒重的蒸发皿中，在水浴上蒸干后，于105℃干燥3小时，置干燥器中冷却30分钟，迅速精密称定重量。以干燥品计算供试品中水溶性浸出物的含量（%）。</w:t>
      </w:r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（2）水溶性浸出物冷浸法及其测试结果</w:t>
      </w:r>
    </w:p>
    <w:p>
      <w:pPr>
        <w:pStyle w:val="23"/>
        <w:spacing w:line="360" w:lineRule="auto"/>
        <w:ind w:firstLine="480" w:firstLineChars="200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取供试品约4g，精密称定，置250～300ml的锥形瓶中，精密加水100ml，密塞，冷浸，前6小时内时时振摇，再静置18小时，用干燥滤器迅速滤过，精密量取续滤液20ml，置已干燥至恒重的蒸发皿中，在水浴上蒸干后，于105℃干燥3小时，置干燥器中冷却30分钟，迅速精密称定重量。除另有规定外，以干燥品计算供试品中水溶性浸出物的含量（％）。浸出物结果见表6.</w:t>
      </w:r>
    </w:p>
    <w:p>
      <w:pPr>
        <w:ind w:firstLine="440" w:firstLineChars="200"/>
        <w:jc w:val="center"/>
        <w:rPr>
          <w:rFonts w:cs="Calibri"/>
        </w:rPr>
      </w:pPr>
      <w:r>
        <w:rPr>
          <w:rFonts w:hint="eastAsia" w:cs="Calibri"/>
        </w:rPr>
        <w:t>表</w:t>
      </w:r>
      <w:r>
        <w:rPr>
          <w:rFonts w:hint="eastAsia" w:cs="Calibri"/>
          <w:lang w:eastAsia="zh-CN"/>
        </w:rPr>
        <w:t xml:space="preserve">6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12批桑黄粉浸出物测定结果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浸出物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 xml:space="preserve"> 热浸法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浸出物（%）冷浸法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2.9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6.1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5.2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4.6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4.7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1.6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3.8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1.0</w:t>
            </w:r>
          </w:p>
        </w:tc>
      </w:tr>
    </w:tbl>
    <w:p>
      <w:pPr>
        <w:pStyle w:val="23"/>
        <w:spacing w:line="360" w:lineRule="auto"/>
        <w:ind w:firstLine="480" w:firstLineChars="200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（3）结果分析及方法限度确认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根据上表数据</w:t>
      </w:r>
      <w:r>
        <w:rPr>
          <w:sz w:val="24"/>
          <w:szCs w:val="24"/>
          <w:lang w:eastAsia="zh-CN"/>
        </w:rPr>
        <w:t>，中药饮片</w:t>
      </w:r>
      <w:r>
        <w:rPr>
          <w:rFonts w:hint="eastAsia"/>
          <w:sz w:val="24"/>
          <w:szCs w:val="24"/>
          <w:lang w:eastAsia="zh-CN"/>
        </w:rPr>
        <w:t>桑黄粉的水溶性浸出物 ,热浸法结果幅度范围为：2.9%~6.1%，平均值为4.7%； 冷浸法结果幅度范围为2.4~5.4%，平均值为3.8%。根据平均值乘以80%，得出热浸法浸出物限度结果为3.8%；冷浸法浸出物限度为3.0%。可以看出，热浸法检验结果高于冷浸法，综合考虑桑黄粉的结果， 拟将桑黄粉浸出物测定方法和限度定为 ：照《中国药典》（2015年版四部通则2201 浸出物测定法）中的水溶性浸出物热浸法，不少于3.0%。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5.微生物限度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（1）检验方法及限度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取供试品粉末10g，照微生物限度检查法《中国药典》2015年版通则1105、1106、1107检查，结果应不得检出沙门菌，耐胆盐革兰氏阴性菌应小于10</w:t>
      </w:r>
      <w:r>
        <w:rPr>
          <w:rFonts w:hint="eastAsia"/>
          <w:sz w:val="24"/>
          <w:szCs w:val="24"/>
          <w:vertAlign w:val="superscript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>cfu/g。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（2）三批验证批次产品检验结果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表7：3批桑黄粉（验证批次）微生物限度检验结果</w:t>
      </w:r>
    </w:p>
    <w:tbl>
      <w:tblPr>
        <w:tblStyle w:val="17"/>
        <w:tblW w:w="92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866"/>
        <w:gridCol w:w="2693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批号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181201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181202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结果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</w:tr>
    </w:tbl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bookmarkStart w:id="6" w:name="_Toc472587970"/>
      <w:r>
        <w:rPr>
          <w:rFonts w:hint="eastAsia"/>
          <w:b/>
          <w:sz w:val="24"/>
          <w:szCs w:val="24"/>
          <w:lang w:eastAsia="zh-CN"/>
        </w:rPr>
        <w:t>6.粒度</w:t>
      </w:r>
    </w:p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（1）检验方法及限度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照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粒度与粒度分布测定法《中国药典》2015年四部（通则0982）测定，应符合细粉的规定。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直接口服中药饮片的粒度作为炮制工艺指标，是产品的通用指标，故该指标在炮制项下规定，并在半成品及成品的内控质量标准中对该指标进行控制，不单独列出。</w:t>
      </w:r>
    </w:p>
    <w:p>
      <w:pPr>
        <w:pStyle w:val="23"/>
        <w:spacing w:line="360" w:lineRule="auto"/>
        <w:outlineLvl w:val="1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（2）检验结果（见表8）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表8：12批桑黄粉粒度检查结果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Calibri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181101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181102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</w:tr>
    </w:tbl>
    <w:p>
      <w:pPr>
        <w:pStyle w:val="23"/>
        <w:spacing w:line="360" w:lineRule="auto"/>
        <w:outlineLvl w:val="1"/>
        <w:rPr>
          <w:bCs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【含量测定】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三萜及甾醇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1.检测</w:t>
      </w:r>
      <w:r>
        <w:rPr>
          <w:b/>
          <w:sz w:val="24"/>
          <w:szCs w:val="24"/>
          <w:lang w:eastAsia="zh-CN"/>
        </w:rPr>
        <w:t>方法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桑黄主要成分之一为麦角甾醇和三萜，故参考《中国药典》2015年版灵芝的含量测定项下“三萜及甾醇 ”检验方法制定如下检验：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对照品溶液的制备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取齐墩果酸对照品适量，精密称定，加甲醇制成每1ml含0.2mg的溶液，即得。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对照品溶液0.1、0.2、0.3、0.4、0.5ml，分别置15ml具塞试管中，挥干，放冷，精密加入新配制的香草醛冰醋酸溶液（精密称取香草醛0.5g，加冰醋酸使溶解成10ml，即得）0.2ml，高氯酸0.8ml，摇匀，在70℃水浴中加热15分钟，立即置冰浴中冷却5分钟，取出，精密加入乙酸乙酯4ml，摇匀，以相应试剂为空白，照紫外-可见分光光度法（通则0401），在546nm波长处测定吸光度，以吸光度为纵坐标、浓度为横坐标绘制标准曲线。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供试品溶液的制备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本品粉末约2g，精密称定，置具塞锥形瓶中，加乙醇30ml，超声处理（功率140W，频率42kHz）45分钟，滤过，滤液置50ml量瓶中，用适量乙醇，分次洗涤滤器和滤渣，洗液并入同一量瓶中，加乙醇至刻度，摇匀，即得。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测定法 精密量取供试品溶液0.2ml，置15ml具塞试管中，照标准曲线制备项下的方法，自“挥干”起，同法操作，测定吸光度，从标准曲线上读出供试品溶液中齐墩果酸的含量，计算，即得。</w:t>
      </w:r>
    </w:p>
    <w:p>
      <w:pPr>
        <w:pStyle w:val="23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2.计算公式：</w:t>
      </w:r>
    </w:p>
    <w:p>
      <w:pPr>
        <w:spacing w:line="350" w:lineRule="exact"/>
        <w:rPr>
          <w:lang w:eastAsia="zh-CN"/>
        </w:rPr>
      </w:pP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通过线性回归方程计算出样品浓度C，再通过下列公式计算：</w:t>
      </w:r>
    </w:p>
    <w:p>
      <w:pPr>
        <w:spacing w:line="350" w:lineRule="exact"/>
        <w:ind w:firstLine="3960" w:firstLineChars="1650"/>
        <w:rPr>
          <w:szCs w:val="21"/>
          <w:lang w:eastAsia="zh-CN"/>
        </w:rPr>
      </w:pPr>
      <w:r>
        <w:rPr>
          <w:rFonts w:hint="eastAsia"/>
          <w:sz w:val="24"/>
          <w:szCs w:val="24"/>
          <w:lang w:eastAsia="zh-CN"/>
        </w:rPr>
        <w:t>C</w:t>
      </w:r>
      <w:r>
        <w:rPr>
          <w:rFonts w:hint="eastAsia"/>
          <w:sz w:val="24"/>
          <w:szCs w:val="24"/>
          <w:vertAlign w:val="subscript"/>
          <w:lang w:eastAsia="zh-CN"/>
        </w:rPr>
        <w:t>样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×</w:t>
      </w:r>
      <w:r>
        <w:rPr>
          <w:szCs w:val="21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样品稀释倍数</w:t>
      </w:r>
      <w:r>
        <w:rPr>
          <w:szCs w:val="21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×10</w:t>
      </w:r>
      <w:r>
        <w:rPr>
          <w:rFonts w:hint="eastAsia"/>
          <w:szCs w:val="21"/>
          <w:vertAlign w:val="superscript"/>
          <w:lang w:eastAsia="zh-CN"/>
        </w:rPr>
        <w:t>-3</w:t>
      </w:r>
    </w:p>
    <w:p>
      <w:pPr>
        <w:spacing w:line="350" w:lineRule="exact"/>
        <w:ind w:firstLine="431" w:firstLineChars="196"/>
        <w:rPr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2188210</wp:posOffset>
                </wp:positionH>
                <wp:positionV relativeFrom="paragraph">
                  <wp:posOffset>122555</wp:posOffset>
                </wp:positionV>
                <wp:extent cx="2310765" cy="5715"/>
                <wp:effectExtent l="0" t="0" r="0" b="0"/>
                <wp:wrapNone/>
                <wp:docPr id="6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310765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flip:y;margin-left:172.3pt;margin-top:9.65pt;height:0.45pt;width:181.95pt;z-index:251659264;mso-width-relative:page;mso-height-relative:page;" filled="f" stroked="t" coordsize="21600,21600" o:gfxdata="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FnAITXAAAACQEAAA8A&#10;AAAAAAAAAQAgAAAAOAAAAGRycy9kb3ducmV2LnhtbFBLAQIUABQAAAAIAIdO4kCMu4CJyQEAAJ4D&#10;AAAOAAAAAAAAAAEAIAAAADw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Cs/>
          <w:sz w:val="24"/>
          <w:szCs w:val="24"/>
          <w:lang w:eastAsia="zh-CN" w:bidi="ar"/>
        </w:rPr>
        <w:t>三萜及甾醇</w:t>
      </w:r>
      <w:r>
        <w:rPr>
          <w:rFonts w:hint="eastAsia"/>
          <w:szCs w:val="21"/>
          <w:lang w:eastAsia="zh-CN"/>
        </w:rPr>
        <w:t>含量（</w:t>
      </w:r>
      <w:r>
        <w:rPr>
          <w:szCs w:val="21"/>
          <w:lang w:eastAsia="zh-CN"/>
        </w:rPr>
        <w:t>%</w:t>
      </w:r>
      <w:r>
        <w:rPr>
          <w:rFonts w:hint="eastAsia"/>
          <w:szCs w:val="21"/>
          <w:lang w:eastAsia="zh-CN"/>
        </w:rPr>
        <w:t>）</w:t>
      </w:r>
      <w:r>
        <w:rPr>
          <w:szCs w:val="21"/>
          <w:lang w:eastAsia="zh-CN"/>
        </w:rPr>
        <w:t xml:space="preserve"> =  </w:t>
      </w:r>
      <w:r>
        <w:rPr>
          <w:rFonts w:hint="eastAsia"/>
          <w:szCs w:val="21"/>
          <w:lang w:eastAsia="zh-CN"/>
        </w:rPr>
        <w:t xml:space="preserve"> </w:t>
      </w:r>
      <w:r>
        <w:rPr>
          <w:szCs w:val="21"/>
          <w:lang w:eastAsia="zh-CN"/>
        </w:rPr>
        <w:t xml:space="preserve">                                     </w:t>
      </w:r>
      <w:r>
        <w:rPr>
          <w:rFonts w:hint="eastAsia"/>
          <w:szCs w:val="21"/>
          <w:lang w:eastAsia="zh-CN"/>
        </w:rPr>
        <w:t xml:space="preserve">                                ×</w:t>
      </w:r>
      <w:r>
        <w:rPr>
          <w:szCs w:val="21"/>
          <w:lang w:eastAsia="zh-CN"/>
        </w:rPr>
        <w:t xml:space="preserve"> 100%</w:t>
      </w:r>
    </w:p>
    <w:p>
      <w:pPr>
        <w:spacing w:line="360" w:lineRule="atLeast"/>
        <w:ind w:firstLine="550" w:firstLineChars="250"/>
        <w:rPr>
          <w:szCs w:val="21"/>
          <w:lang w:eastAsia="zh-CN"/>
        </w:rPr>
      </w:pPr>
      <w:r>
        <w:rPr>
          <w:szCs w:val="21"/>
          <w:lang w:eastAsia="zh-CN"/>
        </w:rPr>
        <w:t xml:space="preserve">               </w:t>
      </w:r>
      <w:r>
        <w:rPr>
          <w:rFonts w:hint="eastAsia"/>
          <w:szCs w:val="21"/>
          <w:lang w:eastAsia="zh-CN"/>
        </w:rPr>
        <w:t xml:space="preserve">                   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 xml:space="preserve">                   </w:t>
      </w:r>
      <w:r>
        <w:rPr>
          <w:szCs w:val="21"/>
          <w:lang w:eastAsia="zh-CN"/>
        </w:rPr>
        <w:t xml:space="preserve">   W</w:t>
      </w:r>
      <w:r>
        <w:rPr>
          <w:rFonts w:hint="eastAsia"/>
          <w:szCs w:val="21"/>
          <w:vertAlign w:val="subscript"/>
          <w:lang w:eastAsia="zh-CN"/>
        </w:rPr>
        <w:t>样</w:t>
      </w:r>
      <w:r>
        <w:rPr>
          <w:rFonts w:hint="eastAsia"/>
          <w:szCs w:val="21"/>
          <w:lang w:eastAsia="zh-CN"/>
        </w:rPr>
        <w:t>×（</w:t>
      </w:r>
      <w:r>
        <w:rPr>
          <w:szCs w:val="21"/>
          <w:lang w:eastAsia="zh-CN"/>
        </w:rPr>
        <w:t>1-</w:t>
      </w:r>
      <w:r>
        <w:rPr>
          <w:rFonts w:hint="eastAsia"/>
          <w:szCs w:val="21"/>
          <w:lang w:eastAsia="zh-CN"/>
        </w:rPr>
        <w:t>水分</w:t>
      </w:r>
      <w:r>
        <w:rPr>
          <w:szCs w:val="21"/>
          <w:lang w:eastAsia="zh-CN"/>
        </w:rPr>
        <w:t>%</w:t>
      </w:r>
      <w:r>
        <w:rPr>
          <w:rFonts w:hint="eastAsia"/>
          <w:szCs w:val="21"/>
          <w:lang w:eastAsia="zh-CN"/>
        </w:rPr>
        <w:t xml:space="preserve">） </w:t>
      </w:r>
    </w:p>
    <w:p>
      <w:pPr>
        <w:pStyle w:val="23"/>
        <w:spacing w:line="360" w:lineRule="auto"/>
        <w:ind w:left="709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3.含量测定方法确认：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采用桑黄粉（181201批）对上述方法进行确认，确认项目包括：</w:t>
      </w:r>
    </w:p>
    <w:p>
      <w:pPr>
        <w:pStyle w:val="23"/>
        <w:numPr>
          <w:ilvl w:val="0"/>
          <w:numId w:val="2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系统适用性</w:t>
      </w:r>
    </w:p>
    <w:p>
      <w:pPr>
        <w:pStyle w:val="23"/>
        <w:numPr>
          <w:ilvl w:val="0"/>
          <w:numId w:val="2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准确度（加样回收率）</w:t>
      </w:r>
    </w:p>
    <w:p>
      <w:pPr>
        <w:pStyle w:val="23"/>
        <w:numPr>
          <w:ilvl w:val="0"/>
          <w:numId w:val="2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精密度-重复性</w:t>
      </w:r>
    </w:p>
    <w:p>
      <w:pPr>
        <w:pStyle w:val="23"/>
        <w:numPr>
          <w:ilvl w:val="0"/>
          <w:numId w:val="2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溶液稳定性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7" w:name="_Toc472587972"/>
      <w:r>
        <w:rPr>
          <w:rFonts w:hint="eastAsia"/>
          <w:b/>
          <w:sz w:val="24"/>
          <w:szCs w:val="24"/>
          <w:lang w:eastAsia="zh-CN"/>
        </w:rPr>
        <w:t>3.1系统适用性试验</w:t>
      </w:r>
      <w:bookmarkEnd w:id="7"/>
    </w:p>
    <w:p>
      <w:pPr>
        <w:pStyle w:val="23"/>
        <w:spacing w:line="360" w:lineRule="auto"/>
        <w:outlineLvl w:val="4"/>
        <w:rPr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     齐墩果酸对照品溶液制备</w:t>
      </w:r>
      <w:r>
        <w:rPr>
          <w:rFonts w:ascii="Arial" w:cs="Arial"/>
          <w:sz w:val="24"/>
          <w:szCs w:val="24"/>
          <w:lang w:eastAsia="zh-CN"/>
        </w:rPr>
        <w:t>精密称取</w:t>
      </w:r>
      <w:r>
        <w:rPr>
          <w:rFonts w:hint="eastAsia" w:ascii="Arial" w:cs="Arial"/>
          <w:sz w:val="24"/>
          <w:szCs w:val="24"/>
          <w:lang w:eastAsia="zh-CN"/>
        </w:rPr>
        <w:t>齐墩果酸</w:t>
      </w:r>
      <w:r>
        <w:rPr>
          <w:rFonts w:ascii="Arial" w:cs="Arial"/>
          <w:sz w:val="24"/>
          <w:szCs w:val="24"/>
          <w:lang w:eastAsia="zh-CN"/>
        </w:rPr>
        <w:t>对照品</w:t>
      </w:r>
      <w:r>
        <w:rPr>
          <w:rFonts w:hint="eastAsia" w:ascii="Arial" w:cs="Arial"/>
          <w:sz w:val="24"/>
          <w:szCs w:val="24"/>
          <w:lang w:eastAsia="zh-CN"/>
        </w:rPr>
        <w:t>10mg</w:t>
      </w:r>
      <w:r>
        <w:rPr>
          <w:rFonts w:ascii="Arial" w:cs="Arial"/>
          <w:sz w:val="24"/>
          <w:szCs w:val="24"/>
          <w:lang w:eastAsia="zh-CN"/>
        </w:rPr>
        <w:t>，置</w:t>
      </w:r>
      <w:r>
        <w:rPr>
          <w:rFonts w:hint="eastAsia" w:ascii="Arial" w:hAnsi="Arial" w:cs="Arial"/>
          <w:sz w:val="24"/>
          <w:szCs w:val="24"/>
          <w:lang w:eastAsia="zh-CN"/>
        </w:rPr>
        <w:t>50</w:t>
      </w:r>
      <w:r>
        <w:rPr>
          <w:rFonts w:ascii="Arial" w:hAnsi="Arial" w:cs="Arial"/>
          <w:sz w:val="24"/>
          <w:szCs w:val="24"/>
          <w:lang w:eastAsia="zh-CN"/>
        </w:rPr>
        <w:t>ml</w:t>
      </w:r>
      <w:r>
        <w:rPr>
          <w:rFonts w:ascii="Arial" w:cs="Arial"/>
          <w:sz w:val="24"/>
          <w:szCs w:val="24"/>
          <w:lang w:eastAsia="zh-CN"/>
        </w:rPr>
        <w:t>量瓶中，用</w:t>
      </w:r>
      <w:r>
        <w:rPr>
          <w:rFonts w:hint="eastAsia" w:ascii="Arial" w:cs="Arial"/>
          <w:sz w:val="24"/>
          <w:szCs w:val="24"/>
          <w:lang w:eastAsia="zh-CN"/>
        </w:rPr>
        <w:t>甲醇</w:t>
      </w:r>
      <w:r>
        <w:rPr>
          <w:rFonts w:ascii="Arial" w:cs="Arial"/>
          <w:sz w:val="24"/>
          <w:szCs w:val="24"/>
          <w:lang w:eastAsia="zh-CN"/>
        </w:rPr>
        <w:t>溶解并稀释至刻度，使成</w:t>
      </w:r>
      <w:r>
        <w:rPr>
          <w:rFonts w:hint="eastAsia" w:ascii="Arial" w:hAnsi="Arial" w:cs="Arial"/>
          <w:sz w:val="24"/>
          <w:szCs w:val="24"/>
          <w:lang w:eastAsia="zh-CN"/>
        </w:rPr>
        <w:t>0.2mg</w:t>
      </w:r>
      <w:r>
        <w:rPr>
          <w:rFonts w:ascii="Arial" w:hAnsi="Arial" w:cs="Arial"/>
          <w:sz w:val="24"/>
          <w:szCs w:val="24"/>
          <w:lang w:eastAsia="zh-CN"/>
        </w:rPr>
        <w:t>/ml</w:t>
      </w:r>
      <w:r>
        <w:rPr>
          <w:rFonts w:hint="eastAsia" w:ascii="Arial" w:cs="Arial"/>
          <w:sz w:val="24"/>
          <w:szCs w:val="24"/>
          <w:lang w:eastAsia="zh-CN"/>
        </w:rPr>
        <w:t xml:space="preserve"> </w:t>
      </w:r>
      <w:r>
        <w:rPr>
          <w:rFonts w:ascii="Arial" w:cs="Arial"/>
          <w:sz w:val="24"/>
          <w:szCs w:val="24"/>
          <w:lang w:eastAsia="zh-CN"/>
        </w:rPr>
        <w:t>作为储备液</w:t>
      </w:r>
      <w:r>
        <w:rPr>
          <w:bCs/>
          <w:sz w:val="24"/>
          <w:szCs w:val="24"/>
          <w:lang w:eastAsia="zh-CN"/>
        </w:rPr>
        <w:t>。</w:t>
      </w:r>
    </w:p>
    <w:p>
      <w:pPr>
        <w:spacing w:line="360" w:lineRule="auto"/>
        <w:ind w:firstLine="481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对照品溶液0.1、0.2、0.3、0.4、0.5ml，分别置15ml具塞试管中，挥干，放冷，精密加入新配制的香草醛冰醋酸溶液（精密称取香草醛0.5g，加冰醋酸使溶解成10ml，即得）0.2ml，高氯酸0.8ml，摇匀，在70℃水浴中加热15分钟，立即置冰浴中冷却5分钟，取出，精密加入乙酸乙酯4ml，摇匀， 作为标准曲线溶液。分别为标准溶液1、为标准溶液2、为标准溶液3、为标准溶液4、为标准溶液5.</w:t>
      </w:r>
    </w:p>
    <w:p>
      <w:pPr>
        <w:spacing w:line="360" w:lineRule="auto"/>
        <w:ind w:firstLine="481" w:firstLineChars="200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 xml:space="preserve">空白溶液的制备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精密量取新配制的香草醛冰醋酸溶液（精密称取香草醛0.5g，加冰醋酸使溶解成10ml，即得）0.2ml置15ml的具塞试管中，加入高氯酸0.8ml，摇匀，在70℃水浴中加热15分钟，立即置冰浴中冷却5分钟，取出，精密加入乙酸乙酯4ml，作为空白溶液</w:t>
      </w:r>
    </w:p>
    <w:p>
      <w:pPr>
        <w:pStyle w:val="23"/>
        <w:spacing w:line="360" w:lineRule="auto"/>
        <w:ind w:firstLine="481" w:firstLineChars="200"/>
        <w:outlineLvl w:val="4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测定方法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bCs/>
          <w:sz w:val="24"/>
          <w:lang w:eastAsia="zh-CN"/>
        </w:rPr>
        <w:t>以空气为空白，以空白溶液为作为样品，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照紫外-可见分光光度法（通则0401），在546nm波长处测定吸光度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bCs/>
          <w:sz w:val="24"/>
          <w:lang w:eastAsia="zh-CN"/>
        </w:rPr>
        <w:t>以空白溶液为空白，以标准溶液1为样品，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在546nm波长处测定吸光度，连续测试6次，计算6次吸光度的RSD。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  <w:r>
        <w:rPr>
          <w:rFonts w:hint="eastAsia"/>
          <w:bCs/>
          <w:sz w:val="24"/>
          <w:lang w:eastAsia="zh-CN"/>
        </w:rPr>
        <w:t>以空白溶液为空白，以标准溶液1~5为样品，在546nm波长处测定吸光度，以样品浓度为横坐标（X），吸光度为纵坐标 (Y），绘制标准曲线。</w:t>
      </w:r>
    </w:p>
    <w:p>
      <w:pPr>
        <w:pStyle w:val="23"/>
        <w:spacing w:line="360" w:lineRule="auto"/>
        <w:ind w:firstLine="481" w:firstLineChars="200"/>
        <w:outlineLvl w:val="4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可接受标准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eastAsia="zh-CN"/>
        </w:rPr>
        <w:t>空白溶液的吸光度应不得过0.01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eastAsia="zh-CN"/>
        </w:rPr>
        <w:t>标准溶液1吸光度的RSD不得过2.0%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eastAsia="zh-CN"/>
        </w:rPr>
        <w:t>线性回归系数R不得低于0.99</w:t>
      </w:r>
    </w:p>
    <w:p>
      <w:pPr>
        <w:spacing w:line="360" w:lineRule="auto"/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</w:pPr>
    </w:p>
    <w:p>
      <w:pPr>
        <w:pStyle w:val="23"/>
        <w:spacing w:line="360" w:lineRule="auto"/>
        <w:ind w:firstLine="481" w:firstLineChars="200"/>
        <w:outlineLvl w:val="4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测试结果和结论</w:t>
      </w:r>
    </w:p>
    <w:tbl>
      <w:tblPr>
        <w:tblStyle w:val="16"/>
        <w:tblW w:w="86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9"/>
        <w:gridCol w:w="2605"/>
        <w:gridCol w:w="777"/>
        <w:gridCol w:w="1623"/>
        <w:gridCol w:w="2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空白溶液吸光度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0.004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683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保留时间RSD（%）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0.178 </w:t>
            </w:r>
          </w:p>
        </w:tc>
        <w:tc>
          <w:tcPr>
            <w:tcW w:w="4418" w:type="dxa"/>
            <w:gridSpan w:val="3"/>
            <w:vMerge w:val="restart"/>
            <w:vAlign w:val="center"/>
          </w:tcPr>
          <w:p>
            <w:pPr>
              <w:ind w:left="142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0.6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0.177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567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0.177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426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0.177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0.179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0.179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83" w:type="dxa"/>
            <w:gridSpan w:val="6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标准曲线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浓度(C）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ind w:left="851" w:firstLine="632" w:firstLineChars="300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标准溶液1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0.173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标准溶液2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0.355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标准溶液3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0.526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标准溶液4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0.704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标准溶液5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0.874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线性回归方程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Y=1.7526x+0.0005</w:t>
            </w:r>
          </w:p>
        </w:tc>
        <w:tc>
          <w:tcPr>
            <w:tcW w:w="16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回归系数R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>
            <w:pPr>
              <w:ind w:firstLine="632" w:firstLineChars="300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0.9999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可接收标准</w:t>
            </w:r>
          </w:p>
        </w:tc>
        <w:tc>
          <w:tcPr>
            <w:tcW w:w="70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空白溶液的吸光度应不得过0.01，标准溶液1吸光度的RSD不得过2.0%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回归系数R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≧</w:t>
            </w:r>
            <w:r>
              <w:rPr>
                <w:rFonts w:hint="eastAsia" w:eastAsia="宋体" w:cstheme="minorHAnsi"/>
                <w:bCs/>
                <w:sz w:val="21"/>
                <w:szCs w:val="21"/>
                <w:lang w:eastAsia="zh-CN"/>
              </w:rPr>
              <w:t>0.99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结论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■符合可接受标准       □不符合可接受标准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8" w:name="_Toc472587975"/>
      <w:bookmarkStart w:id="9" w:name="_Toc452543428"/>
    </w:p>
    <w:p>
      <w:pPr>
        <w:pStyle w:val="23"/>
        <w:spacing w:line="360" w:lineRule="auto"/>
        <w:ind w:firstLine="481" w:firstLineChars="200"/>
        <w:outlineLvl w:val="2"/>
        <w:rPr>
          <w:bCs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3.2</w:t>
      </w:r>
      <w:r>
        <w:rPr>
          <w:b/>
          <w:sz w:val="24"/>
          <w:szCs w:val="24"/>
          <w:lang w:eastAsia="zh-CN"/>
        </w:rPr>
        <w:t>准确度（</w:t>
      </w:r>
      <w:r>
        <w:rPr>
          <w:rFonts w:hint="eastAsia"/>
          <w:b/>
          <w:sz w:val="24"/>
          <w:szCs w:val="24"/>
          <w:lang w:eastAsia="zh-CN"/>
        </w:rPr>
        <w:t>加样</w:t>
      </w:r>
      <w:r>
        <w:rPr>
          <w:b/>
          <w:sz w:val="24"/>
          <w:szCs w:val="24"/>
          <w:lang w:eastAsia="zh-CN"/>
        </w:rPr>
        <w:t>回收率）</w:t>
      </w:r>
      <w:bookmarkEnd w:id="8"/>
      <w:bookmarkEnd w:id="9"/>
    </w:p>
    <w:p>
      <w:pPr>
        <w:widowControl/>
        <w:snapToGrid w:val="0"/>
        <w:spacing w:line="500" w:lineRule="atLeast"/>
        <w:ind w:firstLine="432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供试品溶液的制备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取混合均匀的本品粉末约2.0g，一共准备10份 精密称定，按下表加入对照品储备溶液的量，置具塞锥形瓶中，加乙醇50ml，超声处理（功率140W，频率42kHz）45分钟，滤过，滤液置100ml量瓶中，用适量乙醇，分次洗涤滤器和滤渣，洗液并入同一量瓶中，加乙醇至刻度，摇匀。 精密量取 0.2ml，置15ml具塞试管中，照标准曲线制备项下的方法，自“挥干”起，同法操作，测定吸光度，从标准曲线上读出供试品溶液中齐墩果酸的含量并换算成mg。</w:t>
      </w:r>
    </w:p>
    <w:p>
      <w:pPr>
        <w:widowControl/>
        <w:snapToGrid w:val="0"/>
        <w:spacing w:line="500" w:lineRule="atLeast"/>
        <w:ind w:firstLine="432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</w:p>
    <w:tbl>
      <w:tblPr>
        <w:tblStyle w:val="16"/>
        <w:tblW w:w="6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649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shd w:val="clear" w:color="auto" w:fill="D8D8D8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2649" w:type="dxa"/>
            <w:shd w:val="clear" w:color="auto" w:fill="D8D8D8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称样量(g)</w:t>
            </w:r>
          </w:p>
        </w:tc>
        <w:tc>
          <w:tcPr>
            <w:tcW w:w="2573" w:type="dxa"/>
            <w:shd w:val="clear" w:color="auto" w:fill="D8D8D8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含量（%）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供试品0</w:t>
            </w:r>
          </w:p>
        </w:tc>
        <w:tc>
          <w:tcPr>
            <w:tcW w:w="264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2.08413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0.32</w:t>
            </w:r>
          </w:p>
        </w:tc>
      </w:tr>
    </w:tbl>
    <w:p>
      <w:pPr>
        <w:pStyle w:val="32"/>
        <w:spacing w:line="360" w:lineRule="auto"/>
        <w:ind w:left="0"/>
        <w:rPr>
          <w:sz w:val="21"/>
          <w:szCs w:val="21"/>
          <w:lang w:eastAsia="zh-CN"/>
        </w:rPr>
      </w:pPr>
    </w:p>
    <w:p>
      <w:pPr>
        <w:pStyle w:val="32"/>
        <w:spacing w:line="360" w:lineRule="auto"/>
        <w:ind w:left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根据供试品0的含量，折算出供试品1~6三萜甾醇的本底量</w:t>
      </w:r>
    </w:p>
    <w:p>
      <w:pPr>
        <w:pStyle w:val="32"/>
        <w:spacing w:line="360" w:lineRule="auto"/>
        <w:ind w:left="0"/>
        <w:rPr>
          <w:rFonts w:ascii="宋体" w:hAnsi="宋体" w:cs="宋体"/>
          <w:sz w:val="24"/>
          <w:szCs w:val="24"/>
          <w:lang w:eastAsia="zh-CN" w:bidi="ar"/>
        </w:rPr>
      </w:pPr>
      <w:r>
        <w:rPr>
          <w:rFonts w:hint="eastAsia"/>
          <w:sz w:val="21"/>
          <w:szCs w:val="21"/>
          <w:lang w:eastAsia="zh-CN"/>
        </w:rPr>
        <w:t>加入的</w:t>
      </w:r>
      <w:r>
        <w:rPr>
          <w:rFonts w:hint="eastAsia" w:ascii="宋体" w:hAnsi="宋体" w:cs="宋体"/>
          <w:sz w:val="24"/>
          <w:szCs w:val="24"/>
          <w:lang w:eastAsia="zh-CN" w:bidi="ar"/>
        </w:rPr>
        <w:t>齐墩果酸</w:t>
      </w:r>
      <w:r>
        <w:rPr>
          <w:rFonts w:hint="eastAsia"/>
          <w:sz w:val="21"/>
          <w:szCs w:val="21"/>
          <w:lang w:eastAsia="zh-CN"/>
        </w:rPr>
        <w:t>对照品重量</w:t>
      </w:r>
    </w:p>
    <w:tbl>
      <w:tblPr>
        <w:tblStyle w:val="16"/>
        <w:tblpPr w:leftFromText="180" w:rightFromText="180" w:vertAnchor="text" w:horzAnchor="page" w:tblpX="1840" w:tblpY="336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3184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对照品储备液加入量（ml）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样0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空白本底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样1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样2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样3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样4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样5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1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样6</w:t>
            </w:r>
          </w:p>
        </w:tc>
        <w:tc>
          <w:tcPr>
            <w:tcW w:w="3184" w:type="dxa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6.08</w:t>
            </w:r>
          </w:p>
        </w:tc>
      </w:tr>
    </w:tbl>
    <w:p>
      <w:pPr>
        <w:widowControl/>
        <w:snapToGrid w:val="0"/>
        <w:spacing w:line="500" w:lineRule="atLeast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可接受标准</w:t>
      </w:r>
    </w:p>
    <w:p>
      <w:pPr>
        <w:pStyle w:val="23"/>
        <w:numPr>
          <w:ilvl w:val="0"/>
          <w:numId w:val="3"/>
        </w:numPr>
        <w:spacing w:line="360" w:lineRule="auto"/>
        <w:ind w:firstLine="480" w:firstLineChars="200"/>
        <w:outlineLvl w:val="3"/>
        <w:rPr>
          <w:bCs/>
          <w:sz w:val="24"/>
          <w:lang w:eastAsia="zh-CN"/>
        </w:rPr>
      </w:pPr>
      <w:bookmarkStart w:id="10" w:name="_Toc452543429"/>
      <w:r>
        <w:rPr>
          <w:rFonts w:hint="eastAsia"/>
          <w:bCs/>
          <w:sz w:val="24"/>
          <w:lang w:eastAsia="zh-CN"/>
        </w:rPr>
        <w:t>加样回收率应在90.0%~108.0%之间</w:t>
      </w:r>
    </w:p>
    <w:p>
      <w:pPr>
        <w:pStyle w:val="23"/>
        <w:numPr>
          <w:ilvl w:val="0"/>
          <w:numId w:val="3"/>
        </w:numPr>
        <w:spacing w:line="360" w:lineRule="auto"/>
        <w:ind w:firstLine="480" w:firstLineChars="200"/>
        <w:outlineLvl w:val="3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回收率的RSD不得过2.0%</w:t>
      </w:r>
    </w:p>
    <w:bookmarkEnd w:id="10"/>
    <w:p>
      <w:pPr>
        <w:pStyle w:val="23"/>
        <w:spacing w:line="360" w:lineRule="auto"/>
        <w:outlineLvl w:val="4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回收率试验结果</w:t>
      </w:r>
      <w:r>
        <w:rPr>
          <w:rFonts w:hint="eastAsia"/>
          <w:b/>
          <w:sz w:val="24"/>
          <w:lang w:eastAsia="zh-CN"/>
        </w:rPr>
        <w:t>及结论</w:t>
      </w:r>
      <w:r>
        <w:rPr>
          <w:b/>
          <w:sz w:val="24"/>
          <w:lang w:eastAsia="zh-CN"/>
        </w:rPr>
        <w:t xml:space="preserve">： </w:t>
      </w:r>
    </w:p>
    <w:p>
      <w:pPr>
        <w:pStyle w:val="32"/>
        <w:spacing w:line="360" w:lineRule="auto"/>
        <w:ind w:left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回收率试验结果</w:t>
      </w:r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30"/>
        <w:gridCol w:w="1220"/>
        <w:gridCol w:w="918"/>
        <w:gridCol w:w="852"/>
        <w:gridCol w:w="1277"/>
        <w:gridCol w:w="829"/>
        <w:gridCol w:w="140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00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样品</w:t>
            </w:r>
          </w:p>
        </w:tc>
        <w:tc>
          <w:tcPr>
            <w:tcW w:w="93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称样量</w:t>
            </w:r>
            <w:r>
              <w:rPr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g</w:t>
            </w:r>
            <w:r>
              <w:rPr>
                <w:b/>
                <w:sz w:val="21"/>
                <w:szCs w:val="21"/>
              </w:rPr>
              <w:t>）</w:t>
            </w:r>
          </w:p>
        </w:tc>
        <w:tc>
          <w:tcPr>
            <w:tcW w:w="122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加入量（mg）</w:t>
            </w:r>
          </w:p>
        </w:tc>
        <w:tc>
          <w:tcPr>
            <w:tcW w:w="91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852" w:type="dxa"/>
            <w:shd w:val="clear" w:color="auto" w:fill="D8D8D8" w:themeFill="background1" w:themeFillShade="D9"/>
            <w:vAlign w:val="center"/>
          </w:tcPr>
          <w:p>
            <w:pPr>
              <w:ind w:left="-57" w:leftChars="-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测得量</w:t>
            </w:r>
          </w:p>
          <w:p>
            <w:pPr>
              <w:ind w:left="-57" w:leftChars="-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（mg）</w:t>
            </w:r>
          </w:p>
        </w:tc>
        <w:tc>
          <w:tcPr>
            <w:tcW w:w="1277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本底量（mg）</w:t>
            </w:r>
          </w:p>
        </w:tc>
        <w:tc>
          <w:tcPr>
            <w:tcW w:w="829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回收率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（%）</w:t>
            </w:r>
          </w:p>
        </w:tc>
        <w:tc>
          <w:tcPr>
            <w:tcW w:w="1404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平均回收率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RSD（%)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2.01401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12.22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6.44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93.98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92.9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2.06413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5.82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0.399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12.01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6.61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92.78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1.99851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5.96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0.396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11.92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6.40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92.62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2.00301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12.10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6.41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92.52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2.01025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6.11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12.10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6.43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92.80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2.00213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6.08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0.400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12.04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6.41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92.60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标准规定</w:t>
            </w:r>
          </w:p>
        </w:tc>
        <w:tc>
          <w:tcPr>
            <w:tcW w:w="6130" w:type="dxa"/>
            <w:gridSpan w:val="6"/>
            <w:vAlign w:val="center"/>
          </w:tcPr>
          <w:p>
            <w:pPr>
              <w:ind w:firstLine="1995" w:firstLineChars="95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回收率在9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.0%~10</w:t>
            </w: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.0%</w:t>
            </w:r>
            <w:r>
              <w:rPr>
                <w:rFonts w:hint="eastAsia"/>
                <w:sz w:val="21"/>
                <w:szCs w:val="21"/>
                <w:lang w:eastAsia="zh-CN"/>
              </w:rPr>
              <w:t>，RSD不得过2.0%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试验结论</w:t>
            </w:r>
          </w:p>
        </w:tc>
        <w:tc>
          <w:tcPr>
            <w:tcW w:w="613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11" w:name="_Toc452543439"/>
      <w:bookmarkStart w:id="12" w:name="_Toc472587977"/>
      <w:r>
        <w:rPr>
          <w:rFonts w:hint="eastAsia"/>
          <w:b/>
          <w:sz w:val="24"/>
          <w:szCs w:val="24"/>
          <w:lang w:eastAsia="zh-CN"/>
        </w:rPr>
        <w:t>3.3</w:t>
      </w:r>
      <w:r>
        <w:rPr>
          <w:b/>
          <w:sz w:val="24"/>
          <w:szCs w:val="24"/>
          <w:lang w:eastAsia="zh-CN"/>
        </w:rPr>
        <w:t>重复性</w:t>
      </w:r>
      <w:bookmarkEnd w:id="11"/>
      <w:bookmarkEnd w:id="12"/>
    </w:p>
    <w:p>
      <w:pPr>
        <w:pStyle w:val="23"/>
        <w:spacing w:line="360" w:lineRule="auto"/>
        <w:ind w:firstLine="481" w:firstLineChars="200"/>
        <w:outlineLvl w:val="3"/>
        <w:rPr>
          <w:sz w:val="24"/>
          <w:lang w:eastAsia="zh-CN"/>
        </w:rPr>
      </w:pPr>
      <w:bookmarkStart w:id="13" w:name="_Toc452543440"/>
      <w:r>
        <w:rPr>
          <w:b/>
          <w:sz w:val="24"/>
          <w:szCs w:val="24"/>
          <w:lang w:eastAsia="zh-CN"/>
        </w:rPr>
        <w:t>重复性溶液的制备</w:t>
      </w:r>
      <w:bookmarkEnd w:id="13"/>
      <w:r>
        <w:rPr>
          <w:rFonts w:hint="eastAsia"/>
          <w:b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取混合均匀的本品粉末约2.0g，一共准备6份 精密称定， 置具塞锥形瓶中，加乙醇50ml，超声处理（功率140W，频率42kHz）45分钟，滤过，滤液置100ml量瓶中，用适量乙醇，分次洗涤滤器和滤渣，洗液并入同一量瓶中，加乙醇至刻度，摇匀。 精密量取 0.2ml，置15ml具塞试管中，照标准曲线制备项下的方法，自“挥干”起，同法操作，测定吸光度，从标准曲线上读出供试品溶液中齐墩果酸的含量。</w:t>
      </w:r>
    </w:p>
    <w:p>
      <w:pPr>
        <w:pStyle w:val="23"/>
        <w:spacing w:line="360" w:lineRule="auto"/>
        <w:outlineLvl w:val="3"/>
        <w:rPr>
          <w:b/>
          <w:sz w:val="24"/>
          <w:szCs w:val="24"/>
          <w:lang w:eastAsia="zh-CN"/>
        </w:rPr>
      </w:pPr>
      <w:bookmarkStart w:id="14" w:name="_Toc452543443"/>
      <w:r>
        <w:rPr>
          <w:b/>
          <w:sz w:val="24"/>
          <w:szCs w:val="24"/>
          <w:lang w:eastAsia="zh-CN"/>
        </w:rPr>
        <w:t>可接受标准</w:t>
      </w:r>
      <w:bookmarkEnd w:id="14"/>
    </w:p>
    <w:p>
      <w:pPr>
        <w:tabs>
          <w:tab w:val="left" w:pos="1137"/>
        </w:tabs>
        <w:spacing w:line="360" w:lineRule="auto"/>
        <w:ind w:firstLine="360" w:firstLineChars="150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>6份供试品溶液含量的RSD应不得过2.0%</w:t>
      </w:r>
      <w:r>
        <w:rPr>
          <w:rFonts w:hint="eastAsia"/>
          <w:bCs/>
          <w:sz w:val="24"/>
          <w:lang w:eastAsia="zh-CN"/>
        </w:rPr>
        <w:t>。</w:t>
      </w:r>
    </w:p>
    <w:p>
      <w:pPr>
        <w:pStyle w:val="23"/>
        <w:spacing w:line="360" w:lineRule="auto"/>
        <w:outlineLvl w:val="3"/>
        <w:rPr>
          <w:b/>
          <w:sz w:val="24"/>
          <w:szCs w:val="24"/>
          <w:lang w:eastAsia="zh-CN"/>
        </w:rPr>
      </w:pPr>
      <w:bookmarkStart w:id="15" w:name="_Toc452543444"/>
      <w:r>
        <w:rPr>
          <w:rFonts w:hint="eastAsia"/>
          <w:b/>
          <w:sz w:val="24"/>
          <w:szCs w:val="24"/>
          <w:lang w:eastAsia="zh-CN"/>
        </w:rPr>
        <w:t>重复性</w:t>
      </w:r>
      <w:r>
        <w:rPr>
          <w:b/>
          <w:sz w:val="24"/>
          <w:szCs w:val="24"/>
          <w:lang w:eastAsia="zh-CN"/>
        </w:rPr>
        <w:t>结果和结论</w:t>
      </w:r>
      <w:bookmarkEnd w:id="15"/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880"/>
        <w:gridCol w:w="1807"/>
        <w:gridCol w:w="1480"/>
        <w:gridCol w:w="129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tblHeader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样品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称样量</w:t>
            </w:r>
            <w:r>
              <w:rPr>
                <w:rFonts w:hint="eastAsia"/>
                <w:b/>
                <w:sz w:val="21"/>
                <w:szCs w:val="21"/>
              </w:rPr>
              <w:t>（g）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含量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含量均值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RSD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供试品1-1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2.01003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0.346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供试品1-2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2.00011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0.207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0.343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供试品1-3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2.02607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0.213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0.349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供试品1-4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2.08122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0.223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0.355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供试品1-5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2.01455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0.217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0.357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供试品1-6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2.00124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0.204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0.338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标准规定</w:t>
            </w:r>
          </w:p>
        </w:tc>
        <w:tc>
          <w:tcPr>
            <w:tcW w:w="597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RSD </w:t>
            </w:r>
            <w:r>
              <w:rPr>
                <w:sz w:val="21"/>
                <w:szCs w:val="21"/>
              </w:rPr>
              <w:t>不得过2.0%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试验结论</w:t>
            </w:r>
          </w:p>
        </w:tc>
        <w:tc>
          <w:tcPr>
            <w:tcW w:w="597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16" w:name="_Toc472587978"/>
      <w:bookmarkStart w:id="17" w:name="_Toc452543445"/>
      <w:r>
        <w:rPr>
          <w:rFonts w:hint="eastAsia"/>
          <w:b/>
          <w:sz w:val="24"/>
          <w:szCs w:val="24"/>
          <w:lang w:eastAsia="zh-CN"/>
        </w:rPr>
        <w:t>3.4</w:t>
      </w:r>
      <w:r>
        <w:rPr>
          <w:b/>
          <w:sz w:val="24"/>
          <w:szCs w:val="24"/>
          <w:lang w:eastAsia="zh-CN"/>
        </w:rPr>
        <w:t>溶液稳定性</w:t>
      </w:r>
      <w:bookmarkEnd w:id="16"/>
      <w:bookmarkEnd w:id="17"/>
    </w:p>
    <w:p>
      <w:pPr>
        <w:pStyle w:val="23"/>
        <w:spacing w:line="360" w:lineRule="auto"/>
        <w:outlineLvl w:val="3"/>
        <w:rPr>
          <w:b/>
          <w:sz w:val="24"/>
        </w:rPr>
      </w:pPr>
      <w:bookmarkStart w:id="18" w:name="_Toc452543446"/>
      <w:r>
        <w:rPr>
          <w:b/>
          <w:sz w:val="24"/>
        </w:rPr>
        <w:t>供试品溶液配制</w:t>
      </w:r>
      <w:bookmarkEnd w:id="18"/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直接采用重复性项下的一份供试品溶液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bookmarkStart w:id="19" w:name="_Toc452543448"/>
      <w:r>
        <w:rPr>
          <w:rFonts w:hint="eastAsia"/>
          <w:b/>
          <w:sz w:val="24"/>
          <w:lang w:eastAsia="zh-CN"/>
        </w:rPr>
        <w:t>对照品</w:t>
      </w:r>
      <w:r>
        <w:rPr>
          <w:b/>
          <w:sz w:val="24"/>
          <w:lang w:eastAsia="zh-CN"/>
        </w:rPr>
        <w:t>溶液配制</w:t>
      </w:r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直接采用</w:t>
      </w:r>
      <w:r>
        <w:rPr>
          <w:rFonts w:hint="eastAsia"/>
          <w:sz w:val="24"/>
          <w:lang w:eastAsia="zh-CN"/>
        </w:rPr>
        <w:t>标准曲线绘制用标准溶液2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测试方法</w:t>
      </w:r>
      <w:bookmarkEnd w:id="19"/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供试品溶液及对照品溶液室温放置，分别在0小时（初始点）、</w:t>
      </w:r>
      <w:r>
        <w:rPr>
          <w:rFonts w:hint="eastAsia"/>
          <w:sz w:val="24"/>
          <w:lang w:eastAsia="zh-CN"/>
        </w:rPr>
        <w:t>0.5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1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1.5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2</w:t>
      </w:r>
      <w:r>
        <w:rPr>
          <w:sz w:val="24"/>
          <w:lang w:eastAsia="zh-CN"/>
        </w:rPr>
        <w:t>小时</w:t>
      </w:r>
      <w:r>
        <w:rPr>
          <w:rFonts w:hint="eastAsia"/>
          <w:sz w:val="24"/>
          <w:lang w:eastAsia="zh-CN"/>
        </w:rPr>
        <w:t>进行测试，</w:t>
      </w:r>
      <w:r>
        <w:rPr>
          <w:sz w:val="24"/>
          <w:lang w:eastAsia="zh-CN"/>
        </w:rPr>
        <w:t>与其0小时</w:t>
      </w:r>
      <w:r>
        <w:rPr>
          <w:rFonts w:hint="eastAsia"/>
          <w:sz w:val="24"/>
          <w:lang w:eastAsia="zh-CN"/>
        </w:rPr>
        <w:t>吸光度进行</w:t>
      </w:r>
      <w:r>
        <w:rPr>
          <w:sz w:val="24"/>
          <w:lang w:eastAsia="zh-CN"/>
        </w:rPr>
        <w:t>比较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 </w:t>
      </w:r>
      <w:bookmarkStart w:id="20" w:name="_Toc452543449"/>
    </w:p>
    <w:p>
      <w:pPr>
        <w:pStyle w:val="23"/>
        <w:tabs>
          <w:tab w:val="left" w:pos="1137"/>
        </w:tabs>
        <w:spacing w:line="360" w:lineRule="auto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可接受标准</w:t>
      </w:r>
      <w:bookmarkEnd w:id="20"/>
    </w:p>
    <w:p>
      <w:pPr>
        <w:pStyle w:val="23"/>
        <w:tabs>
          <w:tab w:val="left" w:pos="1137"/>
        </w:tabs>
        <w:spacing w:line="360" w:lineRule="auto"/>
        <w:ind w:left="42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每个时间点的</w:t>
      </w:r>
      <w:r>
        <w:rPr>
          <w:rFonts w:hint="eastAsia"/>
          <w:bCs/>
          <w:sz w:val="24"/>
          <w:lang w:eastAsia="zh-CN"/>
        </w:rPr>
        <w:t>吸光度</w:t>
      </w:r>
      <w:r>
        <w:rPr>
          <w:bCs/>
          <w:sz w:val="24"/>
          <w:lang w:eastAsia="zh-CN"/>
        </w:rPr>
        <w:t>与0小时</w:t>
      </w:r>
      <w:r>
        <w:rPr>
          <w:rFonts w:hint="eastAsia"/>
          <w:bCs/>
          <w:sz w:val="24"/>
          <w:lang w:eastAsia="zh-CN"/>
        </w:rPr>
        <w:t>吸光度</w:t>
      </w:r>
      <w:r>
        <w:rPr>
          <w:bCs/>
          <w:sz w:val="24"/>
          <w:lang w:eastAsia="zh-CN"/>
        </w:rPr>
        <w:t>的比值应在0.9</w:t>
      </w:r>
      <w:r>
        <w:rPr>
          <w:rFonts w:hint="eastAsia"/>
          <w:bCs/>
          <w:sz w:val="24"/>
          <w:lang w:eastAsia="zh-CN"/>
        </w:rPr>
        <w:t>8</w:t>
      </w:r>
      <w:r>
        <w:rPr>
          <w:bCs/>
          <w:sz w:val="24"/>
          <w:lang w:eastAsia="zh-CN"/>
        </w:rPr>
        <w:t>~1.0</w:t>
      </w:r>
      <w:r>
        <w:rPr>
          <w:rFonts w:hint="eastAsia"/>
          <w:bCs/>
          <w:sz w:val="24"/>
          <w:lang w:eastAsia="zh-CN"/>
        </w:rPr>
        <w:t>2</w:t>
      </w:r>
      <w:r>
        <w:rPr>
          <w:bCs/>
          <w:sz w:val="24"/>
          <w:lang w:eastAsia="zh-CN"/>
        </w:rPr>
        <w:t>之间。</w:t>
      </w:r>
    </w:p>
    <w:p>
      <w:pPr>
        <w:pStyle w:val="23"/>
        <w:spacing w:line="360" w:lineRule="auto"/>
        <w:ind w:firstLine="240" w:firstLineChars="100"/>
        <w:outlineLvl w:val="4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溶液稳定性试验结果</w:t>
      </w:r>
    </w:p>
    <w:tbl>
      <w:tblPr>
        <w:tblStyle w:val="16"/>
        <w:tblW w:w="900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841"/>
        <w:gridCol w:w="1983"/>
        <w:gridCol w:w="1467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right"/>
        </w:trPr>
        <w:tc>
          <w:tcPr>
            <w:tcW w:w="2209" w:type="dxa"/>
            <w:vMerge w:val="restart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测试</w:t>
            </w: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824" w:type="dxa"/>
            <w:gridSpan w:val="2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2972" w:type="dxa"/>
            <w:gridSpan w:val="2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与0小时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比值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right"/>
        </w:trPr>
        <w:tc>
          <w:tcPr>
            <w:tcW w:w="2209" w:type="dxa"/>
            <w:vMerge w:val="continue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1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1983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对照品</w:t>
            </w:r>
          </w:p>
        </w:tc>
        <w:tc>
          <w:tcPr>
            <w:tcW w:w="1467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1505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对照品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0.204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0.358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0.5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0.202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0.356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0.99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0.203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0.353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1.5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0.204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0.350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0.203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0.353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标准规定</w:t>
            </w:r>
          </w:p>
        </w:tc>
        <w:tc>
          <w:tcPr>
            <w:tcW w:w="67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吸光度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比值应在0.9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~1.0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 xml:space="preserve">结论 </w:t>
            </w:r>
          </w:p>
        </w:tc>
        <w:tc>
          <w:tcPr>
            <w:tcW w:w="67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3.5不同批次中药饮片 含量测定结果</w:t>
      </w:r>
    </w:p>
    <w:bookmarkEnd w:id="6"/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分别精密称取</w:t>
      </w:r>
      <w:r>
        <w:rPr>
          <w:rFonts w:hint="eastAsia"/>
          <w:sz w:val="24"/>
          <w:szCs w:val="24"/>
          <w:lang w:eastAsia="zh-CN"/>
        </w:rPr>
        <w:t>以上批次的桑黄粉 ，</w:t>
      </w:r>
      <w:r>
        <w:rPr>
          <w:sz w:val="24"/>
          <w:szCs w:val="24"/>
          <w:lang w:eastAsia="zh-CN"/>
        </w:rPr>
        <w:t>按</w:t>
      </w:r>
      <w:r>
        <w:rPr>
          <w:rFonts w:hint="eastAsia"/>
          <w:sz w:val="24"/>
          <w:szCs w:val="24"/>
          <w:lang w:eastAsia="zh-CN"/>
        </w:rPr>
        <w:t>以上方法测定，</w:t>
      </w:r>
      <w:r>
        <w:rPr>
          <w:sz w:val="24"/>
          <w:szCs w:val="24"/>
          <w:lang w:eastAsia="zh-CN"/>
        </w:rPr>
        <w:t>结果</w:t>
      </w:r>
      <w:r>
        <w:rPr>
          <w:rFonts w:hint="eastAsia"/>
          <w:sz w:val="24"/>
          <w:szCs w:val="24"/>
          <w:lang w:eastAsia="zh-CN"/>
        </w:rPr>
        <w:t>如下表（表15）。</w:t>
      </w:r>
    </w:p>
    <w:p>
      <w:pPr>
        <w:spacing w:line="360" w:lineRule="auto"/>
        <w:ind w:firstLine="480" w:firstLineChars="200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表15：12桑黄粉含量测定结果</w:t>
      </w:r>
    </w:p>
    <w:tbl>
      <w:tblPr>
        <w:tblStyle w:val="22"/>
        <w:tblW w:w="9092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2"/>
        <w:gridCol w:w="4810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批次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三萜及甾醇含量（%）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20181115PZ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20181116PZ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0.29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20181117PZ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0.20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20181119PZ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0.20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20181120PZ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2018121PZ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20181122PZ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20181123PZ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20181124PZ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0.19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181201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0.29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181202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0.37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181203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0.33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</w:tcPr>
          <w:p>
            <w:pPr>
              <w:ind w:firstLine="440" w:firstLineChars="20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4810" w:type="dxa"/>
            <w:shd w:val="clear" w:color="auto" w:fill="FFFFFF" w:themeFill="background1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0.27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0.1</w:t>
            </w:r>
          </w:p>
        </w:tc>
      </w:tr>
    </w:tbl>
    <w:p>
      <w:pPr>
        <w:pStyle w:val="23"/>
        <w:spacing w:line="360" w:lineRule="auto"/>
        <w:ind w:left="567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21" w:name="_Toc472587982"/>
      <w:r>
        <w:rPr>
          <w:rFonts w:hint="eastAsia"/>
          <w:b/>
          <w:sz w:val="24"/>
          <w:szCs w:val="24"/>
          <w:lang w:eastAsia="zh-CN"/>
        </w:rPr>
        <w:t>3.6结果分析</w:t>
      </w:r>
      <w:bookmarkEnd w:id="21"/>
      <w:r>
        <w:rPr>
          <w:rFonts w:hint="eastAsia"/>
          <w:b/>
          <w:sz w:val="24"/>
          <w:szCs w:val="24"/>
          <w:lang w:eastAsia="zh-CN"/>
        </w:rPr>
        <w:t>和限度确认</w:t>
      </w:r>
    </w:p>
    <w:p>
      <w:pPr>
        <w:widowControl/>
        <w:snapToGrid w:val="0"/>
        <w:spacing w:line="500" w:lineRule="atLeast"/>
        <w:ind w:firstLine="432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sz w:val="24"/>
          <w:szCs w:val="24"/>
          <w:lang w:eastAsia="zh-CN"/>
        </w:rPr>
        <w:t>桑黄粉12批样品的检验结果，含量结果的幅度范围为：0.14%~0.41%，平均值0.27%，取平均值的80%，计算桑黄粉的含量测定限度为不得低于0.22%，综合考虑，拟将桑黄粉含量测定的限度定为：按干燥品计，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含三萜及甾醇以齐墩果酸（C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30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H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48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O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）计，不得少于0.25%。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【性味与归经】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参考《湖北省中药材标准》2009年版桑黄，制定为：微苦，寒。归肝、胃、大肠经。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【功能与主治】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参考《湖北省中药材标准》2009年版桑黄，制定为：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软坚散结，活血止血，和胃止泻。用于癥瘕积聚，瘰疬，痰核，外伤出血，崩漏带下，胃热呕吐，湿热泄痢。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【用法与用量】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【修订原因】</w:t>
      </w:r>
    </w:p>
    <w:p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参考《太平圣惠方卷第四十三》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superscript"/>
          <w:lang w:eastAsia="zh-CN" w:bidi="ar"/>
        </w:rPr>
        <w:t>[</w:t>
      </w:r>
      <w:r>
        <w:rPr>
          <w:rFonts w:ascii="宋体" w:hAnsi="宋体" w:eastAsia="宋体" w:cs="宋体"/>
          <w:b/>
          <w:bCs/>
          <w:sz w:val="24"/>
          <w:szCs w:val="24"/>
          <w:vertAlign w:val="superscript"/>
          <w:lang w:eastAsia="zh-CN" w:bidi="ar"/>
        </w:rPr>
        <w:t>6]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、</w:t>
      </w:r>
      <w:r>
        <w:rPr>
          <w:rFonts w:hint="eastAsia"/>
          <w:bCs/>
          <w:sz w:val="24"/>
          <w:lang w:eastAsia="zh-CN"/>
        </w:rPr>
        <w:t>《蕈菌医方集成》引</w:t>
      </w:r>
      <w:r>
        <w:rPr>
          <w:rFonts w:hint="eastAsia"/>
          <w:sz w:val="24"/>
          <w:lang w:eastAsia="zh-CN"/>
        </w:rPr>
        <w:t>《食用中医家庭保健手册》、</w:t>
      </w:r>
      <w:r>
        <w:rPr>
          <w:rFonts w:hint="eastAsia"/>
          <w:bCs/>
          <w:sz w:val="24"/>
          <w:lang w:eastAsia="zh-CN"/>
        </w:rPr>
        <w:t>《蕈菌医方集成》引《百病简易疗法》、</w:t>
      </w:r>
      <w:r>
        <w:rPr>
          <w:rFonts w:hint="eastAsia"/>
          <w:sz w:val="24"/>
          <w:lang w:eastAsia="zh-CN"/>
        </w:rPr>
        <w:t>《中华本草》</w:t>
      </w:r>
      <w:r>
        <w:rPr>
          <w:rFonts w:hint="eastAsia"/>
          <w:b/>
          <w:bCs/>
          <w:sz w:val="24"/>
          <w:vertAlign w:val="superscript"/>
          <w:lang w:eastAsia="zh-CN"/>
        </w:rPr>
        <w:t>[</w:t>
      </w:r>
      <w:r>
        <w:rPr>
          <w:b/>
          <w:bCs/>
          <w:sz w:val="24"/>
          <w:vertAlign w:val="superscript"/>
          <w:lang w:eastAsia="zh-CN"/>
        </w:rPr>
        <w:t>7]</w:t>
      </w:r>
      <w:r>
        <w:rPr>
          <w:rFonts w:hint="eastAsia"/>
          <w:sz w:val="24"/>
          <w:lang w:eastAsia="zh-CN"/>
        </w:rPr>
        <w:t>、《中国药典》2020年版多孔菌科中药灵芝及云南省中药饮片炮制规范灵芝粉（标准号：云YPBZ-0194-2013）的炮制规范等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，制定为：吞服，每次2</w:t>
      </w:r>
      <w:r>
        <w:rPr>
          <w:rFonts w:ascii="Times New Roman" w:hAnsi="Times New Roman" w:eastAsia="宋体" w:cs="Times New Roman"/>
          <w:sz w:val="24"/>
          <w:szCs w:val="24"/>
          <w:lang w:eastAsia="zh-CN" w:bidi="ar"/>
        </w:rPr>
        <w:t>~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3g,或遵医嘱。</w:t>
      </w:r>
    </w:p>
    <w:p>
      <w:pPr>
        <w:pStyle w:val="23"/>
        <w:spacing w:line="360" w:lineRule="auto"/>
        <w:outlineLvl w:val="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【贮藏】  </w:t>
      </w:r>
    </w:p>
    <w:p>
      <w:pPr>
        <w:pStyle w:val="23"/>
        <w:spacing w:line="360" w:lineRule="auto"/>
        <w:ind w:firstLine="480" w:firstLineChars="200"/>
        <w:outlineLvl w:val="0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参考《湖北省中药材标准》2009年版桑黄，制定为：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置通风干燥处，防蛀。</w:t>
      </w:r>
    </w:p>
    <w:p>
      <w:pPr>
        <w:pStyle w:val="23"/>
        <w:spacing w:line="360" w:lineRule="auto"/>
        <w:outlineLvl w:val="0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0"/>
        <w:rPr>
          <w:b/>
          <w:color w:val="FF0000"/>
          <w:sz w:val="24"/>
          <w:szCs w:val="24"/>
          <w:lang w:eastAsia="zh-CN"/>
        </w:rPr>
      </w:pPr>
      <w:bookmarkStart w:id="22" w:name="_Toc472588005"/>
      <w:r>
        <w:rPr>
          <w:rFonts w:hint="eastAsia"/>
          <w:b/>
          <w:color w:val="FF0000"/>
          <w:sz w:val="24"/>
          <w:szCs w:val="24"/>
          <w:lang w:eastAsia="zh-CN"/>
        </w:rPr>
        <w:t>参考文献</w:t>
      </w:r>
      <w:bookmarkEnd w:id="22"/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Cs/>
          <w:color w:val="FF0000"/>
          <w:sz w:val="24"/>
          <w:szCs w:val="24"/>
          <w:lang w:eastAsia="zh-CN"/>
        </w:rPr>
        <w:t>陈士瑜，陈海英.蕈菌医方集成 ：上海科学技术文献出版社.2000.1：133-135.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rFonts w:ascii="Times New Roman" w:hAnsi="Times New Roman" w:cs="Times New Roman"/>
          <w:bCs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Cs/>
          <w:color w:val="FF0000"/>
          <w:sz w:val="24"/>
          <w:szCs w:val="24"/>
          <w:lang w:eastAsia="zh-CN"/>
        </w:rPr>
        <w:t>刘波.中国药用真菌：陕西人民出版社.1974:71-72.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rFonts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Cs/>
          <w:color w:val="FF0000"/>
          <w:sz w:val="24"/>
          <w:szCs w:val="24"/>
          <w:lang w:eastAsia="zh-CN"/>
        </w:rPr>
        <w:t>湖北省中药材标准2009年版</w:t>
      </w:r>
      <w:r>
        <w:rPr>
          <w:rFonts w:hint="eastAsia"/>
          <w:color w:val="FF0000"/>
          <w:sz w:val="24"/>
          <w:szCs w:val="24"/>
          <w:lang w:eastAsia="zh-CN"/>
        </w:rPr>
        <w:t>[S]：</w:t>
      </w:r>
      <w:r>
        <w:rPr>
          <w:rFonts w:hint="eastAsia" w:ascii="Times New Roman" w:hAnsi="Times New Roman" w:cs="Times New Roman"/>
          <w:bCs/>
          <w:color w:val="FF0000"/>
          <w:sz w:val="24"/>
          <w:szCs w:val="24"/>
          <w:lang w:eastAsia="zh-CN"/>
        </w:rPr>
        <w:t>湖北省食品药品监督管理局 / 湖北科学技术出版社 / 2009-12 ：113-114.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江苏新医学院 编 .中药大辞典.上册[M].上海：上海科技出版社.1975:1967.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中华人民共和国药典[S]：2015年版.四部/国家药典委员会编.—北京：中国医药科技出版社，2015.6.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王怀隐.太平圣惠方[</w:t>
      </w:r>
      <w:r>
        <w:rPr>
          <w:color w:val="FF0000"/>
          <w:sz w:val="24"/>
          <w:szCs w:val="24"/>
          <w:lang w:eastAsia="zh-CN"/>
        </w:rPr>
        <w:t>O]:</w:t>
      </w:r>
      <w:r>
        <w:rPr>
          <w:rFonts w:hint="eastAsia"/>
          <w:color w:val="FF0000"/>
          <w:sz w:val="24"/>
          <w:szCs w:val="24"/>
          <w:lang w:eastAsia="zh-CN"/>
        </w:rPr>
        <w:t>人民卫生出版社.</w:t>
      </w:r>
      <w:r>
        <w:rPr>
          <w:color w:val="FF0000"/>
          <w:sz w:val="24"/>
          <w:szCs w:val="24"/>
          <w:lang w:eastAsia="zh-CN"/>
        </w:rPr>
        <w:t>2016</w:t>
      </w:r>
      <w:r>
        <w:rPr>
          <w:rFonts w:hint="eastAsia"/>
          <w:color w:val="FF0000"/>
          <w:sz w:val="24"/>
          <w:szCs w:val="24"/>
          <w:lang w:eastAsia="zh-CN"/>
        </w:rPr>
        <w:t>：8</w:t>
      </w:r>
      <w:r>
        <w:rPr>
          <w:color w:val="FF0000"/>
          <w:sz w:val="24"/>
          <w:szCs w:val="24"/>
          <w:lang w:eastAsia="zh-CN"/>
        </w:rPr>
        <w:t>94.</w:t>
      </w:r>
    </w:p>
    <w:p>
      <w:pPr>
        <w:pStyle w:val="23"/>
        <w:numPr>
          <w:ilvl w:val="0"/>
          <w:numId w:val="4"/>
        </w:numPr>
        <w:spacing w:line="360" w:lineRule="auto"/>
        <w:ind w:firstLine="240" w:firstLineChars="100"/>
        <w:rPr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国家中医药管理局.中华本草：上海科学技术出版社.</w:t>
      </w:r>
      <w:r>
        <w:rPr>
          <w:color w:val="FF0000"/>
          <w:sz w:val="24"/>
          <w:szCs w:val="24"/>
          <w:lang w:eastAsia="zh-CN"/>
        </w:rPr>
        <w:t>546-547.</w:t>
      </w:r>
    </w:p>
    <w:p>
      <w:pPr>
        <w:spacing w:line="360" w:lineRule="auto"/>
        <w:rPr>
          <w:sz w:val="24"/>
          <w:szCs w:val="24"/>
          <w:lang w:eastAsia="zh-CN"/>
        </w:rPr>
      </w:pPr>
    </w:p>
    <w:p>
      <w:pPr>
        <w:spacing w:line="360" w:lineRule="auto"/>
        <w:rPr>
          <w:sz w:val="24"/>
          <w:szCs w:val="24"/>
          <w:lang w:eastAsia="zh-CN"/>
        </w:rPr>
      </w:pPr>
    </w:p>
    <w:sectPr>
      <w:footerReference r:id="rId4" w:type="first"/>
      <w:headerReference r:id="rId3" w:type="default"/>
      <w:pgSz w:w="11907" w:h="16840"/>
      <w:pgMar w:top="1418" w:right="1134" w:bottom="1418" w:left="1134" w:header="851" w:footer="992" w:gutter="567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eastAsia="zh-CN"/>
      </w:rPr>
      <w:id w:val="2007241983"/>
    </w:sdtPr>
    <w:sdtEndPr>
      <w:rPr>
        <w:lang w:eastAsia="zh-CN"/>
      </w:rPr>
    </w:sdtEndPr>
    <w:sdtContent>
      <w:p>
        <w:pPr>
          <w:jc w:val="center"/>
        </w:pPr>
        <w:r>
          <w:rPr>
            <w:lang w:val="zh-CN" w:eastAsia="zh-CN"/>
          </w:rPr>
          <w:t xml:space="preserve"> </w:t>
        </w:r>
        <w:r>
          <w:rPr>
            <w:rFonts w:hint="eastAsia"/>
            <w:lang w:val="zh-CN" w:eastAsia="zh-CN"/>
          </w:rPr>
          <w:t>第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</w:instrText>
        </w:r>
        <w:r>
          <w:rPr>
            <w:lang w:eastAsia="zh-CN"/>
          </w:rPr>
          <w:fldChar w:fldCharType="separate"/>
        </w:r>
        <w:r>
          <w:rPr>
            <w:lang w:eastAsia="zh-CN"/>
          </w:rPr>
          <w:t>33</w:t>
        </w:r>
        <w:r>
          <w:rPr>
            <w:lang w:eastAsia="zh-CN"/>
          </w:rPr>
          <w:fldChar w:fldCharType="end"/>
        </w:r>
        <w:r>
          <w:rPr>
            <w:rFonts w:hint="eastAsia"/>
            <w:lang w:eastAsia="zh-CN"/>
          </w:rPr>
          <w:t>页</w:t>
        </w:r>
        <w:r>
          <w:rPr>
            <w:lang w:val="zh-CN" w:eastAsia="zh-CN"/>
          </w:rPr>
          <w:t xml:space="preserve"> / </w:t>
        </w:r>
        <w:r>
          <w:rPr>
            <w:rFonts w:hint="eastAsia"/>
            <w:lang w:val="zh-CN" w:eastAsia="zh-CN"/>
          </w:rPr>
          <w:t>共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NUMPAGES  </w:instrText>
        </w:r>
        <w:r>
          <w:rPr>
            <w:lang w:eastAsia="zh-CN"/>
          </w:rPr>
          <w:fldChar w:fldCharType="separate"/>
        </w:r>
        <w:r>
          <w:rPr>
            <w:lang w:eastAsia="zh-CN"/>
          </w:rPr>
          <w:t>34</w:t>
        </w:r>
        <w:r>
          <w:rPr>
            <w:lang w:eastAsia="zh-CN"/>
          </w:rPr>
          <w:fldChar w:fldCharType="end"/>
        </w:r>
        <w:r>
          <w:rPr>
            <w:rFonts w:hint="eastAsia"/>
            <w:lang w:eastAsia="zh-CN"/>
          </w:rPr>
          <w:t>页</w:t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color w:val="000000"/>
        <w:sz w:val="28"/>
        <w:szCs w:val="28"/>
        <w:lang w:eastAsia="zh-CN"/>
      </w:rPr>
      <w:t>海南省药品监督管理局中药饮片炮制规范草案征求意见稿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56459"/>
    <w:multiLevelType w:val="singleLevel"/>
    <w:tmpl w:val="C8956459"/>
    <w:lvl w:ilvl="0" w:tentative="0">
      <w:start w:val="1"/>
      <w:numFmt w:val="decimal"/>
      <w:lvlText w:val="[%1]"/>
      <w:lvlJc w:val="left"/>
      <w:pPr>
        <w:tabs>
          <w:tab w:val="left" w:pos="454"/>
        </w:tabs>
      </w:pPr>
    </w:lvl>
  </w:abstractNum>
  <w:abstractNum w:abstractNumId="1">
    <w:nsid w:val="00794C60"/>
    <w:multiLevelType w:val="multilevel"/>
    <w:tmpl w:val="00794C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F617ED2"/>
    <w:multiLevelType w:val="singleLevel"/>
    <w:tmpl w:val="4F617ED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BF4D926"/>
    <w:multiLevelType w:val="singleLevel"/>
    <w:tmpl w:val="5BF4D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MWZiMTU3YTU2ZDcxM2M2YmUzZjEzMjAzNDA4N2EifQ=="/>
  </w:docVars>
  <w:rsids>
    <w:rsidRoot w:val="001E7FE6"/>
    <w:rsid w:val="00000467"/>
    <w:rsid w:val="00002514"/>
    <w:rsid w:val="00006744"/>
    <w:rsid w:val="000075DA"/>
    <w:rsid w:val="000117AB"/>
    <w:rsid w:val="000144DA"/>
    <w:rsid w:val="000151D4"/>
    <w:rsid w:val="0002092F"/>
    <w:rsid w:val="00033BAA"/>
    <w:rsid w:val="00037AAF"/>
    <w:rsid w:val="00047B2A"/>
    <w:rsid w:val="00051AE6"/>
    <w:rsid w:val="00053C81"/>
    <w:rsid w:val="00054555"/>
    <w:rsid w:val="00054794"/>
    <w:rsid w:val="0005479C"/>
    <w:rsid w:val="000636D3"/>
    <w:rsid w:val="00065997"/>
    <w:rsid w:val="00066ECB"/>
    <w:rsid w:val="0007135A"/>
    <w:rsid w:val="000716D1"/>
    <w:rsid w:val="0007316E"/>
    <w:rsid w:val="00074775"/>
    <w:rsid w:val="00084E84"/>
    <w:rsid w:val="00091677"/>
    <w:rsid w:val="00097033"/>
    <w:rsid w:val="000A32A5"/>
    <w:rsid w:val="000A42D0"/>
    <w:rsid w:val="000A4882"/>
    <w:rsid w:val="000B22BD"/>
    <w:rsid w:val="000B29A9"/>
    <w:rsid w:val="000B2B0A"/>
    <w:rsid w:val="000B3BA4"/>
    <w:rsid w:val="000C0570"/>
    <w:rsid w:val="000C07FF"/>
    <w:rsid w:val="000C30A1"/>
    <w:rsid w:val="000C31D1"/>
    <w:rsid w:val="000C65CD"/>
    <w:rsid w:val="000E0053"/>
    <w:rsid w:val="000E34E1"/>
    <w:rsid w:val="000F47AF"/>
    <w:rsid w:val="000F5907"/>
    <w:rsid w:val="00101489"/>
    <w:rsid w:val="00102154"/>
    <w:rsid w:val="00102ECD"/>
    <w:rsid w:val="00113805"/>
    <w:rsid w:val="001214EE"/>
    <w:rsid w:val="00121678"/>
    <w:rsid w:val="0012513D"/>
    <w:rsid w:val="0012659B"/>
    <w:rsid w:val="00130D53"/>
    <w:rsid w:val="00134CA7"/>
    <w:rsid w:val="00137A52"/>
    <w:rsid w:val="001456F4"/>
    <w:rsid w:val="00147F55"/>
    <w:rsid w:val="001501C2"/>
    <w:rsid w:val="00156202"/>
    <w:rsid w:val="00160858"/>
    <w:rsid w:val="00163D40"/>
    <w:rsid w:val="00173892"/>
    <w:rsid w:val="00173DFF"/>
    <w:rsid w:val="00182077"/>
    <w:rsid w:val="001833A9"/>
    <w:rsid w:val="001839AC"/>
    <w:rsid w:val="00185562"/>
    <w:rsid w:val="00185860"/>
    <w:rsid w:val="001A5ACB"/>
    <w:rsid w:val="001A6E37"/>
    <w:rsid w:val="001A7EBA"/>
    <w:rsid w:val="001B161E"/>
    <w:rsid w:val="001B1C83"/>
    <w:rsid w:val="001B39AF"/>
    <w:rsid w:val="001B5487"/>
    <w:rsid w:val="001C0E28"/>
    <w:rsid w:val="001D017E"/>
    <w:rsid w:val="001D1AFE"/>
    <w:rsid w:val="001D20F7"/>
    <w:rsid w:val="001D68CF"/>
    <w:rsid w:val="001D6D24"/>
    <w:rsid w:val="001E49AB"/>
    <w:rsid w:val="001E5E67"/>
    <w:rsid w:val="001E7FE6"/>
    <w:rsid w:val="001F2562"/>
    <w:rsid w:val="001F3194"/>
    <w:rsid w:val="001F5152"/>
    <w:rsid w:val="001F5B00"/>
    <w:rsid w:val="002038F0"/>
    <w:rsid w:val="00203A39"/>
    <w:rsid w:val="002070D9"/>
    <w:rsid w:val="00213B6B"/>
    <w:rsid w:val="00215C64"/>
    <w:rsid w:val="00220A49"/>
    <w:rsid w:val="00220B97"/>
    <w:rsid w:val="00224401"/>
    <w:rsid w:val="00230654"/>
    <w:rsid w:val="00235EFA"/>
    <w:rsid w:val="00237362"/>
    <w:rsid w:val="0023749E"/>
    <w:rsid w:val="00247768"/>
    <w:rsid w:val="00250926"/>
    <w:rsid w:val="00254588"/>
    <w:rsid w:val="00261883"/>
    <w:rsid w:val="00264047"/>
    <w:rsid w:val="00265FDE"/>
    <w:rsid w:val="002720A5"/>
    <w:rsid w:val="00276D04"/>
    <w:rsid w:val="00281DC4"/>
    <w:rsid w:val="002908E0"/>
    <w:rsid w:val="002977F1"/>
    <w:rsid w:val="002A3CA6"/>
    <w:rsid w:val="002B28A1"/>
    <w:rsid w:val="002B2BA4"/>
    <w:rsid w:val="002B3B4C"/>
    <w:rsid w:val="002C624C"/>
    <w:rsid w:val="002C62C1"/>
    <w:rsid w:val="002C6325"/>
    <w:rsid w:val="002D4D54"/>
    <w:rsid w:val="002E24C2"/>
    <w:rsid w:val="002E519B"/>
    <w:rsid w:val="002F0123"/>
    <w:rsid w:val="002F39A9"/>
    <w:rsid w:val="002F4C51"/>
    <w:rsid w:val="00303FF0"/>
    <w:rsid w:val="003118DC"/>
    <w:rsid w:val="00313A04"/>
    <w:rsid w:val="003158D7"/>
    <w:rsid w:val="00315D92"/>
    <w:rsid w:val="00322365"/>
    <w:rsid w:val="0032312D"/>
    <w:rsid w:val="0032538B"/>
    <w:rsid w:val="003303AA"/>
    <w:rsid w:val="0035000A"/>
    <w:rsid w:val="00353D34"/>
    <w:rsid w:val="003568F2"/>
    <w:rsid w:val="00361A70"/>
    <w:rsid w:val="0036251F"/>
    <w:rsid w:val="003644AB"/>
    <w:rsid w:val="00376456"/>
    <w:rsid w:val="00376765"/>
    <w:rsid w:val="0037769E"/>
    <w:rsid w:val="003842AE"/>
    <w:rsid w:val="0038550C"/>
    <w:rsid w:val="00387437"/>
    <w:rsid w:val="00391DC6"/>
    <w:rsid w:val="003935F0"/>
    <w:rsid w:val="003A30DF"/>
    <w:rsid w:val="003A3CC7"/>
    <w:rsid w:val="003A7F5F"/>
    <w:rsid w:val="003B0265"/>
    <w:rsid w:val="003B060A"/>
    <w:rsid w:val="003B7EF0"/>
    <w:rsid w:val="003C7102"/>
    <w:rsid w:val="003D7698"/>
    <w:rsid w:val="003D79BD"/>
    <w:rsid w:val="003D7D95"/>
    <w:rsid w:val="003E52EE"/>
    <w:rsid w:val="003E76B0"/>
    <w:rsid w:val="003F1E10"/>
    <w:rsid w:val="003F2D1E"/>
    <w:rsid w:val="00402296"/>
    <w:rsid w:val="004102F1"/>
    <w:rsid w:val="004160B8"/>
    <w:rsid w:val="004173ED"/>
    <w:rsid w:val="004318D2"/>
    <w:rsid w:val="00432E91"/>
    <w:rsid w:val="00435412"/>
    <w:rsid w:val="00444B8E"/>
    <w:rsid w:val="00447FB5"/>
    <w:rsid w:val="00451246"/>
    <w:rsid w:val="00452566"/>
    <w:rsid w:val="00457146"/>
    <w:rsid w:val="00464552"/>
    <w:rsid w:val="00464770"/>
    <w:rsid w:val="004802D9"/>
    <w:rsid w:val="0048379E"/>
    <w:rsid w:val="0048602B"/>
    <w:rsid w:val="00487B8D"/>
    <w:rsid w:val="004909E5"/>
    <w:rsid w:val="0049141C"/>
    <w:rsid w:val="004A07CF"/>
    <w:rsid w:val="004A07FB"/>
    <w:rsid w:val="004A434A"/>
    <w:rsid w:val="004A7114"/>
    <w:rsid w:val="004B15AD"/>
    <w:rsid w:val="004B3E5A"/>
    <w:rsid w:val="004B3FE0"/>
    <w:rsid w:val="004B4329"/>
    <w:rsid w:val="004B4FBA"/>
    <w:rsid w:val="004B7959"/>
    <w:rsid w:val="004C3F5E"/>
    <w:rsid w:val="004C4364"/>
    <w:rsid w:val="004D0370"/>
    <w:rsid w:val="004D1089"/>
    <w:rsid w:val="004D12E9"/>
    <w:rsid w:val="004D688D"/>
    <w:rsid w:val="004E3EC5"/>
    <w:rsid w:val="004F2C00"/>
    <w:rsid w:val="004F3B60"/>
    <w:rsid w:val="004F6938"/>
    <w:rsid w:val="004F7153"/>
    <w:rsid w:val="004F7351"/>
    <w:rsid w:val="00507A65"/>
    <w:rsid w:val="00511B64"/>
    <w:rsid w:val="00520528"/>
    <w:rsid w:val="0052233F"/>
    <w:rsid w:val="00524596"/>
    <w:rsid w:val="005272FC"/>
    <w:rsid w:val="005318B2"/>
    <w:rsid w:val="00533A2A"/>
    <w:rsid w:val="005364FF"/>
    <w:rsid w:val="00537DE9"/>
    <w:rsid w:val="00541DF7"/>
    <w:rsid w:val="0054316F"/>
    <w:rsid w:val="005445F6"/>
    <w:rsid w:val="00545CCA"/>
    <w:rsid w:val="00553559"/>
    <w:rsid w:val="005565CA"/>
    <w:rsid w:val="00564193"/>
    <w:rsid w:val="005702B2"/>
    <w:rsid w:val="00574B65"/>
    <w:rsid w:val="005754B8"/>
    <w:rsid w:val="00581C66"/>
    <w:rsid w:val="00586C9B"/>
    <w:rsid w:val="00590DC3"/>
    <w:rsid w:val="005A18FF"/>
    <w:rsid w:val="005A1A83"/>
    <w:rsid w:val="005A23A0"/>
    <w:rsid w:val="005A74F1"/>
    <w:rsid w:val="005B32C2"/>
    <w:rsid w:val="005B4825"/>
    <w:rsid w:val="005B77A3"/>
    <w:rsid w:val="005C4F6E"/>
    <w:rsid w:val="005D0948"/>
    <w:rsid w:val="005E43B7"/>
    <w:rsid w:val="005E5E94"/>
    <w:rsid w:val="005E6B5B"/>
    <w:rsid w:val="005E7373"/>
    <w:rsid w:val="00601503"/>
    <w:rsid w:val="00602F6A"/>
    <w:rsid w:val="00604DC9"/>
    <w:rsid w:val="00612FDB"/>
    <w:rsid w:val="006138B8"/>
    <w:rsid w:val="006202BE"/>
    <w:rsid w:val="00620F91"/>
    <w:rsid w:val="006210FD"/>
    <w:rsid w:val="00625A6E"/>
    <w:rsid w:val="00625BB0"/>
    <w:rsid w:val="0064027F"/>
    <w:rsid w:val="006508A0"/>
    <w:rsid w:val="00651906"/>
    <w:rsid w:val="00651FDC"/>
    <w:rsid w:val="00653DDB"/>
    <w:rsid w:val="00654F9E"/>
    <w:rsid w:val="00663246"/>
    <w:rsid w:val="00663885"/>
    <w:rsid w:val="00677C34"/>
    <w:rsid w:val="006811D4"/>
    <w:rsid w:val="00684047"/>
    <w:rsid w:val="00687B88"/>
    <w:rsid w:val="006953F4"/>
    <w:rsid w:val="00696D49"/>
    <w:rsid w:val="006A06CE"/>
    <w:rsid w:val="006A3757"/>
    <w:rsid w:val="006A47D1"/>
    <w:rsid w:val="006A63AD"/>
    <w:rsid w:val="006A66DC"/>
    <w:rsid w:val="006B2200"/>
    <w:rsid w:val="006B2B83"/>
    <w:rsid w:val="006B52E4"/>
    <w:rsid w:val="006C06B5"/>
    <w:rsid w:val="006C5A8C"/>
    <w:rsid w:val="006C6FD5"/>
    <w:rsid w:val="006C78C1"/>
    <w:rsid w:val="006D19BE"/>
    <w:rsid w:val="006D28E5"/>
    <w:rsid w:val="006D665E"/>
    <w:rsid w:val="006F163A"/>
    <w:rsid w:val="006F7DB4"/>
    <w:rsid w:val="007069EA"/>
    <w:rsid w:val="0071178E"/>
    <w:rsid w:val="0072105D"/>
    <w:rsid w:val="00723292"/>
    <w:rsid w:val="0072354B"/>
    <w:rsid w:val="00733756"/>
    <w:rsid w:val="00747AF3"/>
    <w:rsid w:val="007539BF"/>
    <w:rsid w:val="0075601A"/>
    <w:rsid w:val="0077377C"/>
    <w:rsid w:val="007755D0"/>
    <w:rsid w:val="007768B2"/>
    <w:rsid w:val="00785275"/>
    <w:rsid w:val="0079616F"/>
    <w:rsid w:val="00797AC9"/>
    <w:rsid w:val="007A1937"/>
    <w:rsid w:val="007A1D76"/>
    <w:rsid w:val="007A6903"/>
    <w:rsid w:val="007B1F24"/>
    <w:rsid w:val="007B27BC"/>
    <w:rsid w:val="007B2D59"/>
    <w:rsid w:val="007B3D3C"/>
    <w:rsid w:val="007B6B71"/>
    <w:rsid w:val="007C0BF0"/>
    <w:rsid w:val="007C4C49"/>
    <w:rsid w:val="007D1DE3"/>
    <w:rsid w:val="007D6987"/>
    <w:rsid w:val="007E51BD"/>
    <w:rsid w:val="007F3E41"/>
    <w:rsid w:val="007F7C03"/>
    <w:rsid w:val="008016E7"/>
    <w:rsid w:val="0080380D"/>
    <w:rsid w:val="0080629E"/>
    <w:rsid w:val="00806311"/>
    <w:rsid w:val="00821301"/>
    <w:rsid w:val="00824341"/>
    <w:rsid w:val="00825524"/>
    <w:rsid w:val="00830927"/>
    <w:rsid w:val="008353DE"/>
    <w:rsid w:val="00835785"/>
    <w:rsid w:val="00842153"/>
    <w:rsid w:val="0084490D"/>
    <w:rsid w:val="0085119C"/>
    <w:rsid w:val="008557DC"/>
    <w:rsid w:val="00863B4A"/>
    <w:rsid w:val="00872641"/>
    <w:rsid w:val="00873C07"/>
    <w:rsid w:val="00877237"/>
    <w:rsid w:val="00881FED"/>
    <w:rsid w:val="0088209E"/>
    <w:rsid w:val="008826CD"/>
    <w:rsid w:val="008870C0"/>
    <w:rsid w:val="00891B8E"/>
    <w:rsid w:val="008922C0"/>
    <w:rsid w:val="008942BA"/>
    <w:rsid w:val="00894D5D"/>
    <w:rsid w:val="00897D9E"/>
    <w:rsid w:val="008A06DB"/>
    <w:rsid w:val="008B10EC"/>
    <w:rsid w:val="008B2226"/>
    <w:rsid w:val="008B4218"/>
    <w:rsid w:val="008B4CB1"/>
    <w:rsid w:val="008C01EF"/>
    <w:rsid w:val="008C0959"/>
    <w:rsid w:val="008C3979"/>
    <w:rsid w:val="008C49AF"/>
    <w:rsid w:val="008C65FB"/>
    <w:rsid w:val="008D1BDF"/>
    <w:rsid w:val="008D1E40"/>
    <w:rsid w:val="008E59EA"/>
    <w:rsid w:val="008E6927"/>
    <w:rsid w:val="009024D0"/>
    <w:rsid w:val="0090443B"/>
    <w:rsid w:val="00904B30"/>
    <w:rsid w:val="009054E1"/>
    <w:rsid w:val="00906B24"/>
    <w:rsid w:val="00911F9E"/>
    <w:rsid w:val="009163C2"/>
    <w:rsid w:val="009167FE"/>
    <w:rsid w:val="00923F2C"/>
    <w:rsid w:val="0093106F"/>
    <w:rsid w:val="00933756"/>
    <w:rsid w:val="00935ED2"/>
    <w:rsid w:val="009449A3"/>
    <w:rsid w:val="009507E8"/>
    <w:rsid w:val="009516B2"/>
    <w:rsid w:val="00957A9A"/>
    <w:rsid w:val="00960475"/>
    <w:rsid w:val="00962029"/>
    <w:rsid w:val="00962AE2"/>
    <w:rsid w:val="009743A3"/>
    <w:rsid w:val="00975AAC"/>
    <w:rsid w:val="00981F0B"/>
    <w:rsid w:val="00987B7D"/>
    <w:rsid w:val="00992666"/>
    <w:rsid w:val="009A316C"/>
    <w:rsid w:val="009A5756"/>
    <w:rsid w:val="009A62E4"/>
    <w:rsid w:val="009A6545"/>
    <w:rsid w:val="009C0B80"/>
    <w:rsid w:val="009C34B5"/>
    <w:rsid w:val="009C4E4C"/>
    <w:rsid w:val="009C530C"/>
    <w:rsid w:val="009C7EAE"/>
    <w:rsid w:val="009E102A"/>
    <w:rsid w:val="009F18A1"/>
    <w:rsid w:val="009F5950"/>
    <w:rsid w:val="009F5D19"/>
    <w:rsid w:val="00A02760"/>
    <w:rsid w:val="00A057B2"/>
    <w:rsid w:val="00A142A1"/>
    <w:rsid w:val="00A16F11"/>
    <w:rsid w:val="00A21D62"/>
    <w:rsid w:val="00A2294B"/>
    <w:rsid w:val="00A30C2E"/>
    <w:rsid w:val="00A319F9"/>
    <w:rsid w:val="00A4013D"/>
    <w:rsid w:val="00A44B45"/>
    <w:rsid w:val="00A503F5"/>
    <w:rsid w:val="00A611AD"/>
    <w:rsid w:val="00A618CF"/>
    <w:rsid w:val="00A63014"/>
    <w:rsid w:val="00A67EFF"/>
    <w:rsid w:val="00A70225"/>
    <w:rsid w:val="00A71B59"/>
    <w:rsid w:val="00A73772"/>
    <w:rsid w:val="00A755B0"/>
    <w:rsid w:val="00A758C0"/>
    <w:rsid w:val="00A7631B"/>
    <w:rsid w:val="00A76522"/>
    <w:rsid w:val="00A76557"/>
    <w:rsid w:val="00A76A49"/>
    <w:rsid w:val="00A8314C"/>
    <w:rsid w:val="00A85D1E"/>
    <w:rsid w:val="00AA08F0"/>
    <w:rsid w:val="00AA5553"/>
    <w:rsid w:val="00AB7AF5"/>
    <w:rsid w:val="00AD2491"/>
    <w:rsid w:val="00AD486C"/>
    <w:rsid w:val="00AE6934"/>
    <w:rsid w:val="00AE768B"/>
    <w:rsid w:val="00AF04FC"/>
    <w:rsid w:val="00B03D02"/>
    <w:rsid w:val="00B03F71"/>
    <w:rsid w:val="00B07361"/>
    <w:rsid w:val="00B206CF"/>
    <w:rsid w:val="00B20EE3"/>
    <w:rsid w:val="00B2161F"/>
    <w:rsid w:val="00B23671"/>
    <w:rsid w:val="00B31DAF"/>
    <w:rsid w:val="00B31DDC"/>
    <w:rsid w:val="00B32CA7"/>
    <w:rsid w:val="00B335ED"/>
    <w:rsid w:val="00B33A5A"/>
    <w:rsid w:val="00B33BD3"/>
    <w:rsid w:val="00B41C3A"/>
    <w:rsid w:val="00B46DBC"/>
    <w:rsid w:val="00B54EEB"/>
    <w:rsid w:val="00B6552A"/>
    <w:rsid w:val="00B72581"/>
    <w:rsid w:val="00B74915"/>
    <w:rsid w:val="00B76812"/>
    <w:rsid w:val="00B76AC1"/>
    <w:rsid w:val="00B81D3C"/>
    <w:rsid w:val="00B84A03"/>
    <w:rsid w:val="00B8667D"/>
    <w:rsid w:val="00B911D6"/>
    <w:rsid w:val="00B913C8"/>
    <w:rsid w:val="00BA4D4F"/>
    <w:rsid w:val="00BB0E33"/>
    <w:rsid w:val="00BB412D"/>
    <w:rsid w:val="00BB42FB"/>
    <w:rsid w:val="00BC064B"/>
    <w:rsid w:val="00BD0A04"/>
    <w:rsid w:val="00BD5811"/>
    <w:rsid w:val="00BD5C1A"/>
    <w:rsid w:val="00BD6324"/>
    <w:rsid w:val="00BE2171"/>
    <w:rsid w:val="00BF3F89"/>
    <w:rsid w:val="00BF4726"/>
    <w:rsid w:val="00BF4C4E"/>
    <w:rsid w:val="00C10454"/>
    <w:rsid w:val="00C10C37"/>
    <w:rsid w:val="00C122EF"/>
    <w:rsid w:val="00C20C34"/>
    <w:rsid w:val="00C23C19"/>
    <w:rsid w:val="00C25AC8"/>
    <w:rsid w:val="00C25E54"/>
    <w:rsid w:val="00C46281"/>
    <w:rsid w:val="00C46773"/>
    <w:rsid w:val="00C5066E"/>
    <w:rsid w:val="00C570B1"/>
    <w:rsid w:val="00C5773A"/>
    <w:rsid w:val="00C57A99"/>
    <w:rsid w:val="00C67EAA"/>
    <w:rsid w:val="00C714C9"/>
    <w:rsid w:val="00C80C80"/>
    <w:rsid w:val="00C819BE"/>
    <w:rsid w:val="00C825B9"/>
    <w:rsid w:val="00C8506A"/>
    <w:rsid w:val="00C93009"/>
    <w:rsid w:val="00C947EA"/>
    <w:rsid w:val="00C96F78"/>
    <w:rsid w:val="00CA1D72"/>
    <w:rsid w:val="00CA3701"/>
    <w:rsid w:val="00CA7F69"/>
    <w:rsid w:val="00CB117D"/>
    <w:rsid w:val="00CC11AD"/>
    <w:rsid w:val="00CC4CD1"/>
    <w:rsid w:val="00CE21CA"/>
    <w:rsid w:val="00CE3DEB"/>
    <w:rsid w:val="00CE4EB7"/>
    <w:rsid w:val="00CE6B06"/>
    <w:rsid w:val="00CF2B80"/>
    <w:rsid w:val="00CF6DF3"/>
    <w:rsid w:val="00CF78BE"/>
    <w:rsid w:val="00D0397D"/>
    <w:rsid w:val="00D04C61"/>
    <w:rsid w:val="00D0639F"/>
    <w:rsid w:val="00D0789C"/>
    <w:rsid w:val="00D14D91"/>
    <w:rsid w:val="00D21F03"/>
    <w:rsid w:val="00D35E4C"/>
    <w:rsid w:val="00D416C7"/>
    <w:rsid w:val="00D47E1C"/>
    <w:rsid w:val="00D547BB"/>
    <w:rsid w:val="00D55B23"/>
    <w:rsid w:val="00D55DE1"/>
    <w:rsid w:val="00D5755C"/>
    <w:rsid w:val="00D72311"/>
    <w:rsid w:val="00D85527"/>
    <w:rsid w:val="00D8675F"/>
    <w:rsid w:val="00D91B2B"/>
    <w:rsid w:val="00D936EE"/>
    <w:rsid w:val="00D9497A"/>
    <w:rsid w:val="00D95580"/>
    <w:rsid w:val="00D95983"/>
    <w:rsid w:val="00DA07A9"/>
    <w:rsid w:val="00DB5DBA"/>
    <w:rsid w:val="00DB5EC2"/>
    <w:rsid w:val="00DB76F9"/>
    <w:rsid w:val="00DC2DD0"/>
    <w:rsid w:val="00DD620E"/>
    <w:rsid w:val="00DE54E5"/>
    <w:rsid w:val="00DE6542"/>
    <w:rsid w:val="00DF04F3"/>
    <w:rsid w:val="00DF267D"/>
    <w:rsid w:val="00DF34D7"/>
    <w:rsid w:val="00E00D34"/>
    <w:rsid w:val="00E0499B"/>
    <w:rsid w:val="00E10E3F"/>
    <w:rsid w:val="00E134C0"/>
    <w:rsid w:val="00E15AC7"/>
    <w:rsid w:val="00E3136E"/>
    <w:rsid w:val="00E3307A"/>
    <w:rsid w:val="00E35E81"/>
    <w:rsid w:val="00E46D8C"/>
    <w:rsid w:val="00E50449"/>
    <w:rsid w:val="00E50F54"/>
    <w:rsid w:val="00E915B4"/>
    <w:rsid w:val="00E93CE4"/>
    <w:rsid w:val="00E96337"/>
    <w:rsid w:val="00EA622B"/>
    <w:rsid w:val="00EC71FB"/>
    <w:rsid w:val="00EE0567"/>
    <w:rsid w:val="00EE3CDE"/>
    <w:rsid w:val="00EE4907"/>
    <w:rsid w:val="00EF10C8"/>
    <w:rsid w:val="00EF7400"/>
    <w:rsid w:val="00F026AB"/>
    <w:rsid w:val="00F03D8D"/>
    <w:rsid w:val="00F045C0"/>
    <w:rsid w:val="00F04DCA"/>
    <w:rsid w:val="00F04FCF"/>
    <w:rsid w:val="00F143E8"/>
    <w:rsid w:val="00F16167"/>
    <w:rsid w:val="00F1706D"/>
    <w:rsid w:val="00F21141"/>
    <w:rsid w:val="00F24AC6"/>
    <w:rsid w:val="00F25243"/>
    <w:rsid w:val="00F31B0E"/>
    <w:rsid w:val="00F32C29"/>
    <w:rsid w:val="00F37E21"/>
    <w:rsid w:val="00F40B21"/>
    <w:rsid w:val="00F57B44"/>
    <w:rsid w:val="00F57CD4"/>
    <w:rsid w:val="00F64AE8"/>
    <w:rsid w:val="00F66E68"/>
    <w:rsid w:val="00F7034E"/>
    <w:rsid w:val="00F72B79"/>
    <w:rsid w:val="00F72CD9"/>
    <w:rsid w:val="00F75C7D"/>
    <w:rsid w:val="00F77E36"/>
    <w:rsid w:val="00F8090C"/>
    <w:rsid w:val="00F829D7"/>
    <w:rsid w:val="00F905E4"/>
    <w:rsid w:val="00F928E7"/>
    <w:rsid w:val="00FA302E"/>
    <w:rsid w:val="00FA4D9E"/>
    <w:rsid w:val="00FB0506"/>
    <w:rsid w:val="00FB1104"/>
    <w:rsid w:val="00FB5BD8"/>
    <w:rsid w:val="00FB6A81"/>
    <w:rsid w:val="00FC72AB"/>
    <w:rsid w:val="00FD5DFC"/>
    <w:rsid w:val="00FD6C56"/>
    <w:rsid w:val="00FD7719"/>
    <w:rsid w:val="00FF5067"/>
    <w:rsid w:val="014321CF"/>
    <w:rsid w:val="01B96600"/>
    <w:rsid w:val="03223642"/>
    <w:rsid w:val="04744140"/>
    <w:rsid w:val="04C91DDD"/>
    <w:rsid w:val="05016971"/>
    <w:rsid w:val="073A49ED"/>
    <w:rsid w:val="074B3828"/>
    <w:rsid w:val="0A214A81"/>
    <w:rsid w:val="0B10528D"/>
    <w:rsid w:val="0B624EAC"/>
    <w:rsid w:val="0C21317F"/>
    <w:rsid w:val="0CF730C0"/>
    <w:rsid w:val="0E4A0E75"/>
    <w:rsid w:val="10C13C1A"/>
    <w:rsid w:val="129309E5"/>
    <w:rsid w:val="15031953"/>
    <w:rsid w:val="15973FBD"/>
    <w:rsid w:val="15B61EE1"/>
    <w:rsid w:val="168458A3"/>
    <w:rsid w:val="16DB3D04"/>
    <w:rsid w:val="171A7F5F"/>
    <w:rsid w:val="178B35AC"/>
    <w:rsid w:val="17E55A4A"/>
    <w:rsid w:val="1921490B"/>
    <w:rsid w:val="1A222FA6"/>
    <w:rsid w:val="1AA90387"/>
    <w:rsid w:val="1B8354CA"/>
    <w:rsid w:val="1C1B0961"/>
    <w:rsid w:val="1C5E4210"/>
    <w:rsid w:val="1CF667B7"/>
    <w:rsid w:val="1DCC7F2C"/>
    <w:rsid w:val="1EB25109"/>
    <w:rsid w:val="1F3B16D9"/>
    <w:rsid w:val="1FA2513B"/>
    <w:rsid w:val="1FCA0104"/>
    <w:rsid w:val="1FF70995"/>
    <w:rsid w:val="1FFE77D4"/>
    <w:rsid w:val="217A2882"/>
    <w:rsid w:val="2371324D"/>
    <w:rsid w:val="24251003"/>
    <w:rsid w:val="24A72412"/>
    <w:rsid w:val="254273F5"/>
    <w:rsid w:val="25FA1975"/>
    <w:rsid w:val="26C64E1B"/>
    <w:rsid w:val="26EF607B"/>
    <w:rsid w:val="287C51B8"/>
    <w:rsid w:val="29B40B91"/>
    <w:rsid w:val="2CBF48A5"/>
    <w:rsid w:val="2D8257CA"/>
    <w:rsid w:val="2E181663"/>
    <w:rsid w:val="2E583E1E"/>
    <w:rsid w:val="2EBB333A"/>
    <w:rsid w:val="304E1668"/>
    <w:rsid w:val="30C542F2"/>
    <w:rsid w:val="30DF5E28"/>
    <w:rsid w:val="320A17BF"/>
    <w:rsid w:val="322E5BD9"/>
    <w:rsid w:val="327825C7"/>
    <w:rsid w:val="32BE5DE8"/>
    <w:rsid w:val="33B345B1"/>
    <w:rsid w:val="347E5C7F"/>
    <w:rsid w:val="34A5345A"/>
    <w:rsid w:val="34A9237B"/>
    <w:rsid w:val="36C416D3"/>
    <w:rsid w:val="37FF2253"/>
    <w:rsid w:val="38913CCA"/>
    <w:rsid w:val="3AD935DF"/>
    <w:rsid w:val="3BFC5960"/>
    <w:rsid w:val="3C123F61"/>
    <w:rsid w:val="3C9127DD"/>
    <w:rsid w:val="3C935704"/>
    <w:rsid w:val="3FFF6F93"/>
    <w:rsid w:val="40A51C62"/>
    <w:rsid w:val="418A518D"/>
    <w:rsid w:val="44387D44"/>
    <w:rsid w:val="451D3EDE"/>
    <w:rsid w:val="45B06306"/>
    <w:rsid w:val="48C56315"/>
    <w:rsid w:val="498143B1"/>
    <w:rsid w:val="4A502C22"/>
    <w:rsid w:val="4B2D69D9"/>
    <w:rsid w:val="4CC5453B"/>
    <w:rsid w:val="4D2575E0"/>
    <w:rsid w:val="4DB74C4E"/>
    <w:rsid w:val="4E991B3B"/>
    <w:rsid w:val="4F1A5CB3"/>
    <w:rsid w:val="4F746901"/>
    <w:rsid w:val="4FFC88D1"/>
    <w:rsid w:val="51630881"/>
    <w:rsid w:val="518B7152"/>
    <w:rsid w:val="51EB6DEA"/>
    <w:rsid w:val="521C7F29"/>
    <w:rsid w:val="523E42AA"/>
    <w:rsid w:val="52503BFB"/>
    <w:rsid w:val="52EB4F1D"/>
    <w:rsid w:val="53847FA1"/>
    <w:rsid w:val="553E6708"/>
    <w:rsid w:val="55897D2B"/>
    <w:rsid w:val="570C1A28"/>
    <w:rsid w:val="577D368C"/>
    <w:rsid w:val="57935E77"/>
    <w:rsid w:val="579D639B"/>
    <w:rsid w:val="57C11BB3"/>
    <w:rsid w:val="58356410"/>
    <w:rsid w:val="58902502"/>
    <w:rsid w:val="59427A68"/>
    <w:rsid w:val="5A20202E"/>
    <w:rsid w:val="5A5B57D2"/>
    <w:rsid w:val="5A9A092F"/>
    <w:rsid w:val="5A9A2998"/>
    <w:rsid w:val="5A9E68E3"/>
    <w:rsid w:val="5B7A795A"/>
    <w:rsid w:val="5B7E4788"/>
    <w:rsid w:val="5B9C1952"/>
    <w:rsid w:val="5C330F96"/>
    <w:rsid w:val="5D285CE7"/>
    <w:rsid w:val="5D8F0077"/>
    <w:rsid w:val="5DF27CBC"/>
    <w:rsid w:val="5E236089"/>
    <w:rsid w:val="5F0A57B6"/>
    <w:rsid w:val="5FD13BBC"/>
    <w:rsid w:val="5FF3303E"/>
    <w:rsid w:val="61196C3C"/>
    <w:rsid w:val="63FB1F92"/>
    <w:rsid w:val="64226735"/>
    <w:rsid w:val="64D42BBC"/>
    <w:rsid w:val="66BF14FB"/>
    <w:rsid w:val="66EB5ED1"/>
    <w:rsid w:val="67E773C5"/>
    <w:rsid w:val="68AC5EC6"/>
    <w:rsid w:val="694A1FC1"/>
    <w:rsid w:val="696823DA"/>
    <w:rsid w:val="696A4484"/>
    <w:rsid w:val="696D1619"/>
    <w:rsid w:val="6A9576A6"/>
    <w:rsid w:val="6B0763B5"/>
    <w:rsid w:val="6D033D67"/>
    <w:rsid w:val="6DE07C93"/>
    <w:rsid w:val="6EF6B425"/>
    <w:rsid w:val="6F2C3114"/>
    <w:rsid w:val="7038189F"/>
    <w:rsid w:val="707767D8"/>
    <w:rsid w:val="71CD3246"/>
    <w:rsid w:val="72576569"/>
    <w:rsid w:val="72837C9D"/>
    <w:rsid w:val="73526E33"/>
    <w:rsid w:val="736A5D17"/>
    <w:rsid w:val="73EFA0F7"/>
    <w:rsid w:val="753A03D8"/>
    <w:rsid w:val="76317A63"/>
    <w:rsid w:val="77343598"/>
    <w:rsid w:val="77A8287B"/>
    <w:rsid w:val="77E96FDE"/>
    <w:rsid w:val="782B5720"/>
    <w:rsid w:val="789404EA"/>
    <w:rsid w:val="78D105FB"/>
    <w:rsid w:val="79835A84"/>
    <w:rsid w:val="7A8C0F38"/>
    <w:rsid w:val="7AC62EF3"/>
    <w:rsid w:val="7B932418"/>
    <w:rsid w:val="7D863AF7"/>
    <w:rsid w:val="7DFFEF30"/>
    <w:rsid w:val="7EA7629D"/>
    <w:rsid w:val="7F92620C"/>
    <w:rsid w:val="7FC03315"/>
    <w:rsid w:val="9CFF7EB0"/>
    <w:rsid w:val="DA5FF31F"/>
    <w:rsid w:val="EBAFB7CB"/>
    <w:rsid w:val="EE5E0891"/>
    <w:rsid w:val="F37BEE4A"/>
    <w:rsid w:val="FBFFF275"/>
    <w:rsid w:val="FDEEC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 w:cs="Times New Roman"/>
      <w:b/>
      <w:sz w:val="32"/>
      <w:szCs w:val="20"/>
      <w:lang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5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8"/>
    <w:unhideWhenUsed/>
    <w:qFormat/>
    <w:uiPriority w:val="99"/>
  </w:style>
  <w:style w:type="paragraph" w:styleId="7">
    <w:name w:val="Body Text"/>
    <w:basedOn w:val="1"/>
    <w:qFormat/>
    <w:uiPriority w:val="1"/>
    <w:pPr>
      <w:spacing w:before="27"/>
      <w:ind w:left="212"/>
    </w:pPr>
    <w:rPr>
      <w:rFonts w:ascii="宋体" w:hAnsi="宋体" w:eastAsia="宋体"/>
      <w:sz w:val="21"/>
      <w:szCs w:val="21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15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FollowedHyperlink"/>
    <w:basedOn w:val="18"/>
    <w:qFormat/>
    <w:uiPriority w:val="0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unhideWhenUsed/>
    <w:qFormat/>
    <w:uiPriority w:val="99"/>
    <w:rPr>
      <w:sz w:val="21"/>
      <w:szCs w:val="21"/>
    </w:rPr>
  </w:style>
  <w:style w:type="table" w:customStyle="1" w:styleId="2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页眉 字符"/>
    <w:basedOn w:val="18"/>
    <w:link w:val="11"/>
    <w:semiHidden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0"/>
    <w:semiHidden/>
    <w:qFormat/>
    <w:uiPriority w:val="99"/>
    <w:rPr>
      <w:sz w:val="18"/>
      <w:szCs w:val="18"/>
    </w:rPr>
  </w:style>
  <w:style w:type="character" w:customStyle="1" w:styleId="27">
    <w:name w:val="批注框文本 字符"/>
    <w:basedOn w:val="18"/>
    <w:link w:val="9"/>
    <w:semiHidden/>
    <w:qFormat/>
    <w:uiPriority w:val="99"/>
    <w:rPr>
      <w:sz w:val="18"/>
      <w:szCs w:val="18"/>
    </w:rPr>
  </w:style>
  <w:style w:type="character" w:customStyle="1" w:styleId="28">
    <w:name w:val="批注文字 字符"/>
    <w:basedOn w:val="18"/>
    <w:link w:val="6"/>
    <w:semiHidden/>
    <w:qFormat/>
    <w:uiPriority w:val="99"/>
  </w:style>
  <w:style w:type="character" w:customStyle="1" w:styleId="29">
    <w:name w:val="批注主题 字符"/>
    <w:basedOn w:val="28"/>
    <w:link w:val="15"/>
    <w:semiHidden/>
    <w:qFormat/>
    <w:uiPriority w:val="99"/>
    <w:rPr>
      <w:b/>
      <w:bCs/>
    </w:rPr>
  </w:style>
  <w:style w:type="character" w:styleId="30">
    <w:name w:val="Placeholder Text"/>
    <w:basedOn w:val="18"/>
    <w:semiHidden/>
    <w:qFormat/>
    <w:uiPriority w:val="99"/>
    <w:rPr>
      <w:color w:val="808080"/>
    </w:rPr>
  </w:style>
  <w:style w:type="character" w:customStyle="1" w:styleId="31">
    <w:name w:val="标题 3 字符"/>
    <w:basedOn w:val="18"/>
    <w:link w:val="4"/>
    <w:qFormat/>
    <w:uiPriority w:val="0"/>
    <w:rPr>
      <w:rFonts w:ascii="Times New Roman" w:hAnsi="Times New Roman" w:eastAsia="宋体" w:cs="Times New Roman"/>
      <w:b/>
      <w:sz w:val="32"/>
      <w:szCs w:val="20"/>
      <w:lang w:eastAsia="zh-CN"/>
    </w:rPr>
  </w:style>
  <w:style w:type="paragraph" w:customStyle="1" w:styleId="32">
    <w:name w:val="列出段落1"/>
    <w:basedOn w:val="1"/>
    <w:qFormat/>
    <w:uiPriority w:val="0"/>
    <w:pPr>
      <w:widowControl/>
      <w:ind w:left="72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3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  <w:lang w:eastAsia="zh-CN"/>
    </w:rPr>
  </w:style>
  <w:style w:type="character" w:customStyle="1" w:styleId="35">
    <w:name w:val="文档结构图 字符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36">
    <w:name w:val="标题 2 字符"/>
    <w:basedOn w:val="18"/>
    <w:link w:val="3"/>
    <w:qFormat/>
    <w:uiPriority w:val="0"/>
    <w:rPr>
      <w:rFonts w:ascii="Calibri Light" w:hAnsi="Calibri Light" w:eastAsia="宋体" w:cs="Times New Roman"/>
      <w:b/>
      <w:sz w:val="32"/>
      <w:szCs w:val="32"/>
    </w:rPr>
  </w:style>
  <w:style w:type="paragraph" w:customStyle="1" w:styleId="37">
    <w:name w:val="正文文本 （2）1"/>
    <w:basedOn w:val="1"/>
    <w:qFormat/>
    <w:uiPriority w:val="0"/>
    <w:pPr>
      <w:widowControl/>
      <w:shd w:val="clear" w:color="040000" w:fill="FFFFFF"/>
      <w:spacing w:line="309" w:lineRule="atLeast"/>
      <w:ind w:hanging="160"/>
      <w:jc w:val="distribute"/>
    </w:pPr>
    <w:rPr>
      <w:rFonts w:hint="eastAsia" w:ascii="宋体" w:hAnsi="宋体" w:eastAsia="宋体" w:cs="宋体"/>
      <w:spacing w:val="10"/>
    </w:rPr>
  </w:style>
  <w:style w:type="character" w:customStyle="1" w:styleId="38">
    <w:name w:val="正文文本 （2） + 粗体"/>
    <w:basedOn w:val="18"/>
    <w:qFormat/>
    <w:uiPriority w:val="0"/>
    <w:rPr>
      <w:rFonts w:hint="eastAsia" w:ascii="宋体" w:hAnsi="宋体" w:eastAsia="宋体" w:cs="宋体"/>
      <w:b/>
      <w:spacing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2003</Words>
  <Characters>11420</Characters>
  <Lines>95</Lines>
  <Paragraphs>26</Paragraphs>
  <TotalTime>0</TotalTime>
  <ScaleCrop>false</ScaleCrop>
  <LinksUpToDate>false</LinksUpToDate>
  <CharactersWithSpaces>13397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2023-07-26T22:40:00Z</dcterms:created>
  <dc:creator>雷帆</dc:creator>
  <cp:lastModifiedBy>uos</cp:lastModifiedBy>
  <cp:lastPrinted>2023-07-18T03:05:00Z</cp:lastPrinted>
  <dcterms:modified xsi:type="dcterms:W3CDTF">2023-07-28T18:24:41Z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2015-10-27T00:00:00Z</vt:filetime>
  </property>
  <property fmtid="{D5CDD505-2E9C-101B-9397-08002B2CF9AE}" pid="4" name="KSOProductBuildVer">
    <vt:lpwstr>2052-11.8.2.10125</vt:lpwstr>
  </property>
  <property fmtid="{D5CDD505-2E9C-101B-9397-08002B2CF9AE}" pid="5" name="KSORubyTemplateID" linkTarget="0">
    <vt:lpwstr>6</vt:lpwstr>
  </property>
  <property fmtid="{D5CDD505-2E9C-101B-9397-08002B2CF9AE}" pid="6" name="ICV">
    <vt:lpwstr>676918FB9C1D4FAEA994A22849BE0A25_13</vt:lpwstr>
  </property>
</Properties>
</file>