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rPr>
          <w:rFonts w:hint="eastAsia" w:ascii="黑体" w:hAnsi="黑体" w:eastAsia="黑体"/>
          <w:bCs/>
          <w:sz w:val="32"/>
          <w:szCs w:val="32"/>
          <w:lang w:eastAsia="zh-CN"/>
        </w:rPr>
      </w:pPr>
      <w:r>
        <w:rPr>
          <w:rFonts w:hint="eastAsia" w:ascii="黑体" w:hAnsi="黑体" w:eastAsia="黑体"/>
          <w:bCs/>
          <w:sz w:val="32"/>
          <w:szCs w:val="32"/>
          <w:lang w:eastAsia="zh-CN"/>
        </w:rPr>
        <w:t>海南省中药材标准征求意见稿</w:t>
      </w:r>
    </w:p>
    <w:p>
      <w:pPr>
        <w:adjustRightInd w:val="0"/>
        <w:spacing w:line="360" w:lineRule="auto"/>
        <w:jc w:val="center"/>
        <w:rPr>
          <w:rFonts w:ascii="Times New Roman" w:hAnsi="Times New Roman" w:eastAsia="黑体" w:cs="Times New Roman"/>
          <w:bCs/>
          <w:sz w:val="32"/>
          <w:szCs w:val="32"/>
        </w:rPr>
      </w:pPr>
      <w:r>
        <w:rPr>
          <w:rFonts w:ascii="Times New Roman" w:hAnsi="Times New Roman" w:eastAsia="黑体" w:cs="Times New Roman"/>
          <w:bCs/>
          <w:sz w:val="32"/>
          <w:szCs w:val="32"/>
        </w:rPr>
        <w:t>蛇泡筋</w:t>
      </w:r>
    </w:p>
    <w:p>
      <w:pPr>
        <w:adjustRightInd w:val="0"/>
        <w:spacing w:line="360" w:lineRule="auto"/>
        <w:jc w:val="center"/>
        <w:rPr>
          <w:rFonts w:ascii="Times New Roman" w:hAnsi="Times New Roman" w:eastAsia="黑体" w:cs="Times New Roman"/>
          <w:bCs/>
        </w:rPr>
      </w:pPr>
      <w:r>
        <w:rPr>
          <w:rFonts w:ascii="Times New Roman" w:hAnsi="Times New Roman" w:eastAsia="黑体" w:cs="Times New Roman"/>
          <w:bCs/>
        </w:rPr>
        <w:t>Shepaojin</w:t>
      </w:r>
    </w:p>
    <w:p>
      <w:pPr>
        <w:adjustRightInd w:val="0"/>
        <w:spacing w:line="360" w:lineRule="auto"/>
        <w:jc w:val="center"/>
        <w:rPr>
          <w:rFonts w:ascii="Times New Roman" w:hAnsi="Times New Roman" w:eastAsia="黑体" w:cs="Times New Roman"/>
          <w:bCs/>
        </w:rPr>
      </w:pPr>
      <w:r>
        <w:rPr>
          <w:rFonts w:ascii="Times New Roman" w:hAnsi="Times New Roman" w:cs="Times New Roman"/>
        </w:rPr>
        <w:t>RUBI</w:t>
      </w:r>
      <w:r>
        <w:rPr>
          <w:rFonts w:hint="eastAsia" w:ascii="Times New Roman" w:hAnsi="Times New Roman" w:cs="Times New Roman"/>
        </w:rPr>
        <w:t>COCHINENSIS RADIX</w:t>
      </w:r>
    </w:p>
    <w:p>
      <w:pPr>
        <w:adjustRightInd w:val="0"/>
        <w:spacing w:line="360" w:lineRule="auto"/>
        <w:ind w:firstLine="480" w:firstLineChars="200"/>
        <w:rPr>
          <w:rFonts w:ascii="Times New Roman" w:hAnsi="Times New Roman" w:cs="Times New Roman"/>
        </w:rPr>
      </w:pPr>
      <w:r>
        <w:rPr>
          <w:rFonts w:ascii="Times New Roman" w:cs="Times New Roman"/>
        </w:rPr>
        <w:t>本品为蔷薇科植物越南悬钩子</w:t>
      </w:r>
      <w:r>
        <w:rPr>
          <w:rFonts w:ascii="Times New Roman" w:hAnsi="Times New Roman" w:cs="Times New Roman"/>
          <w:i/>
        </w:rPr>
        <w:t>Rubus</w:t>
      </w:r>
      <w:r>
        <w:rPr>
          <w:rFonts w:hint="eastAsia" w:ascii="Times New Roman" w:hAnsi="Times New Roman" w:cs="Times New Roman"/>
          <w:i/>
        </w:rPr>
        <w:t xml:space="preserve"> </w:t>
      </w:r>
      <w:r>
        <w:rPr>
          <w:rFonts w:ascii="Times New Roman" w:hAnsi="Times New Roman" w:cs="Times New Roman"/>
          <w:i/>
        </w:rPr>
        <w:t>cochinchinensis</w:t>
      </w:r>
      <w:r>
        <w:rPr>
          <w:rFonts w:hint="eastAsia" w:ascii="Times New Roman" w:hAnsi="Times New Roman" w:cs="Times New Roman"/>
          <w:i/>
        </w:rPr>
        <w:t xml:space="preserve"> </w:t>
      </w:r>
      <w:r>
        <w:rPr>
          <w:rFonts w:ascii="Times New Roman" w:hAnsi="Times New Roman" w:cs="Times New Roman"/>
        </w:rPr>
        <w:t>Tratt.</w:t>
      </w:r>
      <w:r>
        <w:rPr>
          <w:rFonts w:ascii="Times New Roman" w:cs="Times New Roman"/>
        </w:rPr>
        <w:t>的干燥根。除去杂质，干燥。</w:t>
      </w:r>
    </w:p>
    <w:p>
      <w:pPr>
        <w:adjustRightInd w:val="0"/>
        <w:spacing w:line="360" w:lineRule="auto"/>
        <w:ind w:firstLine="480" w:firstLineChars="200"/>
        <w:rPr>
          <w:rFonts w:ascii="Times New Roman" w:hAnsi="Times New Roman" w:cs="Times New Roman"/>
        </w:rPr>
      </w:pPr>
      <w:r>
        <w:rPr>
          <w:rFonts w:ascii="Times New Roman" w:cs="Times New Roman"/>
        </w:rPr>
        <w:t>【性状】本品呈</w:t>
      </w:r>
      <w:r>
        <w:rPr>
          <w:rFonts w:hint="eastAsia" w:ascii="Times New Roman" w:cs="Times New Roman"/>
        </w:rPr>
        <w:t>圆柱形，长5~50cm</w:t>
      </w:r>
      <w:r>
        <w:rPr>
          <w:rFonts w:ascii="Times New Roman" w:cs="Times New Roman"/>
        </w:rPr>
        <w:t>，直径</w:t>
      </w:r>
      <w:r>
        <w:rPr>
          <w:rFonts w:hint="eastAsia" w:ascii="Times New Roman" w:cs="Times New Roman"/>
        </w:rPr>
        <w:t>1</w:t>
      </w:r>
      <w:r>
        <w:rPr>
          <w:rFonts w:ascii="Times New Roman" w:cs="Times New Roman"/>
        </w:rPr>
        <w:t>~</w:t>
      </w:r>
      <w:r>
        <w:rPr>
          <w:rFonts w:hint="eastAsia" w:ascii="Times New Roman" w:cs="Times New Roman"/>
        </w:rPr>
        <w:t>20mm</w:t>
      </w:r>
      <w:r>
        <w:rPr>
          <w:rFonts w:ascii="Times New Roman" w:cs="Times New Roman"/>
        </w:rPr>
        <w:t>。表面红棕色或棕色，具显著的纵皱纹及稀疏的细根痕，质坚实，断面呈纤维性，黄白色，射线放射状。气微，味微苦。</w:t>
      </w:r>
    </w:p>
    <w:p>
      <w:pPr>
        <w:adjustRightInd w:val="0"/>
        <w:spacing w:line="360" w:lineRule="auto"/>
        <w:ind w:firstLine="480" w:firstLineChars="200"/>
        <w:rPr>
          <w:rFonts w:ascii="Times New Roman" w:hAnsi="Times New Roman" w:cs="Times New Roman"/>
        </w:rPr>
      </w:pPr>
      <w:r>
        <w:rPr>
          <w:rFonts w:ascii="Times New Roman" w:cs="Times New Roman"/>
        </w:rPr>
        <w:t>【鉴别】</w:t>
      </w:r>
    </w:p>
    <w:p>
      <w:pPr>
        <w:adjustRightInd w:val="0"/>
        <w:spacing w:line="360" w:lineRule="auto"/>
        <w:rPr>
          <w:rFonts w:ascii="Times New Roman" w:hAnsi="Times New Roman" w:cs="Times New Roman"/>
        </w:rPr>
      </w:pPr>
      <w:bookmarkStart w:id="0" w:name="OLE_LINK6"/>
      <w:r>
        <w:rPr>
          <w:rFonts w:hint="eastAsia" w:ascii="Times New Roman" w:cs="Times New Roman"/>
        </w:rPr>
        <w:t>（1）</w:t>
      </w:r>
      <w:r>
        <w:rPr>
          <w:rFonts w:ascii="Times New Roman" w:cs="Times New Roman"/>
        </w:rPr>
        <w:t>本品粉末浅黄色，</w:t>
      </w:r>
      <w:r>
        <w:rPr>
          <w:rFonts w:ascii="Times New Roman" w:hAnsi="Times New Roman" w:cs="Times New Roman"/>
        </w:rPr>
        <w:t>纤维成束，多断裂，直径</w:t>
      </w:r>
      <w:r>
        <w:rPr>
          <w:rFonts w:hint="eastAsia" w:ascii="Times New Roman" w:hAnsi="Times New Roman" w:cs="Times New Roman"/>
        </w:rPr>
        <w:t>5~20</w:t>
      </w:r>
      <w:r>
        <w:rPr>
          <w:rFonts w:ascii="Times New Roman" w:hAnsi="Times New Roman" w:cs="Times New Roman"/>
        </w:rPr>
        <w:t>μm，</w:t>
      </w:r>
      <w:r>
        <w:t>草酸钙簇晶常排列成行</w:t>
      </w:r>
      <w:r>
        <w:rPr>
          <w:rFonts w:hint="eastAsia" w:ascii="Times New Roman" w:hAnsi="Times New Roman" w:cs="Times New Roman"/>
        </w:rPr>
        <w:t>，形成晶纤维。具缘纹孔导管较大</w:t>
      </w:r>
      <w:r>
        <w:rPr>
          <w:rFonts w:ascii="Times New Roman" w:hAnsi="Times New Roman" w:cs="Times New Roman"/>
        </w:rPr>
        <w:t>，碎片可达6</w:t>
      </w:r>
      <w:r>
        <w:rPr>
          <w:rFonts w:hint="eastAsia" w:ascii="Times New Roman" w:hAnsi="Times New Roman" w:cs="Times New Roman"/>
        </w:rPr>
        <w:t>0</w:t>
      </w:r>
      <w:r>
        <w:rPr>
          <w:rFonts w:ascii="Times New Roman" w:hAnsi="Times New Roman" w:cs="Times New Roman"/>
        </w:rPr>
        <w:t>μm，纹孔排列较密</w:t>
      </w:r>
      <w:r>
        <w:rPr>
          <w:rFonts w:hint="eastAsia" w:ascii="Times New Roman" w:hAnsi="Times New Roman" w:cs="Times New Roman"/>
        </w:rPr>
        <w:t>，稀有网纹导管</w:t>
      </w:r>
      <w:r>
        <w:rPr>
          <w:rFonts w:ascii="Times New Roman" w:hAnsi="Times New Roman" w:cs="Times New Roman"/>
        </w:rPr>
        <w:t>。</w:t>
      </w:r>
      <w:r>
        <w:rPr>
          <w:rFonts w:hint="eastAsia" w:ascii="Times New Roman" w:hAnsi="Times New Roman" w:cs="Times New Roman"/>
        </w:rPr>
        <w:t>木栓细胞红棕色，多角型。</w:t>
      </w:r>
    </w:p>
    <w:p>
      <w:pPr>
        <w:adjustRightInd w:val="0"/>
        <w:spacing w:line="360" w:lineRule="auto"/>
        <w:rPr>
          <w:rFonts w:ascii="Times New Roman" w:hAnsi="Times New Roman" w:cs="Times New Roman"/>
        </w:rPr>
      </w:pPr>
      <w:r>
        <w:rPr>
          <w:rFonts w:ascii="Times New Roman" w:cs="Times New Roman"/>
        </w:rPr>
        <w:t>（</w:t>
      </w:r>
      <w:r>
        <w:rPr>
          <w:rFonts w:ascii="Times New Roman" w:hAnsi="Times New Roman" w:cs="Times New Roman"/>
        </w:rPr>
        <w:t>2</w:t>
      </w:r>
      <w:r>
        <w:rPr>
          <w:rFonts w:ascii="Times New Roman" w:cs="Times New Roman"/>
        </w:rPr>
        <w:t>）取本品粉末</w:t>
      </w:r>
      <w:r>
        <w:rPr>
          <w:rFonts w:ascii="Times New Roman" w:hAnsi="Times New Roman" w:cs="Times New Roman"/>
        </w:rPr>
        <w:t>1g</w:t>
      </w:r>
      <w:r>
        <w:rPr>
          <w:rFonts w:ascii="Times New Roman" w:cs="Times New Roman"/>
        </w:rPr>
        <w:t>，加甲醇</w:t>
      </w:r>
      <w:r>
        <w:rPr>
          <w:rFonts w:ascii="Times New Roman" w:hAnsi="Times New Roman" w:cs="Times New Roman"/>
        </w:rPr>
        <w:t>50ml</w:t>
      </w:r>
      <w:r>
        <w:rPr>
          <w:rFonts w:ascii="Times New Roman" w:cs="Times New Roman"/>
        </w:rPr>
        <w:t>，超声处理</w:t>
      </w:r>
      <w:r>
        <w:rPr>
          <w:rFonts w:ascii="Times New Roman" w:hAnsi="Times New Roman" w:cs="Times New Roman"/>
        </w:rPr>
        <w:t>20</w:t>
      </w:r>
      <w:r>
        <w:rPr>
          <w:rFonts w:ascii="Times New Roman" w:cs="Times New Roman"/>
        </w:rPr>
        <w:t>分钟，滤过，取续滤液作为供试品溶液。另取蛇泡筋对照药材</w:t>
      </w:r>
      <w:r>
        <w:rPr>
          <w:rFonts w:ascii="Times New Roman" w:hAnsi="Times New Roman" w:cs="Times New Roman"/>
        </w:rPr>
        <w:t>1.0g</w:t>
      </w:r>
      <w:r>
        <w:rPr>
          <w:rFonts w:ascii="Times New Roman" w:cs="Times New Roman"/>
        </w:rPr>
        <w:t>，同法制成对照药材溶液。照薄层色谱法（</w:t>
      </w:r>
      <w:r>
        <w:rPr>
          <w:rFonts w:hint="eastAsia"/>
        </w:rPr>
        <w:t>2020版药典四部</w:t>
      </w:r>
      <w:r>
        <w:t>通则</w:t>
      </w:r>
      <w:r>
        <w:rPr>
          <w:rFonts w:hint="eastAsia"/>
        </w:rPr>
        <w:t>0502</w:t>
      </w:r>
      <w:r>
        <w:rPr>
          <w:rFonts w:ascii="Times New Roman" w:cs="Times New Roman"/>
        </w:rPr>
        <w:t>）试验，吸取供试品溶液和对照药材溶液各</w:t>
      </w:r>
      <w:r>
        <w:rPr>
          <w:rFonts w:hint="eastAsia" w:ascii="Times New Roman" w:hAnsi="Times New Roman" w:cs="Times New Roman"/>
        </w:rPr>
        <w:t>5</w:t>
      </w:r>
      <w:r>
        <w:rPr>
          <w:rFonts w:ascii="Times New Roman" w:hAnsi="Times New Roman" w:cs="Times New Roman"/>
        </w:rPr>
        <w:t>μl</w:t>
      </w:r>
      <w:r>
        <w:rPr>
          <w:rFonts w:ascii="Times New Roman" w:cs="Times New Roman"/>
        </w:rPr>
        <w:t>，分别点于同一硅胶</w:t>
      </w:r>
      <w:r>
        <w:rPr>
          <w:rFonts w:ascii="Times New Roman" w:hAnsi="Times New Roman" w:cs="Times New Roman"/>
        </w:rPr>
        <w:t>G</w:t>
      </w:r>
      <w:r>
        <w:rPr>
          <w:rFonts w:ascii="Times New Roman" w:cs="Times New Roman"/>
        </w:rPr>
        <w:t>薄层板上，以</w:t>
      </w:r>
      <w:r>
        <w:rPr>
          <w:rFonts w:hint="eastAsia" w:ascii="Times New Roman" w:cs="Times New Roman"/>
        </w:rPr>
        <w:t>甲苯</w:t>
      </w:r>
      <w:r>
        <w:rPr>
          <w:rFonts w:ascii="Times New Roman" w:hAnsi="Times New Roman" w:cs="Times New Roman"/>
        </w:rPr>
        <w:t>-</w:t>
      </w:r>
      <w:r>
        <w:rPr>
          <w:rFonts w:hint="eastAsia" w:ascii="Times New Roman" w:cs="Times New Roman"/>
        </w:rPr>
        <w:t>乙酸乙酯</w:t>
      </w:r>
      <w:r>
        <w:rPr>
          <w:rFonts w:ascii="Times New Roman" w:hAnsi="Times New Roman" w:cs="Times New Roman"/>
        </w:rPr>
        <w:t>-</w:t>
      </w:r>
      <w:r>
        <w:rPr>
          <w:rFonts w:hint="eastAsia" w:ascii="Times New Roman" w:cs="Times New Roman"/>
        </w:rPr>
        <w:t>甲醇-甲酸</w:t>
      </w:r>
      <w:r>
        <w:rPr>
          <w:rFonts w:ascii="Times New Roman" w:cs="Times New Roman"/>
        </w:rPr>
        <w:t>（</w:t>
      </w:r>
      <w:r>
        <w:rPr>
          <w:rFonts w:hint="eastAsia" w:ascii="Times New Roman" w:hAnsi="Times New Roman" w:cs="Times New Roman"/>
        </w:rPr>
        <w:t>1：2：0.2：0.1</w:t>
      </w:r>
      <w:r>
        <w:rPr>
          <w:rFonts w:ascii="Times New Roman" w:cs="Times New Roman"/>
        </w:rPr>
        <w:t>）为展开剂，展开，取出，晾干，喷以</w:t>
      </w:r>
      <w:r>
        <w:rPr>
          <w:rFonts w:hint="eastAsia" w:ascii="Times New Roman" w:hAnsi="Times New Roman" w:cs="Times New Roman"/>
        </w:rPr>
        <w:t>25%磷钼酸</w:t>
      </w:r>
      <w:r>
        <w:rPr>
          <w:rFonts w:ascii="Times New Roman" w:cs="Times New Roman"/>
        </w:rPr>
        <w:t>乙醇溶液，在</w:t>
      </w:r>
      <w:r>
        <w:rPr>
          <w:rFonts w:ascii="Times New Roman" w:hAnsi="Times New Roman" w:cs="Times New Roman"/>
        </w:rPr>
        <w:t>105℃</w:t>
      </w:r>
      <w:r>
        <w:rPr>
          <w:rFonts w:ascii="Times New Roman" w:cs="Times New Roman"/>
        </w:rPr>
        <w:t>加热至斑点显色清晰。供试品色谱中，在与对照药材色谱相应的位置上，显相同颜色的斑点。</w:t>
      </w:r>
    </w:p>
    <w:bookmarkEnd w:id="0"/>
    <w:p>
      <w:pPr>
        <w:adjustRightInd w:val="0"/>
        <w:spacing w:line="360" w:lineRule="auto"/>
        <w:ind w:firstLine="480" w:firstLineChars="200"/>
        <w:rPr>
          <w:rFonts w:ascii="Times New Roman" w:hAnsi="Times New Roman" w:cs="Times New Roman"/>
        </w:rPr>
      </w:pPr>
      <w:r>
        <w:rPr>
          <w:rFonts w:ascii="Times New Roman" w:cs="Times New Roman"/>
        </w:rPr>
        <w:t>【检查】水分不得过</w:t>
      </w:r>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t>.0%</w:t>
      </w:r>
      <w:r>
        <w:rPr>
          <w:rFonts w:ascii="Times New Roman" w:cs="Times New Roman"/>
        </w:rPr>
        <w:t>（</w:t>
      </w:r>
      <w:r>
        <w:rPr>
          <w:rFonts w:hint="eastAsia"/>
        </w:rPr>
        <w:t>2020版药典四部</w:t>
      </w:r>
      <w:r>
        <w:t>通则</w:t>
      </w:r>
      <w:r>
        <w:rPr>
          <w:rFonts w:hint="eastAsia"/>
        </w:rPr>
        <w:t>0832第二法</w:t>
      </w:r>
      <w:r>
        <w:rPr>
          <w:rFonts w:ascii="Times New Roman" w:cs="Times New Roman"/>
        </w:rPr>
        <w:t>）。</w:t>
      </w:r>
    </w:p>
    <w:p>
      <w:pPr>
        <w:adjustRightInd w:val="0"/>
        <w:spacing w:line="360" w:lineRule="auto"/>
        <w:ind w:firstLine="1440" w:firstLineChars="600"/>
        <w:rPr>
          <w:rFonts w:ascii="Times New Roman" w:hAnsi="Times New Roman" w:cs="Times New Roman"/>
        </w:rPr>
      </w:pPr>
      <w:r>
        <w:rPr>
          <w:rFonts w:ascii="Times New Roman" w:cs="Times New Roman"/>
        </w:rPr>
        <w:t>总灰分不得过</w:t>
      </w:r>
      <w:r>
        <w:rPr>
          <w:rFonts w:hint="eastAsia" w:ascii="Times New Roman" w:hAnsi="Times New Roman" w:cs="Times New Roman"/>
        </w:rPr>
        <w:t>5</w:t>
      </w:r>
      <w:r>
        <w:rPr>
          <w:rFonts w:ascii="Times New Roman" w:hAnsi="Times New Roman" w:cs="Times New Roman"/>
        </w:rPr>
        <w:t>.0%（</w:t>
      </w:r>
      <w:r>
        <w:rPr>
          <w:rFonts w:hint="eastAsia"/>
        </w:rPr>
        <w:t>2020版药典四部</w:t>
      </w:r>
      <w:r>
        <w:t>通则</w:t>
      </w:r>
      <w:r>
        <w:rPr>
          <w:rFonts w:hint="eastAsia"/>
        </w:rPr>
        <w:t>2302</w:t>
      </w:r>
      <w:r>
        <w:rPr>
          <w:rFonts w:hint="eastAsia" w:ascii="Times New Roman" w:hAnsi="Times New Roman" w:cs="Times New Roman"/>
        </w:rPr>
        <w:t>）。</w:t>
      </w:r>
    </w:p>
    <w:p>
      <w:pPr>
        <w:adjustRightInd w:val="0"/>
        <w:spacing w:line="360" w:lineRule="auto"/>
        <w:ind w:firstLine="480" w:firstLineChars="200"/>
        <w:rPr>
          <w:rFonts w:ascii="Times New Roman" w:hAnsi="Times New Roman" w:cs="Times New Roman"/>
        </w:rPr>
      </w:pPr>
      <w:r>
        <w:rPr>
          <w:rFonts w:ascii="Times New Roman" w:cs="Times New Roman"/>
        </w:rPr>
        <w:t>【浸出物】照水溶性浸出物测定法（</w:t>
      </w:r>
      <w:r>
        <w:rPr>
          <w:rFonts w:hint="eastAsia"/>
        </w:rPr>
        <w:t>2020版药典四部</w:t>
      </w:r>
      <w:r>
        <w:t>通则通则</w:t>
      </w:r>
      <w:r>
        <w:rPr>
          <w:rFonts w:hint="eastAsia"/>
        </w:rPr>
        <w:t>2201</w:t>
      </w:r>
      <w:r>
        <w:rPr>
          <w:rFonts w:ascii="Times New Roman" w:cs="Times New Roman"/>
        </w:rPr>
        <w:t>）项下的热浸法测定，以水作溶剂，不得少于</w:t>
      </w:r>
      <w:r>
        <w:rPr>
          <w:rFonts w:hint="eastAsia" w:ascii="Times New Roman" w:hAnsi="Times New Roman" w:cs="Times New Roman"/>
        </w:rPr>
        <w:t>10.0</w:t>
      </w:r>
      <w:r>
        <w:rPr>
          <w:rFonts w:ascii="Times New Roman" w:hAnsi="Times New Roman" w:cs="Times New Roman"/>
        </w:rPr>
        <w:t>%</w:t>
      </w:r>
      <w:r>
        <w:rPr>
          <w:rFonts w:ascii="Times New Roman" w:cs="Times New Roman"/>
        </w:rPr>
        <w:t>。</w:t>
      </w:r>
    </w:p>
    <w:p>
      <w:pPr>
        <w:adjustRightInd w:val="0"/>
        <w:spacing w:line="360" w:lineRule="auto"/>
        <w:ind w:firstLine="480" w:firstLineChars="200"/>
        <w:rPr>
          <w:rFonts w:ascii="Times New Roman" w:hAnsi="Times New Roman" w:cs="Times New Roman"/>
        </w:rPr>
      </w:pPr>
      <w:r>
        <w:rPr>
          <w:rFonts w:ascii="Times New Roman" w:cs="Times New Roman"/>
        </w:rPr>
        <w:t>【含量测定】照高效液相色谱法（</w:t>
      </w:r>
      <w:r>
        <w:rPr>
          <w:rFonts w:hint="eastAsia"/>
        </w:rPr>
        <w:t>2020版药典四部</w:t>
      </w:r>
      <w:r>
        <w:t>通则</w:t>
      </w:r>
      <w:r>
        <w:rPr>
          <w:rFonts w:hint="eastAsia"/>
        </w:rPr>
        <w:t>0512</w:t>
      </w:r>
      <w:r>
        <w:rPr>
          <w:rFonts w:ascii="Times New Roman" w:cs="Times New Roman"/>
        </w:rPr>
        <w:t>）测定。</w:t>
      </w:r>
    </w:p>
    <w:p>
      <w:pPr>
        <w:adjustRightInd w:val="0"/>
        <w:spacing w:line="360" w:lineRule="auto"/>
        <w:ind w:firstLine="481" w:firstLineChars="200"/>
        <w:rPr>
          <w:rFonts w:ascii="Times New Roman" w:hAnsi="Times New Roman" w:cs="Times New Roman"/>
        </w:rPr>
      </w:pPr>
      <w:r>
        <w:rPr>
          <w:rFonts w:ascii="Times New Roman" w:cs="Times New Roman"/>
          <w:b/>
        </w:rPr>
        <w:t>色谱条件与系统适用性试验</w:t>
      </w:r>
      <w:r>
        <w:rPr>
          <w:rFonts w:ascii="Times New Roman" w:cs="Times New Roman"/>
        </w:rPr>
        <w:t>以十八烷基硅烷键合硅胶为填充剂；以乙腈</w:t>
      </w:r>
      <w:r>
        <w:rPr>
          <w:rFonts w:ascii="Times New Roman" w:hAnsi="Times New Roman" w:cs="Times New Roman"/>
        </w:rPr>
        <w:t>-2%</w:t>
      </w:r>
      <w:r>
        <w:rPr>
          <w:rFonts w:ascii="Times New Roman" w:cs="Times New Roman"/>
        </w:rPr>
        <w:t>醋酸溶液（</w:t>
      </w:r>
      <w:r>
        <w:rPr>
          <w:rFonts w:hint="eastAsia" w:ascii="Times New Roman" w:hAnsi="Times New Roman" w:cs="Times New Roman"/>
        </w:rPr>
        <w:t>13</w:t>
      </w:r>
      <w:r>
        <w:rPr>
          <w:rFonts w:ascii="Times New Roman" w:cs="Times New Roman"/>
        </w:rPr>
        <w:t>：</w:t>
      </w:r>
      <w:r>
        <w:rPr>
          <w:rFonts w:hint="eastAsia" w:ascii="Times New Roman" w:cs="Times New Roman"/>
        </w:rPr>
        <w:t>87</w:t>
      </w:r>
      <w:r>
        <w:rPr>
          <w:rFonts w:ascii="Times New Roman" w:cs="Times New Roman"/>
        </w:rPr>
        <w:t>）为流动相；检测波长为</w:t>
      </w:r>
      <w:r>
        <w:rPr>
          <w:rFonts w:ascii="Times New Roman" w:hAnsi="Times New Roman" w:cs="Times New Roman"/>
        </w:rPr>
        <w:t>280nm</w:t>
      </w:r>
      <w:r>
        <w:rPr>
          <w:rFonts w:ascii="Times New Roman" w:cs="Times New Roman"/>
        </w:rPr>
        <w:t>。理论板数按表儿茶素峰计算应不低于</w:t>
      </w:r>
      <w:r>
        <w:rPr>
          <w:rFonts w:ascii="Times New Roman" w:hAnsi="Times New Roman" w:cs="Times New Roman"/>
        </w:rPr>
        <w:t>5000</w:t>
      </w:r>
      <w:r>
        <w:rPr>
          <w:rFonts w:ascii="Times New Roman" w:cs="Times New Roman"/>
        </w:rPr>
        <w:t>。</w:t>
      </w:r>
    </w:p>
    <w:p>
      <w:pPr>
        <w:adjustRightInd w:val="0"/>
        <w:spacing w:line="360" w:lineRule="auto"/>
        <w:ind w:firstLine="481" w:firstLineChars="200"/>
        <w:rPr>
          <w:rFonts w:ascii="Times New Roman" w:hAnsi="Times New Roman" w:cs="Times New Roman"/>
        </w:rPr>
      </w:pPr>
      <w:r>
        <w:rPr>
          <w:rFonts w:ascii="Times New Roman" w:cs="Times New Roman"/>
          <w:b/>
        </w:rPr>
        <w:t>对照品溶液的制备</w:t>
      </w:r>
      <w:r>
        <w:rPr>
          <w:rFonts w:ascii="Times New Roman" w:cs="Times New Roman"/>
        </w:rPr>
        <w:t>取表儿茶素对照品适量，精密称定，加甲醇制成每</w:t>
      </w:r>
      <w:r>
        <w:rPr>
          <w:rFonts w:ascii="Times New Roman" w:hAnsi="Times New Roman" w:cs="Times New Roman"/>
        </w:rPr>
        <w:t>1ml</w:t>
      </w:r>
      <w:r>
        <w:rPr>
          <w:rFonts w:ascii="Times New Roman" w:cs="Times New Roman"/>
        </w:rPr>
        <w:t>含</w:t>
      </w:r>
      <w:r>
        <w:rPr>
          <w:rFonts w:ascii="Times New Roman" w:hAnsi="Times New Roman" w:cs="Times New Roman"/>
        </w:rPr>
        <w:t>0.</w:t>
      </w:r>
      <w:r>
        <w:rPr>
          <w:rFonts w:hint="eastAsia" w:ascii="Times New Roman" w:hAnsi="Times New Roman" w:cs="Times New Roman"/>
        </w:rPr>
        <w:t>16m</w:t>
      </w:r>
      <w:r>
        <w:rPr>
          <w:rFonts w:ascii="Times New Roman" w:hAnsi="Times New Roman" w:cs="Times New Roman"/>
        </w:rPr>
        <w:t>g</w:t>
      </w:r>
      <w:r>
        <w:rPr>
          <w:rFonts w:ascii="Times New Roman" w:cs="Times New Roman"/>
        </w:rPr>
        <w:t>的溶液，即得。</w:t>
      </w:r>
    </w:p>
    <w:p>
      <w:pPr>
        <w:adjustRightInd w:val="0"/>
        <w:spacing w:line="360" w:lineRule="auto"/>
        <w:ind w:firstLine="481" w:firstLineChars="200"/>
        <w:rPr>
          <w:rFonts w:ascii="Times New Roman" w:hAnsi="Times New Roman" w:cs="Times New Roman"/>
        </w:rPr>
      </w:pPr>
      <w:r>
        <w:rPr>
          <w:rFonts w:ascii="Times New Roman" w:cs="Times New Roman"/>
          <w:b/>
        </w:rPr>
        <w:t>供试品溶液的制备</w:t>
      </w:r>
      <w:r>
        <w:rPr>
          <w:rFonts w:ascii="Times New Roman" w:cs="Times New Roman"/>
        </w:rPr>
        <w:t>取本品粉末（过二号筛）约</w:t>
      </w:r>
      <w:r>
        <w:rPr>
          <w:rFonts w:hint="eastAsia" w:ascii="Times New Roman" w:hAnsi="Times New Roman" w:cs="Times New Roman"/>
        </w:rPr>
        <w:t>0.5</w:t>
      </w:r>
      <w:r>
        <w:rPr>
          <w:rFonts w:ascii="Times New Roman" w:hAnsi="Times New Roman" w:cs="Times New Roman"/>
        </w:rPr>
        <w:t>g</w:t>
      </w:r>
      <w:r>
        <w:rPr>
          <w:rFonts w:ascii="Times New Roman" w:cs="Times New Roman"/>
        </w:rPr>
        <w:t>，精密称定，置具塞锥形瓶中，精密加入</w:t>
      </w:r>
      <w:r>
        <w:rPr>
          <w:rFonts w:hint="eastAsia" w:ascii="Times New Roman" w:hAnsi="Times New Roman" w:cs="Times New Roman"/>
        </w:rPr>
        <w:t>7</w:t>
      </w:r>
      <w:r>
        <w:rPr>
          <w:rFonts w:ascii="Times New Roman" w:hAnsi="Times New Roman" w:cs="Times New Roman"/>
        </w:rPr>
        <w:t>0%</w:t>
      </w:r>
      <w:r>
        <w:rPr>
          <w:rFonts w:ascii="Times New Roman" w:cs="Times New Roman"/>
        </w:rPr>
        <w:t>乙醇</w:t>
      </w:r>
      <w:r>
        <w:rPr>
          <w:rFonts w:ascii="Times New Roman" w:hAnsi="Times New Roman" w:cs="Times New Roman"/>
        </w:rPr>
        <w:t>50ml</w:t>
      </w:r>
      <w:r>
        <w:rPr>
          <w:rFonts w:ascii="Times New Roman" w:cs="Times New Roman"/>
        </w:rPr>
        <w:t>，密塞，称定重量，超声处理（功率</w:t>
      </w:r>
      <w:r>
        <w:rPr>
          <w:rFonts w:ascii="Times New Roman" w:hAnsi="Times New Roman" w:cs="Times New Roman"/>
        </w:rPr>
        <w:t>250W</w:t>
      </w:r>
      <w:r>
        <w:rPr>
          <w:rFonts w:ascii="Times New Roman" w:cs="Times New Roman"/>
        </w:rPr>
        <w:t>，频率</w:t>
      </w:r>
      <w:r>
        <w:rPr>
          <w:rFonts w:ascii="Times New Roman" w:hAnsi="Times New Roman" w:cs="Times New Roman"/>
        </w:rPr>
        <w:t>40kHz</w:t>
      </w:r>
      <w:r>
        <w:rPr>
          <w:rFonts w:ascii="Times New Roman" w:cs="Times New Roman"/>
        </w:rPr>
        <w:t>）</w:t>
      </w:r>
      <w:r>
        <w:rPr>
          <w:rFonts w:ascii="Times New Roman" w:hAnsi="Times New Roman" w:cs="Times New Roman"/>
        </w:rPr>
        <w:t>20</w:t>
      </w:r>
      <w:r>
        <w:rPr>
          <w:rFonts w:ascii="Times New Roman" w:cs="Times New Roman"/>
        </w:rPr>
        <w:t>分钟，放冷，再称定重量，用</w:t>
      </w:r>
      <w:r>
        <w:rPr>
          <w:rFonts w:hint="eastAsia" w:ascii="Times New Roman" w:hAnsi="Times New Roman" w:cs="Times New Roman"/>
        </w:rPr>
        <w:t>7</w:t>
      </w:r>
      <w:r>
        <w:rPr>
          <w:rFonts w:ascii="Times New Roman" w:hAnsi="Times New Roman" w:cs="Times New Roman"/>
        </w:rPr>
        <w:t>0%</w:t>
      </w:r>
      <w:r>
        <w:rPr>
          <w:rFonts w:ascii="Times New Roman" w:cs="Times New Roman"/>
        </w:rPr>
        <w:t>乙醇补足减失的重量，摇匀，滤过，取续滤液，即得。</w:t>
      </w:r>
    </w:p>
    <w:p>
      <w:pPr>
        <w:adjustRightInd w:val="0"/>
        <w:spacing w:line="360" w:lineRule="auto"/>
        <w:ind w:firstLine="481" w:firstLineChars="200"/>
        <w:rPr>
          <w:rFonts w:ascii="Times New Roman" w:hAnsi="Times New Roman" w:cs="Times New Roman"/>
        </w:rPr>
      </w:pPr>
      <w:r>
        <w:rPr>
          <w:rFonts w:ascii="Times New Roman" w:cs="Times New Roman"/>
          <w:b/>
        </w:rPr>
        <w:t>测定法</w:t>
      </w:r>
      <w:r>
        <w:rPr>
          <w:rFonts w:ascii="Times New Roman" w:cs="Times New Roman"/>
        </w:rPr>
        <w:t>分别精密吸取对照品溶液与供试品溶液各</w:t>
      </w:r>
      <w:r>
        <w:rPr>
          <w:rFonts w:ascii="Times New Roman" w:hAnsi="Times New Roman" w:cs="Times New Roman"/>
        </w:rPr>
        <w:t>5μll</w:t>
      </w:r>
      <w:r>
        <w:rPr>
          <w:rFonts w:ascii="Times New Roman" w:cs="Times New Roman"/>
        </w:rPr>
        <w:t>，注入液相色谱仪，测定，即得。</w:t>
      </w:r>
    </w:p>
    <w:p>
      <w:pPr>
        <w:adjustRightInd w:val="0"/>
        <w:spacing w:line="360" w:lineRule="auto"/>
        <w:ind w:firstLine="480" w:firstLineChars="200"/>
        <w:rPr>
          <w:rFonts w:ascii="Times New Roman" w:hAnsi="Times New Roman" w:cs="Times New Roman"/>
        </w:rPr>
      </w:pPr>
      <w:r>
        <w:rPr>
          <w:rFonts w:ascii="Times New Roman" w:cs="Times New Roman"/>
        </w:rPr>
        <w:t>本品按照干燥品计算，含表儿茶素（</w:t>
      </w:r>
      <w:r>
        <w:rPr>
          <w:rFonts w:ascii="Times New Roman" w:hAnsi="Times New Roman" w:cs="Times New Roman"/>
        </w:rPr>
        <w:t>C</w:t>
      </w:r>
      <w:r>
        <w:rPr>
          <w:rFonts w:ascii="Times New Roman" w:hAnsi="Times New Roman" w:cs="Times New Roman"/>
          <w:vertAlign w:val="subscript"/>
        </w:rPr>
        <w:t>15</w:t>
      </w:r>
      <w:r>
        <w:rPr>
          <w:rFonts w:ascii="Times New Roman" w:hAnsi="Times New Roman" w:cs="Times New Roman"/>
        </w:rPr>
        <w:t>H</w:t>
      </w:r>
      <w:r>
        <w:rPr>
          <w:rFonts w:ascii="Times New Roman" w:hAnsi="Times New Roman" w:cs="Times New Roman"/>
          <w:vertAlign w:val="subscript"/>
        </w:rPr>
        <w:t>14</w:t>
      </w:r>
      <w:r>
        <w:rPr>
          <w:rFonts w:ascii="Times New Roman" w:hAnsi="Times New Roman" w:cs="Times New Roman"/>
        </w:rPr>
        <w:t>O</w:t>
      </w:r>
      <w:r>
        <w:rPr>
          <w:rFonts w:ascii="Times New Roman" w:hAnsi="Times New Roman" w:cs="Times New Roman"/>
          <w:vertAlign w:val="subscript"/>
        </w:rPr>
        <w:t>5</w:t>
      </w:r>
      <w:r>
        <w:rPr>
          <w:rFonts w:ascii="Times New Roman" w:cs="Times New Roman"/>
        </w:rPr>
        <w:t>）不得少于</w:t>
      </w:r>
      <w:r>
        <w:rPr>
          <w:rFonts w:hint="eastAsia" w:ascii="Times New Roman" w:hAnsi="Times New Roman" w:cs="Times New Roman"/>
        </w:rPr>
        <w:t>1.3</w:t>
      </w:r>
      <w:r>
        <w:rPr>
          <w:rFonts w:ascii="Times New Roman" w:hAnsi="Times New Roman" w:cs="Times New Roman"/>
        </w:rPr>
        <w:t>%</w:t>
      </w:r>
      <w:r>
        <w:rPr>
          <w:rFonts w:ascii="Times New Roman" w:cs="Times New Roman"/>
        </w:rPr>
        <w:t>。</w:t>
      </w:r>
    </w:p>
    <w:p>
      <w:pPr>
        <w:adjustRightInd w:val="0"/>
        <w:spacing w:line="360" w:lineRule="auto"/>
        <w:ind w:firstLine="480" w:firstLineChars="200"/>
        <w:rPr>
          <w:rFonts w:ascii="Times New Roman" w:hAnsi="Times New Roman" w:cs="Times New Roman"/>
        </w:rPr>
      </w:pPr>
      <w:r>
        <w:rPr>
          <w:rFonts w:ascii="Times New Roman" w:cs="Times New Roman"/>
        </w:rPr>
        <w:t>【性味与归经】</w:t>
      </w:r>
      <w:r>
        <w:rPr>
          <w:rFonts w:hint="eastAsia" w:ascii="Times New Roman" w:cs="Times New Roman"/>
        </w:rPr>
        <w:t>性</w:t>
      </w:r>
      <w:r>
        <w:rPr>
          <w:rFonts w:ascii="Times New Roman" w:cs="Times New Roman"/>
        </w:rPr>
        <w:t>温</w:t>
      </w:r>
      <w:r>
        <w:rPr>
          <w:rFonts w:hint="eastAsia" w:ascii="Times New Roman" w:cs="Times New Roman"/>
        </w:rPr>
        <w:t>，</w:t>
      </w:r>
      <w:r>
        <w:rPr>
          <w:rFonts w:ascii="Times New Roman" w:cs="Times New Roman"/>
        </w:rPr>
        <w:t>味</w:t>
      </w:r>
      <w:r>
        <w:rPr>
          <w:rFonts w:hint="eastAsia" w:ascii="Times New Roman" w:cs="Times New Roman"/>
        </w:rPr>
        <w:t>微辛、甘、涩</w:t>
      </w:r>
      <w:r>
        <w:rPr>
          <w:rFonts w:ascii="Times New Roman" w:cs="Times New Roman"/>
        </w:rPr>
        <w:t>。</w:t>
      </w:r>
    </w:p>
    <w:p>
      <w:pPr>
        <w:adjustRightInd w:val="0"/>
        <w:spacing w:line="360" w:lineRule="auto"/>
        <w:ind w:firstLine="480" w:firstLineChars="200"/>
        <w:rPr>
          <w:rFonts w:ascii="Times New Roman" w:hAnsi="Times New Roman" w:cs="Times New Roman"/>
        </w:rPr>
      </w:pPr>
      <w:r>
        <w:rPr>
          <w:rFonts w:ascii="Times New Roman" w:cs="Times New Roman"/>
        </w:rPr>
        <w:t>【功能与主治】祛风</w:t>
      </w:r>
      <w:r>
        <w:rPr>
          <w:rFonts w:hint="eastAsia" w:ascii="Times New Roman" w:cs="Times New Roman"/>
        </w:rPr>
        <w:t>止痛</w:t>
      </w:r>
      <w:r>
        <w:rPr>
          <w:rFonts w:ascii="Times New Roman" w:cs="Times New Roman"/>
        </w:rPr>
        <w:t>，</w:t>
      </w:r>
      <w:r>
        <w:rPr>
          <w:rFonts w:hint="eastAsia" w:ascii="Times New Roman" w:cs="Times New Roman"/>
        </w:rPr>
        <w:t>散结，解毒。</w:t>
      </w:r>
      <w:r>
        <w:rPr>
          <w:rFonts w:ascii="Times New Roman" w:cs="Times New Roman"/>
        </w:rPr>
        <w:t>用于</w:t>
      </w:r>
      <w:r>
        <w:rPr>
          <w:rFonts w:hint="eastAsia" w:ascii="Times New Roman" w:cs="Times New Roman"/>
        </w:rPr>
        <w:t>风湿腰腿痛，糖尿病，小肠气，痔疮，湿疹</w:t>
      </w:r>
      <w:r>
        <w:rPr>
          <w:rFonts w:ascii="Times New Roman" w:cs="Times New Roman"/>
        </w:rPr>
        <w:t>。</w:t>
      </w:r>
    </w:p>
    <w:p>
      <w:pPr>
        <w:adjustRightInd w:val="0"/>
        <w:spacing w:line="360" w:lineRule="auto"/>
        <w:ind w:firstLine="480" w:firstLineChars="200"/>
        <w:rPr>
          <w:rFonts w:ascii="Times New Roman" w:hAnsi="Times New Roman" w:cs="Times New Roman"/>
        </w:rPr>
      </w:pPr>
      <w:r>
        <w:rPr>
          <w:rFonts w:ascii="Times New Roman" w:cs="Times New Roman"/>
        </w:rPr>
        <w:t>【用法与用量】</w:t>
      </w:r>
      <w:r>
        <w:rPr>
          <w:rFonts w:ascii="Times New Roman" w:hAnsi="Times New Roman" w:cs="Times New Roman"/>
        </w:rPr>
        <w:t>15~30g</w:t>
      </w:r>
      <w:r>
        <w:rPr>
          <w:rFonts w:ascii="Times New Roman" w:cs="Times New Roman"/>
        </w:rPr>
        <w:t>。</w:t>
      </w:r>
    </w:p>
    <w:p>
      <w:pPr>
        <w:adjustRightInd w:val="0"/>
        <w:spacing w:line="360" w:lineRule="auto"/>
        <w:ind w:firstLine="480" w:firstLineChars="200"/>
        <w:rPr>
          <w:rFonts w:ascii="Times New Roman" w:cs="Times New Roman"/>
        </w:rPr>
      </w:pPr>
      <w:r>
        <w:rPr>
          <w:rFonts w:ascii="Times New Roman" w:cs="Times New Roman"/>
        </w:rPr>
        <w:t>【贮藏】置干燥处。</w:t>
      </w:r>
    </w:p>
    <w:p>
      <w:pPr>
        <w:widowControl/>
        <w:spacing w:line="360" w:lineRule="auto"/>
        <w:rPr>
          <w:rFonts w:hint="eastAsia" w:ascii="Times New Roman" w:hAnsi="Times New Roman" w:eastAsia="宋体" w:cs="Times New Roman"/>
          <w:b/>
          <w:color w:val="auto"/>
          <w:sz w:val="24"/>
          <w:szCs w:val="24"/>
          <w:shd w:val="clear" w:color="auto" w:fill="FFFFFF"/>
          <w:lang w:eastAsia="zh-CN"/>
        </w:rPr>
      </w:pPr>
      <w:r>
        <w:rPr>
          <w:rFonts w:hint="eastAsia" w:ascii="Times New Roman" w:hAnsi="Times New Roman" w:cs="Times New Roman"/>
          <w:b/>
          <w:color w:val="auto"/>
          <w:sz w:val="24"/>
          <w:szCs w:val="24"/>
          <w:shd w:val="clear" w:color="auto" w:fill="FFFFFF"/>
        </w:rPr>
        <w:t>标准起草单位:</w:t>
      </w:r>
      <w:r>
        <w:rPr>
          <w:rFonts w:hint="eastAsia" w:cs="Times New Roman"/>
          <w:b/>
          <w:color w:val="auto"/>
          <w:sz w:val="24"/>
          <w:szCs w:val="24"/>
          <w:shd w:val="clear" w:color="auto" w:fill="FFFFFF"/>
          <w:lang w:eastAsia="zh-CN"/>
        </w:rPr>
        <w:t>海南医学院</w:t>
      </w:r>
    </w:p>
    <w:p>
      <w:pPr>
        <w:widowControl/>
        <w:spacing w:line="360" w:lineRule="auto"/>
        <w:rPr>
          <w:rFonts w:ascii="Times New Roman" w:hAnsi="Times New Roman" w:eastAsia="黑体" w:cs="Times New Roman"/>
          <w:bCs/>
          <w:sz w:val="32"/>
          <w:szCs w:val="32"/>
        </w:rPr>
      </w:pPr>
      <w:r>
        <w:rPr>
          <w:rFonts w:hint="eastAsia" w:ascii="Times New Roman" w:hAnsi="Times New Roman" w:cs="Times New Roman"/>
          <w:b/>
          <w:color w:val="auto"/>
          <w:sz w:val="24"/>
          <w:szCs w:val="24"/>
          <w:shd w:val="clear" w:color="auto" w:fill="FFFFFF"/>
        </w:rPr>
        <w:t>标准复核单位:</w:t>
      </w:r>
      <w:r>
        <w:rPr>
          <w:rFonts w:hint="eastAsia" w:ascii="Times New Roman" w:hAnsi="Times New Roman" w:cs="Times New Roman"/>
          <w:b/>
          <w:color w:val="auto"/>
          <w:sz w:val="24"/>
          <w:szCs w:val="24"/>
          <w:shd w:val="clear" w:color="auto" w:fill="FFFFFF"/>
          <w:lang w:eastAsia="zh-CN"/>
        </w:rPr>
        <w:t>海南省检验检测研究院</w:t>
      </w:r>
    </w:p>
    <w:p>
      <w:pPr>
        <w:adjustRightInd w:val="0"/>
        <w:spacing w:line="360" w:lineRule="auto"/>
        <w:jc w:val="center"/>
        <w:rPr>
          <w:rFonts w:ascii="Times New Roman" w:hAnsi="Times New Roman" w:eastAsia="黑体" w:cs="Times New Roman"/>
          <w:bCs/>
          <w:sz w:val="32"/>
          <w:szCs w:val="32"/>
        </w:rPr>
      </w:pPr>
      <w:r>
        <w:rPr>
          <w:rFonts w:ascii="Times New Roman" w:hAnsi="Times New Roman" w:eastAsia="黑体" w:cs="Times New Roman"/>
          <w:bCs/>
          <w:sz w:val="32"/>
          <w:szCs w:val="32"/>
        </w:rPr>
        <w:t>蛇泡筋</w:t>
      </w:r>
      <w:bookmarkStart w:id="4" w:name="_GoBack"/>
      <w:bookmarkEnd w:id="4"/>
      <w:r>
        <w:rPr>
          <w:rFonts w:hint="eastAsia" w:ascii="Times New Roman" w:hAnsi="Times New Roman" w:eastAsia="黑体" w:cs="Times New Roman"/>
          <w:bCs/>
          <w:sz w:val="32"/>
          <w:szCs w:val="32"/>
          <w:lang w:eastAsia="zh-CN"/>
        </w:rPr>
        <w:t>质量标准</w:t>
      </w:r>
      <w:r>
        <w:rPr>
          <w:rFonts w:ascii="Times New Roman" w:hAnsi="Times New Roman" w:eastAsia="黑体" w:cs="Times New Roman"/>
          <w:bCs/>
          <w:sz w:val="32"/>
          <w:szCs w:val="32"/>
        </w:rPr>
        <w:t>起草说明</w:t>
      </w:r>
    </w:p>
    <w:p>
      <w:pPr>
        <w:pStyle w:val="13"/>
        <w:numPr>
          <w:ilvl w:val="0"/>
          <w:numId w:val="1"/>
        </w:numPr>
        <w:autoSpaceDE w:val="0"/>
        <w:autoSpaceDN w:val="0"/>
        <w:adjustRightInd w:val="0"/>
        <w:spacing w:line="360" w:lineRule="auto"/>
        <w:ind w:firstLineChars="0"/>
        <w:rPr>
          <w:rFonts w:ascii="Times New Roman" w:hAnsi="Times New Roman" w:cs="Times New Roman"/>
        </w:rPr>
      </w:pPr>
      <w:r>
        <w:rPr>
          <w:rFonts w:ascii="Times New Roman" w:cs="Times New Roman"/>
        </w:rPr>
        <w:t>别名</w:t>
      </w:r>
      <w:r>
        <w:rPr>
          <w:rFonts w:hint="eastAsia" w:ascii="Times New Roman" w:cs="Times New Roman"/>
        </w:rPr>
        <w:t>:</w:t>
      </w:r>
      <w:r>
        <w:rPr>
          <w:rFonts w:ascii="Times New Roman" w:cs="Times New Roman"/>
        </w:rPr>
        <w:t>越南悬钩子、五叶泡。</w:t>
      </w:r>
    </w:p>
    <w:p>
      <w:pPr>
        <w:autoSpaceDE w:val="0"/>
        <w:autoSpaceDN w:val="0"/>
        <w:adjustRightInd w:val="0"/>
        <w:spacing w:line="360" w:lineRule="auto"/>
        <w:ind w:firstLine="480" w:firstLineChars="200"/>
        <w:rPr>
          <w:rFonts w:ascii="Times New Roman" w:hAnsi="Times New Roman" w:cs="Times New Roman"/>
        </w:rPr>
      </w:pPr>
      <w:r>
        <w:rPr>
          <w:rFonts w:ascii="Times New Roman" w:cs="Times New Roman"/>
        </w:rPr>
        <w:t>本品为我省常用的中草药，收载于《海南植物图志》，有祛风、除湿、行气的功效，主治腰腿痛、四肢痹痛、风湿骨痛等症。</w:t>
      </w:r>
    </w:p>
    <w:p>
      <w:pPr>
        <w:pStyle w:val="13"/>
        <w:numPr>
          <w:ilvl w:val="0"/>
          <w:numId w:val="1"/>
        </w:numPr>
        <w:autoSpaceDE w:val="0"/>
        <w:autoSpaceDN w:val="0"/>
        <w:adjustRightInd w:val="0"/>
        <w:spacing w:line="360" w:lineRule="auto"/>
        <w:ind w:firstLineChars="0"/>
        <w:rPr>
          <w:rFonts w:ascii="Times New Roman" w:hAnsi="Times New Roman" w:cs="Times New Roman"/>
        </w:rPr>
      </w:pPr>
      <w:r>
        <w:rPr>
          <w:rFonts w:ascii="Times New Roman" w:cs="Times New Roman"/>
        </w:rPr>
        <w:t>生境分布</w:t>
      </w:r>
      <w:r>
        <w:rPr>
          <w:rFonts w:hint="eastAsia" w:ascii="Times New Roman" w:cs="Times New Roman"/>
        </w:rPr>
        <w:t>:</w:t>
      </w:r>
    </w:p>
    <w:p>
      <w:pPr>
        <w:pStyle w:val="13"/>
        <w:autoSpaceDE w:val="0"/>
        <w:autoSpaceDN w:val="0"/>
        <w:adjustRightInd w:val="0"/>
        <w:spacing w:line="360" w:lineRule="auto"/>
        <w:ind w:left="360" w:firstLine="0" w:firstLineChars="0"/>
        <w:rPr>
          <w:rFonts w:ascii="Times New Roman" w:hAnsi="Times New Roman" w:cs="Times New Roman"/>
        </w:rPr>
      </w:pPr>
      <w:r>
        <w:rPr>
          <w:rFonts w:ascii="Times New Roman" w:cs="Times New Roman"/>
        </w:rPr>
        <w:t>生态环境低海拔至中海拔灌木丛中。资源分布主要分布于海南省。</w:t>
      </w:r>
    </w:p>
    <w:p>
      <w:pPr>
        <w:pStyle w:val="13"/>
        <w:numPr>
          <w:ilvl w:val="0"/>
          <w:numId w:val="1"/>
        </w:numPr>
        <w:autoSpaceDE w:val="0"/>
        <w:autoSpaceDN w:val="0"/>
        <w:adjustRightInd w:val="0"/>
        <w:spacing w:line="360" w:lineRule="auto"/>
        <w:ind w:firstLineChars="0"/>
        <w:rPr>
          <w:rFonts w:ascii="Times New Roman" w:hAnsi="Times New Roman" w:cs="Times New Roman"/>
        </w:rPr>
      </w:pPr>
      <w:r>
        <w:rPr>
          <w:rFonts w:ascii="Times New Roman" w:cs="Times New Roman"/>
        </w:rPr>
        <w:t>植物形态</w:t>
      </w:r>
      <w:r>
        <w:rPr>
          <w:rFonts w:hint="eastAsia" w:ascii="Times New Roman" w:cs="Times New Roman"/>
        </w:rPr>
        <w:t>:</w:t>
      </w:r>
    </w:p>
    <w:p>
      <w:pPr>
        <w:autoSpaceDE w:val="0"/>
        <w:autoSpaceDN w:val="0"/>
        <w:adjustRightInd w:val="0"/>
        <w:spacing w:line="360" w:lineRule="auto"/>
        <w:ind w:firstLine="480" w:firstLineChars="200"/>
        <w:rPr>
          <w:rFonts w:ascii="Times New Roman" w:hAnsi="Times New Roman" w:cs="Times New Roman"/>
        </w:rPr>
      </w:pPr>
      <w:r>
        <w:rPr>
          <w:rFonts w:ascii="Times New Roman" w:cs="Times New Roman"/>
        </w:rPr>
        <w:t>参考《海南植物图志》</w:t>
      </w:r>
      <w:r>
        <w:rPr>
          <w:rFonts w:ascii="Times New Roman" w:hAnsi="Times New Roman" w:cs="Times New Roman"/>
          <w:vertAlign w:val="superscript"/>
        </w:rPr>
        <w:t>[1]</w:t>
      </w:r>
      <w:r>
        <w:rPr>
          <w:rFonts w:ascii="Times New Roman" w:cs="Times New Roman"/>
        </w:rPr>
        <w:t>及采集的蛇泡筋植物形态制订：攀援灌木，枝圆柱形，稍呈弯曲状，有小钩刺，幼时薄被淡黄色绵毛，老时脱落无毛。叶为指状复叶，小叶</w:t>
      </w:r>
      <w:r>
        <w:rPr>
          <w:rFonts w:ascii="Times New Roman" w:hAnsi="Times New Roman" w:cs="Times New Roman"/>
        </w:rPr>
        <w:t>5</w:t>
      </w:r>
      <w:r>
        <w:rPr>
          <w:rFonts w:ascii="Times New Roman" w:cs="Times New Roman"/>
        </w:rPr>
        <w:t>片，上部有时</w:t>
      </w:r>
      <w:r>
        <w:rPr>
          <w:rFonts w:ascii="Times New Roman" w:hAnsi="Times New Roman" w:cs="Times New Roman"/>
        </w:rPr>
        <w:t>8</w:t>
      </w:r>
      <w:r>
        <w:rPr>
          <w:rFonts w:ascii="Times New Roman" w:cs="Times New Roman"/>
        </w:rPr>
        <w:t>片，纸质，长椭圆形、倒卵状长椭圆形或长椭圆状披针形，侧面的较小，长</w:t>
      </w:r>
      <w:r>
        <w:rPr>
          <w:rFonts w:ascii="Times New Roman" w:hAnsi="Times New Roman" w:cs="Times New Roman"/>
        </w:rPr>
        <w:t>5~9cm</w:t>
      </w:r>
      <w:r>
        <w:rPr>
          <w:rFonts w:ascii="Times New Roman" w:cs="Times New Roman"/>
        </w:rPr>
        <w:t>，宽</w:t>
      </w:r>
      <w:r>
        <w:rPr>
          <w:rFonts w:ascii="Times New Roman" w:hAnsi="Times New Roman" w:cs="Times New Roman"/>
        </w:rPr>
        <w:t>2~3.5cm</w:t>
      </w:r>
      <w:r>
        <w:rPr>
          <w:rFonts w:ascii="Times New Roman" w:cs="Times New Roman"/>
        </w:rPr>
        <w:t>，顶端短渐尖，基部楔形或阔楔形，边缘有锐锯齿，腹面无毛，背面密被土黄色绒毛，沿中脉上有少数小钩刺，叶柄长约</w:t>
      </w:r>
      <w:r>
        <w:rPr>
          <w:rFonts w:ascii="Times New Roman" w:hAnsi="Times New Roman" w:cs="Times New Roman"/>
        </w:rPr>
        <w:t>5cm</w:t>
      </w:r>
      <w:r>
        <w:rPr>
          <w:rFonts w:ascii="Times New Roman" w:cs="Times New Roman"/>
        </w:rPr>
        <w:t>，具小钩刺；小叶柄被疏绒毛；托叶早落，羽状分裂，裂片线形。花排成不规则的短总状花序或圆锥花序，腋生或顶生，具小钩刺，密被黄色绒毛，裂片阔卵形，顶端数齿裂；花瓣白色，近圆形；雄蕊极多数；雌蕊</w:t>
      </w:r>
      <w:r>
        <w:rPr>
          <w:rFonts w:ascii="Times New Roman" w:hAnsi="Times New Roman" w:cs="Times New Roman"/>
        </w:rPr>
        <w:t>30~40</w:t>
      </w:r>
      <w:r>
        <w:rPr>
          <w:rFonts w:ascii="Times New Roman" w:cs="Times New Roman"/>
        </w:rPr>
        <w:t>枚，无毛，花柱延长，丝状。果球形，黑色，肉质，小核果长椭圆状肾形，有横棱，花期</w:t>
      </w:r>
      <w:r>
        <w:rPr>
          <w:rFonts w:ascii="Times New Roman" w:hAnsi="Times New Roman" w:cs="Times New Roman"/>
        </w:rPr>
        <w:t>3~5</w:t>
      </w:r>
      <w:r>
        <w:rPr>
          <w:rFonts w:ascii="Times New Roman" w:cs="Times New Roman"/>
        </w:rPr>
        <w:t>月。</w:t>
      </w:r>
    </w:p>
    <w:p>
      <w:pPr>
        <w:autoSpaceDE w:val="0"/>
        <w:autoSpaceDN w:val="0"/>
        <w:adjustRightInd w:val="0"/>
        <w:spacing w:line="360" w:lineRule="auto"/>
        <w:rPr>
          <w:rFonts w:ascii="Times New Roman" w:hAnsi="Times New Roman" w:cs="Times New Roman"/>
        </w:rPr>
      </w:pPr>
      <w:r>
        <w:rPr>
          <w:rFonts w:ascii="Times New Roman" w:hAnsi="Times New Roman" w:cs="Times New Roman"/>
        </w:rPr>
        <w:drawing>
          <wp:inline distT="0" distB="0" distL="0" distR="0">
            <wp:extent cx="2428875" cy="3238500"/>
            <wp:effectExtent l="0" t="0" r="9525" b="0"/>
            <wp:docPr id="10"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true" noChangeArrowheads="true"/>
                    </pic:cNvPicPr>
                  </pic:nvPicPr>
                  <pic:blipFill>
                    <a:blip r:embed="rId4">
                      <a:extLst>
                        <a:ext uri="{28A0092B-C50C-407E-A947-70E740481C1C}">
                          <a14:useLocalDpi xmlns:a14="http://schemas.microsoft.com/office/drawing/2010/main" val="false"/>
                        </a:ext>
                      </a:extLst>
                    </a:blip>
                    <a:srcRect/>
                    <a:stretch>
                      <a:fillRect/>
                    </a:stretch>
                  </pic:blipFill>
                  <pic:spPr>
                    <a:xfrm>
                      <a:off x="0" y="0"/>
                      <a:ext cx="2428875" cy="3238500"/>
                    </a:xfrm>
                    <a:prstGeom prst="rect">
                      <a:avLst/>
                    </a:prstGeom>
                    <a:noFill/>
                    <a:ln>
                      <a:noFill/>
                    </a:ln>
                  </pic:spPr>
                </pic:pic>
              </a:graphicData>
            </a:graphic>
          </wp:inline>
        </w:drawing>
      </w:r>
      <w:r>
        <w:rPr>
          <w:rFonts w:ascii="Times New Roman" w:hAnsi="Times New Roman" w:cs="Times New Roman"/>
        </w:rPr>
        <w:drawing>
          <wp:inline distT="0" distB="0" distL="0" distR="0">
            <wp:extent cx="2447925" cy="3238500"/>
            <wp:effectExtent l="0" t="0" r="9525" b="0"/>
            <wp:docPr id="9"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2447925" cy="3238500"/>
                    </a:xfrm>
                    <a:prstGeom prst="rect">
                      <a:avLst/>
                    </a:prstGeom>
                    <a:noFill/>
                    <a:ln>
                      <a:noFill/>
                    </a:ln>
                  </pic:spPr>
                </pic:pic>
              </a:graphicData>
            </a:graphic>
          </wp:inline>
        </w:drawing>
      </w:r>
    </w:p>
    <w:p>
      <w:pPr>
        <w:autoSpaceDE w:val="0"/>
        <w:autoSpaceDN w:val="0"/>
        <w:adjustRightInd w:val="0"/>
        <w:spacing w:line="360" w:lineRule="auto"/>
        <w:jc w:val="center"/>
        <w:rPr>
          <w:rFonts w:ascii="Times New Roman" w:hAnsi="Times New Roman" w:cs="Times New Roman"/>
        </w:rPr>
      </w:pPr>
      <w:r>
        <w:rPr>
          <w:rFonts w:ascii="Times New Roman" w:cs="Times New Roman"/>
        </w:rPr>
        <w:t>图</w:t>
      </w:r>
      <w:r>
        <w:rPr>
          <w:rFonts w:ascii="Times New Roman" w:hAnsi="Times New Roman" w:cs="Times New Roman"/>
        </w:rPr>
        <w:t xml:space="preserve">1  </w:t>
      </w:r>
      <w:r>
        <w:rPr>
          <w:rFonts w:ascii="Times New Roman" w:cs="Times New Roman"/>
        </w:rPr>
        <w:t>蛇泡筋植物形态图</w:t>
      </w:r>
    </w:p>
    <w:p>
      <w:pPr>
        <w:adjustRightInd w:val="0"/>
        <w:spacing w:line="360" w:lineRule="auto"/>
        <w:rPr>
          <w:rFonts w:ascii="Times New Roman" w:hAnsi="Times New Roman" w:cs="Times New Roman"/>
        </w:rPr>
      </w:pPr>
      <w:r>
        <w:rPr>
          <w:rFonts w:hint="eastAsia" w:ascii="Times New Roman" w:cs="Times New Roman"/>
        </w:rPr>
        <w:t>4.</w:t>
      </w:r>
      <w:r>
        <w:rPr>
          <w:rFonts w:ascii="Times New Roman" w:cs="Times New Roman"/>
        </w:rPr>
        <w:t>性状</w:t>
      </w:r>
      <w:r>
        <w:rPr>
          <w:rFonts w:hint="eastAsia" w:ascii="Times New Roman" w:cs="Times New Roman"/>
        </w:rPr>
        <w:t>:</w:t>
      </w:r>
    </w:p>
    <w:p>
      <w:pPr>
        <w:adjustRightInd w:val="0"/>
        <w:spacing w:line="360" w:lineRule="auto"/>
        <w:ind w:firstLine="480" w:firstLineChars="200"/>
        <w:rPr>
          <w:rFonts w:ascii="Times New Roman" w:cs="Times New Roman"/>
        </w:rPr>
      </w:pPr>
      <w:r>
        <w:rPr>
          <w:rFonts w:ascii="Times New Roman" w:cs="Times New Roman"/>
        </w:rPr>
        <w:t>根据收集到的样品实际观察，进行描述：本品</w:t>
      </w:r>
      <w:r>
        <w:rPr>
          <w:rFonts w:hint="eastAsia" w:ascii="Times New Roman" w:cs="Times New Roman"/>
        </w:rPr>
        <w:t>圆柱形，长5~50cm</w:t>
      </w:r>
      <w:r>
        <w:rPr>
          <w:rFonts w:ascii="Times New Roman" w:cs="Times New Roman"/>
        </w:rPr>
        <w:t>，直径</w:t>
      </w:r>
      <w:r>
        <w:rPr>
          <w:rFonts w:hint="eastAsia" w:ascii="Times New Roman" w:cs="Times New Roman"/>
        </w:rPr>
        <w:t>1</w:t>
      </w:r>
      <w:r>
        <w:rPr>
          <w:rFonts w:ascii="Times New Roman" w:cs="Times New Roman"/>
        </w:rPr>
        <w:t>~</w:t>
      </w:r>
      <w:r>
        <w:rPr>
          <w:rFonts w:hint="eastAsia" w:ascii="Times New Roman" w:cs="Times New Roman"/>
        </w:rPr>
        <w:t>20mm</w:t>
      </w:r>
      <w:r>
        <w:rPr>
          <w:rFonts w:ascii="Times New Roman" w:cs="Times New Roman"/>
        </w:rPr>
        <w:t>。表面红棕色或棕色，具显著的纵皱纹及稀疏的细根痕，质坚实，断面呈纤维性，黄白色，射线放射状。气微，味微苦。</w:t>
      </w:r>
    </w:p>
    <w:p>
      <w:pPr>
        <w:adjustRightInd w:val="0"/>
        <w:spacing w:line="360" w:lineRule="auto"/>
        <w:ind w:firstLine="480" w:firstLineChars="200"/>
        <w:rPr>
          <w:rFonts w:ascii="Times New Roman" w:cs="Times New Roman"/>
        </w:rPr>
      </w:pPr>
      <w:r>
        <w:rPr>
          <w:rFonts w:ascii="Times New Roman" w:hAnsi="Times New Roman" w:cs="Times New Roman"/>
        </w:rPr>
        <w:drawing>
          <wp:anchor distT="0" distB="0" distL="114300" distR="114300" simplePos="0" relativeHeight="251665408" behindDoc="0" locked="0" layoutInCell="1" allowOverlap="1">
            <wp:simplePos x="0" y="0"/>
            <wp:positionH relativeFrom="column">
              <wp:posOffset>763905</wp:posOffset>
            </wp:positionH>
            <wp:positionV relativeFrom="paragraph">
              <wp:posOffset>76200</wp:posOffset>
            </wp:positionV>
            <wp:extent cx="1628775" cy="2450465"/>
            <wp:effectExtent l="0" t="0" r="9525" b="6985"/>
            <wp:wrapNone/>
            <wp:docPr id="3" name="图片 3" descr="C:\Users\lenovo\AppData\Local\Temp\WeChat Files\fa0f6d6f33429a1377b90fa7ce17b4d.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WeChat Files\fa0f6d6f33429a1377b90fa7ce17b4d.jp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t="8114" b="22832"/>
                    <a:stretch>
                      <a:fillRect/>
                    </a:stretch>
                  </pic:blipFill>
                  <pic:spPr>
                    <a:xfrm>
                      <a:off x="0" y="0"/>
                      <a:ext cx="1628775" cy="2450465"/>
                    </a:xfrm>
                    <a:prstGeom prst="rect">
                      <a:avLst/>
                    </a:prstGeom>
                    <a:noFill/>
                    <a:ln>
                      <a:noFill/>
                    </a:ln>
                  </pic:spPr>
                </pic:pic>
              </a:graphicData>
            </a:graphic>
          </wp:anchor>
        </w:drawing>
      </w:r>
    </w:p>
    <w:p>
      <w:pPr>
        <w:adjustRightInd w:val="0"/>
        <w:spacing w:line="360" w:lineRule="auto"/>
        <w:ind w:firstLine="480" w:firstLineChars="200"/>
        <w:rPr>
          <w:rFonts w:ascii="Times New Roman" w:cs="Times New Roman"/>
        </w:rPr>
      </w:pPr>
      <w:r>
        <w:rPr>
          <w:rFonts w:ascii="Times New Roman" w:hAnsi="Times New Roman" w:cs="Times New Roman"/>
        </w:rPr>
        <w:drawing>
          <wp:anchor distT="0" distB="0" distL="114300" distR="114300" simplePos="0" relativeHeight="251666432" behindDoc="0" locked="0" layoutInCell="1" allowOverlap="1">
            <wp:simplePos x="0" y="0"/>
            <wp:positionH relativeFrom="column">
              <wp:posOffset>2102485</wp:posOffset>
            </wp:positionH>
            <wp:positionV relativeFrom="paragraph">
              <wp:posOffset>244475</wp:posOffset>
            </wp:positionV>
            <wp:extent cx="2461895" cy="1521460"/>
            <wp:effectExtent l="0" t="6032" r="8572" b="8573"/>
            <wp:wrapNone/>
            <wp:docPr id="4" name="图片 4" descr="C:\Users\lenovo\AppData\Local\Temp\WeChat Files\555a1be2f2c090cf9a703055838876a.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WeChat Files\555a1be2f2c090cf9a703055838876a.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l="18608" r="7141"/>
                    <a:stretch>
                      <a:fillRect/>
                    </a:stretch>
                  </pic:blipFill>
                  <pic:spPr>
                    <a:xfrm rot="5400000">
                      <a:off x="0" y="0"/>
                      <a:ext cx="2461895" cy="1521460"/>
                    </a:xfrm>
                    <a:prstGeom prst="rect">
                      <a:avLst/>
                    </a:prstGeom>
                    <a:noFill/>
                    <a:ln>
                      <a:noFill/>
                    </a:ln>
                  </pic:spPr>
                </pic:pic>
              </a:graphicData>
            </a:graphic>
          </wp:anchor>
        </w:drawing>
      </w:r>
    </w:p>
    <w:p>
      <w:pPr>
        <w:adjustRightInd w:val="0"/>
        <w:spacing w:line="360" w:lineRule="auto"/>
        <w:ind w:firstLine="480" w:firstLineChars="200"/>
        <w:rPr>
          <w:rFonts w:ascii="Times New Roman" w:cs="Times New Roman"/>
        </w:rPr>
      </w:pPr>
    </w:p>
    <w:p>
      <w:pPr>
        <w:adjustRightInd w:val="0"/>
        <w:spacing w:line="360" w:lineRule="auto"/>
        <w:ind w:firstLine="480" w:firstLineChars="200"/>
        <w:rPr>
          <w:rFonts w:ascii="Times New Roman" w:cs="Times New Roman"/>
        </w:rPr>
      </w:pPr>
    </w:p>
    <w:p>
      <w:pPr>
        <w:adjustRightInd w:val="0"/>
        <w:spacing w:line="360" w:lineRule="auto"/>
        <w:jc w:val="center"/>
        <w:rPr>
          <w:rFonts w:ascii="Times New Roman" w:hAnsi="Times New Roman" w:cs="Times New Roman"/>
        </w:rPr>
      </w:pPr>
    </w:p>
    <w:p>
      <w:pPr>
        <w:adjustRightInd w:val="0"/>
        <w:spacing w:line="360" w:lineRule="auto"/>
        <w:rPr>
          <w:rFonts w:ascii="Times New Roman" w:hAnsi="Times New Roman" w:cs="Times New Roman"/>
        </w:rPr>
      </w:pPr>
    </w:p>
    <w:p>
      <w:pPr>
        <w:adjustRightInd w:val="0"/>
        <w:spacing w:line="360" w:lineRule="auto"/>
        <w:rPr>
          <w:rFonts w:ascii="Times New Roman" w:hAnsi="Times New Roman" w:cs="Times New Roman"/>
        </w:rPr>
      </w:pPr>
    </w:p>
    <w:p>
      <w:pPr>
        <w:adjustRightInd w:val="0"/>
        <w:spacing w:line="360" w:lineRule="auto"/>
        <w:rPr>
          <w:rFonts w:ascii="Times New Roman" w:hAnsi="Times New Roman" w:cs="Times New Roman"/>
        </w:rPr>
      </w:pPr>
    </w:p>
    <w:p>
      <w:pPr>
        <w:adjustRightInd w:val="0"/>
        <w:spacing w:line="360" w:lineRule="auto"/>
        <w:rPr>
          <w:rFonts w:ascii="Times New Roman" w:hAnsi="Times New Roman" w:cs="Times New Roman"/>
        </w:rPr>
      </w:pPr>
    </w:p>
    <w:p>
      <w:pPr>
        <w:adjustRightInd w:val="0"/>
        <w:spacing w:line="360" w:lineRule="auto"/>
        <w:jc w:val="center"/>
        <w:rPr>
          <w:rFonts w:ascii="Times New Roman" w:hAnsi="Times New Roman" w:cs="Times New Roman"/>
        </w:rPr>
      </w:pPr>
      <w:r>
        <w:rPr>
          <w:rFonts w:ascii="Times New Roman" w:cs="Times New Roman"/>
        </w:rPr>
        <w:t>图</w:t>
      </w:r>
      <w:r>
        <w:rPr>
          <w:rFonts w:ascii="Times New Roman" w:hAnsi="Times New Roman" w:cs="Times New Roman"/>
        </w:rPr>
        <w:t xml:space="preserve">2  </w:t>
      </w:r>
      <w:r>
        <w:rPr>
          <w:rFonts w:ascii="Times New Roman" w:cs="Times New Roman"/>
        </w:rPr>
        <w:t>蛇泡筋药材图</w:t>
      </w:r>
    </w:p>
    <w:p>
      <w:pPr>
        <w:adjustRightInd w:val="0"/>
        <w:spacing w:line="360" w:lineRule="auto"/>
        <w:rPr>
          <w:rFonts w:ascii="Times New Roman" w:cs="Times New Roman"/>
        </w:rPr>
      </w:pPr>
      <w:r>
        <w:rPr>
          <w:rFonts w:hint="eastAsia" w:ascii="Times New Roman" w:cs="Times New Roman"/>
        </w:rPr>
        <w:t>5.</w:t>
      </w:r>
      <w:r>
        <w:rPr>
          <w:rFonts w:ascii="Times New Roman" w:cs="Times New Roman"/>
        </w:rPr>
        <w:t>化学成分</w:t>
      </w:r>
      <w:r>
        <w:rPr>
          <w:rFonts w:hint="eastAsia" w:ascii="Times New Roman" w:cs="Times New Roman"/>
        </w:rPr>
        <w:t>:</w:t>
      </w:r>
    </w:p>
    <w:p>
      <w:pPr>
        <w:adjustRightInd w:val="0"/>
        <w:spacing w:line="360" w:lineRule="auto"/>
        <w:ind w:firstLine="480" w:firstLineChars="200"/>
        <w:rPr>
          <w:rFonts w:ascii="Times New Roman" w:hAnsi="Times New Roman" w:cs="Times New Roman"/>
        </w:rPr>
      </w:pPr>
      <w:r>
        <w:rPr>
          <w:rFonts w:ascii="Times New Roman" w:cs="Times New Roman"/>
        </w:rPr>
        <w:t>蛇泡筋</w:t>
      </w:r>
      <w:r>
        <w:rPr>
          <w:rFonts w:ascii="Times New Roman" w:hAnsi="Times New Roman" w:cs="Times New Roman"/>
          <w:i/>
        </w:rPr>
        <w:t>Rubuscochinchinensis</w:t>
      </w:r>
      <w:r>
        <w:rPr>
          <w:rFonts w:ascii="Times New Roman" w:hAnsi="Times New Roman" w:cs="Times New Roman"/>
        </w:rPr>
        <w:t>Tratt.</w:t>
      </w:r>
      <w:r>
        <w:rPr>
          <w:rFonts w:ascii="Times New Roman" w:cs="Times New Roman"/>
        </w:rPr>
        <w:t>的化学成分鲜有研究，同属植物茅莓诉化</w:t>
      </w:r>
      <w:r>
        <w:rPr>
          <w:rFonts w:ascii="Times New Roman" w:hAnsi="Times New Roman" w:cs="Times New Roman"/>
          <w:i/>
        </w:rPr>
        <w:t>Rubusparvifolius</w:t>
      </w:r>
      <w:r>
        <w:rPr>
          <w:rFonts w:ascii="Times New Roman" w:cs="Times New Roman"/>
        </w:rPr>
        <w:t>Ｌ的化学成分有一定的研究报道，主要含有鞣制、黄酮苷、糖类、酚类、氨基酸成分。多篇文献报道表儿茶素作为茅莓的含量测定指标</w:t>
      </w:r>
      <w:r>
        <w:rPr>
          <w:rFonts w:ascii="Times New Roman" w:hAnsi="Times New Roman" w:cs="Times New Roman"/>
          <w:vertAlign w:val="superscript"/>
        </w:rPr>
        <w:t>[2-3]</w:t>
      </w:r>
      <w:r>
        <w:rPr>
          <w:rFonts w:ascii="Times New Roman" w:cs="Times New Roman"/>
        </w:rPr>
        <w:t>。</w:t>
      </w:r>
    </w:p>
    <w:p>
      <w:pPr>
        <w:adjustRightInd w:val="0"/>
        <w:spacing w:line="360" w:lineRule="auto"/>
        <w:rPr>
          <w:rFonts w:ascii="Times New Roman" w:hAnsi="Times New Roman" w:cs="Times New Roman"/>
        </w:rPr>
      </w:pPr>
      <w:r>
        <w:rPr>
          <w:rFonts w:hint="eastAsia" w:ascii="Times New Roman" w:cs="Times New Roman"/>
        </w:rPr>
        <w:t>6.</w:t>
      </w:r>
      <w:r>
        <w:rPr>
          <w:rFonts w:ascii="Times New Roman" w:cs="Times New Roman"/>
        </w:rPr>
        <w:t>药材来源</w:t>
      </w:r>
      <w:r>
        <w:rPr>
          <w:rFonts w:hint="eastAsia" w:ascii="Times New Roman" w:cs="Times New Roman"/>
        </w:rPr>
        <w:t>:</w:t>
      </w:r>
    </w:p>
    <w:p>
      <w:pPr>
        <w:spacing w:line="360" w:lineRule="auto"/>
        <w:ind w:firstLine="480"/>
        <w:rPr>
          <w:rFonts w:ascii="Times New Roman" w:hAnsi="Times New Roman" w:cs="Times New Roman"/>
        </w:rPr>
      </w:pPr>
      <w:r>
        <w:rPr>
          <w:rFonts w:ascii="Times New Roman" w:cs="Times New Roman"/>
        </w:rPr>
        <w:t>蛇泡筋药材采集于海南，经本校药学院生药学田建平教授鉴定确定为蔷薇科植物植物越南悬钩子</w:t>
      </w:r>
      <w:r>
        <w:rPr>
          <w:rFonts w:ascii="Times New Roman" w:hAnsi="Times New Roman" w:cs="Times New Roman"/>
          <w:i/>
        </w:rPr>
        <w:t>Rubuscochinchinensis</w:t>
      </w:r>
      <w:r>
        <w:rPr>
          <w:rFonts w:ascii="Times New Roman" w:hAnsi="Times New Roman" w:cs="Times New Roman"/>
        </w:rPr>
        <w:t>Tratt</w:t>
      </w:r>
      <w:r>
        <w:rPr>
          <w:rFonts w:ascii="Times New Roman" w:cs="Times New Roman"/>
        </w:rPr>
        <w:t>的根。</w:t>
      </w:r>
    </w:p>
    <w:p>
      <w:pPr>
        <w:spacing w:line="360" w:lineRule="auto"/>
        <w:jc w:val="center"/>
        <w:rPr>
          <w:rFonts w:ascii="Times New Roman" w:hAnsi="Times New Roman" w:eastAsia="黑体" w:cs="Times New Roman"/>
          <w:szCs w:val="21"/>
        </w:rPr>
      </w:pPr>
      <w:r>
        <w:rPr>
          <w:rFonts w:ascii="Times New Roman" w:hAnsi="黑体" w:eastAsia="黑体" w:cs="Times New Roman"/>
          <w:szCs w:val="21"/>
        </w:rPr>
        <w:t>表</w:t>
      </w:r>
      <w:r>
        <w:rPr>
          <w:rFonts w:ascii="Times New Roman" w:hAnsi="Times New Roman" w:eastAsia="黑体" w:cs="Times New Roman"/>
          <w:szCs w:val="21"/>
        </w:rPr>
        <w:t xml:space="preserve">1 </w:t>
      </w:r>
      <w:r>
        <w:rPr>
          <w:rFonts w:ascii="Times New Roman" w:hAnsi="黑体" w:eastAsia="黑体" w:cs="Times New Roman"/>
          <w:szCs w:val="21"/>
        </w:rPr>
        <w:t>不同批次的蛇泡筋药材样品</w:t>
      </w:r>
    </w:p>
    <w:tbl>
      <w:tblPr>
        <w:tblStyle w:val="8"/>
        <w:tblW w:w="8522"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44"/>
        <w:gridCol w:w="3975"/>
        <w:gridCol w:w="3003"/>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Borders>
              <w:top w:val="single" w:color="auto" w:sz="4" w:space="0"/>
              <w:bottom w:val="single" w:color="auto" w:sz="4" w:space="0"/>
            </w:tcBorders>
          </w:tcPr>
          <w:p>
            <w:pPr>
              <w:spacing w:line="360" w:lineRule="auto"/>
              <w:jc w:val="center"/>
              <w:rPr>
                <w:rFonts w:ascii="Times New Roman" w:hAnsi="Times New Roman" w:cs="Times New Roman"/>
              </w:rPr>
            </w:pPr>
            <w:r>
              <w:rPr>
                <w:rFonts w:ascii="Times New Roman" w:cs="Times New Roman"/>
              </w:rPr>
              <w:t>编号</w:t>
            </w:r>
          </w:p>
        </w:tc>
        <w:tc>
          <w:tcPr>
            <w:tcW w:w="3975" w:type="dxa"/>
            <w:tcBorders>
              <w:top w:val="single" w:color="auto" w:sz="4" w:space="0"/>
              <w:bottom w:val="single" w:color="auto" w:sz="4" w:space="0"/>
            </w:tcBorders>
          </w:tcPr>
          <w:p>
            <w:pPr>
              <w:spacing w:line="360" w:lineRule="auto"/>
              <w:jc w:val="center"/>
              <w:rPr>
                <w:rFonts w:ascii="Times New Roman" w:hAnsi="Times New Roman" w:cs="Times New Roman"/>
              </w:rPr>
            </w:pPr>
            <w:r>
              <w:rPr>
                <w:rFonts w:ascii="Times New Roman" w:cs="Times New Roman"/>
              </w:rPr>
              <w:t>产地</w:t>
            </w:r>
          </w:p>
        </w:tc>
        <w:tc>
          <w:tcPr>
            <w:tcW w:w="3003" w:type="dxa"/>
            <w:tcBorders>
              <w:top w:val="single" w:color="auto" w:sz="4" w:space="0"/>
              <w:bottom w:val="single" w:color="auto" w:sz="4" w:space="0"/>
            </w:tcBorders>
          </w:tcPr>
          <w:p>
            <w:pPr>
              <w:spacing w:line="360" w:lineRule="auto"/>
              <w:jc w:val="center"/>
              <w:rPr>
                <w:rFonts w:ascii="Times New Roman" w:hAnsi="Times New Roman" w:cs="Times New Roman"/>
              </w:rPr>
            </w:pPr>
            <w:r>
              <w:rPr>
                <w:rFonts w:ascii="Times New Roman" w:cs="Times New Roman"/>
              </w:rPr>
              <w:t>采收时间</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Borders>
              <w:top w:val="single" w:color="auto" w:sz="4" w:space="0"/>
              <w:bottom w:val="nil"/>
            </w:tcBorders>
          </w:tcPr>
          <w:p>
            <w:pPr>
              <w:spacing w:line="360" w:lineRule="auto"/>
              <w:jc w:val="center"/>
              <w:rPr>
                <w:rFonts w:ascii="Times New Roman" w:cs="Times New Roman"/>
              </w:rPr>
            </w:pPr>
            <w:r>
              <w:rPr>
                <w:rFonts w:ascii="Times New Roman" w:cs="Times New Roman"/>
              </w:rPr>
              <w:t>20</w:t>
            </w:r>
            <w:r>
              <w:rPr>
                <w:rFonts w:hint="eastAsia" w:ascii="Times New Roman" w:cs="Times New Roman"/>
              </w:rPr>
              <w:t>2201001</w:t>
            </w:r>
          </w:p>
        </w:tc>
        <w:tc>
          <w:tcPr>
            <w:tcW w:w="3975" w:type="dxa"/>
            <w:tcBorders>
              <w:top w:val="single" w:color="auto" w:sz="4" w:space="0"/>
              <w:bottom w:val="nil"/>
            </w:tcBorders>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海南琼中（对照药材）</w:t>
            </w:r>
          </w:p>
        </w:tc>
        <w:tc>
          <w:tcPr>
            <w:tcW w:w="3003" w:type="dxa"/>
            <w:tcBorders>
              <w:top w:val="single" w:color="auto" w:sz="4" w:space="0"/>
              <w:bottom w:val="nil"/>
            </w:tcBorders>
          </w:tcPr>
          <w:p>
            <w:pPr>
              <w:spacing w:line="360" w:lineRule="auto"/>
              <w:jc w:val="center"/>
              <w:rPr>
                <w:rFonts w:asci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Borders>
              <w:top w:val="nil"/>
            </w:tcBorders>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w:t>
            </w:r>
          </w:p>
        </w:tc>
        <w:tc>
          <w:tcPr>
            <w:tcW w:w="3975" w:type="dxa"/>
            <w:tcBorders>
              <w:top w:val="nil"/>
            </w:tcBorders>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海南琼中</w:t>
            </w:r>
          </w:p>
        </w:tc>
        <w:tc>
          <w:tcPr>
            <w:tcW w:w="3003" w:type="dxa"/>
            <w:tcBorders>
              <w:top w:val="nil"/>
            </w:tcBorders>
          </w:tcPr>
          <w:p>
            <w:pPr>
              <w:spacing w:line="360" w:lineRule="auto"/>
              <w:jc w:val="center"/>
              <w:rPr>
                <w:rFonts w:ascii="Times New Roman" w:hAns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海南琼中</w:t>
            </w:r>
          </w:p>
        </w:tc>
        <w:tc>
          <w:tcPr>
            <w:tcW w:w="3003" w:type="dxa"/>
          </w:tcPr>
          <w:p>
            <w:pPr>
              <w:spacing w:line="360" w:lineRule="auto"/>
              <w:jc w:val="center"/>
              <w:rPr>
                <w:rFonts w:asci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海南屯昌</w:t>
            </w:r>
          </w:p>
        </w:tc>
        <w:tc>
          <w:tcPr>
            <w:tcW w:w="3003" w:type="dxa"/>
          </w:tcPr>
          <w:p>
            <w:pPr>
              <w:spacing w:line="360" w:lineRule="auto"/>
              <w:jc w:val="center"/>
              <w:rPr>
                <w:rFonts w:ascii="Times New Roman" w:hAns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海南屯昌</w:t>
            </w:r>
          </w:p>
        </w:tc>
        <w:tc>
          <w:tcPr>
            <w:tcW w:w="3003" w:type="dxa"/>
          </w:tcPr>
          <w:p>
            <w:pPr>
              <w:spacing w:line="360" w:lineRule="auto"/>
              <w:jc w:val="center"/>
              <w:rPr>
                <w:rFonts w:asci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海南白沙</w:t>
            </w:r>
          </w:p>
        </w:tc>
        <w:tc>
          <w:tcPr>
            <w:tcW w:w="3003" w:type="dxa"/>
          </w:tcPr>
          <w:p>
            <w:pPr>
              <w:spacing w:line="360" w:lineRule="auto"/>
              <w:jc w:val="center"/>
              <w:rPr>
                <w:rFonts w:asci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海南白沙</w:t>
            </w:r>
          </w:p>
        </w:tc>
        <w:tc>
          <w:tcPr>
            <w:tcW w:w="3003" w:type="dxa"/>
          </w:tcPr>
          <w:p>
            <w:pPr>
              <w:spacing w:line="360" w:lineRule="auto"/>
              <w:jc w:val="center"/>
              <w:rPr>
                <w:rFonts w:ascii="Times New Roman" w:hAns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海南五指山</w:t>
            </w:r>
          </w:p>
        </w:tc>
        <w:tc>
          <w:tcPr>
            <w:tcW w:w="3003" w:type="dxa"/>
          </w:tcPr>
          <w:p>
            <w:pPr>
              <w:spacing w:line="360" w:lineRule="auto"/>
              <w:jc w:val="center"/>
              <w:rPr>
                <w:rFonts w:asci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海南五指山</w:t>
            </w:r>
          </w:p>
        </w:tc>
        <w:tc>
          <w:tcPr>
            <w:tcW w:w="3003" w:type="dxa"/>
          </w:tcPr>
          <w:p>
            <w:pPr>
              <w:spacing w:line="360" w:lineRule="auto"/>
              <w:jc w:val="center"/>
              <w:rPr>
                <w:rFonts w:ascii="Times New Roman" w:hAns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海南保亭</w:t>
            </w:r>
          </w:p>
        </w:tc>
        <w:tc>
          <w:tcPr>
            <w:tcW w:w="3003" w:type="dxa"/>
          </w:tcPr>
          <w:p>
            <w:pPr>
              <w:spacing w:line="360" w:lineRule="auto"/>
              <w:jc w:val="center"/>
              <w:rPr>
                <w:rFonts w:ascii="Times New Roman" w:cs="Times New Roman"/>
              </w:rPr>
            </w:pPr>
            <w:r>
              <w:rPr>
                <w:rFonts w:hint="eastAsia" w:ascii="Times New Roman" w:cs="Times New Roman"/>
              </w:rPr>
              <w:t>2022.01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544"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w:t>
            </w:r>
          </w:p>
        </w:tc>
        <w:tc>
          <w:tcPr>
            <w:tcW w:w="3975"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海南保亭</w:t>
            </w:r>
          </w:p>
        </w:tc>
        <w:tc>
          <w:tcPr>
            <w:tcW w:w="3003" w:type="dxa"/>
          </w:tcPr>
          <w:p>
            <w:pPr>
              <w:spacing w:line="360" w:lineRule="auto"/>
              <w:jc w:val="center"/>
              <w:rPr>
                <w:rFonts w:ascii="Times New Roman" w:hAnsi="Times New Roman" w:cs="Times New Roman"/>
              </w:rPr>
            </w:pPr>
            <w:r>
              <w:rPr>
                <w:rFonts w:hint="eastAsia" w:ascii="Times New Roman" w:cs="Times New Roman"/>
              </w:rPr>
              <w:t>2022.01</w:t>
            </w:r>
          </w:p>
        </w:tc>
      </w:tr>
    </w:tbl>
    <w:p>
      <w:pPr>
        <w:autoSpaceDE w:val="0"/>
        <w:autoSpaceDN w:val="0"/>
        <w:adjustRightInd w:val="0"/>
        <w:spacing w:line="360" w:lineRule="auto"/>
        <w:rPr>
          <w:rFonts w:ascii="Times New Roman" w:cs="Times New Roman"/>
        </w:rPr>
      </w:pPr>
      <w:r>
        <w:rPr>
          <w:rFonts w:hint="eastAsia" w:ascii="Times New Roman" w:cs="Times New Roman"/>
        </w:rPr>
        <w:t xml:space="preserve">7. </w:t>
      </w:r>
      <w:r>
        <w:rPr>
          <w:rFonts w:ascii="Times New Roman" w:cs="Times New Roman"/>
        </w:rPr>
        <w:t>鉴别</w:t>
      </w:r>
      <w:r>
        <w:rPr>
          <w:rFonts w:hint="eastAsia" w:ascii="Times New Roman" w:cs="Times New Roman"/>
        </w:rPr>
        <w:t>:</w:t>
      </w:r>
    </w:p>
    <w:p>
      <w:pPr>
        <w:adjustRightInd w:val="0"/>
        <w:spacing w:line="360" w:lineRule="auto"/>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1.显微鉴别：通过对1</w:t>
      </w:r>
      <w:r>
        <w:rPr>
          <w:rFonts w:hint="eastAsia" w:ascii="Times New Roman" w:hAnsi="Times New Roman" w:cs="Times New Roman"/>
        </w:rPr>
        <w:t>0</w:t>
      </w:r>
      <w:r>
        <w:rPr>
          <w:rFonts w:ascii="Times New Roman" w:hAnsi="Times New Roman" w:cs="Times New Roman"/>
        </w:rPr>
        <w:t>批蛇泡筋根药材粉末显微特征进行制订。纤维成束，多断裂，直径</w:t>
      </w:r>
      <w:r>
        <w:rPr>
          <w:rFonts w:hint="eastAsia" w:ascii="Times New Roman" w:hAnsi="Times New Roman" w:cs="Times New Roman"/>
        </w:rPr>
        <w:t>5~20</w:t>
      </w:r>
      <w:r>
        <w:rPr>
          <w:rFonts w:ascii="Times New Roman" w:hAnsi="Times New Roman" w:cs="Times New Roman"/>
        </w:rPr>
        <w:t>μm，</w:t>
      </w:r>
      <w:r>
        <w:t>草酸钙簇晶常排列成行</w:t>
      </w:r>
      <w:r>
        <w:rPr>
          <w:rFonts w:hint="eastAsia" w:ascii="Times New Roman" w:hAnsi="Times New Roman" w:cs="Times New Roman"/>
        </w:rPr>
        <w:t>，形成晶纤维。具缘纹孔导管较大</w:t>
      </w:r>
      <w:r>
        <w:rPr>
          <w:rFonts w:ascii="Times New Roman" w:hAnsi="Times New Roman" w:cs="Times New Roman"/>
        </w:rPr>
        <w:t>，碎片可达6</w:t>
      </w:r>
      <w:r>
        <w:rPr>
          <w:rFonts w:hint="eastAsia" w:ascii="Times New Roman" w:hAnsi="Times New Roman" w:cs="Times New Roman"/>
        </w:rPr>
        <w:t>0</w:t>
      </w:r>
      <w:r>
        <w:rPr>
          <w:rFonts w:ascii="Times New Roman" w:hAnsi="Times New Roman" w:cs="Times New Roman"/>
        </w:rPr>
        <w:t>μm，纹孔排列较密</w:t>
      </w:r>
      <w:r>
        <w:rPr>
          <w:rFonts w:hint="eastAsia" w:ascii="Times New Roman" w:hAnsi="Times New Roman" w:cs="Times New Roman"/>
        </w:rPr>
        <w:t>，稀有网纹导管</w:t>
      </w:r>
      <w:r>
        <w:rPr>
          <w:rFonts w:ascii="Times New Roman" w:hAnsi="Times New Roman" w:cs="Times New Roman"/>
        </w:rPr>
        <w:t>。</w:t>
      </w:r>
      <w:r>
        <w:rPr>
          <w:rFonts w:hint="eastAsia" w:ascii="Times New Roman" w:hAnsi="Times New Roman" w:cs="Times New Roman"/>
        </w:rPr>
        <w:t>木栓细胞红棕色，多角型。</w:t>
      </w:r>
    </w:p>
    <w:p>
      <w:pPr>
        <w:adjustRightInd w:val="0"/>
        <w:spacing w:line="360" w:lineRule="auto"/>
        <w:rPr>
          <w:rFonts w:ascii="Times New Roman" w:hAnsi="Times New Roman" w:cs="Times New Roman"/>
        </w:rPr>
      </w:pPr>
      <w:r>
        <w:rPr>
          <w:rFonts w:ascii="Times New Roman" w:hAnsi="Times New Roman" w:cs="Times New Roman"/>
        </w:rPr>
        <w:drawing>
          <wp:inline distT="0" distB="0" distL="0" distR="0">
            <wp:extent cx="2276475" cy="1788160"/>
            <wp:effectExtent l="19050" t="0" r="9525" b="0"/>
            <wp:docPr id="2" name="图片 0" descr="图像_13421.ti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0" descr="图像_13421.tif"/>
                    <pic:cNvPicPr>
                      <a:picLocks noChangeAspect="true"/>
                    </pic:cNvPicPr>
                  </pic:nvPicPr>
                  <pic:blipFill>
                    <a:blip r:embed="rId8"/>
                    <a:srcRect l="41801" t="10753" r="31404" b="47262"/>
                    <a:stretch>
                      <a:fillRect/>
                    </a:stretch>
                  </pic:blipFill>
                  <pic:spPr>
                    <a:xfrm>
                      <a:off x="0" y="0"/>
                      <a:ext cx="2276130" cy="1788416"/>
                    </a:xfrm>
                    <a:prstGeom prst="rect">
                      <a:avLst/>
                    </a:prstGeom>
                  </pic:spPr>
                </pic:pic>
              </a:graphicData>
            </a:graphic>
          </wp:inline>
        </w:drawing>
      </w:r>
      <w:r>
        <w:rPr>
          <w:rFonts w:ascii="Times New Roman" w:hAnsi="Times New Roman" w:cs="Times New Roman"/>
        </w:rPr>
        <w:drawing>
          <wp:inline distT="0" distB="0" distL="0" distR="0">
            <wp:extent cx="2286000" cy="1781175"/>
            <wp:effectExtent l="19050" t="0" r="0" b="0"/>
            <wp:docPr id="21" name="图片 21" descr="H:\蛇炮筋\图像_13447.ti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H:\蛇炮筋\图像_13447.tif"/>
                    <pic:cNvPicPr>
                      <a:picLocks noChangeAspect="true" noChangeArrowheads="true"/>
                    </pic:cNvPicPr>
                  </pic:nvPicPr>
                  <pic:blipFill>
                    <a:blip r:embed="rId9" cstate="print"/>
                    <a:srcRect l="38641" t="23373" r="18024" b="31566"/>
                    <a:stretch>
                      <a:fillRect/>
                    </a:stretch>
                  </pic:blipFill>
                  <pic:spPr>
                    <a:xfrm>
                      <a:off x="0" y="0"/>
                      <a:ext cx="2286000" cy="1781175"/>
                    </a:xfrm>
                    <a:prstGeom prst="rect">
                      <a:avLst/>
                    </a:prstGeom>
                    <a:noFill/>
                    <a:ln w="9525">
                      <a:noFill/>
                      <a:miter lim="800000"/>
                      <a:headEnd/>
                      <a:tailEnd/>
                    </a:ln>
                  </pic:spPr>
                </pic:pic>
              </a:graphicData>
            </a:graphic>
          </wp:inline>
        </w:drawing>
      </w:r>
    </w:p>
    <w:p>
      <w:pPr>
        <w:autoSpaceDE w:val="0"/>
        <w:autoSpaceDN w:val="0"/>
        <w:adjustRightInd w:val="0"/>
        <w:spacing w:line="360" w:lineRule="auto"/>
        <w:ind w:left="137" w:leftChars="57" w:firstLine="1440" w:firstLineChars="600"/>
        <w:rPr>
          <w:rFonts w:ascii="Times New Roman" w:hAnsi="Times New Roman" w:cs="Times New Roman"/>
        </w:rPr>
      </w:pPr>
      <w:r>
        <w:rPr>
          <w:rFonts w:ascii="Times New Roman" w:cs="Times New Roman"/>
        </w:rPr>
        <w:t>具缘纹孔导管</w:t>
      </w:r>
      <w:r>
        <w:rPr>
          <w:rFonts w:hint="eastAsia" w:ascii="Times New Roman" w:cs="Times New Roman"/>
        </w:rPr>
        <w:t xml:space="preserve">           网纹导管</w:t>
      </w:r>
    </w:p>
    <w:p>
      <w:pPr>
        <w:autoSpaceDE w:val="0"/>
        <w:autoSpaceDN w:val="0"/>
        <w:adjustRightInd w:val="0"/>
        <w:spacing w:line="360" w:lineRule="auto"/>
        <w:ind w:left="137" w:leftChars="57"/>
        <w:rPr>
          <w:rFonts w:ascii="Times New Roman" w:cs="Times New Roman"/>
        </w:rPr>
      </w:pPr>
      <w:r>
        <w:rPr>
          <w:rFonts w:ascii="Times New Roman" w:hAnsi="Times New Roman" w:cs="Times New Roman"/>
        </w:rPr>
        <w:drawing>
          <wp:anchor distT="0" distB="0" distL="114300" distR="114300" simplePos="0" relativeHeight="251664384" behindDoc="0" locked="0" layoutInCell="1" allowOverlap="1">
            <wp:simplePos x="0" y="0"/>
            <wp:positionH relativeFrom="column">
              <wp:posOffset>2619375</wp:posOffset>
            </wp:positionH>
            <wp:positionV relativeFrom="paragraph">
              <wp:posOffset>447675</wp:posOffset>
            </wp:positionV>
            <wp:extent cx="2162175" cy="1428750"/>
            <wp:effectExtent l="19050" t="0" r="9525" b="0"/>
            <wp:wrapSquare wrapText="bothSides"/>
            <wp:docPr id="1" name="图片 27" descr="H:\蛇炮筋\图像_13454.ti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7" descr="H:\蛇炮筋\图像_13454.tif"/>
                    <pic:cNvPicPr>
                      <a:picLocks noChangeAspect="true" noChangeArrowheads="true"/>
                    </pic:cNvPicPr>
                  </pic:nvPicPr>
                  <pic:blipFill>
                    <a:blip r:embed="rId10"/>
                    <a:srcRect l="39956" t="40964" r="35637" b="28849"/>
                    <a:stretch>
                      <a:fillRect/>
                    </a:stretch>
                  </pic:blipFill>
                  <pic:spPr>
                    <a:xfrm>
                      <a:off x="0" y="0"/>
                      <a:ext cx="2162175" cy="1428750"/>
                    </a:xfrm>
                    <a:prstGeom prst="rect">
                      <a:avLst/>
                    </a:prstGeom>
                    <a:noFill/>
                    <a:ln w="9525">
                      <a:noFill/>
                      <a:miter lim="800000"/>
                      <a:headEnd/>
                      <a:tailEnd/>
                    </a:ln>
                  </pic:spPr>
                </pic:pic>
              </a:graphicData>
            </a:graphic>
          </wp:anchor>
        </w:drawing>
      </w:r>
      <w:r>
        <w:rPr>
          <w:rFonts w:ascii="Times New Roman" w:hAnsi="Times New Roman" w:cs="Times New Roman"/>
        </w:rPr>
        <w:drawing>
          <wp:inline distT="0" distB="0" distL="0" distR="0">
            <wp:extent cx="2228850" cy="1816100"/>
            <wp:effectExtent l="19050" t="0" r="0" b="0"/>
            <wp:docPr id="23" name="图片 23" descr="H:\蛇炮筋\图像_13437.ti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H:\蛇炮筋\图像_13437.tif"/>
                    <pic:cNvPicPr>
                      <a:picLocks noChangeAspect="true" noChangeArrowheads="true"/>
                    </pic:cNvPicPr>
                  </pic:nvPicPr>
                  <pic:blipFill>
                    <a:blip r:embed="rId11" cstate="print"/>
                    <a:srcRect l="21852" t="12771" r="6810" b="13012"/>
                    <a:stretch>
                      <a:fillRect/>
                    </a:stretch>
                  </pic:blipFill>
                  <pic:spPr>
                    <a:xfrm>
                      <a:off x="0" y="0"/>
                      <a:ext cx="2231946" cy="1819076"/>
                    </a:xfrm>
                    <a:prstGeom prst="rect">
                      <a:avLst/>
                    </a:prstGeom>
                    <a:noFill/>
                    <a:ln w="9525">
                      <a:noFill/>
                      <a:miter lim="800000"/>
                      <a:headEnd/>
                      <a:tailEnd/>
                    </a:ln>
                  </pic:spPr>
                </pic:pic>
              </a:graphicData>
            </a:graphic>
          </wp:inline>
        </w:drawing>
      </w:r>
    </w:p>
    <w:p>
      <w:pPr>
        <w:tabs>
          <w:tab w:val="left" w:pos="1290"/>
        </w:tabs>
        <w:autoSpaceDE w:val="0"/>
        <w:autoSpaceDN w:val="0"/>
        <w:adjustRightInd w:val="0"/>
        <w:spacing w:line="360" w:lineRule="auto"/>
        <w:ind w:firstLine="600" w:firstLineChars="250"/>
        <w:rPr>
          <w:rFonts w:ascii="Times New Roman" w:hAnsi="Times New Roman" w:cs="Times New Roman"/>
        </w:rPr>
      </w:pPr>
      <w:r>
        <w:rPr>
          <w:rFonts w:hint="eastAsia" w:ascii="Times New Roman" w:cs="Times New Roman"/>
        </w:rPr>
        <w:t>晶</w:t>
      </w:r>
      <w:r>
        <w:rPr>
          <w:rFonts w:ascii="Times New Roman" w:cs="Times New Roman"/>
        </w:rPr>
        <w:t>纤维</w:t>
      </w:r>
      <w:r>
        <w:rPr>
          <w:rFonts w:hint="eastAsia" w:ascii="Times New Roman" w:cs="Times New Roman"/>
        </w:rPr>
        <w:t xml:space="preserve">                             </w:t>
      </w:r>
      <w:r>
        <w:rPr>
          <w:rFonts w:hint="eastAsia" w:ascii="Times New Roman" w:hAnsi="Times New Roman" w:cs="Times New Roman"/>
        </w:rPr>
        <w:t>木栓细胞</w:t>
      </w:r>
    </w:p>
    <w:p>
      <w:pPr>
        <w:autoSpaceDE w:val="0"/>
        <w:autoSpaceDN w:val="0"/>
        <w:adjustRightInd w:val="0"/>
        <w:spacing w:line="360" w:lineRule="auto"/>
        <w:ind w:left="137" w:leftChars="57"/>
        <w:jc w:val="center"/>
        <w:rPr>
          <w:rFonts w:ascii="Times New Roman" w:hAnsi="Times New Roman" w:cs="Times New Roman"/>
        </w:rPr>
      </w:pPr>
      <w:r>
        <w:rPr>
          <w:rFonts w:ascii="Times New Roman" w:cs="Times New Roman"/>
        </w:rPr>
        <w:t>图</w:t>
      </w:r>
      <w:r>
        <w:rPr>
          <w:rFonts w:ascii="Times New Roman" w:hAnsi="Times New Roman" w:cs="Times New Roman"/>
        </w:rPr>
        <w:t xml:space="preserve">3 </w:t>
      </w:r>
      <w:r>
        <w:rPr>
          <w:rFonts w:ascii="Times New Roman" w:cs="Times New Roman"/>
        </w:rPr>
        <w:t>蛇泡筋粉末显微鉴别图</w:t>
      </w:r>
    </w:p>
    <w:p>
      <w:pPr>
        <w:autoSpaceDE w:val="0"/>
        <w:autoSpaceDN w:val="0"/>
        <w:adjustRightInd w:val="0"/>
        <w:spacing w:line="360" w:lineRule="auto"/>
        <w:rPr>
          <w:rFonts w:ascii="Times New Roman" w:hAnsi="Times New Roman" w:cs="Times New Roman"/>
        </w:rPr>
      </w:pPr>
    </w:p>
    <w:p>
      <w:pPr>
        <w:autoSpaceDE w:val="0"/>
        <w:autoSpaceDN w:val="0"/>
        <w:adjustRightInd w:val="0"/>
        <w:spacing w:line="360" w:lineRule="auto"/>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2.</w:t>
      </w:r>
      <w:r>
        <w:rPr>
          <w:rFonts w:ascii="Times New Roman" w:cs="Times New Roman"/>
        </w:rPr>
        <w:t>薄层鉴别</w:t>
      </w:r>
    </w:p>
    <w:p>
      <w:pPr>
        <w:adjustRightInd w:val="0"/>
        <w:spacing w:line="360" w:lineRule="auto"/>
        <w:ind w:firstLine="480" w:firstLineChars="200"/>
        <w:rPr>
          <w:rFonts w:ascii="Times New Roman" w:cs="Times New Roman"/>
        </w:rPr>
      </w:pPr>
      <w:bookmarkStart w:id="1" w:name="OLE_LINK1"/>
      <w:r>
        <w:rPr>
          <w:rFonts w:hint="eastAsia" w:ascii="Times New Roman" w:cs="Times New Roman"/>
        </w:rPr>
        <w:t>7.2.1对照药材和样品乙酸乙酯提取样品的制备</w:t>
      </w:r>
    </w:p>
    <w:p>
      <w:pPr>
        <w:adjustRightInd w:val="0"/>
        <w:spacing w:line="360" w:lineRule="auto"/>
        <w:ind w:firstLine="480"/>
        <w:rPr>
          <w:rFonts w:ascii="Times New Roman" w:cs="Times New Roman"/>
        </w:rPr>
      </w:pPr>
      <w:r>
        <w:rPr>
          <w:rFonts w:hint="eastAsia" w:ascii="Times New Roman" w:cs="Times New Roman"/>
        </w:rPr>
        <w:t>精密称取2份蛇泡筋药材约1g（202201001-202201002），置于150mL具塞三角瓶中，加乙酸乙酯50mL，超声20min，滤过，滤液蒸干，加乙酸乙酯5mL使溶解，得药材乙酸乙酯提取液。以批号202201001样品为对照药材</w:t>
      </w:r>
    </w:p>
    <w:p>
      <w:pPr>
        <w:adjustRightInd w:val="0"/>
        <w:spacing w:line="360" w:lineRule="auto"/>
        <w:ind w:firstLine="480" w:firstLineChars="200"/>
        <w:rPr>
          <w:rFonts w:ascii="Times New Roman" w:cs="Times New Roman"/>
        </w:rPr>
      </w:pPr>
      <w:r>
        <w:rPr>
          <w:rFonts w:hint="eastAsia" w:ascii="Times New Roman" w:cs="Times New Roman"/>
        </w:rPr>
        <w:t>7.2.2对照药材和样品甲醇提取样品的制备</w:t>
      </w:r>
    </w:p>
    <w:p>
      <w:pPr>
        <w:adjustRightInd w:val="0"/>
        <w:spacing w:line="360" w:lineRule="auto"/>
        <w:ind w:firstLine="480" w:firstLineChars="200"/>
        <w:rPr>
          <w:rFonts w:ascii="Times New Roman" w:cs="Times New Roman"/>
        </w:rPr>
      </w:pPr>
      <w:r>
        <w:rPr>
          <w:rFonts w:hint="eastAsia" w:ascii="Times New Roman" w:cs="Times New Roman"/>
        </w:rPr>
        <w:t>精密称取2份蛇泡筋药材约1g（202201001-202201002），置于150mL具塞三角瓶中，加甲醇50mL，超声20min，滤过，滤液蒸干，加甲醇5mL使溶解，得药材甲醇提取液。以批号202201001样品为对照药材。</w:t>
      </w:r>
    </w:p>
    <w:p>
      <w:pPr>
        <w:adjustRightInd w:val="0"/>
        <w:spacing w:line="360" w:lineRule="auto"/>
        <w:ind w:firstLine="480" w:firstLineChars="200"/>
        <w:rPr>
          <w:rFonts w:ascii="Times New Roman" w:hAnsi="Times New Roman" w:cs="Times New Roman"/>
        </w:rPr>
      </w:pPr>
      <w:r>
        <w:rPr>
          <w:rFonts w:hint="eastAsia" w:ascii="Times New Roman" w:cs="Times New Roman"/>
        </w:rPr>
        <w:t>7.2.3</w:t>
      </w:r>
      <w:r>
        <w:rPr>
          <w:rFonts w:ascii="Times New Roman" w:cs="Times New Roman"/>
        </w:rPr>
        <w:t>薄层色谱的展开与显色</w:t>
      </w:r>
    </w:p>
    <w:p>
      <w:pPr>
        <w:adjustRightInd w:val="0"/>
        <w:spacing w:line="360" w:lineRule="auto"/>
        <w:ind w:firstLine="480" w:firstLineChars="200"/>
        <w:rPr>
          <w:rFonts w:ascii="Times New Roman" w:hAnsi="Times New Roman" w:cs="Times New Roman"/>
        </w:rPr>
      </w:pPr>
      <w:r>
        <w:rPr>
          <w:rFonts w:ascii="Times New Roman" w:cs="Times New Roman"/>
        </w:rPr>
        <w:t>照薄层色谱法试验，吸取供试品溶液和对照药材溶液各</w:t>
      </w:r>
      <w:r>
        <w:rPr>
          <w:rFonts w:hint="eastAsia" w:ascii="Times New Roman" w:hAnsi="Times New Roman" w:cs="Times New Roman"/>
        </w:rPr>
        <w:t>5</w:t>
      </w:r>
      <w:r>
        <w:rPr>
          <w:rFonts w:ascii="Times New Roman" w:hAnsi="Times New Roman" w:cs="Times New Roman"/>
        </w:rPr>
        <w:t>μl</w:t>
      </w:r>
      <w:r>
        <w:rPr>
          <w:rFonts w:ascii="Times New Roman" w:cs="Times New Roman"/>
        </w:rPr>
        <w:t>，分别点于同一硅胶</w:t>
      </w:r>
      <w:r>
        <w:rPr>
          <w:rFonts w:ascii="Times New Roman" w:hAnsi="Times New Roman" w:cs="Times New Roman"/>
        </w:rPr>
        <w:t>G</w:t>
      </w:r>
      <w:r>
        <w:rPr>
          <w:rFonts w:ascii="Times New Roman" w:cs="Times New Roman"/>
        </w:rPr>
        <w:t>薄层板上，以</w:t>
      </w:r>
      <w:r>
        <w:rPr>
          <w:rFonts w:hint="eastAsia" w:ascii="Times New Roman" w:cs="Times New Roman"/>
        </w:rPr>
        <w:t>甲苯：乙酸乙酯：甲醇：甲酸 =1：2：0.2：0.1</w:t>
      </w:r>
      <w:r>
        <w:rPr>
          <w:rFonts w:ascii="Times New Roman" w:cs="Times New Roman"/>
        </w:rPr>
        <w:t>为展开剂，展开，取出，晾干。喷以</w:t>
      </w:r>
      <w:r>
        <w:rPr>
          <w:rFonts w:hint="eastAsia" w:ascii="Times New Roman" w:hAnsi="Times New Roman"/>
          <w:szCs w:val="21"/>
        </w:rPr>
        <w:t>25%磷钼酸乙醇</w:t>
      </w:r>
      <w:r>
        <w:rPr>
          <w:rFonts w:ascii="Times New Roman" w:hAnsi="Times New Roman"/>
          <w:szCs w:val="21"/>
        </w:rPr>
        <w:t>溶液</w:t>
      </w:r>
      <w:r>
        <w:rPr>
          <w:rFonts w:ascii="Times New Roman" w:cs="Times New Roman"/>
        </w:rPr>
        <w:t>，在</w:t>
      </w:r>
      <w:r>
        <w:rPr>
          <w:rFonts w:ascii="Times New Roman" w:hAnsi="Times New Roman" w:cs="Times New Roman"/>
        </w:rPr>
        <w:t>105℃</w:t>
      </w:r>
      <w:r>
        <w:rPr>
          <w:rFonts w:ascii="Times New Roman" w:cs="Times New Roman"/>
        </w:rPr>
        <w:t>加热至斑点显色清晰。供试品色谱中，在与对照药材色谱相应的位置上，显相同颜色的斑点。</w:t>
      </w:r>
    </w:p>
    <w:p>
      <w:pPr>
        <w:autoSpaceDE w:val="0"/>
        <w:autoSpaceDN w:val="0"/>
        <w:adjustRightInd w:val="0"/>
        <w:spacing w:line="360" w:lineRule="auto"/>
        <w:ind w:firstLine="480" w:firstLineChars="200"/>
        <w:rPr>
          <w:rFonts w:ascii="Times New Roman" w:hAnsi="Times New Roman" w:cs="Times New Roman"/>
        </w:rPr>
      </w:pPr>
      <w:r>
        <w:rPr>
          <w:rFonts w:hint="eastAsia" w:ascii="Times New Roman" w:cs="Times New Roman"/>
        </w:rPr>
        <w:t>7.2.4</w:t>
      </w:r>
      <w:r>
        <w:rPr>
          <w:rFonts w:ascii="Times New Roman" w:cs="Times New Roman"/>
        </w:rPr>
        <w:t>展开剂和提取溶剂的考察</w:t>
      </w:r>
    </w:p>
    <w:p>
      <w:pPr>
        <w:adjustRightInd w:val="0"/>
        <w:spacing w:line="360" w:lineRule="auto"/>
        <w:ind w:firstLine="480" w:firstLineChars="200"/>
        <w:rPr>
          <w:rFonts w:ascii="Times New Roman" w:cs="Times New Roman"/>
        </w:rPr>
      </w:pPr>
      <w:r>
        <w:rPr>
          <w:rFonts w:ascii="Times New Roman" w:cs="Times New Roman"/>
        </w:rPr>
        <w:t>实验中采用硅胶G薄层板，对蛇泡筋的甲醇提取溶液和乙酸乙酯提取溶液，采用</w:t>
      </w:r>
      <w:r>
        <w:rPr>
          <w:rFonts w:hint="eastAsia" w:ascii="Times New Roman" w:cs="Times New Roman"/>
        </w:rPr>
        <w:t>正丁醇：乙酸：水 =3：2：1、甲苯：乙酸乙酯：甲醇：甲酸 =1：2：0.2：0.1、二氯甲烷：甲醇：乙酸 =6：1：0.2</w:t>
      </w:r>
      <w:r>
        <w:rPr>
          <w:rFonts w:ascii="Times New Roman" w:cs="Times New Roman"/>
        </w:rPr>
        <w:t>，共计3种展开剂进行了考察，见图4，结果显示</w:t>
      </w:r>
      <w:r>
        <w:rPr>
          <w:rFonts w:hint="eastAsia" w:ascii="Times New Roman" w:cs="Times New Roman"/>
        </w:rPr>
        <w:t>甲苯：乙酸乙酯：甲醇：甲酸 =1：2：0.2：0.1</w:t>
      </w:r>
      <w:r>
        <w:rPr>
          <w:rFonts w:ascii="Times New Roman" w:cs="Times New Roman"/>
        </w:rPr>
        <w:t>对蛇泡筋药材分离效果较好，Rf值适中，故采用</w:t>
      </w:r>
      <w:r>
        <w:rPr>
          <w:rFonts w:hint="eastAsia" w:ascii="Times New Roman" w:cs="Times New Roman"/>
        </w:rPr>
        <w:t>甲苯：乙酸乙酯：甲醇：甲酸 =1：2：0.2：0.1</w:t>
      </w:r>
      <w:r>
        <w:rPr>
          <w:rFonts w:ascii="Times New Roman" w:cs="Times New Roman"/>
        </w:rPr>
        <w:t>系统作为蛇泡筋药材的薄层色谱鉴别的展开剂。甲醇提取溶液斑点较乙酸乙酯斑点清晰，因此选择甲醇做为蛇泡筋药材的薄层鉴别提取溶液。</w:t>
      </w:r>
    </w:p>
    <w:bookmarkEnd w:id="1"/>
    <w:p>
      <w:pPr>
        <w:ind w:firstLine="120" w:firstLineChars="50"/>
        <w:jc w:val="center"/>
        <w:rPr>
          <w:rFonts w:ascii="Times New Roman" w:hAnsi="Times New Roman" w:cs="Times New Roman"/>
        </w:rPr>
      </w:pPr>
      <w:r>
        <w:rPr>
          <w:rFonts w:ascii="Times New Roman" w:hAnsi="Times New Roman"/>
          <w:szCs w:val="21"/>
        </w:rPr>
        <w:drawing>
          <wp:inline distT="0" distB="0" distL="0" distR="0">
            <wp:extent cx="3886200" cy="2571750"/>
            <wp:effectExtent l="0" t="0" r="0" b="0"/>
            <wp:docPr id="8" name="图片 1" descr="b99669f9c9d8353951c4e7a03eb91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descr="b99669f9c9d8353951c4e7a03eb9198"/>
                    <pic:cNvPicPr>
                      <a:picLocks noChangeAspect="true" noChangeArrowheads="true"/>
                    </pic:cNvPicPr>
                  </pic:nvPicPr>
                  <pic:blipFill>
                    <a:blip r:embed="rId12">
                      <a:extLst>
                        <a:ext uri="{28A0092B-C50C-407E-A947-70E740481C1C}">
                          <a14:useLocalDpi xmlns:a14="http://schemas.microsoft.com/office/drawing/2010/main" val="false"/>
                        </a:ext>
                      </a:extLst>
                    </a:blip>
                    <a:srcRect l="26312" t="7051" b="6410"/>
                    <a:stretch>
                      <a:fillRect/>
                    </a:stretch>
                  </pic:blipFill>
                  <pic:spPr>
                    <a:xfrm rot="10800000">
                      <a:off x="0" y="0"/>
                      <a:ext cx="3886200" cy="2571750"/>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rPr>
        <w:t xml:space="preserve">           A                     B                C</w:t>
      </w:r>
    </w:p>
    <w:p>
      <w:pPr>
        <w:rPr>
          <w:rFonts w:ascii="Times New Roman" w:cs="Times New Roman"/>
        </w:rPr>
      </w:pPr>
      <w:r>
        <w:rPr>
          <w:rFonts w:ascii="Times New Roman" w:hAnsi="Times New Roman" w:cs="Times New Roman"/>
          <w:sz w:val="21"/>
          <w:szCs w:val="21"/>
        </w:rPr>
        <w:t>A.</w:t>
      </w:r>
      <w:r>
        <w:rPr>
          <w:rFonts w:hint="eastAsia" w:ascii="Times New Roman" w:cs="Times New Roman"/>
        </w:rPr>
        <w:t>正丁醇：乙酸：水 =3：2：1</w:t>
      </w:r>
      <w:r>
        <w:rPr>
          <w:rFonts w:ascii="Times New Roman" w:cs="Times New Roman"/>
          <w:sz w:val="21"/>
          <w:szCs w:val="21"/>
        </w:rPr>
        <w:t>；</w:t>
      </w:r>
      <w:r>
        <w:rPr>
          <w:rFonts w:ascii="Times New Roman" w:hAnsi="Times New Roman" w:cs="Times New Roman"/>
          <w:sz w:val="21"/>
          <w:szCs w:val="21"/>
        </w:rPr>
        <w:t xml:space="preserve">B. </w:t>
      </w:r>
      <w:r>
        <w:rPr>
          <w:rFonts w:hint="eastAsia" w:ascii="Times New Roman" w:cs="Times New Roman"/>
        </w:rPr>
        <w:t>甲苯：乙酸乙酯：甲醇：甲酸 =1：2：0.2：0.1</w:t>
      </w:r>
      <w:r>
        <w:rPr>
          <w:rFonts w:ascii="Times New Roman" w:cs="Times New Roman"/>
          <w:sz w:val="21"/>
          <w:szCs w:val="21"/>
        </w:rPr>
        <w:t>；</w:t>
      </w:r>
      <w:r>
        <w:rPr>
          <w:rFonts w:ascii="Times New Roman" w:hAnsi="Times New Roman" w:cs="Times New Roman"/>
          <w:sz w:val="21"/>
          <w:szCs w:val="21"/>
        </w:rPr>
        <w:t xml:space="preserve"> C. </w:t>
      </w:r>
      <w:r>
        <w:rPr>
          <w:rFonts w:hint="eastAsia" w:ascii="Times New Roman" w:cs="Times New Roman"/>
        </w:rPr>
        <w:t>二氯甲烷：甲醇：乙酸 =6：1：0.2</w:t>
      </w:r>
    </w:p>
    <w:p>
      <w:pPr>
        <w:ind w:left="105" w:firstLine="180" w:firstLineChars="100"/>
        <w:rPr>
          <w:sz w:val="18"/>
          <w:szCs w:val="18"/>
        </w:rPr>
      </w:pPr>
      <w:r>
        <w:rPr>
          <w:rFonts w:hint="eastAsia"/>
          <w:sz w:val="18"/>
          <w:szCs w:val="18"/>
        </w:rPr>
        <w:t>1-对照药材乙酸乙酯溶液，2-样品乙酸乙酯溶液,3-对照药材甲醇溶液，4-样品甲醇溶液。</w:t>
      </w:r>
    </w:p>
    <w:p>
      <w:pPr>
        <w:rPr>
          <w:rFonts w:ascii="Times New Roman" w:hAnsi="Times New Roman" w:cs="Times New Roman"/>
          <w:sz w:val="21"/>
          <w:szCs w:val="21"/>
        </w:rPr>
      </w:pPr>
    </w:p>
    <w:p>
      <w:pPr>
        <w:jc w:val="center"/>
        <w:rPr>
          <w:rFonts w:ascii="Times New Roman" w:cs="Times New Roman"/>
        </w:rPr>
      </w:pPr>
      <w:r>
        <w:rPr>
          <w:rFonts w:ascii="Times New Roman" w:cs="Times New Roman"/>
        </w:rPr>
        <w:t>图</w:t>
      </w:r>
      <w:r>
        <w:rPr>
          <w:rFonts w:ascii="Times New Roman" w:hAnsi="Times New Roman" w:cs="Times New Roman"/>
        </w:rPr>
        <w:t xml:space="preserve">4  </w:t>
      </w:r>
      <w:r>
        <w:rPr>
          <w:rFonts w:ascii="Times New Roman" w:cs="Times New Roman"/>
        </w:rPr>
        <w:t>不同薄层色谱展开剂和提取溶液的考察</w:t>
      </w:r>
    </w:p>
    <w:p>
      <w:pPr>
        <w:autoSpaceDE w:val="0"/>
        <w:autoSpaceDN w:val="0"/>
        <w:adjustRightInd w:val="0"/>
        <w:spacing w:line="360" w:lineRule="auto"/>
        <w:ind w:firstLine="480" w:firstLineChars="200"/>
        <w:rPr>
          <w:rFonts w:ascii="Times New Roman" w:hAnsi="Times New Roman" w:cs="Times New Roman"/>
        </w:rPr>
      </w:pPr>
      <w:r>
        <w:rPr>
          <w:rFonts w:hint="eastAsia" w:ascii="Times New Roman" w:cs="Times New Roman"/>
        </w:rPr>
        <w:t>7.2.5</w:t>
      </w:r>
      <w:r>
        <w:rPr>
          <w:rFonts w:ascii="Times New Roman" w:cs="Times New Roman"/>
        </w:rPr>
        <w:t>显色方法的考察</w:t>
      </w:r>
    </w:p>
    <w:p>
      <w:pPr>
        <w:autoSpaceDE w:val="0"/>
        <w:autoSpaceDN w:val="0"/>
        <w:adjustRightInd w:val="0"/>
        <w:spacing w:line="360" w:lineRule="auto"/>
        <w:ind w:firstLine="480" w:firstLineChars="200"/>
        <w:rPr>
          <w:rFonts w:ascii="Times New Roman" w:hAnsi="Times New Roman" w:cs="Times New Roman"/>
        </w:rPr>
      </w:pPr>
      <w:r>
        <w:rPr>
          <w:rFonts w:ascii="Times New Roman" w:cs="Times New Roman"/>
        </w:rPr>
        <w:t>分别对</w:t>
      </w:r>
      <w:r>
        <w:rPr>
          <w:rFonts w:hint="eastAsia" w:ascii="Times New Roman" w:hAnsi="Times New Roman"/>
          <w:szCs w:val="21"/>
        </w:rPr>
        <w:t>3%的三氯化铝乙醇溶液</w:t>
      </w:r>
      <w:r>
        <w:rPr>
          <w:rFonts w:ascii="Times New Roman" w:cs="Times New Roman"/>
        </w:rPr>
        <w:t>和</w:t>
      </w:r>
      <w:r>
        <w:rPr>
          <w:rFonts w:hint="eastAsia" w:ascii="Times New Roman" w:hAnsi="Times New Roman" w:cs="Times New Roman"/>
        </w:rPr>
        <w:t>25</w:t>
      </w:r>
      <w:r>
        <w:rPr>
          <w:rFonts w:ascii="Times New Roman" w:hAnsi="Times New Roman" w:cs="Times New Roman"/>
        </w:rPr>
        <w:t>%</w:t>
      </w:r>
      <w:r>
        <w:rPr>
          <w:rFonts w:hint="eastAsia" w:ascii="Times New Roman" w:hAnsi="Times New Roman"/>
          <w:szCs w:val="21"/>
        </w:rPr>
        <w:t>磷钼酸乙醇</w:t>
      </w:r>
      <w:r>
        <w:rPr>
          <w:rFonts w:ascii="Times New Roman" w:hAnsi="Times New Roman"/>
          <w:szCs w:val="21"/>
        </w:rPr>
        <w:t>溶液的</w:t>
      </w:r>
      <w:r>
        <w:rPr>
          <w:rFonts w:ascii="Times New Roman" w:cs="Times New Roman"/>
        </w:rPr>
        <w:t>显色方法进行了考察，结果显示</w:t>
      </w:r>
      <w:r>
        <w:rPr>
          <w:rFonts w:hint="eastAsia" w:ascii="Times New Roman" w:hAnsi="Times New Roman" w:cs="Times New Roman"/>
        </w:rPr>
        <w:t>25</w:t>
      </w:r>
      <w:r>
        <w:rPr>
          <w:rFonts w:ascii="Times New Roman" w:hAnsi="Times New Roman" w:cs="Times New Roman"/>
        </w:rPr>
        <w:t>%</w:t>
      </w:r>
      <w:r>
        <w:rPr>
          <w:rFonts w:hint="eastAsia" w:ascii="Times New Roman" w:hAnsi="Times New Roman"/>
          <w:szCs w:val="21"/>
        </w:rPr>
        <w:t>磷钼酸乙醇</w:t>
      </w:r>
      <w:r>
        <w:rPr>
          <w:rFonts w:ascii="Times New Roman" w:hAnsi="Times New Roman"/>
          <w:szCs w:val="21"/>
        </w:rPr>
        <w:t>溶液</w:t>
      </w:r>
      <w:r>
        <w:rPr>
          <w:rFonts w:ascii="Times New Roman" w:cs="Times New Roman"/>
        </w:rPr>
        <w:t>显色斑点清晰，因此选择</w:t>
      </w:r>
      <w:r>
        <w:rPr>
          <w:rFonts w:hint="eastAsia" w:ascii="Times New Roman" w:hAnsi="Times New Roman" w:cs="Times New Roman"/>
        </w:rPr>
        <w:t>25</w:t>
      </w:r>
      <w:r>
        <w:rPr>
          <w:rFonts w:ascii="Times New Roman" w:hAnsi="Times New Roman" w:cs="Times New Roman"/>
        </w:rPr>
        <w:t>%</w:t>
      </w:r>
      <w:r>
        <w:rPr>
          <w:rFonts w:hint="eastAsia" w:ascii="Times New Roman" w:hAnsi="Times New Roman"/>
          <w:szCs w:val="21"/>
        </w:rPr>
        <w:t>磷钼酸乙醇</w:t>
      </w:r>
      <w:r>
        <w:rPr>
          <w:rFonts w:ascii="Times New Roman" w:hAnsi="Times New Roman"/>
          <w:szCs w:val="21"/>
        </w:rPr>
        <w:t>溶液</w:t>
      </w:r>
      <w:r>
        <w:rPr>
          <w:rFonts w:ascii="Times New Roman" w:cs="Times New Roman"/>
        </w:rPr>
        <w:t>作为蛇泡筋药材薄层色谱鉴别的显色方法，见图</w:t>
      </w:r>
      <w:r>
        <w:rPr>
          <w:rFonts w:ascii="Times New Roman" w:hAnsi="Times New Roman" w:cs="Times New Roman"/>
        </w:rPr>
        <w:t>5</w:t>
      </w:r>
      <w:r>
        <w:rPr>
          <w:rFonts w:ascii="Times New Roman" w:cs="Times New Roman"/>
        </w:rPr>
        <w:t>。</w:t>
      </w:r>
    </w:p>
    <w:p>
      <w:pPr>
        <w:ind w:firstLine="960" w:firstLineChars="400"/>
        <w:jc w:val="center"/>
        <w:rPr>
          <w:rFonts w:ascii="Times New Roman" w:hAnsi="Times New Roman" w:cs="Times New Roman"/>
        </w:rPr>
      </w:pPr>
      <w:r>
        <w:rPr>
          <w:rFonts w:ascii="Times New Roman" w:hAnsi="Times New Roman"/>
          <w:szCs w:val="21"/>
        </w:rPr>
        <w:drawing>
          <wp:inline distT="0" distB="0" distL="0" distR="0">
            <wp:extent cx="2771775" cy="2686050"/>
            <wp:effectExtent l="0" t="0" r="9525" b="0"/>
            <wp:docPr id="5" name="图片 14" descr="5aa685edf20808dcfcef14f6c1538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4" descr="5aa685edf20808dcfcef14f6c153894"/>
                    <pic:cNvPicPr>
                      <a:picLocks noChangeAspect="true" noChangeArrowheads="true"/>
                    </pic:cNvPicPr>
                  </pic:nvPicPr>
                  <pic:blipFill>
                    <a:blip r:embed="rId13">
                      <a:extLst>
                        <a:ext uri="{28A0092B-C50C-407E-A947-70E740481C1C}">
                          <a14:useLocalDpi xmlns:a14="http://schemas.microsoft.com/office/drawing/2010/main" val="false"/>
                        </a:ext>
                      </a:extLst>
                    </a:blip>
                    <a:srcRect l="14268" t="6410" r="33176" b="3204"/>
                    <a:stretch>
                      <a:fillRect/>
                    </a:stretch>
                  </pic:blipFill>
                  <pic:spPr>
                    <a:xfrm>
                      <a:off x="0" y="0"/>
                      <a:ext cx="2771775" cy="2686050"/>
                    </a:xfrm>
                    <a:prstGeom prst="rect">
                      <a:avLst/>
                    </a:prstGeom>
                    <a:noFill/>
                    <a:ln>
                      <a:noFill/>
                    </a:ln>
                  </pic:spPr>
                </pic:pic>
              </a:graphicData>
            </a:graphic>
          </wp:inline>
        </w:drawing>
      </w:r>
    </w:p>
    <w:p>
      <w:pPr>
        <w:ind w:firstLine="3120" w:firstLineChars="1300"/>
        <w:rPr>
          <w:rFonts w:ascii="Times New Roman" w:hAnsi="Times New Roman" w:cs="Times New Roman"/>
        </w:rPr>
      </w:pPr>
      <w:r>
        <w:rPr>
          <w:rFonts w:ascii="Times New Roman" w:hAnsi="Times New Roman" w:cs="Times New Roman"/>
        </w:rPr>
        <w:t>A                       B</w:t>
      </w:r>
    </w:p>
    <w:p>
      <w:pPr>
        <w:jc w:val="center"/>
        <w:rPr>
          <w:rFonts w:ascii="Times New Roman" w:hAnsi="Times New Roman"/>
          <w:szCs w:val="21"/>
        </w:rPr>
      </w:pPr>
      <w:r>
        <w:rPr>
          <w:rFonts w:ascii="Times New Roman" w:hAnsi="Times New Roman"/>
          <w:szCs w:val="21"/>
        </w:rPr>
        <w:t>A</w:t>
      </w:r>
      <w:r>
        <w:rPr>
          <w:rFonts w:hint="eastAsia" w:ascii="Times New Roman" w:hAnsi="Times New Roman"/>
          <w:szCs w:val="21"/>
        </w:rPr>
        <w:t>-三氯化铝显色；B-磷钼酸显色</w:t>
      </w:r>
    </w:p>
    <w:p>
      <w:pPr>
        <w:ind w:left="105"/>
        <w:jc w:val="center"/>
        <w:rPr>
          <w:sz w:val="18"/>
          <w:szCs w:val="18"/>
        </w:rPr>
      </w:pPr>
      <w:r>
        <w:rPr>
          <w:rFonts w:hint="eastAsia"/>
          <w:sz w:val="18"/>
          <w:szCs w:val="18"/>
        </w:rPr>
        <w:t>1-对照药材乙酸乙酯溶液，2-样品乙酸乙酯溶液,3-对照药材甲醇溶液，4-样品甲醇溶液。</w:t>
      </w:r>
    </w:p>
    <w:p>
      <w:pPr>
        <w:jc w:val="center"/>
        <w:rPr>
          <w:rFonts w:ascii="Times New Roman" w:hAnsi="Times New Roman" w:cs="Times New Roman"/>
        </w:rPr>
      </w:pPr>
      <w:r>
        <w:rPr>
          <w:rFonts w:ascii="Times New Roman" w:cs="Times New Roman"/>
        </w:rPr>
        <w:t>图</w:t>
      </w:r>
      <w:r>
        <w:rPr>
          <w:rFonts w:ascii="Times New Roman" w:hAnsi="Times New Roman" w:cs="Times New Roman"/>
        </w:rPr>
        <w:t xml:space="preserve">5  </w:t>
      </w:r>
      <w:r>
        <w:rPr>
          <w:rFonts w:ascii="Times New Roman" w:cs="Times New Roman"/>
        </w:rPr>
        <w:t>不同薄层色谱显色方法的考察</w:t>
      </w:r>
    </w:p>
    <w:p>
      <w:pPr>
        <w:autoSpaceDE w:val="0"/>
        <w:autoSpaceDN w:val="0"/>
        <w:adjustRightInd w:val="0"/>
        <w:spacing w:line="360" w:lineRule="auto"/>
        <w:ind w:firstLine="480" w:firstLineChars="200"/>
        <w:rPr>
          <w:rFonts w:ascii="Times New Roman" w:hAnsi="Times New Roman" w:cs="Times New Roman"/>
        </w:rPr>
      </w:pPr>
      <w:r>
        <w:rPr>
          <w:rFonts w:hint="eastAsia" w:ascii="Times New Roman" w:cs="Times New Roman"/>
        </w:rPr>
        <w:t>7.2.6</w:t>
      </w:r>
      <w:r>
        <w:rPr>
          <w:rFonts w:ascii="Times New Roman" w:cs="Times New Roman"/>
        </w:rPr>
        <w:t>不同点样量的考察</w:t>
      </w:r>
    </w:p>
    <w:p>
      <w:pPr>
        <w:autoSpaceDE w:val="0"/>
        <w:autoSpaceDN w:val="0"/>
        <w:adjustRightInd w:val="0"/>
        <w:spacing w:line="360" w:lineRule="auto"/>
        <w:ind w:firstLine="480" w:firstLineChars="200"/>
        <w:rPr>
          <w:rFonts w:ascii="Times New Roman" w:hAnsi="Times New Roman" w:cs="Times New Roman"/>
        </w:rPr>
      </w:pPr>
      <w:r>
        <w:rPr>
          <w:rFonts w:ascii="Times New Roman" w:cs="Times New Roman"/>
        </w:rPr>
        <w:t>分别对</w:t>
      </w:r>
      <w:r>
        <w:rPr>
          <w:rFonts w:hint="eastAsia" w:ascii="Times New Roman" w:hAnsi="Times New Roman"/>
          <w:szCs w:val="21"/>
        </w:rPr>
        <w:t>0.5，1.0，2.0，3.0</w:t>
      </w:r>
      <w:r>
        <w:rPr>
          <w:rFonts w:ascii="Times New Roman" w:hAnsi="Times New Roman"/>
          <w:szCs w:val="21"/>
        </w:rPr>
        <w:t>μ</w:t>
      </w:r>
      <w:r>
        <w:rPr>
          <w:rFonts w:hint="eastAsia" w:ascii="Times New Roman" w:hAnsi="Times New Roman"/>
          <w:szCs w:val="21"/>
        </w:rPr>
        <w:t>L</w:t>
      </w:r>
      <w:r>
        <w:rPr>
          <w:rFonts w:ascii="Times New Roman" w:cs="Times New Roman"/>
        </w:rPr>
        <w:t>蛇泡筋供试品溶液的点样量进行了考察，结果显示</w:t>
      </w:r>
      <w:r>
        <w:rPr>
          <w:rFonts w:hint="eastAsia" w:ascii="Times New Roman" w:cs="Times New Roman"/>
        </w:rPr>
        <w:t>0.</w:t>
      </w:r>
      <w:r>
        <w:rPr>
          <w:rFonts w:hint="eastAsia" w:ascii="Times New Roman" w:hAnsi="Times New Roman" w:cs="Times New Roman"/>
        </w:rPr>
        <w:t>5</w:t>
      </w:r>
      <w:r>
        <w:rPr>
          <w:rFonts w:ascii="Times New Roman" w:hAnsi="Times New Roman" w:cs="Times New Roman"/>
        </w:rPr>
        <w:t>μl</w:t>
      </w:r>
      <w:r>
        <w:rPr>
          <w:rFonts w:ascii="Times New Roman" w:cs="Times New Roman"/>
        </w:rPr>
        <w:t>的点样量，斑点清晰度最佳，因此选择</w:t>
      </w:r>
      <w:r>
        <w:rPr>
          <w:rFonts w:hint="eastAsia" w:ascii="Times New Roman" w:cs="Times New Roman"/>
        </w:rPr>
        <w:t>0.</w:t>
      </w:r>
      <w:r>
        <w:rPr>
          <w:rFonts w:hint="eastAsia" w:ascii="Times New Roman" w:hAnsi="Times New Roman" w:cs="Times New Roman"/>
        </w:rPr>
        <w:t>5</w:t>
      </w:r>
      <w:r>
        <w:rPr>
          <w:rFonts w:ascii="Times New Roman" w:hAnsi="Times New Roman" w:cs="Times New Roman"/>
        </w:rPr>
        <w:t>μl</w:t>
      </w:r>
      <w:r>
        <w:rPr>
          <w:rFonts w:ascii="Times New Roman" w:cs="Times New Roman"/>
        </w:rPr>
        <w:t>作为蛇泡筋药材薄层色谱鉴别的点样量，见图</w:t>
      </w:r>
      <w:r>
        <w:rPr>
          <w:rFonts w:ascii="Times New Roman" w:hAnsi="Times New Roman" w:cs="Times New Roman"/>
        </w:rPr>
        <w:t>6</w:t>
      </w:r>
      <w:r>
        <w:rPr>
          <w:rFonts w:ascii="Times New Roman" w:cs="Times New Roman"/>
        </w:rPr>
        <w:t>。</w:t>
      </w:r>
    </w:p>
    <w:p>
      <w:pPr>
        <w:autoSpaceDE w:val="0"/>
        <w:autoSpaceDN w:val="0"/>
        <w:adjustRightInd w:val="0"/>
        <w:spacing w:line="360" w:lineRule="auto"/>
        <w:ind w:firstLine="480" w:firstLineChars="200"/>
        <w:rPr>
          <w:rFonts w:ascii="Times New Roman" w:hAnsi="Times New Roman" w:cs="Times New Roman"/>
        </w:rPr>
      </w:pPr>
      <w:r>
        <w:drawing>
          <wp:anchor distT="0" distB="0" distL="114300" distR="114300" simplePos="0" relativeHeight="251662336" behindDoc="0" locked="0" layoutInCell="1" allowOverlap="1">
            <wp:simplePos x="0" y="0"/>
            <wp:positionH relativeFrom="column">
              <wp:posOffset>2152650</wp:posOffset>
            </wp:positionH>
            <wp:positionV relativeFrom="paragraph">
              <wp:posOffset>3810</wp:posOffset>
            </wp:positionV>
            <wp:extent cx="1276350" cy="2428875"/>
            <wp:effectExtent l="0" t="0" r="0" b="9525"/>
            <wp:wrapSquare wrapText="left"/>
            <wp:docPr id="51" name="图片 20" descr="1322c9e8b087f4fe967081ca34d08f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20" descr="1322c9e8b087f4fe967081ca34d08fd"/>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l="20761" t="7834" r="22731" b="31740"/>
                    <a:stretch>
                      <a:fillRect/>
                    </a:stretch>
                  </pic:blipFill>
                  <pic:spPr>
                    <a:xfrm>
                      <a:off x="0" y="0"/>
                      <a:ext cx="1276350" cy="2428875"/>
                    </a:xfrm>
                    <a:prstGeom prst="rect">
                      <a:avLst/>
                    </a:prstGeom>
                    <a:noFill/>
                  </pic:spPr>
                </pic:pic>
              </a:graphicData>
            </a:graphic>
          </wp:anchor>
        </w:drawing>
      </w:r>
      <w:r>
        <w:rPr>
          <w:rFonts w:ascii="Times New Roman" w:hAnsi="Times New Roman" w:cs="Times New Roman"/>
        </w:rPr>
        <w:br w:type="textWrapping" w:clear="all"/>
      </w:r>
    </w:p>
    <w:p>
      <w:pPr>
        <w:ind w:left="105"/>
        <w:jc w:val="center"/>
        <w:rPr>
          <w:rFonts w:ascii="Times New Roman" w:cs="Times New Roman"/>
        </w:rPr>
      </w:pPr>
      <w:r>
        <w:rPr>
          <w:rFonts w:hint="eastAsia" w:ascii="Times New Roman" w:cs="Times New Roman"/>
        </w:rPr>
        <w:t>1-0.5ul，2-1.0ul，3-2.0ul，4-3.0ul。</w:t>
      </w:r>
    </w:p>
    <w:p>
      <w:pPr>
        <w:jc w:val="center"/>
        <w:rPr>
          <w:rFonts w:ascii="Times New Roman" w:cs="Times New Roman"/>
        </w:rPr>
      </w:pPr>
      <w:r>
        <w:rPr>
          <w:rFonts w:ascii="Times New Roman" w:cs="Times New Roman"/>
        </w:rPr>
        <w:t>图</w:t>
      </w:r>
      <w:r>
        <w:rPr>
          <w:rFonts w:ascii="Times New Roman" w:hAnsi="Times New Roman" w:cs="Times New Roman"/>
        </w:rPr>
        <w:t xml:space="preserve">6  </w:t>
      </w:r>
      <w:r>
        <w:rPr>
          <w:rFonts w:ascii="Times New Roman" w:cs="Times New Roman"/>
        </w:rPr>
        <w:t>不同点样量的考察</w:t>
      </w:r>
    </w:p>
    <w:p>
      <w:pPr>
        <w:widowControl w:val="0"/>
        <w:jc w:val="both"/>
        <w:rPr>
          <w:rFonts w:ascii="Times New Roman" w:hAnsi="Times New Roman" w:cs="Times New Roman"/>
          <w:kern w:val="2"/>
        </w:rPr>
      </w:pPr>
      <w:r>
        <w:rPr>
          <w:rFonts w:hint="eastAsia" w:ascii="Times New Roman" w:hAnsi="Times New Roman" w:cs="Times New Roman"/>
          <w:kern w:val="2"/>
        </w:rPr>
        <w:t>7.2.7不同温度的考察</w:t>
      </w:r>
    </w:p>
    <w:p>
      <w:pPr>
        <w:autoSpaceDE w:val="0"/>
        <w:autoSpaceDN w:val="0"/>
        <w:adjustRightInd w:val="0"/>
        <w:spacing w:line="360" w:lineRule="auto"/>
        <w:ind w:firstLine="480" w:firstLineChars="200"/>
        <w:rPr>
          <w:rFonts w:ascii="Times New Roman" w:cs="Times New Roman"/>
        </w:rPr>
      </w:pPr>
      <w:r>
        <w:rPr>
          <w:rFonts w:ascii="Times New Roman" w:cs="Times New Roman"/>
        </w:rPr>
        <w:t>分别</w:t>
      </w:r>
      <w:r>
        <w:rPr>
          <w:rFonts w:hint="eastAsia" w:ascii="Times New Roman" w:cs="Times New Roman"/>
        </w:rPr>
        <w:t>在4℃</w:t>
      </w:r>
      <w:r>
        <w:rPr>
          <w:rFonts w:ascii="Times New Roman" w:cs="Times New Roman"/>
        </w:rPr>
        <w:t>和</w:t>
      </w:r>
      <w:r>
        <w:rPr>
          <w:rFonts w:hint="eastAsia" w:ascii="Times New Roman" w:cs="Times New Roman"/>
        </w:rPr>
        <w:t>室温</w:t>
      </w:r>
      <w:r>
        <w:rPr>
          <w:rFonts w:ascii="Times New Roman" w:cs="Times New Roman"/>
        </w:rPr>
        <w:t>进行了</w:t>
      </w:r>
      <w:r>
        <w:rPr>
          <w:rFonts w:hint="eastAsia" w:ascii="Times New Roman" w:cs="Times New Roman"/>
        </w:rPr>
        <w:t>温度</w:t>
      </w:r>
      <w:r>
        <w:rPr>
          <w:rFonts w:ascii="Times New Roman" w:cs="Times New Roman"/>
        </w:rPr>
        <w:t>考察，结果显示</w:t>
      </w:r>
      <w:r>
        <w:rPr>
          <w:rFonts w:hint="eastAsia" w:ascii="Times New Roman" w:cs="Times New Roman"/>
        </w:rPr>
        <w:t>室温和4℃条件下</w:t>
      </w:r>
      <w:r>
        <w:rPr>
          <w:rFonts w:ascii="Times New Roman" w:cs="Times New Roman"/>
        </w:rPr>
        <w:t>显色相差不大，因此选择</w:t>
      </w:r>
      <w:r>
        <w:rPr>
          <w:rFonts w:hint="eastAsia" w:ascii="Times New Roman" w:cs="Times New Roman"/>
        </w:rPr>
        <w:t>室温</w:t>
      </w:r>
      <w:r>
        <w:rPr>
          <w:rFonts w:ascii="Times New Roman" w:cs="Times New Roman"/>
        </w:rPr>
        <w:t>作为</w:t>
      </w:r>
      <w:r>
        <w:rPr>
          <w:rFonts w:hint="eastAsia" w:ascii="Times New Roman" w:cs="Times New Roman"/>
        </w:rPr>
        <w:t>蛇泡筋</w:t>
      </w:r>
      <w:r>
        <w:rPr>
          <w:rFonts w:ascii="Times New Roman" w:cs="Times New Roman"/>
        </w:rPr>
        <w:t>药材薄层色谱鉴别的方法，见图</w:t>
      </w:r>
      <w:r>
        <w:rPr>
          <w:rFonts w:hint="eastAsia" w:ascii="Times New Roman" w:cs="Times New Roman"/>
        </w:rPr>
        <w:t>7</w:t>
      </w:r>
      <w:r>
        <w:rPr>
          <w:rFonts w:ascii="Times New Roman" w:cs="Times New Roman"/>
        </w:rPr>
        <w:t>。</w:t>
      </w:r>
    </w:p>
    <w:p>
      <w:pPr>
        <w:widowControl w:val="0"/>
        <w:ind w:firstLine="600" w:firstLineChars="250"/>
        <w:jc w:val="center"/>
        <w:rPr>
          <w:rFonts w:ascii="Times New Roman" w:hAnsi="Times New Roman" w:cs="Times New Roman"/>
          <w:kern w:val="2"/>
        </w:rPr>
      </w:pPr>
      <w:r>
        <w:rPr>
          <w:rFonts w:ascii="Times New Roman" w:hAnsi="Times New Roman"/>
          <w:szCs w:val="21"/>
        </w:rPr>
        <w:drawing>
          <wp:inline distT="0" distB="0" distL="0" distR="0">
            <wp:extent cx="2952750" cy="2714625"/>
            <wp:effectExtent l="0" t="0" r="0" b="9525"/>
            <wp:docPr id="7" name="图片 7" descr="83a1b2a7fb607985891174872d965d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83a1b2a7fb607985891174872d965df"/>
                    <pic:cNvPicPr>
                      <a:picLocks noChangeAspect="true" noChangeArrowheads="true"/>
                    </pic:cNvPicPr>
                  </pic:nvPicPr>
                  <pic:blipFill>
                    <a:blip r:embed="rId15">
                      <a:extLst>
                        <a:ext uri="{28A0092B-C50C-407E-A947-70E740481C1C}">
                          <a14:useLocalDpi xmlns:a14="http://schemas.microsoft.com/office/drawing/2010/main" val="false"/>
                        </a:ext>
                      </a:extLst>
                    </a:blip>
                    <a:srcRect l="13907" t="4488" r="30106" b="4167"/>
                    <a:stretch>
                      <a:fillRect/>
                    </a:stretch>
                  </pic:blipFill>
                  <pic:spPr>
                    <a:xfrm>
                      <a:off x="0" y="0"/>
                      <a:ext cx="2952750" cy="2714625"/>
                    </a:xfrm>
                    <a:prstGeom prst="rect">
                      <a:avLst/>
                    </a:prstGeom>
                    <a:noFill/>
                    <a:ln>
                      <a:noFill/>
                    </a:ln>
                  </pic:spPr>
                </pic:pic>
              </a:graphicData>
            </a:graphic>
          </wp:inline>
        </w:drawing>
      </w:r>
    </w:p>
    <w:p>
      <w:pPr>
        <w:widowControl w:val="0"/>
        <w:ind w:firstLine="2640" w:firstLineChars="1100"/>
        <w:jc w:val="both"/>
        <w:rPr>
          <w:rFonts w:ascii="Times New Roman" w:hAnsi="Times New Roman" w:cs="Times New Roman"/>
          <w:kern w:val="2"/>
        </w:rPr>
      </w:pPr>
      <w:r>
        <w:rPr>
          <w:rFonts w:hint="eastAsia" w:ascii="Times New Roman" w:hAnsi="Times New Roman" w:cs="Times New Roman"/>
          <w:kern w:val="2"/>
        </w:rPr>
        <w:t>A                            B</w:t>
      </w:r>
    </w:p>
    <w:p>
      <w:pPr>
        <w:jc w:val="center"/>
        <w:rPr>
          <w:rFonts w:ascii="Times New Roman" w:hAnsi="Times New Roman"/>
          <w:szCs w:val="21"/>
        </w:rPr>
      </w:pPr>
      <w:r>
        <w:rPr>
          <w:rFonts w:hint="eastAsia" w:ascii="Times New Roman" w:hAnsi="Times New Roman"/>
          <w:szCs w:val="21"/>
        </w:rPr>
        <w:t>A-室温，B-4℃</w:t>
      </w:r>
    </w:p>
    <w:p>
      <w:pPr>
        <w:ind w:left="105"/>
        <w:jc w:val="center"/>
        <w:rPr>
          <w:sz w:val="18"/>
          <w:szCs w:val="18"/>
        </w:rPr>
      </w:pPr>
      <w:r>
        <w:rPr>
          <w:rFonts w:hint="eastAsia"/>
          <w:sz w:val="18"/>
          <w:szCs w:val="18"/>
        </w:rPr>
        <w:t>1-甲醇，2,3-样品溶液。</w:t>
      </w:r>
    </w:p>
    <w:p>
      <w:pPr>
        <w:widowControl w:val="0"/>
        <w:jc w:val="center"/>
        <w:rPr>
          <w:rFonts w:ascii="Times New Roman" w:hAnsi="Times New Roman" w:cs="Times New Roman"/>
          <w:kern w:val="2"/>
        </w:rPr>
      </w:pPr>
      <w:r>
        <w:rPr>
          <w:rFonts w:ascii="Times New Roman" w:hAnsi="Times New Roman" w:cs="Times New Roman"/>
          <w:kern w:val="2"/>
        </w:rPr>
        <w:t xml:space="preserve">图7  </w:t>
      </w:r>
      <w:r>
        <w:rPr>
          <w:rFonts w:hint="eastAsia" w:ascii="Times New Roman" w:hAnsi="Times New Roman" w:cs="Times New Roman"/>
          <w:kern w:val="2"/>
        </w:rPr>
        <w:t>不同温度的</w:t>
      </w:r>
      <w:r>
        <w:rPr>
          <w:rFonts w:ascii="Times New Roman" w:hAnsi="Times New Roman" w:cs="Times New Roman"/>
          <w:kern w:val="2"/>
        </w:rPr>
        <w:t>薄层鉴别</w:t>
      </w:r>
    </w:p>
    <w:p>
      <w:pPr>
        <w:spacing w:line="360" w:lineRule="auto"/>
        <w:rPr>
          <w:rFonts w:ascii="Times New Roman" w:hAnsi="Times New Roman" w:cs="Times New Roman"/>
        </w:rPr>
      </w:pPr>
      <w:bookmarkStart w:id="2" w:name="OLE_LINK4"/>
      <w:r>
        <w:rPr>
          <w:rFonts w:hint="eastAsia" w:ascii="Times New Roman" w:cs="Times New Roman"/>
        </w:rPr>
        <w:t>7.2.8</w:t>
      </w:r>
      <w:r>
        <w:rPr>
          <w:rFonts w:ascii="Times New Roman" w:cs="Times New Roman"/>
        </w:rPr>
        <w:t>不同批次蛇泡筋药材的薄层鉴别</w:t>
      </w:r>
    </w:p>
    <w:p>
      <w:pPr>
        <w:spacing w:line="360" w:lineRule="auto"/>
        <w:rPr>
          <w:rFonts w:ascii="Times New Roman" w:cs="Times New Roman"/>
        </w:rPr>
      </w:pPr>
      <w:r>
        <w:rPr>
          <w:rFonts w:ascii="Times New Roman" w:cs="Times New Roman"/>
        </w:rPr>
        <w:t>通过对不同展开剂、显色方法和点样量的考察，最终选择了硅胶</w:t>
      </w:r>
      <w:r>
        <w:rPr>
          <w:rFonts w:ascii="Times New Roman" w:hAnsi="Times New Roman" w:cs="Times New Roman"/>
        </w:rPr>
        <w:t>G</w:t>
      </w:r>
      <w:r>
        <w:rPr>
          <w:rFonts w:ascii="Times New Roman" w:cs="Times New Roman"/>
        </w:rPr>
        <w:t>薄层板，以</w:t>
      </w:r>
      <w:r>
        <w:rPr>
          <w:rFonts w:hint="eastAsia" w:ascii="Times New Roman" w:hAnsi="Times New Roman"/>
          <w:szCs w:val="21"/>
        </w:rPr>
        <w:t>甲苯：乙酸乙酯：甲醇：甲酸 =1：2：0.2：0.1</w:t>
      </w:r>
      <w:r>
        <w:rPr>
          <w:rFonts w:ascii="Times New Roman" w:cs="Times New Roman"/>
        </w:rPr>
        <w:t>为展开剂，</w:t>
      </w:r>
      <w:r>
        <w:rPr>
          <w:rFonts w:hint="eastAsia" w:ascii="Times New Roman" w:hAnsi="Times New Roman"/>
          <w:szCs w:val="21"/>
        </w:rPr>
        <w:t>25%磷钼酸乙醇</w:t>
      </w:r>
      <w:r>
        <w:rPr>
          <w:rFonts w:ascii="Times New Roman" w:hAnsi="Times New Roman"/>
          <w:szCs w:val="21"/>
        </w:rPr>
        <w:t>溶液</w:t>
      </w:r>
      <w:r>
        <w:rPr>
          <w:rFonts w:ascii="Times New Roman" w:cs="Times New Roman"/>
        </w:rPr>
        <w:t>在</w:t>
      </w:r>
      <w:r>
        <w:rPr>
          <w:rFonts w:ascii="Times New Roman" w:hAnsi="Times New Roman" w:cs="Times New Roman"/>
        </w:rPr>
        <w:t>105℃</w:t>
      </w:r>
      <w:r>
        <w:rPr>
          <w:rFonts w:ascii="Times New Roman" w:cs="Times New Roman"/>
        </w:rPr>
        <w:t>加热至斑点显色清晰的显色方法，点样量</w:t>
      </w:r>
      <w:r>
        <w:rPr>
          <w:rFonts w:hint="eastAsia" w:ascii="Times New Roman" w:hAnsi="Times New Roman" w:cs="Times New Roman"/>
        </w:rPr>
        <w:t>5</w:t>
      </w:r>
      <w:r>
        <w:rPr>
          <w:rFonts w:ascii="Times New Roman" w:hAnsi="Times New Roman" w:cs="Times New Roman"/>
        </w:rPr>
        <w:t>μl</w:t>
      </w:r>
      <w:r>
        <w:rPr>
          <w:rFonts w:ascii="Times New Roman" w:cs="Times New Roman"/>
        </w:rPr>
        <w:t>，对</w:t>
      </w:r>
      <w:r>
        <w:rPr>
          <w:rFonts w:ascii="Times New Roman" w:hAnsi="Times New Roman" w:cs="Times New Roman"/>
        </w:rPr>
        <w:t>10</w:t>
      </w:r>
      <w:r>
        <w:rPr>
          <w:rFonts w:ascii="Times New Roman" w:cs="Times New Roman"/>
        </w:rPr>
        <w:t>批蛇泡筋药材进行了薄层鉴别，结果见图</w:t>
      </w:r>
      <w:r>
        <w:rPr>
          <w:rFonts w:hint="eastAsia" w:ascii="Times New Roman" w:cs="Times New Roman"/>
        </w:rPr>
        <w:t>8</w:t>
      </w:r>
      <w:r>
        <w:rPr>
          <w:rFonts w:ascii="Times New Roman" w:cs="Times New Roman"/>
        </w:rPr>
        <w:t>。</w:t>
      </w:r>
    </w:p>
    <w:p>
      <w:pPr>
        <w:spacing w:line="360" w:lineRule="auto"/>
        <w:rPr>
          <w:rFonts w:ascii="Times New Roman" w:cs="Times New Roman"/>
        </w:rPr>
      </w:pPr>
      <w:r>
        <w:drawing>
          <wp:anchor distT="0" distB="0" distL="114300" distR="114300" simplePos="0" relativeHeight="251658240" behindDoc="0" locked="0" layoutInCell="1" allowOverlap="1">
            <wp:simplePos x="0" y="0"/>
            <wp:positionH relativeFrom="column">
              <wp:posOffset>672465</wp:posOffset>
            </wp:positionH>
            <wp:positionV relativeFrom="paragraph">
              <wp:posOffset>53340</wp:posOffset>
            </wp:positionV>
            <wp:extent cx="3985260" cy="2050415"/>
            <wp:effectExtent l="0" t="0" r="0" b="6985"/>
            <wp:wrapNone/>
            <wp:docPr id="12" name="图片 32" descr="f69f70a70a3375f902aa74c5086fd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32" descr="f69f70a70a3375f902aa74c5086fd91"/>
                    <pic:cNvPicPr>
                      <a:picLocks noChangeAspect="true" noChangeArrowheads="true"/>
                    </pic:cNvPicPr>
                  </pic:nvPicPr>
                  <pic:blipFill>
                    <a:blip r:embed="rId16">
                      <a:extLst>
                        <a:ext uri="{28A0092B-C50C-407E-A947-70E740481C1C}">
                          <a14:useLocalDpi xmlns:a14="http://schemas.microsoft.com/office/drawing/2010/main" val="false"/>
                        </a:ext>
                      </a:extLst>
                    </a:blip>
                    <a:srcRect l="5064" t="7103" r="12044"/>
                    <a:stretch>
                      <a:fillRect/>
                    </a:stretch>
                  </pic:blipFill>
                  <pic:spPr>
                    <a:xfrm>
                      <a:off x="0" y="0"/>
                      <a:ext cx="3985260" cy="2050415"/>
                    </a:xfrm>
                    <a:prstGeom prst="rect">
                      <a:avLst/>
                    </a:prstGeom>
                    <a:noFill/>
                  </pic:spPr>
                </pic:pic>
              </a:graphicData>
            </a:graphic>
          </wp:anchor>
        </w:drawing>
      </w:r>
    </w:p>
    <w:p>
      <w:pPr>
        <w:jc w:val="center"/>
        <w:rPr>
          <w:rFonts w:ascii="Times New Roman" w:hAnsi="Times New Roman"/>
          <w:szCs w:val="21"/>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jc w:val="center"/>
        <w:rPr>
          <w:sz w:val="18"/>
          <w:szCs w:val="18"/>
        </w:rPr>
      </w:pPr>
      <w:r>
        <w:rPr>
          <w:sz w:val="18"/>
          <w:szCs w:val="18"/>
        </w:rPr>
        <mc:AlternateContent>
          <mc:Choice Requires="wps">
            <w:drawing>
              <wp:anchor distT="0" distB="0" distL="114300" distR="114300" simplePos="0" relativeHeight="251660288" behindDoc="0" locked="0" layoutInCell="1" allowOverlap="1">
                <wp:simplePos x="0" y="0"/>
                <wp:positionH relativeFrom="column">
                  <wp:posOffset>2778760</wp:posOffset>
                </wp:positionH>
                <wp:positionV relativeFrom="paragraph">
                  <wp:posOffset>17780</wp:posOffset>
                </wp:positionV>
                <wp:extent cx="1828800" cy="289560"/>
                <wp:effectExtent l="0" t="0" r="0" b="6350"/>
                <wp:wrapNone/>
                <wp:docPr id="29"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828800" cy="289560"/>
                        </a:xfrm>
                        <a:prstGeom prst="rect">
                          <a:avLst/>
                        </a:prstGeom>
                        <a:noFill/>
                        <a:ln w="9525">
                          <a:noFill/>
                          <a:miter lim="800000"/>
                        </a:ln>
                      </wps:spPr>
                      <wps:txbx>
                        <w:txbxContent>
                          <w:p>
                            <w:pPr>
                              <w:rPr>
                                <w:rFonts w:ascii="Times New Roman" w:hAnsi="Times New Roman" w:cs="Times New Roman"/>
                              </w:rPr>
                            </w:pPr>
                            <w:r>
                              <w:rPr>
                                <w:rFonts w:hint="eastAsia" w:ascii="Times New Roman" w:hAnsi="Times New Roman" w:cs="Times New Roman"/>
                              </w:rPr>
                              <w:t>6  7   8   9  10  11</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18.8pt;margin-top:1.4pt;height:22.8pt;width:144pt;z-index:251660288;mso-width-relative:page;mso-height-relative:margin;mso-height-percent:200;" filled="f" stroked="f" coordsize="21600,21600" o:gfxdata="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8ipZf&#10;1QAAAAgBAAAPAAAAAAAAAAEAIAAAADgAAABkcnMvZG93bnJldi54bWxQSwECFAAUAAAACACHTuJA&#10;CsGUdQ4CAADmAwAADgAAAAAAAAABACAAAAA6AQAAZHJzL2Uyb0RvYy54bWxQSwUGAAAAAAYABgBZ&#10;AQAAugUAAAAA&#10;">
                <v:fill on="f" focussize="0,0"/>
                <v:stroke on="f" miterlimit="8" joinstyle="miter"/>
                <v:imagedata o:title=""/>
                <o:lock v:ext="edit" aspectratio="f"/>
                <v:textbox style="mso-fit-shape-to-text:t;">
                  <w:txbxContent>
                    <w:p>
                      <w:pPr>
                        <w:rPr>
                          <w:rFonts w:ascii="Times New Roman" w:hAnsi="Times New Roman" w:cs="Times New Roman"/>
                        </w:rPr>
                      </w:pPr>
                      <w:r>
                        <w:rPr>
                          <w:rFonts w:hint="eastAsia" w:ascii="Times New Roman" w:hAnsi="Times New Roman" w:cs="Times New Roman"/>
                        </w:rPr>
                        <w:t>6  7   8   9  10  11</w:t>
                      </w: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column">
                  <wp:posOffset>897255</wp:posOffset>
                </wp:positionH>
                <wp:positionV relativeFrom="paragraph">
                  <wp:posOffset>55880</wp:posOffset>
                </wp:positionV>
                <wp:extent cx="1729105" cy="289560"/>
                <wp:effectExtent l="0" t="0" r="0" b="0"/>
                <wp:wrapNone/>
                <wp:docPr id="11"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729105" cy="289560"/>
                        </a:xfrm>
                        <a:prstGeom prst="rect">
                          <a:avLst/>
                        </a:prstGeom>
                        <a:noFill/>
                        <a:ln w="9525">
                          <a:noFill/>
                          <a:miter lim="800000"/>
                        </a:ln>
                      </wps:spPr>
                      <wps:txbx>
                        <w:txbxContent>
                          <w:p>
                            <w:pPr>
                              <w:rPr>
                                <w:rFonts w:ascii="Times New Roman" w:hAnsi="Times New Roman" w:cs="Times New Roman"/>
                              </w:rPr>
                            </w:pPr>
                            <w:r>
                              <w:rPr>
                                <w:rFonts w:ascii="Times New Roman" w:hAnsi="Times New Roman" w:cs="Times New Roman"/>
                              </w:rPr>
                              <w:t>1  2 3</w:t>
                            </w:r>
                            <w:r>
                              <w:rPr>
                                <w:rFonts w:hint="eastAsia" w:ascii="Times New Roman" w:hAnsi="Times New Roman" w:cs="Times New Roman"/>
                              </w:rPr>
                              <w:t xml:space="preserve">    4   5</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70.65pt;margin-top:4.4pt;height:22.8pt;width:136.15pt;z-index:251659264;mso-width-relative:page;mso-height-relative:page;" filled="f" stroked="f" coordsize="21600,21600" o:gfxdata="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2SHfg&#10;0wAAAAgBAAAPAAAAAAAAAAEAIAAAADgAAABkcnMvZG93bnJldi54bWxQSwECFAAUAAAACACHTuJA&#10;whDBYBACAADmAwAADgAAAAAAAAABACAAAAA4AQAAZHJzL2Uyb0RvYy54bWxQSwUGAAAAAAYABgBZ&#10;AQAAugUAAAAA&#10;">
                <v:fill on="f" focussize="0,0"/>
                <v:stroke on="f" miterlimit="8" joinstyle="miter"/>
                <v:imagedata o:title=""/>
                <o:lock v:ext="edit" aspectratio="f"/>
                <v:textbox>
                  <w:txbxContent>
                    <w:p>
                      <w:pPr>
                        <w:rPr>
                          <w:rFonts w:ascii="Times New Roman" w:hAnsi="Times New Roman" w:cs="Times New Roman"/>
                        </w:rPr>
                      </w:pPr>
                      <w:r>
                        <w:rPr>
                          <w:rFonts w:ascii="Times New Roman" w:hAnsi="Times New Roman" w:cs="Times New Roman"/>
                        </w:rPr>
                        <w:t>1  2 3</w:t>
                      </w:r>
                      <w:r>
                        <w:rPr>
                          <w:rFonts w:hint="eastAsia" w:ascii="Times New Roman" w:hAnsi="Times New Roman" w:cs="Times New Roman"/>
                        </w:rPr>
                        <w:t xml:space="preserve">    4   5</w:t>
                      </w:r>
                    </w:p>
                  </w:txbxContent>
                </v:textbox>
              </v:shape>
            </w:pict>
          </mc:Fallback>
        </mc:AlternateContent>
      </w:r>
    </w:p>
    <w:p>
      <w:pPr>
        <w:rPr>
          <w:sz w:val="18"/>
          <w:szCs w:val="18"/>
        </w:rPr>
      </w:pPr>
    </w:p>
    <w:p>
      <w:pPr>
        <w:ind w:left="105"/>
        <w:jc w:val="center"/>
        <w:rPr>
          <w:sz w:val="18"/>
          <w:szCs w:val="18"/>
        </w:rPr>
      </w:pPr>
    </w:p>
    <w:bookmarkEnd w:id="2"/>
    <w:p>
      <w:pPr>
        <w:spacing w:line="360" w:lineRule="auto"/>
        <w:jc w:val="center"/>
        <w:rPr>
          <w:rFonts w:ascii="Times New Roman" w:hAnsi="Times New Roman" w:cs="Times New Roman"/>
        </w:rPr>
      </w:pPr>
    </w:p>
    <w:p>
      <w:pPr>
        <w:ind w:left="105"/>
        <w:jc w:val="center"/>
        <w:rPr>
          <w:sz w:val="18"/>
          <w:szCs w:val="18"/>
        </w:rPr>
      </w:pPr>
      <w:r>
        <w:rPr>
          <w:rFonts w:hint="eastAsia"/>
          <w:sz w:val="18"/>
          <w:szCs w:val="18"/>
        </w:rPr>
        <w:t>1-202201001，2-202201002,3-202201003,4-202201004,5-202201005,6-202201001</w:t>
      </w:r>
    </w:p>
    <w:p>
      <w:pPr>
        <w:ind w:left="105"/>
        <w:jc w:val="center"/>
        <w:rPr>
          <w:sz w:val="18"/>
          <w:szCs w:val="18"/>
        </w:rPr>
      </w:pPr>
      <w:r>
        <w:rPr>
          <w:rFonts w:hint="eastAsia"/>
          <w:sz w:val="18"/>
          <w:szCs w:val="18"/>
        </w:rPr>
        <w:t>7-202201006,8-202201007,9-202201008,10-202201009,11-202201010</w:t>
      </w:r>
    </w:p>
    <w:p>
      <w:pPr>
        <w:widowControl w:val="0"/>
        <w:jc w:val="center"/>
        <w:rPr>
          <w:rFonts w:ascii="Times New Roman" w:hAnsi="Times New Roman" w:cs="Times New Roman"/>
          <w:kern w:val="2"/>
        </w:rPr>
      </w:pPr>
      <w:r>
        <w:rPr>
          <w:rFonts w:ascii="Times New Roman" w:hAnsi="Times New Roman" w:cs="Times New Roman"/>
          <w:kern w:val="2"/>
        </w:rPr>
        <w:t>图</w:t>
      </w:r>
      <w:r>
        <w:rPr>
          <w:rFonts w:hint="eastAsia" w:ascii="Times New Roman" w:hAnsi="Times New Roman" w:cs="Times New Roman"/>
          <w:kern w:val="2"/>
        </w:rPr>
        <w:t>8</w:t>
      </w:r>
      <w:r>
        <w:rPr>
          <w:rFonts w:ascii="Times New Roman" w:hAnsi="Times New Roman" w:cs="Times New Roman"/>
          <w:kern w:val="2"/>
        </w:rPr>
        <w:t>十批不同产地</w:t>
      </w:r>
      <w:r>
        <w:rPr>
          <w:rFonts w:hint="eastAsia" w:ascii="Times New Roman" w:hAnsi="Times New Roman" w:cs="Times New Roman"/>
          <w:kern w:val="2"/>
        </w:rPr>
        <w:t>蛇泡筋</w:t>
      </w:r>
      <w:r>
        <w:rPr>
          <w:rFonts w:ascii="Times New Roman" w:hAnsi="Times New Roman" w:cs="Times New Roman"/>
          <w:kern w:val="2"/>
        </w:rPr>
        <w:t>药材</w:t>
      </w:r>
      <w:r>
        <w:t>的</w:t>
      </w:r>
      <w:r>
        <w:rPr>
          <w:rFonts w:ascii="Times New Roman" w:hAnsi="Times New Roman" w:cs="Times New Roman"/>
          <w:kern w:val="2"/>
        </w:rPr>
        <w:t>薄层鉴别</w:t>
      </w:r>
    </w:p>
    <w:p>
      <w:pPr>
        <w:spacing w:line="360" w:lineRule="auto"/>
        <w:rPr>
          <w:rFonts w:ascii="Times New Roman" w:cs="Times New Roman"/>
        </w:rPr>
      </w:pPr>
      <w:bookmarkStart w:id="3" w:name="OLE_LINK5"/>
    </w:p>
    <w:p>
      <w:pPr>
        <w:spacing w:line="360" w:lineRule="auto"/>
        <w:rPr>
          <w:rFonts w:ascii="Times New Roman" w:hAnsi="Times New Roman" w:cs="Times New Roman"/>
        </w:rPr>
      </w:pPr>
      <w:r>
        <w:rPr>
          <w:rFonts w:hint="eastAsia" w:ascii="Times New Roman" w:cs="Times New Roman"/>
        </w:rPr>
        <w:t xml:space="preserve">8. </w:t>
      </w:r>
      <w:r>
        <w:rPr>
          <w:rFonts w:ascii="Times New Roman" w:cs="Times New Roman"/>
        </w:rPr>
        <w:t>水分的检查标准</w:t>
      </w:r>
    </w:p>
    <w:p>
      <w:pPr>
        <w:spacing w:line="360" w:lineRule="auto"/>
        <w:ind w:firstLine="480" w:firstLineChars="200"/>
        <w:rPr>
          <w:rFonts w:ascii="Times New Roman" w:hAnsi="Times New Roman" w:cs="Times New Roman"/>
        </w:rPr>
      </w:pPr>
      <w:r>
        <w:rPr>
          <w:rFonts w:ascii="Times New Roman" w:hAnsi="Times New Roman" w:cs="Times New Roman"/>
        </w:rPr>
        <w:t>按照《中国药典》四部（20</w:t>
      </w:r>
      <w:r>
        <w:rPr>
          <w:rFonts w:hint="eastAsia" w:ascii="Times New Roman" w:hAnsi="Times New Roman" w:cs="Times New Roman"/>
        </w:rPr>
        <w:t>20</w:t>
      </w:r>
      <w:r>
        <w:rPr>
          <w:rFonts w:ascii="Times New Roman" w:hAnsi="Times New Roman" w:cs="Times New Roman"/>
        </w:rPr>
        <w:t>版）通则0832水分测定法第二法进行测定。取不同批次的蛇泡筋根细粉约2.0g（过二号筛），精密称定，每批平行测定2份，测定结果见表2。</w:t>
      </w:r>
    </w:p>
    <w:p>
      <w:pPr>
        <w:spacing w:line="360" w:lineRule="auto"/>
        <w:jc w:val="center"/>
        <w:rPr>
          <w:rFonts w:ascii="Times New Roman" w:hAnsi="Times New Roman" w:cs="Times New Roman"/>
        </w:rPr>
      </w:pPr>
      <w:r>
        <w:rPr>
          <w:rFonts w:ascii="Times New Roman" w:cs="Times New Roman"/>
        </w:rPr>
        <w:t>表</w:t>
      </w:r>
      <w:r>
        <w:rPr>
          <w:rFonts w:ascii="Times New Roman" w:hAnsi="Times New Roman" w:cs="Times New Roman"/>
        </w:rPr>
        <w:t xml:space="preserve">2 </w:t>
      </w:r>
      <w:r>
        <w:rPr>
          <w:rFonts w:ascii="Times New Roman" w:cs="Times New Roman"/>
        </w:rPr>
        <w:t>不同批次蛇泡筋根水分的含量测定结果</w:t>
      </w:r>
    </w:p>
    <w:tbl>
      <w:tblPr>
        <w:tblStyle w:val="9"/>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No</w:t>
            </w:r>
          </w:p>
        </w:tc>
        <w:tc>
          <w:tcPr>
            <w:tcW w:w="2130" w:type="dxa"/>
            <w:vAlign w:val="center"/>
          </w:tcPr>
          <w:p>
            <w:pPr>
              <w:spacing w:line="360" w:lineRule="auto"/>
              <w:jc w:val="center"/>
              <w:rPr>
                <w:rFonts w:ascii="Times New Roman" w:hAnsi="Times New Roman" w:cs="Times New Roman"/>
                <w:szCs w:val="21"/>
              </w:rPr>
            </w:pPr>
            <w:r>
              <w:rPr>
                <w:rFonts w:ascii="Times New Roman" w:cs="Times New Roman"/>
                <w:szCs w:val="21"/>
              </w:rPr>
              <w:t>称量量</w:t>
            </w:r>
            <w:r>
              <w:rPr>
                <w:rFonts w:ascii="Times New Roman" w:hAnsi="Times New Roman" w:cs="Times New Roman"/>
                <w:szCs w:val="21"/>
              </w:rPr>
              <w:t>g</w:t>
            </w:r>
          </w:p>
        </w:tc>
        <w:tc>
          <w:tcPr>
            <w:tcW w:w="2131" w:type="dxa"/>
            <w:vAlign w:val="center"/>
          </w:tcPr>
          <w:p>
            <w:pPr>
              <w:spacing w:line="360" w:lineRule="auto"/>
              <w:jc w:val="center"/>
              <w:rPr>
                <w:rFonts w:ascii="Times New Roman" w:hAnsi="Times New Roman" w:cs="Times New Roman"/>
                <w:szCs w:val="21"/>
              </w:rPr>
            </w:pPr>
            <w:r>
              <w:rPr>
                <w:rFonts w:ascii="Times New Roman" w:cs="Times New Roman"/>
                <w:szCs w:val="21"/>
              </w:rPr>
              <w:t>水分含量</w:t>
            </w:r>
            <w:r>
              <w:rPr>
                <w:rFonts w:ascii="Times New Roman" w:hAnsi="Times New Roman" w:cs="Times New Roman"/>
                <w:szCs w:val="21"/>
              </w:rPr>
              <w:t>%</w:t>
            </w:r>
          </w:p>
        </w:tc>
        <w:tc>
          <w:tcPr>
            <w:tcW w:w="2131" w:type="dxa"/>
            <w:vAlign w:val="center"/>
          </w:tcPr>
          <w:p>
            <w:pPr>
              <w:spacing w:line="360" w:lineRule="auto"/>
              <w:jc w:val="center"/>
              <w:rPr>
                <w:rFonts w:ascii="Times New Roman" w:hAnsi="Times New Roman" w:cs="Times New Roman"/>
                <w:szCs w:val="21"/>
              </w:rPr>
            </w:pPr>
            <w:r>
              <w:rPr>
                <w:rFonts w:ascii="Times New Roman" w:cs="Times New Roman"/>
                <w:szCs w:val="21"/>
              </w:rPr>
              <w:t>平均值</w:t>
            </w:r>
            <w:r>
              <w:rPr>
                <w:rFonts w:ascii="Times New Roman" w:hAnsi="Times New Roman" w:cs="Times New Roman"/>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2.0264</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5.19</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4.69</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2.0165</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3.14</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2.0216</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3.77</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2.0208</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2.92</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2.0041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3.33</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2.0041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2.0179</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3.63</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2.0073</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3.74</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2.0278</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2.44</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2.0198</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3.58</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2.0121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3.31</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2.0053</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3.25</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2.0220</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2.98</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2.0211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4.39</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2.0026</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6.53</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6.57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2.0101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6.61</w:t>
            </w:r>
          </w:p>
        </w:tc>
        <w:tc>
          <w:tcPr>
            <w:tcW w:w="213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2.0019</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3.39</w:t>
            </w:r>
          </w:p>
        </w:tc>
        <w:tc>
          <w:tcPr>
            <w:tcW w:w="213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2.0294</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4.26</w:t>
            </w:r>
          </w:p>
        </w:tc>
        <w:tc>
          <w:tcPr>
            <w:tcW w:w="2131" w:type="dxa"/>
            <w:vMerge w:val="continue"/>
            <w:vAlign w:val="center"/>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rPr>
      </w:pPr>
      <w:r>
        <w:rPr>
          <w:rFonts w:ascii="Times New Roman" w:hAnsi="Times New Roman" w:cs="Times New Roman"/>
        </w:rPr>
        <w:t></w:t>
      </w:r>
      <w:r>
        <w:rPr>
          <w:rFonts w:ascii="Times New Roman" w:cs="Times New Roman"/>
        </w:rPr>
        <w:t>以上</w:t>
      </w:r>
      <w:r>
        <w:rPr>
          <w:rFonts w:ascii="Times New Roman" w:hAnsi="Times New Roman" w:cs="Times New Roman"/>
        </w:rPr>
        <w:t>1</w:t>
      </w:r>
      <w:r>
        <w:rPr>
          <w:rFonts w:hint="eastAsia" w:ascii="Times New Roman" w:hAnsi="Times New Roman" w:cs="Times New Roman"/>
        </w:rPr>
        <w:t>0</w:t>
      </w:r>
      <w:r>
        <w:rPr>
          <w:rFonts w:ascii="Times New Roman" w:cs="Times New Roman"/>
        </w:rPr>
        <w:t>批水分测定结果显示，蛇泡筋根的水分含量范围为</w:t>
      </w:r>
      <w:r>
        <w:rPr>
          <w:rFonts w:hint="eastAsia" w:ascii="Times New Roman" w:hAnsi="Times New Roman" w:cs="Times New Roman"/>
        </w:rPr>
        <w:t>3.01</w:t>
      </w:r>
      <w:r>
        <w:rPr>
          <w:rFonts w:ascii="Times New Roman" w:hAnsi="Times New Roman" w:cs="Times New Roman"/>
        </w:rPr>
        <w:t>%~</w:t>
      </w:r>
      <w:r>
        <w:rPr>
          <w:rFonts w:hint="eastAsia" w:ascii="Times New Roman" w:hAnsi="Times New Roman" w:cs="Times New Roman"/>
        </w:rPr>
        <w:t>6.57</w:t>
      </w:r>
      <w:r>
        <w:rPr>
          <w:rFonts w:ascii="Times New Roman" w:hAnsi="Times New Roman" w:cs="Times New Roman"/>
        </w:rPr>
        <w:t>%</w:t>
      </w:r>
      <w:r>
        <w:rPr>
          <w:rFonts w:ascii="Times New Roman" w:cs="Times New Roman"/>
        </w:rPr>
        <w:t>。</w:t>
      </w:r>
      <w:r>
        <w:rPr>
          <w:rFonts w:hint="eastAsia" w:ascii="Times New Roman" w:cs="Times New Roman"/>
        </w:rPr>
        <w:t>平均水分含量为3.92%。由于</w:t>
      </w:r>
      <w:r>
        <w:rPr>
          <w:rFonts w:ascii="Times New Roman" w:cs="Times New Roman"/>
        </w:rPr>
        <w:t>以上测定结果为干燥后新测的结果，参照一般根类药材的水分含量限度，故暂规定，本品按《中国药典》四部通则</w:t>
      </w:r>
      <w:r>
        <w:rPr>
          <w:rFonts w:ascii="Times New Roman" w:hAnsi="Times New Roman" w:cs="Times New Roman"/>
        </w:rPr>
        <w:t>0832</w:t>
      </w:r>
      <w:r>
        <w:rPr>
          <w:rFonts w:ascii="Times New Roman" w:cs="Times New Roman"/>
        </w:rPr>
        <w:t>第二法进行测定，水分含量不得过</w:t>
      </w:r>
      <w:r>
        <w:rPr>
          <w:rFonts w:hint="eastAsia" w:ascii="Times New Roman" w:hAnsi="Times New Roman" w:cs="Times New Roman"/>
        </w:rPr>
        <w:t>10.0</w:t>
      </w:r>
      <w:r>
        <w:rPr>
          <w:rFonts w:ascii="Times New Roman" w:hAnsi="Times New Roman" w:cs="Times New Roman"/>
        </w:rPr>
        <w:t>%</w:t>
      </w:r>
      <w:r>
        <w:rPr>
          <w:rFonts w:ascii="Times New Roman" w:cs="Times New Roman"/>
        </w:rPr>
        <w:t>。</w:t>
      </w:r>
    </w:p>
    <w:bookmarkEnd w:id="3"/>
    <w:p>
      <w:pPr>
        <w:spacing w:line="360" w:lineRule="auto"/>
        <w:rPr>
          <w:rFonts w:ascii="Times New Roman" w:cs="Times New Roman"/>
        </w:rPr>
      </w:pPr>
    </w:p>
    <w:p>
      <w:pPr>
        <w:spacing w:line="360" w:lineRule="auto"/>
        <w:rPr>
          <w:rFonts w:ascii="Times New Roman" w:hAnsi="Times New Roman" w:cs="Times New Roman"/>
        </w:rPr>
      </w:pPr>
      <w:r>
        <w:rPr>
          <w:rFonts w:hint="eastAsia" w:ascii="Times New Roman" w:cs="Times New Roman"/>
        </w:rPr>
        <w:t xml:space="preserve">9. </w:t>
      </w:r>
      <w:r>
        <w:rPr>
          <w:rFonts w:ascii="Times New Roman" w:cs="Times New Roman"/>
        </w:rPr>
        <w:t>总灰分的检查标准</w:t>
      </w:r>
    </w:p>
    <w:p>
      <w:pPr>
        <w:spacing w:line="360" w:lineRule="auto"/>
        <w:ind w:firstLine="480" w:firstLineChars="200"/>
        <w:rPr>
          <w:rFonts w:ascii="Times New Roman" w:hAnsi="Times New Roman" w:cs="Times New Roman"/>
        </w:rPr>
      </w:pPr>
      <w:r>
        <w:rPr>
          <w:rFonts w:ascii="Times New Roman" w:cs="Times New Roman"/>
        </w:rPr>
        <w:t>按《中国药典》四部（</w:t>
      </w:r>
      <w:r>
        <w:rPr>
          <w:rFonts w:ascii="Times New Roman" w:hAnsi="Times New Roman" w:cs="Times New Roman"/>
        </w:rPr>
        <w:t>20</w:t>
      </w:r>
      <w:r>
        <w:rPr>
          <w:rFonts w:hint="eastAsia" w:ascii="Times New Roman" w:hAnsi="Times New Roman" w:cs="Times New Roman"/>
        </w:rPr>
        <w:t>20</w:t>
      </w:r>
      <w:r>
        <w:rPr>
          <w:rFonts w:ascii="Times New Roman" w:cs="Times New Roman"/>
        </w:rPr>
        <w:t>版）通则</w:t>
      </w:r>
      <w:r>
        <w:rPr>
          <w:rFonts w:ascii="Times New Roman" w:hAnsi="Times New Roman" w:cs="Times New Roman"/>
        </w:rPr>
        <w:t>2302</w:t>
      </w:r>
      <w:r>
        <w:rPr>
          <w:rFonts w:ascii="Times New Roman" w:cs="Times New Roman"/>
        </w:rPr>
        <w:t>总灰分测定法进行测定。取不同批次蛇泡筋根细粉约</w:t>
      </w:r>
      <w:r>
        <w:rPr>
          <w:rFonts w:ascii="Times New Roman" w:hAnsi="Times New Roman" w:cs="Times New Roman"/>
        </w:rPr>
        <w:t>2g</w:t>
      </w:r>
      <w:r>
        <w:rPr>
          <w:rFonts w:ascii="Times New Roman" w:cs="Times New Roman"/>
        </w:rPr>
        <w:t>（过二号筛），精密称定，每批平行测定</w:t>
      </w:r>
      <w:r>
        <w:rPr>
          <w:rFonts w:ascii="Times New Roman" w:hAnsi="Times New Roman" w:cs="Times New Roman"/>
        </w:rPr>
        <w:t>2</w:t>
      </w:r>
      <w:r>
        <w:rPr>
          <w:rFonts w:ascii="Times New Roman" w:cs="Times New Roman"/>
        </w:rPr>
        <w:t>份，置炽灼至恒重的坩埚中，称定重量（准确至</w:t>
      </w:r>
      <w:r>
        <w:rPr>
          <w:rFonts w:ascii="Times New Roman" w:hAnsi="Times New Roman" w:cs="Times New Roman"/>
        </w:rPr>
        <w:t>0.01</w:t>
      </w:r>
      <w:r>
        <w:rPr>
          <w:rFonts w:ascii="Times New Roman" w:cs="Times New Roman"/>
        </w:rPr>
        <w:t>ｇ），缓缓炽热，至完全炭化时，逐渐升高温度至</w:t>
      </w:r>
      <w:r>
        <w:rPr>
          <w:rFonts w:ascii="Times New Roman" w:hAnsi="Times New Roman" w:cs="Times New Roman"/>
        </w:rPr>
        <w:t>550℃</w:t>
      </w:r>
      <w:r>
        <w:rPr>
          <w:rFonts w:ascii="Times New Roman" w:cs="Times New Roman"/>
        </w:rPr>
        <w:t>，使完全灰化并至恒重。根据残渣重量，计算供试品中总灰分的含量（</w:t>
      </w:r>
      <w:r>
        <w:rPr>
          <w:rFonts w:ascii="Times New Roman" w:hAnsi="Times New Roman" w:cs="Times New Roman"/>
        </w:rPr>
        <w:t>%</w:t>
      </w:r>
      <w:r>
        <w:rPr>
          <w:rFonts w:ascii="Times New Roman" w:cs="Times New Roman"/>
        </w:rPr>
        <w:t>）。测定结果见表</w:t>
      </w:r>
      <w:r>
        <w:rPr>
          <w:rFonts w:ascii="Times New Roman" w:hAnsi="Times New Roman" w:cs="Times New Roman"/>
        </w:rPr>
        <w:t>3</w:t>
      </w:r>
    </w:p>
    <w:p>
      <w:pPr>
        <w:spacing w:line="360" w:lineRule="auto"/>
        <w:jc w:val="center"/>
        <w:rPr>
          <w:rFonts w:ascii="Times New Roman" w:hAnsi="Times New Roman" w:cs="Times New Roman"/>
        </w:rPr>
      </w:pPr>
      <w:r>
        <w:rPr>
          <w:rFonts w:ascii="Times New Roman" w:cs="Times New Roman"/>
        </w:rPr>
        <w:t>表</w:t>
      </w:r>
      <w:r>
        <w:rPr>
          <w:rFonts w:ascii="Times New Roman" w:hAnsi="Times New Roman" w:cs="Times New Roman"/>
        </w:rPr>
        <w:t xml:space="preserve">3  </w:t>
      </w:r>
      <w:r>
        <w:rPr>
          <w:rFonts w:ascii="Times New Roman" w:cs="Times New Roman"/>
        </w:rPr>
        <w:t>不同批次蛇泡筋根总灰分的测定结果</w:t>
      </w:r>
    </w:p>
    <w:tbl>
      <w:tblPr>
        <w:tblStyle w:val="9"/>
        <w:tblW w:w="84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No</w:t>
            </w:r>
          </w:p>
        </w:tc>
        <w:tc>
          <w:tcPr>
            <w:tcW w:w="2130" w:type="dxa"/>
            <w:vAlign w:val="center"/>
          </w:tcPr>
          <w:p>
            <w:pPr>
              <w:spacing w:line="360" w:lineRule="auto"/>
              <w:jc w:val="center"/>
              <w:rPr>
                <w:rFonts w:ascii="Times New Roman" w:hAnsi="Times New Roman" w:cs="Times New Roman"/>
                <w:szCs w:val="21"/>
              </w:rPr>
            </w:pPr>
            <w:r>
              <w:rPr>
                <w:rFonts w:ascii="Times New Roman" w:cs="Times New Roman"/>
                <w:szCs w:val="21"/>
              </w:rPr>
              <w:t>称量量</w:t>
            </w:r>
            <w:r>
              <w:rPr>
                <w:rFonts w:ascii="Times New Roman" w:hAnsi="Times New Roman" w:cs="Times New Roman"/>
                <w:szCs w:val="21"/>
              </w:rPr>
              <w:t>g</w:t>
            </w:r>
          </w:p>
        </w:tc>
        <w:tc>
          <w:tcPr>
            <w:tcW w:w="2131" w:type="dxa"/>
            <w:vAlign w:val="center"/>
          </w:tcPr>
          <w:p>
            <w:pPr>
              <w:spacing w:line="360" w:lineRule="auto"/>
              <w:jc w:val="center"/>
              <w:rPr>
                <w:rFonts w:ascii="Times New Roman" w:hAnsi="Times New Roman" w:cs="Times New Roman"/>
                <w:szCs w:val="21"/>
              </w:rPr>
            </w:pPr>
            <w:r>
              <w:rPr>
                <w:rFonts w:hint="eastAsia" w:ascii="Times New Roman" w:cs="Times New Roman"/>
                <w:szCs w:val="21"/>
              </w:rPr>
              <w:t>灰</w:t>
            </w:r>
            <w:r>
              <w:rPr>
                <w:rFonts w:ascii="Times New Roman" w:cs="Times New Roman"/>
                <w:szCs w:val="21"/>
              </w:rPr>
              <w:t>分含量</w:t>
            </w:r>
            <w:r>
              <w:rPr>
                <w:rFonts w:ascii="Times New Roman" w:hAnsi="Times New Roman" w:cs="Times New Roman"/>
                <w:szCs w:val="21"/>
              </w:rPr>
              <w:t>%</w:t>
            </w:r>
          </w:p>
        </w:tc>
        <w:tc>
          <w:tcPr>
            <w:tcW w:w="2081" w:type="dxa"/>
            <w:vAlign w:val="center"/>
          </w:tcPr>
          <w:p>
            <w:pPr>
              <w:spacing w:line="360" w:lineRule="auto"/>
              <w:jc w:val="center"/>
              <w:rPr>
                <w:rFonts w:ascii="Times New Roman" w:hAnsi="Times New Roman" w:cs="Times New Roman"/>
                <w:szCs w:val="21"/>
              </w:rPr>
            </w:pPr>
            <w:r>
              <w:rPr>
                <w:rFonts w:ascii="Times New Roman" w:cs="Times New Roman"/>
                <w:szCs w:val="21"/>
              </w:rPr>
              <w:t>平均值</w:t>
            </w:r>
            <w:r>
              <w:rPr>
                <w:rFonts w:ascii="Times New Roman" w:hAnsi="Times New Roman" w:cs="Times New Roman"/>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2.0094</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4.17</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2.0085</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4.12</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2.0050</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3.39</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2.0052</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3.78</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2.0050</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3.85</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2.0096</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4.06</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2.0103</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3.41</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2.0151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3.24</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2.0182</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3.25</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0.0031</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3.05</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2.0114</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3.67</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2.0198</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3.57</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2.0173</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3.59</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2.0196</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3.67</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2.0076</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3.18</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2.0125</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3.46</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2.0065</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2.49</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2.0083</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2.17</w:t>
            </w:r>
          </w:p>
        </w:tc>
        <w:tc>
          <w:tcPr>
            <w:tcW w:w="2081"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2201010-1</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2.0148</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3.98</w:t>
            </w:r>
          </w:p>
        </w:tc>
        <w:tc>
          <w:tcPr>
            <w:tcW w:w="2081"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130"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2201010-2</w:t>
            </w:r>
          </w:p>
        </w:tc>
        <w:tc>
          <w:tcPr>
            <w:tcW w:w="213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2.0032</w:t>
            </w:r>
          </w:p>
        </w:tc>
        <w:tc>
          <w:tcPr>
            <w:tcW w:w="213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3.95</w:t>
            </w:r>
          </w:p>
        </w:tc>
        <w:tc>
          <w:tcPr>
            <w:tcW w:w="2081" w:type="dxa"/>
            <w:vMerge w:val="continue"/>
            <w:vAlign w:val="center"/>
          </w:tcPr>
          <w:p>
            <w:pPr>
              <w:spacing w:line="360" w:lineRule="auto"/>
              <w:jc w:val="center"/>
              <w:rPr>
                <w:rFonts w:ascii="Times New Roman" w:hAnsi="Times New Roman" w:cs="Times New Roman"/>
                <w:szCs w:val="21"/>
              </w:rPr>
            </w:pPr>
          </w:p>
        </w:tc>
      </w:tr>
    </w:tbl>
    <w:p>
      <w:pPr>
        <w:spacing w:line="360" w:lineRule="auto"/>
        <w:ind w:firstLine="480" w:firstLineChars="200"/>
        <w:rPr>
          <w:rFonts w:ascii="Times New Roman" w:hAnsi="Times New Roman" w:cs="Times New Roman"/>
        </w:rPr>
      </w:pPr>
      <w:r>
        <w:rPr>
          <w:rFonts w:ascii="Times New Roman" w:cs="Times New Roman"/>
        </w:rPr>
        <w:t>以上</w:t>
      </w:r>
      <w:r>
        <w:rPr>
          <w:rFonts w:ascii="Times New Roman" w:hAnsi="Times New Roman" w:cs="Times New Roman"/>
        </w:rPr>
        <w:t>1</w:t>
      </w:r>
      <w:r>
        <w:rPr>
          <w:rFonts w:hint="eastAsia" w:ascii="Times New Roman" w:hAnsi="Times New Roman" w:cs="Times New Roman"/>
        </w:rPr>
        <w:t>0</w:t>
      </w:r>
      <w:r>
        <w:rPr>
          <w:rFonts w:ascii="Times New Roman" w:cs="Times New Roman"/>
        </w:rPr>
        <w:t>批</w:t>
      </w:r>
      <w:r>
        <w:rPr>
          <w:rFonts w:hint="eastAsia" w:ascii="Times New Roman" w:cs="Times New Roman"/>
        </w:rPr>
        <w:t>灰</w:t>
      </w:r>
      <w:r>
        <w:rPr>
          <w:rFonts w:ascii="Times New Roman" w:cs="Times New Roman"/>
        </w:rPr>
        <w:t>分测定结果显示，蛇泡筋根的总灰分范围为</w:t>
      </w:r>
      <w:r>
        <w:rPr>
          <w:rFonts w:hint="eastAsia" w:ascii="Times New Roman" w:hAnsi="Times New Roman" w:cs="Times New Roman"/>
        </w:rPr>
        <w:t>2.48</w:t>
      </w:r>
      <w:r>
        <w:rPr>
          <w:rFonts w:ascii="Times New Roman" w:hAnsi="Times New Roman" w:cs="Times New Roman"/>
        </w:rPr>
        <w:t>%~</w:t>
      </w:r>
      <w:r>
        <w:rPr>
          <w:rFonts w:hint="eastAsia" w:ascii="Times New Roman" w:hAnsi="Times New Roman" w:cs="Times New Roman"/>
        </w:rPr>
        <w:t>4.15</w:t>
      </w:r>
      <w:r>
        <w:rPr>
          <w:rFonts w:ascii="Times New Roman" w:hAnsi="Times New Roman" w:cs="Times New Roman"/>
        </w:rPr>
        <w:t>%</w:t>
      </w:r>
      <w:r>
        <w:rPr>
          <w:rFonts w:ascii="Times New Roman" w:cs="Times New Roman"/>
        </w:rPr>
        <w:t>。</w:t>
      </w:r>
      <w:r>
        <w:rPr>
          <w:rFonts w:hint="eastAsia" w:ascii="Times New Roman" w:cs="Times New Roman"/>
        </w:rPr>
        <w:t>平均总灰分含量3.50%。</w:t>
      </w:r>
      <w:r>
        <w:rPr>
          <w:rFonts w:ascii="Times New Roman" w:cs="Times New Roman"/>
        </w:rPr>
        <w:t>根据以上测定结果，并参照一般根类药材的总灰分限度，故暂规定，本品按《中国药典》通则</w:t>
      </w:r>
      <w:r>
        <w:rPr>
          <w:rFonts w:ascii="Times New Roman" w:hAnsi="Times New Roman" w:cs="Times New Roman"/>
        </w:rPr>
        <w:t>2302</w:t>
      </w:r>
      <w:r>
        <w:rPr>
          <w:rFonts w:ascii="Times New Roman" w:cs="Times New Roman"/>
        </w:rPr>
        <w:t>进行测定，总灰分含量不得过</w:t>
      </w:r>
      <w:r>
        <w:rPr>
          <w:rFonts w:hint="eastAsia" w:ascii="Times New Roman" w:hAnsi="Times New Roman" w:cs="Times New Roman"/>
        </w:rPr>
        <w:t>5</w:t>
      </w:r>
      <w:r>
        <w:rPr>
          <w:rFonts w:ascii="Times New Roman" w:hAnsi="Times New Roman" w:cs="Times New Roman"/>
        </w:rPr>
        <w:t>.0%</w:t>
      </w:r>
      <w:r>
        <w:rPr>
          <w:rFonts w:ascii="Times New Roman" w:cs="Times New Roman"/>
        </w:rPr>
        <w:t>。</w:t>
      </w:r>
    </w:p>
    <w:p>
      <w:pPr>
        <w:spacing w:line="360" w:lineRule="auto"/>
        <w:rPr>
          <w:rFonts w:ascii="Times New Roman" w:cs="Times New Roman"/>
        </w:rPr>
      </w:pPr>
      <w:r>
        <w:rPr>
          <w:rFonts w:hint="eastAsia" w:ascii="Times New Roman" w:cs="Times New Roman"/>
        </w:rPr>
        <w:t xml:space="preserve">10. </w:t>
      </w:r>
      <w:r>
        <w:rPr>
          <w:rFonts w:ascii="Times New Roman" w:cs="Times New Roman"/>
        </w:rPr>
        <w:t>浸出物的检查标准</w:t>
      </w:r>
      <w:r>
        <w:rPr>
          <w:rFonts w:hint="eastAsia" w:ascii="Times New Roman" w:cs="Times New Roman"/>
        </w:rPr>
        <w:t>:</w:t>
      </w:r>
    </w:p>
    <w:p>
      <w:pPr>
        <w:spacing w:line="360" w:lineRule="auto"/>
        <w:rPr>
          <w:rFonts w:ascii="Times New Roman" w:cs="Times New Roman"/>
        </w:rPr>
      </w:pPr>
      <w:r>
        <w:rPr>
          <w:rFonts w:hint="eastAsia" w:ascii="Times New Roman" w:cs="Times New Roman"/>
        </w:rPr>
        <w:t>10.1水溶性浸出物检查</w:t>
      </w:r>
    </w:p>
    <w:p>
      <w:pPr>
        <w:spacing w:line="360" w:lineRule="auto"/>
        <w:ind w:firstLine="480" w:firstLineChars="200"/>
        <w:rPr>
          <w:rFonts w:ascii="Times New Roman" w:hAnsi="Times New Roman" w:cs="Times New Roman"/>
        </w:rPr>
      </w:pPr>
      <w:r>
        <w:rPr>
          <w:rFonts w:ascii="Times New Roman" w:cs="Times New Roman"/>
        </w:rPr>
        <w:t>按《中国药典》水溶性浸出物（四部通则</w:t>
      </w:r>
      <w:r>
        <w:rPr>
          <w:rFonts w:ascii="Times New Roman" w:hAnsi="Times New Roman" w:cs="Times New Roman"/>
        </w:rPr>
        <w:t>2201</w:t>
      </w:r>
      <w:r>
        <w:rPr>
          <w:rFonts w:ascii="Times New Roman" w:cs="Times New Roman"/>
        </w:rPr>
        <w:t>）项下热浸法测定。</w:t>
      </w:r>
    </w:p>
    <w:p>
      <w:pPr>
        <w:spacing w:line="360" w:lineRule="auto"/>
        <w:ind w:firstLine="480" w:firstLineChars="200"/>
        <w:rPr>
          <w:rFonts w:ascii="Times New Roman" w:hAnsi="Times New Roman" w:cs="Times New Roman"/>
        </w:rPr>
      </w:pPr>
      <w:r>
        <w:rPr>
          <w:rFonts w:ascii="Times New Roman" w:hAnsi="Times New Roman" w:cs="Times New Roman"/>
        </w:rPr>
        <w:t>分别取不同批次的蛇泡筋根细粉（过二号筛）约2ｇ，精密称定，置250ｍl锥形瓶中，精密加入水100ml，密塞，称定重量，静置１小时后，连接回流冷凝管，加热至沸腾，并保持微沸１小时。放冷后，取下锥形瓶，密塞，再称定重量，用水补足减失的重量，摇匀，滤过，精密量取续滤液25ml，置己干燥至恒重的蒸发皿中，在105℃干燥3小时，置干燥器中室温放置30分钟，迅速精密称定重量，计算浸出物的含量，毎批平行测定</w:t>
      </w:r>
      <w:r>
        <w:rPr>
          <w:rFonts w:hint="eastAsia" w:ascii="Times New Roman" w:hAnsi="Times New Roman" w:cs="Times New Roman"/>
        </w:rPr>
        <w:t>2</w:t>
      </w:r>
      <w:r>
        <w:rPr>
          <w:rFonts w:ascii="Times New Roman" w:hAnsi="Times New Roman" w:cs="Times New Roman"/>
        </w:rPr>
        <w:t>份，结果见表4。</w:t>
      </w:r>
    </w:p>
    <w:p>
      <w:pPr>
        <w:spacing w:line="360" w:lineRule="auto"/>
        <w:jc w:val="center"/>
        <w:rPr>
          <w:rFonts w:ascii="Times New Roman" w:hAnsi="Times New Roman" w:cs="Times New Roman"/>
          <w:sz w:val="21"/>
          <w:szCs w:val="21"/>
        </w:rPr>
      </w:pPr>
      <w:r>
        <w:rPr>
          <w:rFonts w:ascii="Times New Roman" w:cs="Times New Roman"/>
          <w:sz w:val="21"/>
          <w:szCs w:val="21"/>
        </w:rPr>
        <w:t>表</w:t>
      </w:r>
      <w:r>
        <w:rPr>
          <w:rFonts w:ascii="Times New Roman" w:hAnsi="Times New Roman" w:cs="Times New Roman"/>
          <w:sz w:val="21"/>
          <w:szCs w:val="21"/>
        </w:rPr>
        <w:t xml:space="preserve">4  </w:t>
      </w:r>
      <w:r>
        <w:rPr>
          <w:rFonts w:ascii="Times New Roman" w:cs="Times New Roman"/>
          <w:sz w:val="21"/>
          <w:szCs w:val="21"/>
        </w:rPr>
        <w:t>不同批次蛇泡筋根</w:t>
      </w:r>
      <w:r>
        <w:rPr>
          <w:rFonts w:hint="eastAsia" w:ascii="Times New Roman" w:cs="Times New Roman"/>
          <w:sz w:val="21"/>
          <w:szCs w:val="21"/>
        </w:rPr>
        <w:t>浸出物</w:t>
      </w:r>
      <w:r>
        <w:rPr>
          <w:rFonts w:ascii="Times New Roman" w:cs="Times New Roman"/>
          <w:sz w:val="21"/>
          <w:szCs w:val="21"/>
        </w:rPr>
        <w:t>的测定结果</w:t>
      </w:r>
    </w:p>
    <w:tbl>
      <w:tblPr>
        <w:tblStyle w:val="9"/>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9"/>
        <w:gridCol w:w="1121"/>
        <w:gridCol w:w="992"/>
        <w:gridCol w:w="1559"/>
        <w:gridCol w:w="1560"/>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exact"/>
        </w:trPr>
        <w:tc>
          <w:tcPr>
            <w:tcW w:w="1539"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No</w:t>
            </w:r>
          </w:p>
        </w:tc>
        <w:tc>
          <w:tcPr>
            <w:tcW w:w="1121" w:type="dxa"/>
            <w:vAlign w:val="center"/>
          </w:tcPr>
          <w:p>
            <w:pPr>
              <w:spacing w:line="360" w:lineRule="auto"/>
              <w:jc w:val="center"/>
              <w:rPr>
                <w:rFonts w:ascii="Times New Roman" w:hAnsi="Times New Roman" w:cs="Times New Roman"/>
                <w:sz w:val="21"/>
                <w:szCs w:val="21"/>
              </w:rPr>
            </w:pPr>
            <w:r>
              <w:rPr>
                <w:rFonts w:ascii="Times New Roman" w:cs="Times New Roman"/>
                <w:sz w:val="21"/>
                <w:szCs w:val="21"/>
              </w:rPr>
              <w:t>称量量</w:t>
            </w:r>
            <w:r>
              <w:rPr>
                <w:rFonts w:ascii="Times New Roman" w:hAnsi="Times New Roman" w:cs="Times New Roman"/>
                <w:sz w:val="21"/>
                <w:szCs w:val="21"/>
              </w:rPr>
              <w:t>g</w:t>
            </w:r>
          </w:p>
        </w:tc>
        <w:tc>
          <w:tcPr>
            <w:tcW w:w="992" w:type="dxa"/>
            <w:vAlign w:val="center"/>
          </w:tcPr>
          <w:p>
            <w:pPr>
              <w:jc w:val="center"/>
              <w:rPr>
                <w:rFonts w:ascii="Times New Roman" w:hAnsi="Times New Roman" w:cs="Times New Roman"/>
                <w:sz w:val="21"/>
                <w:szCs w:val="21"/>
              </w:rPr>
            </w:pPr>
            <w:r>
              <w:rPr>
                <w:rFonts w:ascii="Times New Roman" w:cs="Times New Roman"/>
                <w:sz w:val="21"/>
                <w:szCs w:val="21"/>
              </w:rPr>
              <w:t>水分含量</w:t>
            </w:r>
            <w:r>
              <w:rPr>
                <w:rFonts w:ascii="Times New Roman" w:hAnsi="Times New Roman" w:cs="Times New Roman"/>
                <w:sz w:val="21"/>
                <w:szCs w:val="21"/>
              </w:rPr>
              <w:t>%</w:t>
            </w:r>
          </w:p>
        </w:tc>
        <w:tc>
          <w:tcPr>
            <w:tcW w:w="1559" w:type="dxa"/>
          </w:tcPr>
          <w:p>
            <w:pPr>
              <w:spacing w:line="360" w:lineRule="auto"/>
              <w:jc w:val="center"/>
              <w:rPr>
                <w:rFonts w:ascii="Times New Roman" w:hAnsi="Times New Roman" w:cs="Times New Roman"/>
                <w:sz w:val="21"/>
                <w:szCs w:val="21"/>
              </w:rPr>
            </w:pPr>
            <w:r>
              <w:rPr>
                <w:rFonts w:ascii="Times New Roman" w:cs="Times New Roman"/>
                <w:sz w:val="21"/>
                <w:szCs w:val="21"/>
              </w:rPr>
              <w:t>浸出物的量</w:t>
            </w:r>
            <w:r>
              <w:rPr>
                <w:rFonts w:ascii="Times New Roman" w:hAnsi="Times New Roman" w:cs="Times New Roman"/>
                <w:sz w:val="21"/>
                <w:szCs w:val="21"/>
              </w:rPr>
              <w:t>g</w:t>
            </w:r>
          </w:p>
        </w:tc>
        <w:tc>
          <w:tcPr>
            <w:tcW w:w="1560" w:type="dxa"/>
          </w:tcPr>
          <w:p>
            <w:pPr>
              <w:jc w:val="center"/>
              <w:rPr>
                <w:rFonts w:ascii="Times New Roman" w:hAnsi="Times New Roman" w:cs="Times New Roman"/>
                <w:sz w:val="21"/>
                <w:szCs w:val="21"/>
              </w:rPr>
            </w:pPr>
            <w:r>
              <w:rPr>
                <w:rFonts w:ascii="Times New Roman" w:cs="Times New Roman"/>
                <w:sz w:val="21"/>
                <w:szCs w:val="21"/>
              </w:rPr>
              <w:t>按干燥品计算浸出物的量</w:t>
            </w:r>
            <w:r>
              <w:rPr>
                <w:rFonts w:hint="eastAsia" w:ascii="Times New Roman" w:cs="Times New Roman"/>
                <w:sz w:val="21"/>
                <w:szCs w:val="21"/>
              </w:rPr>
              <w:t>%</w:t>
            </w:r>
          </w:p>
        </w:tc>
        <w:tc>
          <w:tcPr>
            <w:tcW w:w="1559" w:type="dxa"/>
            <w:vAlign w:val="center"/>
          </w:tcPr>
          <w:p>
            <w:pPr>
              <w:spacing w:line="360" w:lineRule="auto"/>
              <w:jc w:val="center"/>
              <w:rPr>
                <w:rFonts w:ascii="Times New Roman" w:hAnsi="Times New Roman" w:cs="Times New Roman"/>
                <w:sz w:val="21"/>
                <w:szCs w:val="21"/>
              </w:rPr>
            </w:pPr>
            <w:r>
              <w:rPr>
                <w:rFonts w:ascii="Times New Roman" w:cs="Times New Roman"/>
                <w:sz w:val="21"/>
                <w:szCs w:val="21"/>
              </w:rPr>
              <w:t>平均值</w:t>
            </w:r>
            <w:r>
              <w:rPr>
                <w:rFonts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2.0067</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4.94</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0.2828</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14.83%</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2.0053</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0.2768</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14.52%</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2.0023</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3.46</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0.228</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11.80%</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2.0019</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0.2304</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11.92%</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2.0015</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3.12</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0.2172</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11.20%</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2.0027</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0.2236</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11.52%</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2.0019</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0.2324</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12.05%</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2.0084</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0.2296</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11.87%</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2.0059</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0.2412</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12.48%</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2.0052</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0.2340</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12.12%</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2.0053</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3.01</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0.2304</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11.85%</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2.0060</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0.2276</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11.70%</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2.0061</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3.28</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0.2872</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14.80%</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2.0070</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0.2840</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14.63%</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2.0084</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0.2332</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12.05%</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2.0079</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0.2360</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12.20%</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2.0016</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6.57</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0.2604</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13.92%</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2.0023</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0.2780</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14.86%</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2.0072</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3.82</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0.2860</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14.81%</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2.0068</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0.2872</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14.88%</w:t>
            </w:r>
          </w:p>
        </w:tc>
        <w:tc>
          <w:tcPr>
            <w:tcW w:w="1559" w:type="dxa"/>
            <w:vMerge w:val="continue"/>
            <w:vAlign w:val="center"/>
          </w:tcPr>
          <w:p>
            <w:pPr>
              <w:spacing w:line="360" w:lineRule="auto"/>
              <w:jc w:val="center"/>
              <w:rPr>
                <w:rFonts w:ascii="Times New Roman" w:hAnsi="Times New Roman" w:cs="Times New Roman"/>
                <w:szCs w:val="21"/>
              </w:rPr>
            </w:pPr>
          </w:p>
        </w:tc>
      </w:tr>
    </w:tbl>
    <w:p>
      <w:pPr>
        <w:spacing w:line="360" w:lineRule="auto"/>
        <w:ind w:firstLine="480" w:firstLineChars="200"/>
        <w:rPr>
          <w:rFonts w:ascii="Times New Roman" w:hAnsi="Times New Roman" w:cs="Times New Roman"/>
        </w:rPr>
      </w:pPr>
      <w:r>
        <w:rPr>
          <w:rFonts w:ascii="Times New Roman" w:cs="Times New Roman"/>
        </w:rPr>
        <w:t>以上</w:t>
      </w:r>
      <w:r>
        <w:rPr>
          <w:rFonts w:ascii="Times New Roman" w:hAnsi="Times New Roman" w:cs="Times New Roman"/>
        </w:rPr>
        <w:t>1</w:t>
      </w:r>
      <w:r>
        <w:rPr>
          <w:rFonts w:hint="eastAsia" w:ascii="Times New Roman" w:hAnsi="Times New Roman" w:cs="Times New Roman"/>
        </w:rPr>
        <w:t>0</w:t>
      </w:r>
      <w:r>
        <w:rPr>
          <w:rFonts w:ascii="Times New Roman" w:cs="Times New Roman"/>
        </w:rPr>
        <w:t>批</w:t>
      </w:r>
      <w:r>
        <w:rPr>
          <w:rFonts w:hint="eastAsia" w:ascii="Times New Roman" w:cs="Times New Roman"/>
        </w:rPr>
        <w:t>浸出物</w:t>
      </w:r>
      <w:r>
        <w:rPr>
          <w:rFonts w:ascii="Times New Roman" w:cs="Times New Roman"/>
        </w:rPr>
        <w:t>测定结果显示，蛇泡筋根的水</w:t>
      </w:r>
      <w:r>
        <w:rPr>
          <w:rFonts w:hint="eastAsia" w:ascii="Times New Roman" w:cs="Times New Roman"/>
        </w:rPr>
        <w:t>性浸出物（按干燥品计）的</w:t>
      </w:r>
      <w:r>
        <w:rPr>
          <w:rFonts w:ascii="Times New Roman" w:cs="Times New Roman"/>
        </w:rPr>
        <w:t>范围为</w:t>
      </w:r>
      <w:r>
        <w:rPr>
          <w:rFonts w:hint="eastAsia" w:ascii="Times New Roman" w:hAnsi="Times New Roman" w:cs="Times New Roman"/>
        </w:rPr>
        <w:t>11.36</w:t>
      </w:r>
      <w:r>
        <w:rPr>
          <w:rFonts w:ascii="Times New Roman" w:hAnsi="Times New Roman" w:cs="Times New Roman"/>
        </w:rPr>
        <w:t>%~</w:t>
      </w:r>
      <w:r>
        <w:rPr>
          <w:rFonts w:hint="eastAsia" w:ascii="Times New Roman" w:hAnsi="Times New Roman" w:cs="Times New Roman"/>
        </w:rPr>
        <w:t>14.85</w:t>
      </w:r>
      <w:r>
        <w:rPr>
          <w:rFonts w:ascii="Times New Roman" w:hAnsi="Times New Roman" w:cs="Times New Roman"/>
        </w:rPr>
        <w:t>%</w:t>
      </w:r>
      <w:r>
        <w:rPr>
          <w:rFonts w:ascii="Times New Roman" w:cs="Times New Roman"/>
        </w:rPr>
        <w:t>。</w:t>
      </w:r>
      <w:r>
        <w:rPr>
          <w:rFonts w:hint="eastAsia" w:ascii="Times New Roman" w:cs="Times New Roman"/>
        </w:rPr>
        <w:t>平均浸出物为13.0%。</w:t>
      </w:r>
      <w:r>
        <w:rPr>
          <w:rFonts w:ascii="Times New Roman" w:cs="Times New Roman"/>
        </w:rPr>
        <w:t>根据以上测定结果，</w:t>
      </w:r>
      <w:r>
        <w:rPr>
          <w:rFonts w:hint="eastAsia" w:ascii="Times New Roman" w:cs="Times New Roman"/>
        </w:rPr>
        <w:t>考虑到实际生产的需要，取平均值的80%做为浸出物限度，</w:t>
      </w:r>
      <w:r>
        <w:rPr>
          <w:rFonts w:ascii="Times New Roman" w:cs="Times New Roman"/>
        </w:rPr>
        <w:t>故暂规定，本品按《中国药典》水性浸出物（通则</w:t>
      </w:r>
      <w:r>
        <w:rPr>
          <w:rFonts w:ascii="Times New Roman" w:hAnsi="Times New Roman" w:cs="Times New Roman"/>
        </w:rPr>
        <w:t>2201</w:t>
      </w:r>
      <w:r>
        <w:rPr>
          <w:rFonts w:ascii="Times New Roman" w:cs="Times New Roman"/>
        </w:rPr>
        <w:t>）</w:t>
      </w:r>
      <w:r>
        <w:rPr>
          <w:rFonts w:hint="eastAsia" w:ascii="Times New Roman" w:cs="Times New Roman"/>
        </w:rPr>
        <w:t>项下热浸法测定</w:t>
      </w:r>
      <w:r>
        <w:rPr>
          <w:rFonts w:ascii="Times New Roman" w:cs="Times New Roman"/>
        </w:rPr>
        <w:t>，</w:t>
      </w:r>
      <w:r>
        <w:rPr>
          <w:rFonts w:hint="eastAsia" w:ascii="Times New Roman" w:cs="Times New Roman"/>
        </w:rPr>
        <w:t>以水作溶剂，</w:t>
      </w:r>
      <w:r>
        <w:rPr>
          <w:rFonts w:ascii="Times New Roman" w:cs="Times New Roman"/>
        </w:rPr>
        <w:t>不得</w:t>
      </w:r>
      <w:r>
        <w:rPr>
          <w:rFonts w:hint="eastAsia" w:ascii="Times New Roman" w:cs="Times New Roman"/>
        </w:rPr>
        <w:t>少于10.0</w:t>
      </w:r>
      <w:r>
        <w:rPr>
          <w:rFonts w:ascii="Times New Roman" w:hAnsi="Times New Roman" w:cs="Times New Roman"/>
        </w:rPr>
        <w:t>%</w:t>
      </w:r>
      <w:r>
        <w:rPr>
          <w:rFonts w:ascii="Times New Roman" w:cs="Times New Roman"/>
        </w:rPr>
        <w:t>。</w:t>
      </w:r>
    </w:p>
    <w:p>
      <w:pPr>
        <w:spacing w:line="360" w:lineRule="auto"/>
        <w:ind w:firstLine="480" w:firstLineChars="200"/>
        <w:rPr>
          <w:rFonts w:ascii="Times New Roman" w:hAnsi="Times New Roman" w:cs="Times New Roman"/>
        </w:rPr>
      </w:pPr>
    </w:p>
    <w:p>
      <w:pPr>
        <w:spacing w:line="360" w:lineRule="auto"/>
        <w:rPr>
          <w:rFonts w:ascii="Times New Roman" w:hAnsi="Times New Roman" w:cs="Times New Roman"/>
        </w:rPr>
      </w:pPr>
      <w:r>
        <w:rPr>
          <w:rFonts w:hint="eastAsia" w:ascii="Times New Roman" w:cs="Times New Roman"/>
        </w:rPr>
        <w:t>10.2醇溶性浸出物检查</w:t>
      </w:r>
    </w:p>
    <w:p>
      <w:pPr>
        <w:spacing w:line="360" w:lineRule="auto"/>
        <w:ind w:firstLine="480" w:firstLineChars="200"/>
        <w:rPr>
          <w:rFonts w:ascii="Times New Roman" w:hAnsi="Times New Roman" w:cs="Times New Roman"/>
        </w:rPr>
      </w:pPr>
      <w:r>
        <w:rPr>
          <w:rFonts w:ascii="Times New Roman" w:cs="Times New Roman"/>
        </w:rPr>
        <w:t>按《中国药典》醇溶性浸出物（四部通则</w:t>
      </w:r>
      <w:r>
        <w:rPr>
          <w:rFonts w:ascii="Times New Roman" w:hAnsi="Times New Roman" w:cs="Times New Roman"/>
        </w:rPr>
        <w:t>2201</w:t>
      </w:r>
      <w:r>
        <w:rPr>
          <w:rFonts w:ascii="Times New Roman" w:cs="Times New Roman"/>
        </w:rPr>
        <w:t>）项下热浸法测定。</w:t>
      </w:r>
    </w:p>
    <w:p>
      <w:pPr>
        <w:spacing w:line="360" w:lineRule="auto"/>
        <w:ind w:firstLine="480" w:firstLineChars="200"/>
        <w:rPr>
          <w:rFonts w:ascii="Times New Roman" w:hAnsi="Times New Roman" w:cs="Times New Roman"/>
        </w:rPr>
      </w:pPr>
      <w:r>
        <w:rPr>
          <w:rFonts w:ascii="Times New Roman" w:hAnsi="Times New Roman" w:cs="Times New Roman"/>
        </w:rPr>
        <w:t>分别取不同批次的蛇泡筋根细粉（过二号筛）约2ｇ，精密称定，置250ｍl锥形瓶中，精密加入95%乙醇100ml，密塞，称定重量，静置１小时后，连接回流冷凝管，加热至沸腾，并保持微沸１小时。放冷后，取下锥形瓶，密塞，再称定重量，用95%乙醇补足减失的重量，摇匀，滤过，精密量取续滤液25ml，置己干燥至恒重的蒸发皿中，在105℃干燥3小时，置干燥器中室温放置30分钟，迅速精密称定重量，计算浸出物的含量，毎批平行测定</w:t>
      </w:r>
      <w:r>
        <w:rPr>
          <w:rFonts w:hint="eastAsia" w:ascii="Times New Roman" w:hAnsi="Times New Roman" w:cs="Times New Roman"/>
        </w:rPr>
        <w:t>2</w:t>
      </w:r>
      <w:r>
        <w:rPr>
          <w:rFonts w:ascii="Times New Roman" w:hAnsi="Times New Roman" w:cs="Times New Roman"/>
        </w:rPr>
        <w:t>份，结果见表</w:t>
      </w:r>
      <w:r>
        <w:rPr>
          <w:rFonts w:hint="eastAsia" w:ascii="Times New Roman" w:hAnsi="Times New Roman" w:cs="Times New Roman"/>
        </w:rPr>
        <w:t>5</w:t>
      </w:r>
      <w:r>
        <w:rPr>
          <w:rFonts w:ascii="Times New Roman" w:hAnsi="Times New Roman" w:cs="Times New Roman"/>
        </w:rPr>
        <w:t>。</w:t>
      </w:r>
    </w:p>
    <w:p>
      <w:pPr>
        <w:spacing w:line="360" w:lineRule="auto"/>
        <w:jc w:val="center"/>
        <w:rPr>
          <w:rFonts w:ascii="Times New Roman" w:hAnsi="Times New Roman" w:cs="Times New Roman"/>
          <w:sz w:val="21"/>
          <w:szCs w:val="21"/>
        </w:rPr>
      </w:pPr>
      <w:r>
        <w:rPr>
          <w:rFonts w:ascii="Times New Roman" w:cs="Times New Roman"/>
          <w:sz w:val="21"/>
          <w:szCs w:val="21"/>
        </w:rPr>
        <w:t>表</w:t>
      </w:r>
      <w:r>
        <w:rPr>
          <w:rFonts w:hint="eastAsia" w:ascii="Times New Roman" w:hAnsi="Times New Roman" w:cs="Times New Roman"/>
          <w:sz w:val="21"/>
          <w:szCs w:val="21"/>
        </w:rPr>
        <w:t>5</w:t>
      </w:r>
      <w:r>
        <w:rPr>
          <w:rFonts w:ascii="Times New Roman" w:cs="Times New Roman"/>
          <w:sz w:val="21"/>
          <w:szCs w:val="21"/>
        </w:rPr>
        <w:t>不同批次蛇泡筋根</w:t>
      </w:r>
      <w:r>
        <w:rPr>
          <w:rFonts w:hint="eastAsia" w:ascii="Times New Roman" w:cs="Times New Roman"/>
          <w:sz w:val="21"/>
          <w:szCs w:val="21"/>
        </w:rPr>
        <w:t>浸出物</w:t>
      </w:r>
      <w:r>
        <w:rPr>
          <w:rFonts w:ascii="Times New Roman" w:cs="Times New Roman"/>
          <w:sz w:val="21"/>
          <w:szCs w:val="21"/>
        </w:rPr>
        <w:t>的测定结果</w:t>
      </w:r>
    </w:p>
    <w:tbl>
      <w:tblPr>
        <w:tblStyle w:val="9"/>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9"/>
        <w:gridCol w:w="1121"/>
        <w:gridCol w:w="992"/>
        <w:gridCol w:w="1559"/>
        <w:gridCol w:w="1560"/>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exact"/>
        </w:trPr>
        <w:tc>
          <w:tcPr>
            <w:tcW w:w="1539"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No</w:t>
            </w:r>
          </w:p>
        </w:tc>
        <w:tc>
          <w:tcPr>
            <w:tcW w:w="1121" w:type="dxa"/>
            <w:vAlign w:val="center"/>
          </w:tcPr>
          <w:p>
            <w:pPr>
              <w:spacing w:line="360" w:lineRule="auto"/>
              <w:jc w:val="center"/>
              <w:rPr>
                <w:rFonts w:ascii="Times New Roman" w:hAnsi="Times New Roman" w:cs="Times New Roman"/>
                <w:sz w:val="21"/>
                <w:szCs w:val="21"/>
              </w:rPr>
            </w:pPr>
            <w:r>
              <w:rPr>
                <w:rFonts w:ascii="Times New Roman" w:cs="Times New Roman"/>
                <w:sz w:val="21"/>
                <w:szCs w:val="21"/>
              </w:rPr>
              <w:t>称量量</w:t>
            </w:r>
            <w:r>
              <w:rPr>
                <w:rFonts w:ascii="Times New Roman" w:hAnsi="Times New Roman" w:cs="Times New Roman"/>
                <w:sz w:val="21"/>
                <w:szCs w:val="21"/>
              </w:rPr>
              <w:t>g</w:t>
            </w:r>
          </w:p>
        </w:tc>
        <w:tc>
          <w:tcPr>
            <w:tcW w:w="992" w:type="dxa"/>
            <w:vAlign w:val="center"/>
          </w:tcPr>
          <w:p>
            <w:pPr>
              <w:jc w:val="center"/>
              <w:rPr>
                <w:rFonts w:ascii="Times New Roman" w:hAnsi="Times New Roman" w:cs="Times New Roman"/>
                <w:sz w:val="21"/>
                <w:szCs w:val="21"/>
              </w:rPr>
            </w:pPr>
            <w:r>
              <w:rPr>
                <w:rFonts w:ascii="Times New Roman" w:cs="Times New Roman"/>
                <w:sz w:val="21"/>
                <w:szCs w:val="21"/>
              </w:rPr>
              <w:t>水分含量</w:t>
            </w:r>
            <w:r>
              <w:rPr>
                <w:rFonts w:ascii="Times New Roman" w:hAnsi="Times New Roman" w:cs="Times New Roman"/>
                <w:sz w:val="21"/>
                <w:szCs w:val="21"/>
              </w:rPr>
              <w:t>%</w:t>
            </w:r>
          </w:p>
        </w:tc>
        <w:tc>
          <w:tcPr>
            <w:tcW w:w="1559" w:type="dxa"/>
          </w:tcPr>
          <w:p>
            <w:pPr>
              <w:spacing w:line="360" w:lineRule="auto"/>
              <w:jc w:val="center"/>
              <w:rPr>
                <w:rFonts w:ascii="Times New Roman" w:hAnsi="Times New Roman" w:cs="Times New Roman"/>
                <w:sz w:val="21"/>
                <w:szCs w:val="21"/>
              </w:rPr>
            </w:pPr>
            <w:r>
              <w:rPr>
                <w:rFonts w:ascii="Times New Roman" w:cs="Times New Roman"/>
                <w:sz w:val="21"/>
                <w:szCs w:val="21"/>
              </w:rPr>
              <w:t>浸出物的量</w:t>
            </w:r>
            <w:r>
              <w:rPr>
                <w:rFonts w:ascii="Times New Roman" w:hAnsi="Times New Roman" w:cs="Times New Roman"/>
                <w:sz w:val="21"/>
                <w:szCs w:val="21"/>
              </w:rPr>
              <w:t>g</w:t>
            </w:r>
          </w:p>
        </w:tc>
        <w:tc>
          <w:tcPr>
            <w:tcW w:w="1560" w:type="dxa"/>
          </w:tcPr>
          <w:p>
            <w:pPr>
              <w:jc w:val="center"/>
              <w:rPr>
                <w:rFonts w:ascii="Times New Roman" w:hAnsi="Times New Roman" w:cs="Times New Roman"/>
                <w:sz w:val="21"/>
                <w:szCs w:val="21"/>
              </w:rPr>
            </w:pPr>
            <w:r>
              <w:rPr>
                <w:rFonts w:ascii="Times New Roman" w:cs="Times New Roman"/>
                <w:sz w:val="21"/>
                <w:szCs w:val="21"/>
              </w:rPr>
              <w:t>按干燥品计算浸出物的量</w:t>
            </w:r>
            <w:r>
              <w:rPr>
                <w:rFonts w:hint="eastAsia" w:ascii="Times New Roman" w:cs="Times New Roman"/>
                <w:sz w:val="21"/>
                <w:szCs w:val="21"/>
              </w:rPr>
              <w:t>%</w:t>
            </w:r>
          </w:p>
        </w:tc>
        <w:tc>
          <w:tcPr>
            <w:tcW w:w="1559" w:type="dxa"/>
            <w:vAlign w:val="center"/>
          </w:tcPr>
          <w:p>
            <w:pPr>
              <w:spacing w:line="360" w:lineRule="auto"/>
              <w:jc w:val="center"/>
              <w:rPr>
                <w:rFonts w:ascii="Times New Roman" w:hAnsi="Times New Roman" w:cs="Times New Roman"/>
                <w:sz w:val="21"/>
                <w:szCs w:val="21"/>
              </w:rPr>
            </w:pPr>
            <w:r>
              <w:rPr>
                <w:rFonts w:ascii="Times New Roman" w:cs="Times New Roman"/>
                <w:sz w:val="21"/>
                <w:szCs w:val="21"/>
              </w:rPr>
              <w:t>平均值</w:t>
            </w:r>
            <w:r>
              <w:rPr>
                <w:rFonts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2.0043</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4.94</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0.0834</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17.51%</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2201001-2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2.0038</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0.0815</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17.11%</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2.0181</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3.46</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0.0772</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15.85%</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2.0179</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0.0773</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15.87%</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2.0116</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3.12</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0.0687</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14.10%</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2.0098</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0.0727</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14.94%</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2.0112</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0.0757</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15.63%</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2.0110</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0.0738</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15.24%</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2.0129</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0.0777</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16.03%</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2.0117</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0.0757</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15.63%</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2.0186</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3.01</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0.0703</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14.36%</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2.0153</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0.0710</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14.53%</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2.0165</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3.28</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0.0711</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15.05%</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2.0137</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0.0739</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15.66%</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2.0058</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3.68</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0.0723</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14.97%</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2.0049</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0.0702</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14.54%</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2.0186</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6.57</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0.0769</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16.31%</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2.0137</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0.0712</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15.14%</w:t>
            </w:r>
          </w:p>
        </w:tc>
        <w:tc>
          <w:tcPr>
            <w:tcW w:w="1559" w:type="dxa"/>
            <w:vMerge w:val="continue"/>
            <w:vAlign w:val="center"/>
          </w:tcPr>
          <w:p>
            <w:pPr>
              <w:spacing w:line="360" w:lineRule="auto"/>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2201010-1</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2.0020</w:t>
            </w:r>
          </w:p>
        </w:tc>
        <w:tc>
          <w:tcPr>
            <w:tcW w:w="99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3.82</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0.0795</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16.51%</w:t>
            </w:r>
          </w:p>
        </w:tc>
        <w:tc>
          <w:tcPr>
            <w:tcW w:w="155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539" w:type="dxa"/>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2201010-2</w:t>
            </w:r>
          </w:p>
        </w:tc>
        <w:tc>
          <w:tcPr>
            <w:tcW w:w="1121"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2.0097</w:t>
            </w:r>
          </w:p>
        </w:tc>
        <w:tc>
          <w:tcPr>
            <w:tcW w:w="992" w:type="dxa"/>
            <w:vMerge w:val="continue"/>
            <w:vAlign w:val="center"/>
          </w:tcPr>
          <w:p>
            <w:pPr>
              <w:spacing w:line="360" w:lineRule="auto"/>
              <w:jc w:val="center"/>
              <w:rPr>
                <w:rFonts w:ascii="Times New Roman" w:hAnsi="Times New Roman" w:cs="Times New Roman"/>
                <w:szCs w:val="21"/>
              </w:rPr>
            </w:pP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0.0780</w:t>
            </w:r>
          </w:p>
        </w:tc>
        <w:tc>
          <w:tcPr>
            <w:tcW w:w="1560"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16.14%</w:t>
            </w:r>
          </w:p>
        </w:tc>
        <w:tc>
          <w:tcPr>
            <w:tcW w:w="1559" w:type="dxa"/>
            <w:vMerge w:val="continue"/>
            <w:vAlign w:val="center"/>
          </w:tcPr>
          <w:p>
            <w:pPr>
              <w:spacing w:line="360" w:lineRule="auto"/>
              <w:jc w:val="center"/>
              <w:rPr>
                <w:rFonts w:ascii="Times New Roman" w:hAnsi="Times New Roman" w:cs="Times New Roman"/>
                <w:szCs w:val="21"/>
              </w:rPr>
            </w:pPr>
          </w:p>
        </w:tc>
      </w:tr>
    </w:tbl>
    <w:p>
      <w:pPr>
        <w:spacing w:line="360" w:lineRule="auto"/>
        <w:ind w:firstLine="480" w:firstLineChars="200"/>
        <w:rPr>
          <w:rFonts w:ascii="Times New Roman" w:cs="Times New Roman"/>
        </w:rPr>
      </w:pPr>
      <w:r>
        <w:rPr>
          <w:rFonts w:ascii="Times New Roman" w:cs="Times New Roman"/>
        </w:rPr>
        <w:t>以上</w:t>
      </w:r>
      <w:r>
        <w:rPr>
          <w:rFonts w:ascii="Times New Roman" w:hAnsi="Times New Roman" w:cs="Times New Roman"/>
        </w:rPr>
        <w:t>1</w:t>
      </w:r>
      <w:r>
        <w:rPr>
          <w:rFonts w:hint="eastAsia" w:ascii="Times New Roman" w:hAnsi="Times New Roman" w:cs="Times New Roman"/>
        </w:rPr>
        <w:t>0</w:t>
      </w:r>
      <w:r>
        <w:rPr>
          <w:rFonts w:ascii="Times New Roman" w:cs="Times New Roman"/>
        </w:rPr>
        <w:t>批</w:t>
      </w:r>
      <w:r>
        <w:rPr>
          <w:rFonts w:hint="eastAsia" w:ascii="Times New Roman" w:cs="Times New Roman"/>
        </w:rPr>
        <w:t>浸出物</w:t>
      </w:r>
      <w:r>
        <w:rPr>
          <w:rFonts w:ascii="Times New Roman" w:cs="Times New Roman"/>
        </w:rPr>
        <w:t>测定结果显示，蛇泡筋根的</w:t>
      </w:r>
      <w:r>
        <w:rPr>
          <w:rFonts w:hint="eastAsia" w:ascii="Times New Roman" w:cs="Times New Roman"/>
        </w:rPr>
        <w:t>醇溶性浸出物（按干燥品计）的</w:t>
      </w:r>
      <w:r>
        <w:rPr>
          <w:rFonts w:ascii="Times New Roman" w:cs="Times New Roman"/>
        </w:rPr>
        <w:t>范围为</w:t>
      </w:r>
      <w:r>
        <w:rPr>
          <w:rFonts w:hint="eastAsia" w:ascii="Times New Roman" w:hAnsi="Times New Roman" w:cs="Times New Roman"/>
        </w:rPr>
        <w:t>14.45</w:t>
      </w:r>
      <w:r>
        <w:rPr>
          <w:rFonts w:ascii="Times New Roman" w:hAnsi="Times New Roman" w:cs="Times New Roman"/>
        </w:rPr>
        <w:t>%~</w:t>
      </w:r>
      <w:r>
        <w:rPr>
          <w:rFonts w:hint="eastAsia" w:ascii="Times New Roman" w:hAnsi="Times New Roman" w:cs="Times New Roman"/>
        </w:rPr>
        <w:t>17.31</w:t>
      </w:r>
      <w:r>
        <w:rPr>
          <w:rFonts w:ascii="Times New Roman" w:hAnsi="Times New Roman" w:cs="Times New Roman"/>
        </w:rPr>
        <w:t>%</w:t>
      </w:r>
      <w:r>
        <w:rPr>
          <w:rFonts w:ascii="Times New Roman" w:cs="Times New Roman"/>
        </w:rPr>
        <w:t>。</w:t>
      </w:r>
      <w:r>
        <w:rPr>
          <w:rFonts w:hint="eastAsia" w:ascii="Times New Roman" w:cs="Times New Roman"/>
        </w:rPr>
        <w:t>平均浸出物为15.56%。</w:t>
      </w:r>
      <w:r>
        <w:rPr>
          <w:rFonts w:ascii="Times New Roman" w:cs="Times New Roman"/>
        </w:rPr>
        <w:t>根据以上测定结果，</w:t>
      </w:r>
      <w:r>
        <w:rPr>
          <w:rFonts w:hint="eastAsia" w:ascii="Times New Roman" w:cs="Times New Roman"/>
        </w:rPr>
        <w:t>考虑到实际生产的需要，取平均值的80%做为浸出物限度，</w:t>
      </w:r>
      <w:r>
        <w:rPr>
          <w:rFonts w:ascii="Times New Roman" w:cs="Times New Roman"/>
        </w:rPr>
        <w:t>故暂规定，本品按《中国药典》醇溶性浸出物（通则</w:t>
      </w:r>
      <w:r>
        <w:rPr>
          <w:rFonts w:ascii="Times New Roman" w:hAnsi="Times New Roman" w:cs="Times New Roman"/>
        </w:rPr>
        <w:t>2201</w:t>
      </w:r>
      <w:r>
        <w:rPr>
          <w:rFonts w:ascii="Times New Roman" w:cs="Times New Roman"/>
        </w:rPr>
        <w:t>）</w:t>
      </w:r>
      <w:r>
        <w:rPr>
          <w:rFonts w:hint="eastAsia" w:ascii="Times New Roman" w:cs="Times New Roman"/>
        </w:rPr>
        <w:t>项下热浸法测定</w:t>
      </w:r>
      <w:r>
        <w:rPr>
          <w:rFonts w:ascii="Times New Roman" w:cs="Times New Roman"/>
        </w:rPr>
        <w:t>，</w:t>
      </w:r>
      <w:r>
        <w:rPr>
          <w:rFonts w:hint="eastAsia" w:ascii="Times New Roman" w:cs="Times New Roman"/>
        </w:rPr>
        <w:t>以乙醇作溶剂，</w:t>
      </w:r>
      <w:r>
        <w:rPr>
          <w:rFonts w:ascii="Times New Roman" w:cs="Times New Roman"/>
        </w:rPr>
        <w:t>不得</w:t>
      </w:r>
      <w:r>
        <w:rPr>
          <w:rFonts w:hint="eastAsia" w:ascii="Times New Roman" w:cs="Times New Roman"/>
        </w:rPr>
        <w:t>少于12.5</w:t>
      </w:r>
      <w:r>
        <w:rPr>
          <w:rFonts w:ascii="Times New Roman" w:hAnsi="Times New Roman" w:cs="Times New Roman"/>
        </w:rPr>
        <w:t>%</w:t>
      </w:r>
      <w:r>
        <w:rPr>
          <w:rFonts w:ascii="Times New Roman" w:cs="Times New Roman"/>
        </w:rPr>
        <w:t>。</w:t>
      </w:r>
      <w:r>
        <w:rPr>
          <w:rFonts w:hint="eastAsia" w:ascii="Times New Roman" w:cs="Times New Roman"/>
        </w:rPr>
        <w:t>水溶性浸出物与醇溶性浸出物相差不大，因此选择水溶性浸出物做为控制标准。</w:t>
      </w:r>
    </w:p>
    <w:p>
      <w:pPr>
        <w:autoSpaceDE w:val="0"/>
        <w:autoSpaceDN w:val="0"/>
        <w:adjustRightInd w:val="0"/>
        <w:spacing w:line="360" w:lineRule="auto"/>
        <w:rPr>
          <w:rFonts w:ascii="Times New Roman" w:hAnsi="Times New Roman" w:cs="Times New Roman"/>
        </w:rPr>
      </w:pPr>
      <w:r>
        <w:rPr>
          <w:rFonts w:hint="eastAsia" w:ascii="Times New Roman" w:cs="Times New Roman"/>
        </w:rPr>
        <w:t xml:space="preserve">11. </w:t>
      </w:r>
      <w:r>
        <w:rPr>
          <w:rFonts w:ascii="Times New Roman" w:cs="Times New Roman"/>
        </w:rPr>
        <w:t>含量测定方法的研究</w:t>
      </w: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 xml:space="preserve">.1 </w:t>
      </w:r>
      <w:r>
        <w:rPr>
          <w:rFonts w:ascii="Times New Roman" w:cs="Times New Roman"/>
        </w:rPr>
        <w:t>色谱条件</w:t>
      </w:r>
    </w:p>
    <w:p>
      <w:pPr>
        <w:spacing w:line="360" w:lineRule="auto"/>
        <w:rPr>
          <w:rFonts w:ascii="Times New Roman" w:hAnsi="Times New Roman" w:cs="Times New Roman"/>
        </w:rPr>
      </w:pPr>
      <w:r>
        <w:rPr>
          <w:rFonts w:hint="eastAsia" w:ascii="Times New Roman" w:hAnsi="Times New Roman" w:cs="Times New Roman"/>
        </w:rPr>
        <w:t>11.1.1流动相条件的优化：参照文献</w:t>
      </w:r>
      <w:r>
        <w:rPr>
          <w:rFonts w:hint="eastAsia" w:ascii="Times New Roman" w:hAnsi="Times New Roman" w:cs="Times New Roman"/>
          <w:vertAlign w:val="superscript"/>
        </w:rPr>
        <w:t>[3]</w:t>
      </w:r>
      <w:r>
        <w:rPr>
          <w:rFonts w:hint="eastAsia" w:ascii="Times New Roman" w:hAnsi="Times New Roman" w:cs="Times New Roman"/>
        </w:rPr>
        <w:t>，取表儿茶素对照品溶液和202201007样品提取液，以</w:t>
      </w:r>
      <w:r>
        <w:rPr>
          <w:rFonts w:ascii="Times New Roman" w:hAnsi="Times New Roman" w:cs="Times New Roman"/>
        </w:rPr>
        <w:t>色谱柱：Hanbonlichrospher C18 250×4.6mm色谱柱；检测波长：280nm；流速：</w:t>
      </w:r>
      <w:r>
        <w:rPr>
          <w:rFonts w:hint="eastAsia" w:ascii="Times New Roman" w:hAnsi="Times New Roman" w:cs="Times New Roman"/>
        </w:rPr>
        <w:t>0.8</w:t>
      </w:r>
      <w:r>
        <w:rPr>
          <w:rFonts w:ascii="Times New Roman" w:hAnsi="Times New Roman" w:cs="Times New Roman"/>
        </w:rPr>
        <w:t>mL/min；柱温：40℃</w:t>
      </w:r>
      <w:r>
        <w:rPr>
          <w:rFonts w:hint="eastAsia" w:ascii="Times New Roman" w:hAnsi="Times New Roman" w:cs="Times New Roman"/>
        </w:rPr>
        <w:t>为基础条件，对流动相条件进行优化</w:t>
      </w:r>
      <w:r>
        <w:rPr>
          <w:rFonts w:ascii="Times New Roman" w:hAnsi="Times New Roman" w:cs="Times New Roman"/>
        </w:rPr>
        <w:t>。</w:t>
      </w:r>
      <w:r>
        <w:rPr>
          <w:rFonts w:hint="eastAsia" w:ascii="Times New Roman" w:hAnsi="Times New Roman" w:cs="Times New Roman"/>
        </w:rPr>
        <w:t>分别对2%乙酸水-乙腈（85:15），2%乙酸水-乙腈（87:13），进行了考察，结果显示2%乙酸水-乙腈（87：13）对表儿茶素的分离效果较好，保留时间短，见图8。</w:t>
      </w:r>
    </w:p>
    <w:p>
      <w:pPr>
        <w:spacing w:line="360" w:lineRule="auto"/>
        <w:ind w:firstLine="480" w:firstLineChars="200"/>
        <w:rPr>
          <w:rFonts w:ascii="Times New Roman" w:hAnsi="Times New Roman" w:cs="Times New Roman"/>
        </w:rPr>
      </w:pPr>
      <w:r>
        <w:rPr>
          <w:rFonts w:hint="eastAsia" w:ascii="Times New Roman" w:hAnsi="Times New Roman" w:cs="Times New Roman"/>
        </w:rPr>
        <w:t>以优化后的的色谱条件（</w:t>
      </w:r>
      <w:r>
        <w:rPr>
          <w:rFonts w:ascii="Times New Roman" w:hAnsi="Times New Roman" w:cs="Times New Roman"/>
        </w:rPr>
        <w:t>Hanbonlichrospher C18 250×4.6mm色谱柱；</w:t>
      </w:r>
      <w:r>
        <w:rPr>
          <w:rFonts w:hint="eastAsia" w:ascii="Times New Roman" w:hAnsi="Times New Roman" w:cs="Times New Roman"/>
        </w:rPr>
        <w:t>流动相为2%乙酸水-乙腈（87:13）</w:t>
      </w:r>
      <w:r>
        <w:rPr>
          <w:rFonts w:ascii="Times New Roman" w:hAnsi="Times New Roman" w:cs="Times New Roman"/>
        </w:rPr>
        <w:t>；</w:t>
      </w:r>
      <w:r>
        <w:rPr>
          <w:rFonts w:hint="eastAsia" w:ascii="Times New Roman" w:hAnsi="Times New Roman" w:cs="Times New Roman"/>
        </w:rPr>
        <w:t>流速0.8ml/min；</w:t>
      </w:r>
      <w:r>
        <w:rPr>
          <w:rFonts w:ascii="Times New Roman" w:hAnsi="Times New Roman" w:cs="Times New Roman"/>
        </w:rPr>
        <w:t>检测波长：280nm；流速：1mL/min；柱温：40℃）</w:t>
      </w:r>
      <w:r>
        <w:rPr>
          <w:rFonts w:hint="eastAsia" w:ascii="Times New Roman" w:hAnsi="Times New Roman" w:cs="Times New Roman"/>
        </w:rPr>
        <w:t>，分别对空白溶剂（甲醇）、对照品溶液和样品溶液（批号202201007）进行进样分析，结果显示表儿茶素在样品中得到了较好的分离，理论塔板数为9545，分离度为7.044，溶剂对样品无干扰。</w:t>
      </w:r>
    </w:p>
    <w:p>
      <w:pPr>
        <w:spacing w:line="360" w:lineRule="auto"/>
        <w:rPr>
          <w:rFonts w:ascii="Times New Roman" w:hAnsi="Times New Roman" w:cs="Times New Roman"/>
        </w:rPr>
      </w:pPr>
      <w:r>
        <w:drawing>
          <wp:inline distT="0" distB="0" distL="0" distR="0">
            <wp:extent cx="5274310" cy="2075180"/>
            <wp:effectExtent l="0" t="0" r="0" b="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noChangeArrowheads="true"/>
                    </pic:cNvPicPr>
                  </pic:nvPicPr>
                  <pic:blipFill>
                    <a:blip r:embed="rId17"/>
                    <a:srcRect/>
                    <a:stretch>
                      <a:fillRect/>
                    </a:stretch>
                  </pic:blipFill>
                  <pic:spPr>
                    <a:xfrm>
                      <a:off x="0" y="0"/>
                      <a:ext cx="5274310" cy="2075451"/>
                    </a:xfrm>
                    <a:prstGeom prst="rect">
                      <a:avLst/>
                    </a:prstGeom>
                    <a:noFill/>
                    <a:ln w="9525">
                      <a:noFill/>
                      <a:miter lim="800000"/>
                      <a:headEnd/>
                      <a:tailEnd/>
                    </a:ln>
                  </pic:spPr>
                </pic:pic>
              </a:graphicData>
            </a:graphic>
          </wp:inline>
        </w:drawing>
      </w:r>
    </w:p>
    <w:p>
      <w:pPr>
        <w:spacing w:line="360" w:lineRule="auto"/>
        <w:ind w:firstLine="480" w:firstLineChars="200"/>
        <w:jc w:val="center"/>
      </w:pPr>
      <w:r>
        <w:rPr>
          <w:rFonts w:hint="eastAsia"/>
        </w:rPr>
        <w:t>对照品色谱图</w:t>
      </w:r>
    </w:p>
    <w:p>
      <w:pPr>
        <w:spacing w:line="360" w:lineRule="auto"/>
        <w:rPr>
          <w:rFonts w:ascii="Times New Roman" w:hAnsi="Times New Roman" w:cs="Times New Roman"/>
        </w:rPr>
      </w:pPr>
      <w:r>
        <w:drawing>
          <wp:inline distT="0" distB="0" distL="0" distR="0">
            <wp:extent cx="5274310" cy="2075180"/>
            <wp:effectExtent l="0" t="0" r="0" b="0"/>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noChangeArrowheads="true"/>
                    </pic:cNvPicPr>
                  </pic:nvPicPr>
                  <pic:blipFill>
                    <a:blip r:embed="rId18"/>
                    <a:srcRect/>
                    <a:stretch>
                      <a:fillRect/>
                    </a:stretch>
                  </pic:blipFill>
                  <pic:spPr>
                    <a:xfrm>
                      <a:off x="0" y="0"/>
                      <a:ext cx="5274310" cy="2075451"/>
                    </a:xfrm>
                    <a:prstGeom prst="rect">
                      <a:avLst/>
                    </a:prstGeom>
                    <a:noFill/>
                    <a:ln w="9525">
                      <a:noFill/>
                      <a:miter lim="800000"/>
                      <a:headEnd/>
                      <a:tailEnd/>
                    </a:ln>
                  </pic:spPr>
                </pic:pic>
              </a:graphicData>
            </a:graphic>
          </wp:inline>
        </w:drawing>
      </w:r>
    </w:p>
    <w:p>
      <w:pPr>
        <w:tabs>
          <w:tab w:val="left" w:pos="4725"/>
        </w:tabs>
        <w:spacing w:line="360" w:lineRule="auto"/>
        <w:jc w:val="center"/>
        <w:rPr>
          <w:rFonts w:ascii="Times New Roman" w:hAnsi="Times New Roman" w:cs="Times New Roman"/>
        </w:rPr>
      </w:pPr>
      <w:r>
        <w:rPr>
          <w:rFonts w:hint="eastAsia" w:ascii="Times New Roman" w:hAnsi="Times New Roman" w:cs="Times New Roman"/>
        </w:rPr>
        <w:t>样品色谱图</w:t>
      </w:r>
    </w:p>
    <w:p>
      <w:pPr>
        <w:spacing w:line="360" w:lineRule="auto"/>
        <w:ind w:firstLine="480" w:firstLineChars="200"/>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 xml:space="preserve">.2  </w:t>
      </w:r>
      <w:r>
        <w:rPr>
          <w:rFonts w:ascii="Times New Roman" w:cs="Times New Roman"/>
        </w:rPr>
        <w:t>提取方法考察</w:t>
      </w: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.2.</w:t>
      </w:r>
      <w:r>
        <w:rPr>
          <w:rFonts w:hint="eastAsia" w:ascii="Times New Roman" w:hAnsi="Times New Roman" w:cs="Times New Roman"/>
        </w:rPr>
        <w:t>1</w:t>
      </w:r>
      <w:r>
        <w:rPr>
          <w:rFonts w:ascii="Times New Roman" w:cs="Times New Roman"/>
        </w:rPr>
        <w:t>提取溶剂考察</w:t>
      </w:r>
    </w:p>
    <w:p>
      <w:pPr>
        <w:spacing w:line="360" w:lineRule="auto"/>
        <w:ind w:firstLine="480" w:firstLineChars="200"/>
        <w:rPr>
          <w:rFonts w:ascii="Times New Roman" w:cs="Times New Roman"/>
        </w:rPr>
      </w:pPr>
      <w:r>
        <w:rPr>
          <w:rFonts w:hint="eastAsia" w:ascii="Times New Roman" w:cs="Times New Roman"/>
        </w:rPr>
        <w:t>精密称</w:t>
      </w:r>
      <w:r>
        <w:rPr>
          <w:rFonts w:ascii="Times New Roman" w:cs="Times New Roman"/>
        </w:rPr>
        <w:t>取</w:t>
      </w:r>
      <w:r>
        <w:rPr>
          <w:rFonts w:hint="eastAsia" w:ascii="Times New Roman" w:cs="Times New Roman"/>
        </w:rPr>
        <w:t>蛇泡筋根</w:t>
      </w:r>
      <w:r>
        <w:rPr>
          <w:rFonts w:ascii="Times New Roman" w:cs="Times New Roman"/>
        </w:rPr>
        <w:t>药材粉末（20</w:t>
      </w:r>
      <w:r>
        <w:rPr>
          <w:rFonts w:hint="eastAsia" w:ascii="Times New Roman" w:cs="Times New Roman"/>
        </w:rPr>
        <w:t>22</w:t>
      </w:r>
      <w:r>
        <w:rPr>
          <w:rFonts w:ascii="Times New Roman" w:cs="Times New Roman"/>
        </w:rPr>
        <w:t>0</w:t>
      </w:r>
      <w:r>
        <w:rPr>
          <w:rFonts w:hint="eastAsia" w:ascii="Times New Roman" w:cs="Times New Roman"/>
        </w:rPr>
        <w:t>1</w:t>
      </w:r>
      <w:r>
        <w:rPr>
          <w:rFonts w:ascii="Times New Roman" w:cs="Times New Roman"/>
        </w:rPr>
        <w:t>00</w:t>
      </w:r>
      <w:r>
        <w:rPr>
          <w:rFonts w:hint="eastAsia" w:ascii="Times New Roman" w:cs="Times New Roman"/>
        </w:rPr>
        <w:t>7</w:t>
      </w:r>
      <w:r>
        <w:rPr>
          <w:rFonts w:ascii="Times New Roman" w:cs="Times New Roman"/>
        </w:rPr>
        <w:t>，</w:t>
      </w:r>
      <w:r>
        <w:rPr>
          <w:rFonts w:hint="eastAsia" w:ascii="Times New Roman" w:cs="Times New Roman"/>
        </w:rPr>
        <w:t>过二号筛</w:t>
      </w:r>
      <w:r>
        <w:rPr>
          <w:rFonts w:ascii="Times New Roman" w:cs="Times New Roman"/>
        </w:rPr>
        <w:t>）</w:t>
      </w:r>
      <w:r>
        <w:rPr>
          <w:rFonts w:hint="eastAsia" w:ascii="Times New Roman" w:hAnsi="Times New Roman" w:cs="Times New Roman"/>
        </w:rPr>
        <w:t>0.5</w:t>
      </w:r>
      <w:r>
        <w:rPr>
          <w:rFonts w:ascii="Times New Roman" w:hAnsi="Times New Roman" w:cs="Times New Roman"/>
        </w:rPr>
        <w:t>g</w:t>
      </w:r>
      <w:r>
        <w:rPr>
          <w:rFonts w:ascii="Times New Roman" w:cs="Times New Roman"/>
        </w:rPr>
        <w:t>，共</w:t>
      </w:r>
      <w:r>
        <w:rPr>
          <w:rFonts w:ascii="Times New Roman" w:hAnsi="Times New Roman" w:cs="Times New Roman"/>
        </w:rPr>
        <w:t>3</w:t>
      </w:r>
      <w:r>
        <w:rPr>
          <w:rFonts w:ascii="Times New Roman" w:cs="Times New Roman"/>
        </w:rPr>
        <w:t>份，</w:t>
      </w:r>
      <w:r>
        <w:rPr>
          <w:rFonts w:hint="eastAsia" w:ascii="Times New Roman" w:cs="Times New Roman"/>
        </w:rPr>
        <w:t>置具塞锥形瓶中，分别加入30%乙醇、50%乙醇和70%乙醇各50ml，称定重量，超声20分钟，</w:t>
      </w:r>
      <w:r>
        <w:rPr>
          <w:rFonts w:ascii="Times New Roman" w:cs="Times New Roman"/>
        </w:rPr>
        <w:t>放冷，</w:t>
      </w:r>
      <w:r>
        <w:rPr>
          <w:rFonts w:hint="eastAsia" w:ascii="Times New Roman" w:cs="Times New Roman"/>
        </w:rPr>
        <w:t>再称定重量，以提取溶剂补足减失的重量</w:t>
      </w:r>
      <w:r>
        <w:rPr>
          <w:rFonts w:ascii="Times New Roman" w:cs="Times New Roman"/>
        </w:rPr>
        <w:t>。按</w:t>
      </w:r>
      <w:r>
        <w:rPr>
          <w:rFonts w:ascii="Times New Roman" w:hAnsi="Times New Roman" w:cs="Times New Roman"/>
        </w:rPr>
        <w:t>5.1</w:t>
      </w:r>
      <w:r>
        <w:rPr>
          <w:rFonts w:ascii="Times New Roman" w:cs="Times New Roman"/>
        </w:rPr>
        <w:t>中所用方法测定不同提取溶剂</w:t>
      </w:r>
      <w:r>
        <w:rPr>
          <w:rFonts w:hint="eastAsia" w:ascii="Times New Roman" w:cs="Times New Roman"/>
        </w:rPr>
        <w:t>表儿茶素</w:t>
      </w:r>
      <w:r>
        <w:rPr>
          <w:rFonts w:ascii="Times New Roman" w:cs="Times New Roman"/>
        </w:rPr>
        <w:t>的含量，记录峰面积值，</w:t>
      </w:r>
      <w:r>
        <w:rPr>
          <w:rFonts w:hint="eastAsia" w:ascii="Times New Roman" w:cs="Times New Roman"/>
        </w:rPr>
        <w:t>计算样品中表儿茶素含量，</w:t>
      </w:r>
      <w:r>
        <w:rPr>
          <w:rFonts w:ascii="Times New Roman" w:cs="Times New Roman"/>
        </w:rPr>
        <w:t>结果见表</w:t>
      </w:r>
      <w:r>
        <w:rPr>
          <w:rFonts w:hint="eastAsia" w:ascii="Times New Roman" w:hAnsi="Times New Roman" w:cs="Times New Roman"/>
        </w:rPr>
        <w:t>6</w:t>
      </w:r>
      <w:r>
        <w:rPr>
          <w:rFonts w:ascii="Times New Roman" w:cs="Times New Roman"/>
        </w:rPr>
        <w:t>。结果表明：</w:t>
      </w:r>
      <w:r>
        <w:rPr>
          <w:rFonts w:hint="eastAsia" w:ascii="Times New Roman" w:hAnsi="Times New Roman" w:cs="Times New Roman"/>
        </w:rPr>
        <w:t>70</w:t>
      </w:r>
      <w:r>
        <w:rPr>
          <w:rFonts w:ascii="Times New Roman" w:hAnsi="Times New Roman" w:cs="Times New Roman"/>
        </w:rPr>
        <w:t>%</w:t>
      </w:r>
      <w:r>
        <w:rPr>
          <w:rFonts w:ascii="Times New Roman" w:cs="Times New Roman"/>
        </w:rPr>
        <w:t>乙醇</w:t>
      </w:r>
      <w:r>
        <w:rPr>
          <w:rFonts w:hint="eastAsia" w:ascii="Times New Roman" w:cs="Times New Roman"/>
        </w:rPr>
        <w:t>对蛇泡筋根药材中表儿茶素的提取率最高</w:t>
      </w:r>
      <w:r>
        <w:rPr>
          <w:rFonts w:ascii="Times New Roman" w:cs="Times New Roman"/>
        </w:rPr>
        <w:t>，故确定</w:t>
      </w:r>
      <w:r>
        <w:rPr>
          <w:rFonts w:hint="eastAsia" w:ascii="Times New Roman" w:hAnsi="Times New Roman" w:cs="Times New Roman"/>
        </w:rPr>
        <w:t>70</w:t>
      </w:r>
      <w:r>
        <w:rPr>
          <w:rFonts w:ascii="Times New Roman" w:hAnsi="Times New Roman" w:cs="Times New Roman"/>
        </w:rPr>
        <w:t>%</w:t>
      </w:r>
      <w:r>
        <w:rPr>
          <w:rFonts w:ascii="Times New Roman" w:cs="Times New Roman"/>
        </w:rPr>
        <w:t>乙醇为最佳提取溶剂。</w:t>
      </w:r>
    </w:p>
    <w:p>
      <w:pPr>
        <w:spacing w:line="360" w:lineRule="auto"/>
        <w:ind w:firstLine="480" w:firstLineChars="200"/>
        <w:rPr>
          <w:rFonts w:ascii="Times New Roman" w:hAnsi="Times New Roman" w:cs="Times New Roman"/>
        </w:rPr>
      </w:pPr>
    </w:p>
    <w:p>
      <w:pPr>
        <w:spacing w:line="360" w:lineRule="auto"/>
        <w:ind w:firstLine="480" w:firstLineChars="200"/>
        <w:jc w:val="center"/>
        <w:rPr>
          <w:rFonts w:ascii="Times New Roman" w:hAnsi="Times New Roman" w:eastAsia="黑体" w:cs="Times New Roman"/>
          <w:szCs w:val="21"/>
        </w:rPr>
      </w:pPr>
      <w:r>
        <w:rPr>
          <w:rFonts w:ascii="Times New Roman" w:hAnsi="黑体" w:eastAsia="黑体" w:cs="Times New Roman"/>
          <w:szCs w:val="21"/>
        </w:rPr>
        <w:t>表</w:t>
      </w:r>
      <w:r>
        <w:rPr>
          <w:rFonts w:hint="eastAsia" w:ascii="Times New Roman" w:hAnsi="Times New Roman" w:eastAsia="黑体" w:cs="Times New Roman"/>
          <w:szCs w:val="21"/>
        </w:rPr>
        <w:t>6</w:t>
      </w:r>
      <w:r>
        <w:rPr>
          <w:rFonts w:ascii="Times New Roman" w:hAnsi="黑体" w:eastAsia="黑体" w:cs="Times New Roman"/>
          <w:szCs w:val="21"/>
        </w:rPr>
        <w:t>不同提取溶剂比较</w:t>
      </w:r>
    </w:p>
    <w:tbl>
      <w:tblPr>
        <w:tblStyle w:val="8"/>
        <w:tblW w:w="334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6"/>
        <w:gridCol w:w="221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36" w:type="dxa"/>
            <w:tcBorders>
              <w:bottom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溶剂</w:t>
            </w:r>
          </w:p>
        </w:tc>
        <w:tc>
          <w:tcPr>
            <w:tcW w:w="2210" w:type="dxa"/>
            <w:tcBorders>
              <w:bottom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表儿茶素含量mg/g</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36" w:type="dxa"/>
            <w:tcBorders>
              <w:top w:val="single" w:color="auto" w:sz="4" w:space="0"/>
            </w:tcBorders>
            <w:vAlign w:val="center"/>
          </w:tcPr>
          <w:p>
            <w:pPr>
              <w:spacing w:line="360" w:lineRule="auto"/>
              <w:jc w:val="center"/>
              <w:rPr>
                <w:rFonts w:ascii="Times New Roman" w:hAnsi="Times New Roman" w:cs="Times New Roman"/>
              </w:rPr>
            </w:pPr>
            <w:r>
              <w:rPr>
                <w:rFonts w:ascii="Times New Roman" w:hAnsi="Times New Roman" w:cs="Times New Roman"/>
              </w:rPr>
              <w:t>30%</w:t>
            </w:r>
            <w:r>
              <w:rPr>
                <w:rFonts w:ascii="Times New Roman" w:cs="Times New Roman"/>
              </w:rPr>
              <w:t>乙醇</w:t>
            </w:r>
          </w:p>
        </w:tc>
        <w:tc>
          <w:tcPr>
            <w:tcW w:w="2210" w:type="dxa"/>
            <w:tcBorders>
              <w:top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12.5098</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36" w:type="dxa"/>
            <w:vAlign w:val="center"/>
          </w:tcPr>
          <w:p>
            <w:pPr>
              <w:spacing w:line="360" w:lineRule="auto"/>
              <w:jc w:val="center"/>
              <w:rPr>
                <w:rFonts w:ascii="Times New Roman" w:hAnsi="Times New Roman" w:cs="Times New Roman"/>
              </w:rPr>
            </w:pPr>
            <w:r>
              <w:rPr>
                <w:rFonts w:ascii="Times New Roman" w:hAnsi="Times New Roman" w:cs="Times New Roman"/>
              </w:rPr>
              <w:t>50%</w:t>
            </w:r>
            <w:r>
              <w:rPr>
                <w:rFonts w:ascii="Times New Roman" w:cs="Times New Roman"/>
              </w:rPr>
              <w:t>乙醇</w:t>
            </w:r>
          </w:p>
        </w:tc>
        <w:tc>
          <w:tcPr>
            <w:tcW w:w="2210" w:type="dxa"/>
            <w:vAlign w:val="center"/>
          </w:tcPr>
          <w:p>
            <w:pPr>
              <w:spacing w:line="360" w:lineRule="auto"/>
              <w:jc w:val="center"/>
              <w:rPr>
                <w:rFonts w:ascii="Times New Roman" w:hAnsi="Times New Roman" w:cs="Times New Roman"/>
              </w:rPr>
            </w:pPr>
            <w:r>
              <w:rPr>
                <w:rFonts w:hint="eastAsia" w:ascii="Times New Roman" w:hAnsi="Times New Roman" w:cs="Times New Roman"/>
              </w:rPr>
              <w:t>15.3418</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36" w:type="dxa"/>
            <w:vAlign w:val="center"/>
          </w:tcPr>
          <w:p>
            <w:pPr>
              <w:spacing w:line="360" w:lineRule="auto"/>
              <w:jc w:val="center"/>
              <w:rPr>
                <w:rFonts w:ascii="Times New Roman" w:hAnsi="Times New Roman" w:cs="Times New Roman"/>
              </w:rPr>
            </w:pPr>
            <w:r>
              <w:rPr>
                <w:rFonts w:ascii="Times New Roman" w:hAnsi="Times New Roman" w:cs="Times New Roman"/>
              </w:rPr>
              <w:t>70%</w:t>
            </w:r>
            <w:r>
              <w:rPr>
                <w:rFonts w:ascii="Times New Roman" w:cs="Times New Roman"/>
              </w:rPr>
              <w:t>乙醇</w:t>
            </w:r>
          </w:p>
        </w:tc>
        <w:tc>
          <w:tcPr>
            <w:tcW w:w="2210" w:type="dxa"/>
            <w:vAlign w:val="center"/>
          </w:tcPr>
          <w:p>
            <w:pPr>
              <w:spacing w:line="360" w:lineRule="auto"/>
              <w:jc w:val="center"/>
              <w:rPr>
                <w:rFonts w:ascii="Times New Roman" w:hAnsi="Times New Roman" w:cs="Times New Roman"/>
              </w:rPr>
            </w:pPr>
            <w:r>
              <w:rPr>
                <w:rFonts w:hint="eastAsia" w:ascii="Times New Roman" w:hAnsi="Times New Roman" w:cs="Times New Roman"/>
              </w:rPr>
              <w:t>16.0052</w:t>
            </w:r>
          </w:p>
        </w:tc>
      </w:tr>
    </w:tbl>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.2.</w:t>
      </w:r>
      <w:r>
        <w:rPr>
          <w:rFonts w:hint="eastAsia" w:ascii="Times New Roman" w:hAnsi="Times New Roman" w:cs="Times New Roman"/>
        </w:rPr>
        <w:t>2</w:t>
      </w:r>
      <w:r>
        <w:rPr>
          <w:rFonts w:hint="eastAsia" w:ascii="Times New Roman" w:cs="Times New Roman"/>
        </w:rPr>
        <w:t>溶剂用量的</w:t>
      </w:r>
      <w:r>
        <w:rPr>
          <w:rFonts w:ascii="Times New Roman" w:cs="Times New Roman"/>
        </w:rPr>
        <w:t>考察</w:t>
      </w:r>
    </w:p>
    <w:p>
      <w:pPr>
        <w:spacing w:line="360" w:lineRule="auto"/>
        <w:ind w:firstLine="480" w:firstLineChars="200"/>
        <w:rPr>
          <w:rFonts w:ascii="Times New Roman" w:hAnsi="Times New Roman" w:cs="Times New Roman"/>
        </w:rPr>
      </w:pPr>
      <w:r>
        <w:rPr>
          <w:rFonts w:hint="eastAsia" w:ascii="Times New Roman" w:cs="Times New Roman"/>
        </w:rPr>
        <w:t>精密称</w:t>
      </w:r>
      <w:r>
        <w:rPr>
          <w:rFonts w:ascii="Times New Roman" w:cs="Times New Roman"/>
        </w:rPr>
        <w:t>取</w:t>
      </w:r>
      <w:r>
        <w:rPr>
          <w:rFonts w:hint="eastAsia" w:ascii="Times New Roman" w:cs="Times New Roman"/>
        </w:rPr>
        <w:t>蛇泡筋根</w:t>
      </w:r>
      <w:r>
        <w:rPr>
          <w:rFonts w:ascii="Times New Roman" w:cs="Times New Roman"/>
        </w:rPr>
        <w:t>药材粉末（20</w:t>
      </w:r>
      <w:r>
        <w:rPr>
          <w:rFonts w:hint="eastAsia" w:ascii="Times New Roman" w:cs="Times New Roman"/>
        </w:rPr>
        <w:t>22</w:t>
      </w:r>
      <w:r>
        <w:rPr>
          <w:rFonts w:ascii="Times New Roman" w:cs="Times New Roman"/>
        </w:rPr>
        <w:t>0</w:t>
      </w:r>
      <w:r>
        <w:rPr>
          <w:rFonts w:hint="eastAsia" w:ascii="Times New Roman" w:cs="Times New Roman"/>
        </w:rPr>
        <w:t>1</w:t>
      </w:r>
      <w:r>
        <w:rPr>
          <w:rFonts w:ascii="Times New Roman" w:cs="Times New Roman"/>
        </w:rPr>
        <w:t>00</w:t>
      </w:r>
      <w:r>
        <w:rPr>
          <w:rFonts w:hint="eastAsia" w:ascii="Times New Roman" w:cs="Times New Roman"/>
        </w:rPr>
        <w:t>7</w:t>
      </w:r>
      <w:r>
        <w:rPr>
          <w:rFonts w:ascii="Times New Roman" w:cs="Times New Roman"/>
        </w:rPr>
        <w:t>，</w:t>
      </w:r>
      <w:r>
        <w:rPr>
          <w:rFonts w:hint="eastAsia" w:ascii="Times New Roman" w:cs="Times New Roman"/>
        </w:rPr>
        <w:t>过二号筛</w:t>
      </w:r>
      <w:r>
        <w:rPr>
          <w:rFonts w:ascii="Times New Roman" w:cs="Times New Roman"/>
        </w:rPr>
        <w:t>）</w:t>
      </w:r>
      <w:r>
        <w:rPr>
          <w:rFonts w:hint="eastAsia" w:ascii="Times New Roman" w:hAnsi="Times New Roman" w:cs="Times New Roman"/>
        </w:rPr>
        <w:t>0.5</w:t>
      </w:r>
      <w:r>
        <w:rPr>
          <w:rFonts w:ascii="Times New Roman" w:hAnsi="Times New Roman" w:cs="Times New Roman"/>
        </w:rPr>
        <w:t>g</w:t>
      </w:r>
      <w:r>
        <w:rPr>
          <w:rFonts w:ascii="Times New Roman" w:cs="Times New Roman"/>
        </w:rPr>
        <w:t>，共</w:t>
      </w:r>
      <w:r>
        <w:rPr>
          <w:rFonts w:ascii="Times New Roman" w:hAnsi="Times New Roman" w:cs="Times New Roman"/>
        </w:rPr>
        <w:t>3</w:t>
      </w:r>
      <w:r>
        <w:rPr>
          <w:rFonts w:ascii="Times New Roman" w:cs="Times New Roman"/>
        </w:rPr>
        <w:t>份，</w:t>
      </w:r>
      <w:r>
        <w:rPr>
          <w:rFonts w:hint="eastAsia" w:ascii="Times New Roman" w:cs="Times New Roman"/>
        </w:rPr>
        <w:t>置具塞锥形瓶中，分别加入70%乙醇各25ml、50ml和75ml，称定重量，超声20分钟，</w:t>
      </w:r>
      <w:r>
        <w:rPr>
          <w:rFonts w:ascii="Times New Roman" w:cs="Times New Roman"/>
        </w:rPr>
        <w:t>放冷，</w:t>
      </w:r>
      <w:r>
        <w:rPr>
          <w:rFonts w:hint="eastAsia" w:ascii="Times New Roman" w:cs="Times New Roman"/>
        </w:rPr>
        <w:t>再称定重量，以70%乙醇补足减失的重量</w:t>
      </w:r>
      <w:r>
        <w:rPr>
          <w:rFonts w:ascii="Times New Roman" w:cs="Times New Roman"/>
        </w:rPr>
        <w:t>。按</w:t>
      </w:r>
      <w:r>
        <w:rPr>
          <w:rFonts w:ascii="Times New Roman" w:hAnsi="Times New Roman" w:cs="Times New Roman"/>
        </w:rPr>
        <w:t>5.1</w:t>
      </w:r>
      <w:r>
        <w:rPr>
          <w:rFonts w:ascii="Times New Roman" w:cs="Times New Roman"/>
        </w:rPr>
        <w:t>中所用方法测定不同提取溶剂</w:t>
      </w:r>
      <w:r>
        <w:rPr>
          <w:rFonts w:hint="eastAsia" w:ascii="Times New Roman" w:cs="Times New Roman"/>
        </w:rPr>
        <w:t>表儿茶素</w:t>
      </w:r>
      <w:r>
        <w:rPr>
          <w:rFonts w:ascii="Times New Roman" w:cs="Times New Roman"/>
        </w:rPr>
        <w:t>的含量，记录峰面积值，</w:t>
      </w:r>
      <w:r>
        <w:rPr>
          <w:rFonts w:hint="eastAsia" w:ascii="Times New Roman" w:cs="Times New Roman"/>
        </w:rPr>
        <w:t>计算样品中表儿茶素含量，</w:t>
      </w:r>
      <w:r>
        <w:rPr>
          <w:rFonts w:ascii="Times New Roman" w:cs="Times New Roman"/>
        </w:rPr>
        <w:t>结果见表</w:t>
      </w:r>
      <w:r>
        <w:rPr>
          <w:rFonts w:hint="eastAsia" w:ascii="Times New Roman" w:hAnsi="Times New Roman" w:cs="Times New Roman"/>
        </w:rPr>
        <w:t>7</w:t>
      </w:r>
      <w:r>
        <w:rPr>
          <w:rFonts w:ascii="Times New Roman" w:cs="Times New Roman"/>
        </w:rPr>
        <w:t>。结果表明：</w:t>
      </w:r>
      <w:r>
        <w:rPr>
          <w:rFonts w:hint="eastAsia" w:ascii="Times New Roman" w:cs="Times New Roman"/>
        </w:rPr>
        <w:t>溶剂用量对表儿茶素提取效果相差不大，因此选择中间比例50mL做为溶剂用量考察。</w:t>
      </w:r>
    </w:p>
    <w:p>
      <w:pPr>
        <w:spacing w:line="360" w:lineRule="auto"/>
        <w:ind w:firstLine="480" w:firstLineChars="200"/>
        <w:jc w:val="center"/>
        <w:rPr>
          <w:rFonts w:ascii="Times New Roman" w:hAnsi="Times New Roman" w:eastAsia="黑体" w:cs="Times New Roman"/>
          <w:szCs w:val="21"/>
        </w:rPr>
      </w:pPr>
      <w:r>
        <w:rPr>
          <w:rFonts w:ascii="Times New Roman" w:hAnsi="黑体" w:eastAsia="黑体" w:cs="Times New Roman"/>
          <w:szCs w:val="21"/>
        </w:rPr>
        <w:t>表</w:t>
      </w:r>
      <w:r>
        <w:rPr>
          <w:rFonts w:hint="eastAsia" w:ascii="Times New Roman" w:hAnsi="Times New Roman" w:eastAsia="黑体" w:cs="Times New Roman"/>
          <w:szCs w:val="21"/>
        </w:rPr>
        <w:t>7</w:t>
      </w:r>
      <w:r>
        <w:rPr>
          <w:rFonts w:ascii="Times New Roman" w:hAnsi="黑体" w:eastAsia="黑体" w:cs="Times New Roman"/>
          <w:szCs w:val="21"/>
        </w:rPr>
        <w:t>溶剂</w:t>
      </w:r>
      <w:r>
        <w:rPr>
          <w:rFonts w:hint="eastAsia" w:ascii="Times New Roman" w:hAnsi="黑体" w:eastAsia="黑体" w:cs="Times New Roman"/>
          <w:szCs w:val="21"/>
        </w:rPr>
        <w:t>用量考察</w:t>
      </w:r>
    </w:p>
    <w:tbl>
      <w:tblPr>
        <w:tblStyle w:val="8"/>
        <w:tblW w:w="3468"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58"/>
        <w:gridCol w:w="221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58" w:type="dxa"/>
            <w:tcBorders>
              <w:bottom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溶剂用量</w:t>
            </w:r>
          </w:p>
        </w:tc>
        <w:tc>
          <w:tcPr>
            <w:tcW w:w="2210" w:type="dxa"/>
            <w:tcBorders>
              <w:bottom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表儿茶素含量mg/g</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58" w:type="dxa"/>
            <w:tcBorders>
              <w:top w:val="single" w:color="auto" w:sz="4" w:space="0"/>
            </w:tcBorders>
            <w:vAlign w:val="center"/>
          </w:tcPr>
          <w:p>
            <w:pPr>
              <w:spacing w:line="360" w:lineRule="auto"/>
              <w:jc w:val="center"/>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5ml</w:t>
            </w:r>
          </w:p>
        </w:tc>
        <w:tc>
          <w:tcPr>
            <w:tcW w:w="2210" w:type="dxa"/>
            <w:tcBorders>
              <w:top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16.3583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58" w:type="dxa"/>
            <w:vAlign w:val="center"/>
          </w:tcPr>
          <w:p>
            <w:pPr>
              <w:spacing w:line="360" w:lineRule="auto"/>
              <w:jc w:val="center"/>
              <w:rPr>
                <w:rFonts w:ascii="Times New Roman" w:hAnsi="Times New Roman" w:cs="Times New Roman"/>
              </w:rPr>
            </w:pPr>
            <w:r>
              <w:rPr>
                <w:rFonts w:ascii="Times New Roman" w:hAnsi="Times New Roman" w:cs="Times New Roman"/>
              </w:rPr>
              <w:t>50</w:t>
            </w:r>
            <w:r>
              <w:rPr>
                <w:rFonts w:hint="eastAsia" w:ascii="Times New Roman" w:hAnsi="Times New Roman" w:cs="Times New Roman"/>
              </w:rPr>
              <w:t>ml</w:t>
            </w:r>
          </w:p>
        </w:tc>
        <w:tc>
          <w:tcPr>
            <w:tcW w:w="2210" w:type="dxa"/>
            <w:vAlign w:val="center"/>
          </w:tcPr>
          <w:p>
            <w:pPr>
              <w:spacing w:line="360" w:lineRule="auto"/>
              <w:jc w:val="center"/>
              <w:rPr>
                <w:rFonts w:ascii="Times New Roman" w:hAnsi="Times New Roman" w:cs="Times New Roman"/>
              </w:rPr>
            </w:pPr>
            <w:r>
              <w:rPr>
                <w:rFonts w:hint="eastAsia" w:ascii="Times New Roman" w:hAnsi="Times New Roman" w:cs="Times New Roman"/>
              </w:rPr>
              <w:t>16.1842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58" w:type="dxa"/>
            <w:vAlign w:val="center"/>
          </w:tcPr>
          <w:p>
            <w:pPr>
              <w:spacing w:line="360" w:lineRule="auto"/>
              <w:jc w:val="center"/>
              <w:rPr>
                <w:rFonts w:ascii="Times New Roman" w:hAnsi="Times New Roman" w:cs="Times New Roman"/>
              </w:rPr>
            </w:pPr>
            <w:r>
              <w:rPr>
                <w:rFonts w:hint="eastAsia" w:ascii="Times New Roman" w:hAnsi="Times New Roman" w:cs="Times New Roman"/>
              </w:rPr>
              <w:t>75ml</w:t>
            </w:r>
          </w:p>
        </w:tc>
        <w:tc>
          <w:tcPr>
            <w:tcW w:w="2210" w:type="dxa"/>
            <w:vAlign w:val="center"/>
          </w:tcPr>
          <w:p>
            <w:pPr>
              <w:spacing w:line="360" w:lineRule="auto"/>
              <w:jc w:val="center"/>
              <w:rPr>
                <w:rFonts w:ascii="Times New Roman" w:hAnsi="Times New Roman" w:cs="Times New Roman"/>
              </w:rPr>
            </w:pPr>
            <w:r>
              <w:rPr>
                <w:rFonts w:hint="eastAsia" w:ascii="Times New Roman" w:hAnsi="Times New Roman" w:cs="Times New Roman"/>
              </w:rPr>
              <w:t>16.1918</w:t>
            </w:r>
          </w:p>
        </w:tc>
      </w:tr>
    </w:tbl>
    <w:p>
      <w:pPr>
        <w:spacing w:line="360" w:lineRule="auto"/>
        <w:ind w:firstLine="480" w:firstLineChars="200"/>
        <w:jc w:val="center"/>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.2.</w:t>
      </w:r>
      <w:r>
        <w:rPr>
          <w:rFonts w:hint="eastAsia" w:ascii="Times New Roman" w:hAnsi="Times New Roman" w:cs="Times New Roman"/>
        </w:rPr>
        <w:t>3</w:t>
      </w:r>
      <w:r>
        <w:rPr>
          <w:rFonts w:hint="eastAsia" w:ascii="Times New Roman" w:cs="Times New Roman"/>
        </w:rPr>
        <w:t>提取时间</w:t>
      </w:r>
      <w:r>
        <w:rPr>
          <w:rFonts w:ascii="Times New Roman" w:cs="Times New Roman"/>
        </w:rPr>
        <w:t>考察</w:t>
      </w:r>
    </w:p>
    <w:p>
      <w:pPr>
        <w:spacing w:line="360" w:lineRule="auto"/>
        <w:ind w:firstLine="480" w:firstLineChars="200"/>
        <w:rPr>
          <w:rFonts w:ascii="Times New Roman" w:hAnsi="Times New Roman" w:cs="Times New Roman"/>
        </w:rPr>
      </w:pPr>
      <w:r>
        <w:rPr>
          <w:rFonts w:hint="eastAsia" w:ascii="Times New Roman" w:cs="Times New Roman"/>
        </w:rPr>
        <w:t>精密称</w:t>
      </w:r>
      <w:r>
        <w:rPr>
          <w:rFonts w:ascii="Times New Roman" w:cs="Times New Roman"/>
        </w:rPr>
        <w:t>取</w:t>
      </w:r>
      <w:r>
        <w:rPr>
          <w:rFonts w:hint="eastAsia" w:ascii="Times New Roman" w:cs="Times New Roman"/>
        </w:rPr>
        <w:t>蛇泡筋根</w:t>
      </w:r>
      <w:r>
        <w:rPr>
          <w:rFonts w:ascii="Times New Roman" w:cs="Times New Roman"/>
        </w:rPr>
        <w:t>药材粉末（20</w:t>
      </w:r>
      <w:r>
        <w:rPr>
          <w:rFonts w:hint="eastAsia" w:ascii="Times New Roman" w:cs="Times New Roman"/>
        </w:rPr>
        <w:t>22</w:t>
      </w:r>
      <w:r>
        <w:rPr>
          <w:rFonts w:ascii="Times New Roman" w:cs="Times New Roman"/>
        </w:rPr>
        <w:t>0</w:t>
      </w:r>
      <w:r>
        <w:rPr>
          <w:rFonts w:hint="eastAsia" w:ascii="Times New Roman" w:cs="Times New Roman"/>
        </w:rPr>
        <w:t>1007</w:t>
      </w:r>
      <w:r>
        <w:rPr>
          <w:rFonts w:ascii="Times New Roman" w:cs="Times New Roman"/>
        </w:rPr>
        <w:t>，</w:t>
      </w:r>
      <w:r>
        <w:rPr>
          <w:rFonts w:hint="eastAsia" w:ascii="Times New Roman" w:cs="Times New Roman"/>
        </w:rPr>
        <w:t>过二号筛</w:t>
      </w:r>
      <w:r>
        <w:rPr>
          <w:rFonts w:ascii="Times New Roman" w:cs="Times New Roman"/>
        </w:rPr>
        <w:t>）</w:t>
      </w:r>
      <w:r>
        <w:rPr>
          <w:rFonts w:hint="eastAsia" w:ascii="Times New Roman" w:hAnsi="Times New Roman" w:cs="Times New Roman"/>
        </w:rPr>
        <w:t>0</w:t>
      </w: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g</w:t>
      </w:r>
      <w:r>
        <w:rPr>
          <w:rFonts w:ascii="Times New Roman" w:cs="Times New Roman"/>
        </w:rPr>
        <w:t>，共</w:t>
      </w:r>
      <w:r>
        <w:rPr>
          <w:rFonts w:ascii="Times New Roman" w:hAnsi="Times New Roman" w:cs="Times New Roman"/>
        </w:rPr>
        <w:t>3</w:t>
      </w:r>
      <w:r>
        <w:rPr>
          <w:rFonts w:ascii="Times New Roman" w:cs="Times New Roman"/>
        </w:rPr>
        <w:t>份，</w:t>
      </w:r>
      <w:r>
        <w:rPr>
          <w:rFonts w:hint="eastAsia" w:ascii="Times New Roman" w:cs="Times New Roman"/>
        </w:rPr>
        <w:t>置具塞锥形瓶中，分别加入70%乙醇各50ml，称定重量，分别超声10分钟、20分钟和30分钟，</w:t>
      </w:r>
      <w:r>
        <w:rPr>
          <w:rFonts w:ascii="Times New Roman" w:cs="Times New Roman"/>
        </w:rPr>
        <w:t>放冷，</w:t>
      </w:r>
      <w:r>
        <w:rPr>
          <w:rFonts w:hint="eastAsia" w:ascii="Times New Roman" w:cs="Times New Roman"/>
        </w:rPr>
        <w:t>再称定重量，以70%乙醇补足减失的重量</w:t>
      </w:r>
      <w:r>
        <w:rPr>
          <w:rFonts w:ascii="Times New Roman" w:cs="Times New Roman"/>
        </w:rPr>
        <w:t>。按</w:t>
      </w:r>
      <w:r>
        <w:rPr>
          <w:rFonts w:ascii="Times New Roman" w:hAnsi="Times New Roman" w:cs="Times New Roman"/>
        </w:rPr>
        <w:t>5.1</w:t>
      </w:r>
      <w:r>
        <w:rPr>
          <w:rFonts w:ascii="Times New Roman" w:cs="Times New Roman"/>
        </w:rPr>
        <w:t>中所用方法测定不同提取溶剂</w:t>
      </w:r>
      <w:r>
        <w:rPr>
          <w:rFonts w:hint="eastAsia" w:ascii="Times New Roman" w:cs="Times New Roman"/>
        </w:rPr>
        <w:t>表儿茶素</w:t>
      </w:r>
      <w:r>
        <w:rPr>
          <w:rFonts w:ascii="Times New Roman" w:cs="Times New Roman"/>
        </w:rPr>
        <w:t>的含量，记录峰面积值，</w:t>
      </w:r>
      <w:r>
        <w:rPr>
          <w:rFonts w:hint="eastAsia" w:ascii="Times New Roman" w:cs="Times New Roman"/>
        </w:rPr>
        <w:t>计算样品中表儿茶素含量，</w:t>
      </w:r>
      <w:r>
        <w:rPr>
          <w:rFonts w:ascii="Times New Roman" w:cs="Times New Roman"/>
        </w:rPr>
        <w:t>结果见表</w:t>
      </w:r>
      <w:r>
        <w:rPr>
          <w:rFonts w:hint="eastAsia" w:ascii="Times New Roman" w:hAnsi="Times New Roman" w:cs="Times New Roman"/>
        </w:rPr>
        <w:t>8</w:t>
      </w:r>
      <w:r>
        <w:rPr>
          <w:rFonts w:ascii="Times New Roman" w:cs="Times New Roman"/>
        </w:rPr>
        <w:t>。结果表明</w:t>
      </w:r>
      <w:r>
        <w:rPr>
          <w:rFonts w:hint="eastAsia" w:ascii="Times New Roman" w:cs="Times New Roman"/>
        </w:rPr>
        <w:t>超声20分钟时，提取时间对蛇泡筋根药材中表儿茶素的提取效果相差不大</w:t>
      </w:r>
      <w:r>
        <w:rPr>
          <w:rFonts w:ascii="Times New Roman" w:cs="Times New Roman"/>
        </w:rPr>
        <w:t>，因此选择中间时间</w:t>
      </w:r>
      <w:r>
        <w:rPr>
          <w:rFonts w:ascii="Times New Roman" w:hAnsi="Times New Roman" w:cs="Times New Roman"/>
        </w:rPr>
        <w:t>20</w:t>
      </w:r>
      <w:r>
        <w:rPr>
          <w:rFonts w:hint="eastAsia" w:ascii="Times New Roman" w:hAnsi="Times New Roman" w:cs="Times New Roman"/>
        </w:rPr>
        <w:t>分钟为超声时间</w:t>
      </w:r>
      <w:r>
        <w:rPr>
          <w:rFonts w:ascii="Times New Roman" w:cs="Times New Roman"/>
        </w:rPr>
        <w:t>。</w:t>
      </w:r>
    </w:p>
    <w:p>
      <w:pPr>
        <w:spacing w:line="360" w:lineRule="auto"/>
        <w:ind w:firstLine="480" w:firstLineChars="200"/>
        <w:jc w:val="center"/>
        <w:rPr>
          <w:rFonts w:ascii="Times New Roman" w:hAnsi="Times New Roman" w:eastAsia="黑体" w:cs="Times New Roman"/>
          <w:szCs w:val="21"/>
        </w:rPr>
      </w:pPr>
      <w:r>
        <w:rPr>
          <w:rFonts w:ascii="Times New Roman" w:hAnsi="黑体" w:eastAsia="黑体" w:cs="Times New Roman"/>
          <w:szCs w:val="21"/>
        </w:rPr>
        <w:t>表</w:t>
      </w:r>
      <w:r>
        <w:rPr>
          <w:rFonts w:hint="eastAsia" w:ascii="Times New Roman" w:hAnsi="Times New Roman" w:eastAsia="黑体" w:cs="Times New Roman"/>
          <w:szCs w:val="21"/>
        </w:rPr>
        <w:t>8</w:t>
      </w:r>
      <w:r>
        <w:rPr>
          <w:rFonts w:hint="eastAsia" w:ascii="Times New Roman" w:hAnsi="黑体" w:eastAsia="黑体" w:cs="Times New Roman"/>
          <w:szCs w:val="21"/>
        </w:rPr>
        <w:t>提取时间考察</w:t>
      </w:r>
    </w:p>
    <w:tbl>
      <w:tblPr>
        <w:tblStyle w:val="8"/>
        <w:tblW w:w="320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6"/>
        <w:gridCol w:w="221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6" w:type="dxa"/>
            <w:tcBorders>
              <w:bottom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时间</w:t>
            </w:r>
          </w:p>
        </w:tc>
        <w:tc>
          <w:tcPr>
            <w:tcW w:w="2210" w:type="dxa"/>
            <w:tcBorders>
              <w:bottom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表儿茶素含量mg/g</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285" w:hRule="atLeast"/>
          <w:jc w:val="center"/>
        </w:trPr>
        <w:tc>
          <w:tcPr>
            <w:tcW w:w="996" w:type="dxa"/>
            <w:tcBorders>
              <w:top w:val="single" w:color="auto" w:sz="4" w:space="0"/>
            </w:tcBorders>
            <w:vAlign w:val="center"/>
          </w:tcPr>
          <w:p>
            <w:pPr>
              <w:spacing w:line="360" w:lineRule="auto"/>
              <w:jc w:val="center"/>
              <w:rPr>
                <w:rFonts w:ascii="Times New Roman" w:hAnsi="Times New Roman" w:cs="Times New Roman"/>
              </w:rPr>
            </w:pPr>
            <w:r>
              <w:rPr>
                <w:rFonts w:ascii="Times New Roman" w:hAnsi="Times New Roman" w:cs="Times New Roman"/>
              </w:rPr>
              <w:t>10</w:t>
            </w:r>
            <w:r>
              <w:rPr>
                <w:rFonts w:hint="eastAsia" w:ascii="Times New Roman" w:hAnsi="Times New Roman" w:cs="Times New Roman"/>
              </w:rPr>
              <w:t>分钟</w:t>
            </w:r>
          </w:p>
        </w:tc>
        <w:tc>
          <w:tcPr>
            <w:tcW w:w="2210" w:type="dxa"/>
            <w:tcBorders>
              <w:top w:val="single" w:color="auto" w:sz="4" w:space="0"/>
            </w:tcBorders>
            <w:vAlign w:val="center"/>
          </w:tcPr>
          <w:p>
            <w:pPr>
              <w:spacing w:line="360" w:lineRule="auto"/>
              <w:jc w:val="center"/>
              <w:rPr>
                <w:rFonts w:ascii="Times New Roman" w:hAnsi="Times New Roman" w:cs="Times New Roman"/>
              </w:rPr>
            </w:pPr>
            <w:r>
              <w:rPr>
                <w:rFonts w:hint="eastAsia" w:ascii="Times New Roman" w:hAnsi="Times New Roman" w:cs="Times New Roman"/>
              </w:rPr>
              <w:t>16.2763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96" w:type="dxa"/>
            <w:vAlign w:val="center"/>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分钟</w:t>
            </w:r>
          </w:p>
        </w:tc>
        <w:tc>
          <w:tcPr>
            <w:tcW w:w="2210" w:type="dxa"/>
            <w:vAlign w:val="center"/>
          </w:tcPr>
          <w:p>
            <w:pPr>
              <w:spacing w:line="360" w:lineRule="auto"/>
              <w:jc w:val="center"/>
              <w:rPr>
                <w:rFonts w:ascii="Times New Roman" w:hAnsi="Times New Roman" w:cs="Times New Roman"/>
              </w:rPr>
            </w:pPr>
            <w:r>
              <w:rPr>
                <w:rFonts w:hint="eastAsia" w:ascii="Times New Roman" w:hAnsi="Times New Roman" w:cs="Times New Roman"/>
              </w:rPr>
              <w:t>16.3666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285" w:hRule="atLeast"/>
          <w:jc w:val="center"/>
        </w:trPr>
        <w:tc>
          <w:tcPr>
            <w:tcW w:w="996" w:type="dxa"/>
            <w:vAlign w:val="center"/>
          </w:tcPr>
          <w:p>
            <w:pPr>
              <w:spacing w:line="360" w:lineRule="auto"/>
              <w:jc w:val="center"/>
              <w:rPr>
                <w:rFonts w:ascii="Times New Roman" w:hAnsi="Times New Roman" w:cs="Times New Roman"/>
              </w:rPr>
            </w:pPr>
            <w:r>
              <w:rPr>
                <w:rFonts w:ascii="Times New Roman" w:hAnsi="Times New Roman" w:cs="Times New Roman"/>
              </w:rPr>
              <w:t>30</w:t>
            </w:r>
            <w:r>
              <w:rPr>
                <w:rFonts w:hint="eastAsia" w:ascii="Times New Roman" w:hAnsi="Times New Roman" w:cs="Times New Roman"/>
              </w:rPr>
              <w:t>分钟</w:t>
            </w:r>
          </w:p>
        </w:tc>
        <w:tc>
          <w:tcPr>
            <w:tcW w:w="2210" w:type="dxa"/>
            <w:vAlign w:val="center"/>
          </w:tcPr>
          <w:p>
            <w:pPr>
              <w:spacing w:line="360" w:lineRule="auto"/>
              <w:jc w:val="center"/>
              <w:rPr>
                <w:rFonts w:ascii="Times New Roman" w:hAnsi="Times New Roman" w:cs="Times New Roman"/>
              </w:rPr>
            </w:pPr>
            <w:r>
              <w:rPr>
                <w:rFonts w:hint="eastAsia" w:ascii="Times New Roman" w:hAnsi="Times New Roman" w:cs="Times New Roman"/>
              </w:rPr>
              <w:t xml:space="preserve">16.2051 </w:t>
            </w:r>
          </w:p>
        </w:tc>
      </w:tr>
    </w:tbl>
    <w:p>
      <w:pPr>
        <w:spacing w:line="360" w:lineRule="auto"/>
        <w:ind w:firstLine="480" w:firstLineChars="200"/>
        <w:jc w:val="center"/>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 xml:space="preserve">.4  </w:t>
      </w:r>
      <w:r>
        <w:rPr>
          <w:rFonts w:hint="eastAsia" w:ascii="Times New Roman" w:cs="Times New Roman"/>
        </w:rPr>
        <w:t>表儿茶素的方法学考察</w:t>
      </w: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.4.1</w:t>
      </w:r>
      <w:r>
        <w:rPr>
          <w:rFonts w:hint="eastAsia" w:ascii="Times New Roman" w:cs="Times New Roman"/>
        </w:rPr>
        <w:t>溶液</w:t>
      </w:r>
      <w:r>
        <w:rPr>
          <w:rFonts w:ascii="Times New Roman" w:cs="Times New Roman"/>
        </w:rPr>
        <w:t>的制备</w:t>
      </w:r>
    </w:p>
    <w:p>
      <w:pPr>
        <w:adjustRightInd w:val="0"/>
        <w:spacing w:line="360" w:lineRule="auto"/>
        <w:ind w:firstLine="481" w:firstLineChars="200"/>
        <w:rPr>
          <w:rFonts w:ascii="Times New Roman" w:hAnsi="Times New Roman" w:cs="Times New Roman"/>
        </w:rPr>
      </w:pPr>
      <w:r>
        <w:rPr>
          <w:rFonts w:ascii="Times New Roman" w:cs="Times New Roman"/>
          <w:b/>
        </w:rPr>
        <w:t>对照品溶液的制备</w:t>
      </w:r>
      <w:r>
        <w:rPr>
          <w:rFonts w:ascii="Times New Roman" w:cs="Times New Roman"/>
        </w:rPr>
        <w:t>取表儿茶素对照品适量，精密称定，加甲醇制成每</w:t>
      </w:r>
      <w:r>
        <w:rPr>
          <w:rFonts w:ascii="Times New Roman" w:hAnsi="Times New Roman" w:cs="Times New Roman"/>
        </w:rPr>
        <w:t>1ml</w:t>
      </w:r>
      <w:r>
        <w:rPr>
          <w:rFonts w:ascii="Times New Roman" w:cs="Times New Roman"/>
        </w:rPr>
        <w:t>含</w:t>
      </w:r>
      <w:r>
        <w:rPr>
          <w:rFonts w:ascii="Times New Roman" w:hAnsi="Times New Roman" w:cs="Times New Roman"/>
        </w:rPr>
        <w:t>0</w:t>
      </w:r>
      <w:r>
        <w:rPr>
          <w:rFonts w:hint="eastAsia" w:ascii="Times New Roman" w:hAnsi="Times New Roman" w:cs="Times New Roman"/>
        </w:rPr>
        <w:t>.05m</w:t>
      </w:r>
      <w:r>
        <w:rPr>
          <w:rFonts w:ascii="Times New Roman" w:hAnsi="Times New Roman" w:cs="Times New Roman"/>
        </w:rPr>
        <w:t>g</w:t>
      </w:r>
      <w:r>
        <w:rPr>
          <w:rFonts w:ascii="Times New Roman" w:cs="Times New Roman"/>
        </w:rPr>
        <w:t>的溶液，即得。</w:t>
      </w:r>
    </w:p>
    <w:p>
      <w:pPr>
        <w:adjustRightInd w:val="0"/>
        <w:spacing w:line="360" w:lineRule="auto"/>
        <w:ind w:firstLine="481" w:firstLineChars="200"/>
        <w:rPr>
          <w:rFonts w:ascii="Times New Roman" w:hAnsi="Times New Roman" w:cs="Times New Roman"/>
        </w:rPr>
      </w:pPr>
      <w:r>
        <w:rPr>
          <w:rFonts w:ascii="Times New Roman" w:cs="Times New Roman"/>
          <w:b/>
        </w:rPr>
        <w:t>供试品溶液的制备</w:t>
      </w:r>
      <w:r>
        <w:rPr>
          <w:rFonts w:ascii="Times New Roman" w:cs="Times New Roman"/>
        </w:rPr>
        <w:t>取本品粉末（过二号筛）约</w:t>
      </w:r>
      <w:r>
        <w:rPr>
          <w:rFonts w:hint="eastAsia" w:ascii="Times New Roman" w:hAnsi="Times New Roman" w:cs="Times New Roman"/>
        </w:rPr>
        <w:t>0.5</w:t>
      </w:r>
      <w:r>
        <w:rPr>
          <w:rFonts w:ascii="Times New Roman" w:hAnsi="Times New Roman" w:cs="Times New Roman"/>
        </w:rPr>
        <w:t>g</w:t>
      </w:r>
      <w:r>
        <w:rPr>
          <w:rFonts w:ascii="Times New Roman" w:cs="Times New Roman"/>
        </w:rPr>
        <w:t>，精密称定，置具塞锥形瓶中，加入</w:t>
      </w:r>
      <w:r>
        <w:rPr>
          <w:rFonts w:hint="eastAsia" w:ascii="Times New Roman" w:hAnsi="Times New Roman" w:cs="Times New Roman"/>
        </w:rPr>
        <w:t>70</w:t>
      </w:r>
      <w:r>
        <w:rPr>
          <w:rFonts w:ascii="Times New Roman" w:hAnsi="Times New Roman" w:cs="Times New Roman"/>
        </w:rPr>
        <w:t>%</w:t>
      </w:r>
      <w:r>
        <w:rPr>
          <w:rFonts w:ascii="Times New Roman" w:cs="Times New Roman"/>
        </w:rPr>
        <w:t>乙醇</w:t>
      </w:r>
      <w:r>
        <w:rPr>
          <w:rFonts w:ascii="Times New Roman" w:hAnsi="Times New Roman" w:cs="Times New Roman"/>
        </w:rPr>
        <w:t>50ml</w:t>
      </w:r>
      <w:r>
        <w:rPr>
          <w:rFonts w:ascii="Times New Roman" w:cs="Times New Roman"/>
        </w:rPr>
        <w:t>，密塞，称定重量，超声处理（功率</w:t>
      </w:r>
      <w:r>
        <w:rPr>
          <w:rFonts w:ascii="Times New Roman" w:hAnsi="Times New Roman" w:cs="Times New Roman"/>
        </w:rPr>
        <w:t>250W</w:t>
      </w:r>
      <w:r>
        <w:rPr>
          <w:rFonts w:ascii="Times New Roman" w:cs="Times New Roman"/>
        </w:rPr>
        <w:t>，频率</w:t>
      </w:r>
      <w:r>
        <w:rPr>
          <w:rFonts w:ascii="Times New Roman" w:hAnsi="Times New Roman" w:cs="Times New Roman"/>
        </w:rPr>
        <w:t>40kHz</w:t>
      </w:r>
      <w:r>
        <w:rPr>
          <w:rFonts w:ascii="Times New Roman" w:cs="Times New Roman"/>
        </w:rPr>
        <w:t>）</w:t>
      </w:r>
      <w:r>
        <w:rPr>
          <w:rFonts w:ascii="Times New Roman" w:hAnsi="Times New Roman" w:cs="Times New Roman"/>
        </w:rPr>
        <w:t>20</w:t>
      </w:r>
      <w:r>
        <w:rPr>
          <w:rFonts w:ascii="Times New Roman" w:cs="Times New Roman"/>
        </w:rPr>
        <w:t>分钟，放冷，再称定重量，用</w:t>
      </w:r>
      <w:r>
        <w:rPr>
          <w:rFonts w:hint="eastAsia" w:ascii="Times New Roman" w:hAnsi="Times New Roman" w:cs="Times New Roman"/>
        </w:rPr>
        <w:t>70</w:t>
      </w:r>
      <w:r>
        <w:rPr>
          <w:rFonts w:ascii="Times New Roman" w:hAnsi="Times New Roman" w:cs="Times New Roman"/>
        </w:rPr>
        <w:t>%</w:t>
      </w:r>
      <w:r>
        <w:rPr>
          <w:rFonts w:ascii="Times New Roman" w:cs="Times New Roman"/>
        </w:rPr>
        <w:t>乙醇补足减失的重量，摇匀，滤过，取续滤液，即得。</w:t>
      </w: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.4.2</w:t>
      </w:r>
      <w:r>
        <w:rPr>
          <w:rFonts w:ascii="Times New Roman" w:cs="Times New Roman"/>
        </w:rPr>
        <w:t>线性关系考察</w:t>
      </w:r>
    </w:p>
    <w:p>
      <w:pPr>
        <w:spacing w:line="360" w:lineRule="auto"/>
        <w:ind w:firstLine="480" w:firstLineChars="200"/>
        <w:rPr>
          <w:rFonts w:ascii="Times New Roman" w:hAnsi="Times New Roman" w:cs="Times New Roman"/>
        </w:rPr>
      </w:pPr>
      <w:r>
        <w:rPr>
          <w:rFonts w:ascii="Times New Roman" w:hAnsi="Times New Roman" w:cs="Times New Roman"/>
        </w:rPr>
        <w:t>取对照品</w:t>
      </w:r>
      <w:r>
        <w:rPr>
          <w:rFonts w:hint="eastAsia" w:ascii="Times New Roman" w:hAnsi="Times New Roman" w:cs="Times New Roman"/>
        </w:rPr>
        <w:t>溶液（0.05mg/ml）</w:t>
      </w:r>
      <w:r>
        <w:rPr>
          <w:rFonts w:ascii="Times New Roman" w:hAnsi="Times New Roman" w:cs="Times New Roman"/>
        </w:rPr>
        <w:t>，采用序列进样法依次进样2μL、4μL、8μL、12μL</w:t>
      </w:r>
      <w:r>
        <w:rPr>
          <w:rFonts w:hint="eastAsia" w:ascii="Times New Roman" w:hAnsi="Times New Roman" w:cs="Times New Roman"/>
        </w:rPr>
        <w:t>、16</w:t>
      </w:r>
      <w:r>
        <w:rPr>
          <w:rFonts w:ascii="Times New Roman" w:hAnsi="Times New Roman" w:cs="Times New Roman"/>
        </w:rPr>
        <w:t>μL</w:t>
      </w:r>
      <w:r>
        <w:rPr>
          <w:rFonts w:hint="eastAsia" w:ascii="Times New Roman" w:hAnsi="Times New Roman" w:cs="Times New Roman"/>
        </w:rPr>
        <w:t>、20</w:t>
      </w:r>
      <w:r>
        <w:rPr>
          <w:rFonts w:ascii="Times New Roman" w:hAnsi="Times New Roman" w:cs="Times New Roman"/>
        </w:rPr>
        <w:t>μL，以进样量（μ</w:t>
      </w:r>
      <w:r>
        <w:rPr>
          <w:rFonts w:hint="eastAsia" w:ascii="Times New Roman" w:hAnsi="Times New Roman" w:cs="Times New Roman"/>
        </w:rPr>
        <w:t>g</w:t>
      </w:r>
      <w:r>
        <w:rPr>
          <w:rFonts w:ascii="Times New Roman" w:hAnsi="Times New Roman" w:cs="Times New Roman"/>
        </w:rPr>
        <w:t>）为横坐标，峰面积为纵坐标，绘制标准曲线。结果表明</w:t>
      </w:r>
      <w:r>
        <w:rPr>
          <w:rFonts w:hint="eastAsia" w:ascii="Times New Roman" w:hAnsi="Times New Roman" w:cs="Times New Roman"/>
        </w:rPr>
        <w:t>表儿茶素</w:t>
      </w:r>
      <w:r>
        <w:rPr>
          <w:rFonts w:ascii="Times New Roman" w:hAnsi="Times New Roman" w:cs="Times New Roman"/>
        </w:rPr>
        <w:t>在</w:t>
      </w:r>
      <w:r>
        <w:rPr>
          <w:rFonts w:hint="eastAsia" w:ascii="Times New Roman" w:hAnsi="Times New Roman" w:cs="Times New Roman"/>
        </w:rPr>
        <w:t>0.1-1.0</w:t>
      </w:r>
      <w:r>
        <w:rPr>
          <w:rFonts w:ascii="Times New Roman" w:hAnsi="Times New Roman" w:cs="Times New Roman"/>
          <w:i/>
          <w:iCs/>
        </w:rPr>
        <w:t>μ</w:t>
      </w:r>
      <w:r>
        <w:rPr>
          <w:rFonts w:hint="eastAsia" w:ascii="Times New Roman" w:hAnsi="Times New Roman" w:cs="Times New Roman"/>
          <w:i/>
          <w:iCs/>
        </w:rPr>
        <w:t>g</w:t>
      </w:r>
      <w:r>
        <w:rPr>
          <w:rFonts w:ascii="Times New Roman" w:hAnsi="Times New Roman" w:cs="Times New Roman"/>
        </w:rPr>
        <w:t>范围内线性关系良好，结果见表</w:t>
      </w:r>
      <w:r>
        <w:rPr>
          <w:rFonts w:hint="eastAsia" w:ascii="Times New Roman" w:hAnsi="Times New Roman" w:cs="Times New Roman"/>
        </w:rPr>
        <w:t>9</w:t>
      </w:r>
      <w:r>
        <w:rPr>
          <w:rFonts w:ascii="Times New Roman" w:hAnsi="Times New Roman" w:cs="Times New Roman"/>
        </w:rPr>
        <w:t>。</w:t>
      </w:r>
    </w:p>
    <w:p>
      <w:pPr>
        <w:spacing w:line="360" w:lineRule="auto"/>
        <w:jc w:val="center"/>
        <w:rPr>
          <w:rFonts w:ascii="Times New Roman" w:hAnsi="Times New Roman" w:eastAsia="黑体" w:cs="Times New Roman"/>
          <w:szCs w:val="21"/>
        </w:rPr>
      </w:pPr>
      <w:r>
        <w:rPr>
          <w:rFonts w:ascii="Times New Roman" w:hAnsi="黑体" w:eastAsia="黑体" w:cs="Times New Roman"/>
          <w:szCs w:val="21"/>
        </w:rPr>
        <w:t>表</w:t>
      </w:r>
      <w:r>
        <w:rPr>
          <w:rFonts w:hint="eastAsia" w:ascii="Times New Roman" w:hAnsi="Times New Roman" w:eastAsia="黑体" w:cs="Times New Roman"/>
          <w:szCs w:val="21"/>
        </w:rPr>
        <w:t>9</w:t>
      </w:r>
      <w:r>
        <w:rPr>
          <w:rFonts w:hint="eastAsia" w:ascii="Times New Roman" w:hAnsi="黑体" w:eastAsia="黑体" w:cs="Times New Roman"/>
          <w:szCs w:val="21"/>
        </w:rPr>
        <w:t>表儿茶素的</w:t>
      </w:r>
      <w:r>
        <w:rPr>
          <w:rFonts w:ascii="Times New Roman" w:hAnsi="黑体" w:eastAsia="黑体" w:cs="Times New Roman"/>
          <w:szCs w:val="21"/>
        </w:rPr>
        <w:t>线性关系</w:t>
      </w:r>
    </w:p>
    <w:tbl>
      <w:tblPr>
        <w:tblStyle w:val="8"/>
        <w:tblW w:w="8522"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4"/>
        <w:gridCol w:w="1074"/>
        <w:gridCol w:w="1116"/>
        <w:gridCol w:w="1202"/>
        <w:gridCol w:w="1202"/>
        <w:gridCol w:w="1202"/>
        <w:gridCol w:w="120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c>
          <w:tcPr>
            <w:tcW w:w="1524" w:type="dxa"/>
            <w:tcBorders>
              <w:top w:val="single" w:color="auto" w:sz="4" w:space="0"/>
              <w:bottom w:val="single" w:color="000000" w:sz="6" w:space="0"/>
            </w:tcBorders>
          </w:tcPr>
          <w:p>
            <w:pPr>
              <w:spacing w:line="360" w:lineRule="auto"/>
              <w:rPr>
                <w:rFonts w:ascii="Times New Roman" w:hAnsi="Times New Roman" w:cs="Times New Roman"/>
                <w:i/>
                <w:iCs/>
                <w:szCs w:val="21"/>
              </w:rPr>
            </w:pPr>
            <w:r>
              <w:rPr>
                <w:rFonts w:ascii="Times New Roman" w:cs="Times New Roman"/>
                <w:i/>
                <w:iCs/>
                <w:szCs w:val="21"/>
              </w:rPr>
              <w:t>进样量</w:t>
            </w:r>
            <w:r>
              <w:rPr>
                <w:rFonts w:ascii="Times New Roman" w:hAnsi="Times New Roman" w:cs="Times New Roman"/>
                <w:i/>
                <w:iCs/>
                <w:szCs w:val="21"/>
              </w:rPr>
              <w:t>/μ</w:t>
            </w:r>
            <w:r>
              <w:rPr>
                <w:rFonts w:hint="eastAsia" w:ascii="Times New Roman" w:hAnsi="Times New Roman" w:cs="Times New Roman"/>
                <w:i/>
                <w:iCs/>
                <w:szCs w:val="21"/>
              </w:rPr>
              <w:t>g</w:t>
            </w:r>
          </w:p>
        </w:tc>
        <w:tc>
          <w:tcPr>
            <w:tcW w:w="1074" w:type="dxa"/>
            <w:tcBorders>
              <w:top w:val="single" w:color="auto" w:sz="4" w:space="0"/>
              <w:bottom w:val="single" w:color="000000" w:sz="6" w:space="0"/>
            </w:tcBorders>
          </w:tcPr>
          <w:p>
            <w:pPr>
              <w:spacing w:line="360" w:lineRule="auto"/>
              <w:rPr>
                <w:rFonts w:ascii="Times New Roman" w:hAnsi="Times New Roman" w:cs="Times New Roman"/>
                <w:i/>
                <w:iCs/>
                <w:szCs w:val="21"/>
              </w:rPr>
            </w:pPr>
            <w:r>
              <w:rPr>
                <w:rFonts w:hint="eastAsia" w:ascii="Times New Roman" w:hAnsi="Times New Roman" w:cs="Times New Roman"/>
                <w:i/>
                <w:iCs/>
                <w:szCs w:val="21"/>
              </w:rPr>
              <w:t>0.1</w:t>
            </w:r>
          </w:p>
        </w:tc>
        <w:tc>
          <w:tcPr>
            <w:tcW w:w="1116" w:type="dxa"/>
            <w:tcBorders>
              <w:top w:val="single" w:color="auto" w:sz="4" w:space="0"/>
              <w:bottom w:val="single" w:color="000000" w:sz="6" w:space="0"/>
            </w:tcBorders>
          </w:tcPr>
          <w:p>
            <w:pPr>
              <w:spacing w:line="360" w:lineRule="auto"/>
              <w:rPr>
                <w:rFonts w:ascii="Times New Roman" w:hAnsi="Times New Roman" w:cs="Times New Roman"/>
                <w:i/>
                <w:iCs/>
                <w:szCs w:val="21"/>
              </w:rPr>
            </w:pPr>
            <w:r>
              <w:rPr>
                <w:rFonts w:hint="eastAsia" w:ascii="Times New Roman" w:hAnsi="Times New Roman" w:cs="Times New Roman"/>
                <w:i/>
                <w:iCs/>
                <w:szCs w:val="21"/>
              </w:rPr>
              <w:t>0.2</w:t>
            </w:r>
          </w:p>
        </w:tc>
        <w:tc>
          <w:tcPr>
            <w:tcW w:w="1202" w:type="dxa"/>
            <w:tcBorders>
              <w:top w:val="single" w:color="auto" w:sz="4" w:space="0"/>
              <w:bottom w:val="single" w:color="000000" w:sz="6" w:space="0"/>
            </w:tcBorders>
          </w:tcPr>
          <w:p>
            <w:pPr>
              <w:spacing w:line="360" w:lineRule="auto"/>
              <w:rPr>
                <w:rFonts w:ascii="Times New Roman" w:hAnsi="Times New Roman" w:cs="Times New Roman"/>
                <w:i/>
                <w:iCs/>
                <w:szCs w:val="21"/>
              </w:rPr>
            </w:pPr>
            <w:r>
              <w:rPr>
                <w:rFonts w:hint="eastAsia" w:ascii="Times New Roman" w:hAnsi="Times New Roman" w:cs="Times New Roman"/>
                <w:i/>
                <w:iCs/>
                <w:szCs w:val="21"/>
              </w:rPr>
              <w:t>0.4</w:t>
            </w:r>
          </w:p>
        </w:tc>
        <w:tc>
          <w:tcPr>
            <w:tcW w:w="1202" w:type="dxa"/>
            <w:tcBorders>
              <w:top w:val="single" w:color="auto" w:sz="4" w:space="0"/>
              <w:bottom w:val="single" w:color="000000" w:sz="6" w:space="0"/>
            </w:tcBorders>
          </w:tcPr>
          <w:p>
            <w:pPr>
              <w:spacing w:line="360" w:lineRule="auto"/>
              <w:rPr>
                <w:rFonts w:ascii="Times New Roman" w:hAnsi="Times New Roman" w:cs="Times New Roman"/>
                <w:i/>
                <w:iCs/>
                <w:szCs w:val="21"/>
              </w:rPr>
            </w:pPr>
            <w:r>
              <w:rPr>
                <w:rFonts w:hint="eastAsia" w:ascii="Times New Roman" w:hAnsi="Times New Roman" w:cs="Times New Roman"/>
                <w:i/>
                <w:iCs/>
                <w:szCs w:val="21"/>
              </w:rPr>
              <w:t>0.6</w:t>
            </w:r>
          </w:p>
        </w:tc>
        <w:tc>
          <w:tcPr>
            <w:tcW w:w="1202" w:type="dxa"/>
            <w:tcBorders>
              <w:top w:val="single" w:color="auto" w:sz="4" w:space="0"/>
              <w:bottom w:val="single" w:color="000000" w:sz="6" w:space="0"/>
            </w:tcBorders>
          </w:tcPr>
          <w:p>
            <w:pPr>
              <w:spacing w:line="360" w:lineRule="auto"/>
              <w:rPr>
                <w:rFonts w:ascii="Times New Roman" w:hAnsi="Times New Roman" w:cs="Times New Roman"/>
                <w:i/>
                <w:iCs/>
                <w:szCs w:val="21"/>
              </w:rPr>
            </w:pPr>
            <w:r>
              <w:rPr>
                <w:rFonts w:hint="eastAsia" w:ascii="Times New Roman" w:hAnsi="Times New Roman" w:cs="Times New Roman"/>
                <w:i/>
                <w:iCs/>
                <w:szCs w:val="21"/>
              </w:rPr>
              <w:t>0.8</w:t>
            </w:r>
          </w:p>
        </w:tc>
        <w:tc>
          <w:tcPr>
            <w:tcW w:w="1202" w:type="dxa"/>
            <w:tcBorders>
              <w:top w:val="single" w:color="auto" w:sz="4" w:space="0"/>
              <w:bottom w:val="single" w:color="000000" w:sz="6" w:space="0"/>
            </w:tcBorders>
          </w:tcPr>
          <w:p>
            <w:pPr>
              <w:spacing w:line="360" w:lineRule="auto"/>
              <w:rPr>
                <w:rFonts w:ascii="Times New Roman" w:hAnsi="Times New Roman" w:cs="Times New Roman"/>
                <w:i/>
                <w:iCs/>
                <w:szCs w:val="21"/>
              </w:rPr>
            </w:pPr>
            <w:r>
              <w:rPr>
                <w:rFonts w:hint="eastAsia" w:ascii="Times New Roman" w:hAnsi="Times New Roman" w:cs="Times New Roman"/>
                <w:i/>
                <w:iCs/>
                <w:szCs w:val="21"/>
              </w:rPr>
              <w:t>1.0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c>
          <w:tcPr>
            <w:tcW w:w="1524" w:type="dxa"/>
            <w:tcBorders>
              <w:bottom w:val="single" w:color="auto" w:sz="4" w:space="0"/>
            </w:tcBorders>
          </w:tcPr>
          <w:p>
            <w:pPr>
              <w:spacing w:line="360" w:lineRule="auto"/>
              <w:rPr>
                <w:rFonts w:ascii="Times New Roman" w:hAnsi="Times New Roman" w:cs="Times New Roman"/>
                <w:szCs w:val="21"/>
              </w:rPr>
            </w:pPr>
            <w:r>
              <w:rPr>
                <w:rFonts w:ascii="Times New Roman" w:cs="Times New Roman"/>
                <w:szCs w:val="21"/>
              </w:rPr>
              <w:t>峰面积</w:t>
            </w:r>
          </w:p>
        </w:tc>
        <w:tc>
          <w:tcPr>
            <w:tcW w:w="1074" w:type="dxa"/>
            <w:tcBorders>
              <w:bottom w:val="single" w:color="auto" w:sz="4" w:space="0"/>
            </w:tcBorders>
          </w:tcPr>
          <w:p>
            <w:pPr>
              <w:spacing w:line="360" w:lineRule="auto"/>
              <w:rPr>
                <w:rFonts w:ascii="Times New Roman" w:hAnsi="Times New Roman" w:cs="Times New Roman"/>
                <w:szCs w:val="21"/>
              </w:rPr>
            </w:pPr>
            <w:r>
              <w:rPr>
                <w:rFonts w:hint="eastAsia" w:ascii="Times New Roman" w:hAnsi="Times New Roman" w:cs="Times New Roman"/>
                <w:szCs w:val="21"/>
              </w:rPr>
              <w:t>72376</w:t>
            </w:r>
          </w:p>
        </w:tc>
        <w:tc>
          <w:tcPr>
            <w:tcW w:w="1116" w:type="dxa"/>
            <w:tcBorders>
              <w:bottom w:val="single" w:color="auto" w:sz="4" w:space="0"/>
            </w:tcBorders>
          </w:tcPr>
          <w:p>
            <w:pPr>
              <w:spacing w:line="360" w:lineRule="auto"/>
              <w:rPr>
                <w:rFonts w:ascii="Times New Roman" w:hAnsi="Times New Roman" w:cs="Times New Roman"/>
                <w:szCs w:val="21"/>
              </w:rPr>
            </w:pPr>
            <w:r>
              <w:rPr>
                <w:rFonts w:hint="eastAsia" w:ascii="Times New Roman" w:hAnsi="Times New Roman" w:cs="Times New Roman"/>
                <w:szCs w:val="21"/>
              </w:rPr>
              <w:t>149512.5</w:t>
            </w:r>
          </w:p>
        </w:tc>
        <w:tc>
          <w:tcPr>
            <w:tcW w:w="1202" w:type="dxa"/>
            <w:tcBorders>
              <w:bottom w:val="single" w:color="auto" w:sz="4" w:space="0"/>
            </w:tcBorders>
          </w:tcPr>
          <w:p>
            <w:pPr>
              <w:spacing w:line="360" w:lineRule="auto"/>
              <w:rPr>
                <w:rFonts w:ascii="Times New Roman" w:hAnsi="Times New Roman" w:cs="Times New Roman"/>
                <w:szCs w:val="21"/>
              </w:rPr>
            </w:pPr>
            <w:r>
              <w:rPr>
                <w:rFonts w:hint="eastAsia" w:ascii="Times New Roman" w:hAnsi="Times New Roman" w:cs="Times New Roman"/>
                <w:szCs w:val="21"/>
              </w:rPr>
              <w:t>302187</w:t>
            </w:r>
          </w:p>
        </w:tc>
        <w:tc>
          <w:tcPr>
            <w:tcW w:w="1202" w:type="dxa"/>
            <w:tcBorders>
              <w:bottom w:val="single" w:color="auto" w:sz="4" w:space="0"/>
            </w:tcBorders>
          </w:tcPr>
          <w:p>
            <w:pPr>
              <w:spacing w:line="360" w:lineRule="auto"/>
              <w:rPr>
                <w:rFonts w:ascii="Times New Roman" w:hAnsi="Times New Roman" w:cs="Times New Roman"/>
                <w:szCs w:val="21"/>
              </w:rPr>
            </w:pPr>
            <w:r>
              <w:rPr>
                <w:rFonts w:hint="eastAsia" w:ascii="Times New Roman" w:hAnsi="Times New Roman" w:cs="Times New Roman"/>
                <w:szCs w:val="21"/>
              </w:rPr>
              <w:t>453439</w:t>
            </w:r>
          </w:p>
        </w:tc>
        <w:tc>
          <w:tcPr>
            <w:tcW w:w="1202" w:type="dxa"/>
            <w:tcBorders>
              <w:bottom w:val="single" w:color="auto" w:sz="4" w:space="0"/>
            </w:tcBorders>
          </w:tcPr>
          <w:p>
            <w:pPr>
              <w:spacing w:line="360" w:lineRule="auto"/>
              <w:rPr>
                <w:rFonts w:ascii="Times New Roman" w:hAnsi="Times New Roman" w:cs="Times New Roman"/>
                <w:szCs w:val="21"/>
              </w:rPr>
            </w:pPr>
            <w:r>
              <w:rPr>
                <w:rFonts w:hint="eastAsia" w:ascii="Times New Roman" w:hAnsi="Times New Roman" w:cs="Times New Roman"/>
                <w:szCs w:val="21"/>
              </w:rPr>
              <w:t>597994.5</w:t>
            </w:r>
          </w:p>
        </w:tc>
        <w:tc>
          <w:tcPr>
            <w:tcW w:w="1202" w:type="dxa"/>
            <w:tcBorders>
              <w:bottom w:val="single" w:color="auto" w:sz="4" w:space="0"/>
            </w:tcBorders>
          </w:tcPr>
          <w:p>
            <w:pPr>
              <w:spacing w:line="360" w:lineRule="auto"/>
              <w:rPr>
                <w:rFonts w:ascii="Times New Roman" w:hAnsi="Times New Roman" w:cs="Times New Roman"/>
                <w:szCs w:val="21"/>
              </w:rPr>
            </w:pPr>
            <w:r>
              <w:rPr>
                <w:rFonts w:hint="eastAsia" w:ascii="Times New Roman" w:hAnsi="Times New Roman" w:cs="Times New Roman"/>
                <w:szCs w:val="21"/>
              </w:rPr>
              <w:t>760194</w:t>
            </w:r>
          </w:p>
        </w:tc>
      </w:tr>
    </w:tbl>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drawing>
          <wp:inline distT="0" distB="0" distL="0" distR="0">
            <wp:extent cx="5029200" cy="2809875"/>
            <wp:effectExtent l="19050" t="0" r="1905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 xml:space="preserve">.4.3  </w:t>
      </w:r>
      <w:r>
        <w:rPr>
          <w:rFonts w:ascii="Times New Roman" w:cs="Times New Roman"/>
        </w:rPr>
        <w:t>精密度考察</w:t>
      </w:r>
    </w:p>
    <w:p>
      <w:pPr>
        <w:spacing w:line="360" w:lineRule="auto"/>
        <w:ind w:firstLine="480" w:firstLineChars="200"/>
        <w:rPr>
          <w:rFonts w:ascii="Times New Roman" w:hAnsi="Times New Roman" w:cs="Times New Roman"/>
        </w:rPr>
      </w:pPr>
      <w:r>
        <w:rPr>
          <w:rFonts w:ascii="Times New Roman" w:cs="Times New Roman"/>
        </w:rPr>
        <w:t>精密</w:t>
      </w:r>
      <w:r>
        <w:rPr>
          <w:rFonts w:hint="eastAsia" w:ascii="Times New Roman" w:cs="Times New Roman"/>
        </w:rPr>
        <w:t>称取蛇泡筋根药材粉末（202201007，过二号筛）0.5g</w:t>
      </w:r>
      <w:r>
        <w:rPr>
          <w:rFonts w:ascii="Times New Roman" w:cs="Times New Roman"/>
        </w:rPr>
        <w:t>，</w:t>
      </w:r>
      <w:r>
        <w:rPr>
          <w:rFonts w:hint="eastAsia" w:ascii="Times New Roman" w:cs="Times New Roman"/>
        </w:rPr>
        <w:t>置具塞锥形瓶中，加入70%乙醇50ml，称定重量，超声提取20分钟，取出，放冷，以70%乙醇补足减失的重量，滤过，取续滤液</w:t>
      </w:r>
      <w:r>
        <w:rPr>
          <w:rFonts w:ascii="Times New Roman" w:cs="Times New Roman"/>
        </w:rPr>
        <w:t>连续进样</w:t>
      </w:r>
      <w:r>
        <w:rPr>
          <w:rFonts w:hint="eastAsia" w:ascii="Times New Roman" w:hAnsi="Times New Roman" w:cs="Times New Roman"/>
        </w:rPr>
        <w:t>6</w:t>
      </w:r>
      <w:r>
        <w:rPr>
          <w:rFonts w:ascii="Times New Roman" w:cs="Times New Roman"/>
        </w:rPr>
        <w:t>次，记录</w:t>
      </w:r>
      <w:r>
        <w:rPr>
          <w:rFonts w:hint="eastAsia" w:ascii="Times New Roman" w:cs="Times New Roman"/>
        </w:rPr>
        <w:t>表儿茶素的</w:t>
      </w:r>
      <w:r>
        <w:rPr>
          <w:rFonts w:ascii="Times New Roman" w:cs="Times New Roman"/>
        </w:rPr>
        <w:t>峰面积，并计算</w:t>
      </w:r>
      <w:r>
        <w:rPr>
          <w:rFonts w:ascii="Times New Roman" w:hAnsi="Times New Roman" w:cs="Times New Roman"/>
        </w:rPr>
        <w:t>RSD</w:t>
      </w:r>
      <w:r>
        <w:rPr>
          <w:rFonts w:ascii="Times New Roman" w:cs="Times New Roman"/>
        </w:rPr>
        <w:t>值以考察精密度，结果见表</w:t>
      </w:r>
      <w:r>
        <w:rPr>
          <w:rFonts w:hint="eastAsia" w:ascii="Times New Roman" w:hAnsi="Times New Roman" w:cs="Times New Roman"/>
        </w:rPr>
        <w:t>10</w:t>
      </w:r>
      <w:r>
        <w:rPr>
          <w:rFonts w:ascii="Times New Roman" w:cs="Times New Roman"/>
        </w:rPr>
        <w:t>。结果表明：</w:t>
      </w:r>
      <w:r>
        <w:rPr>
          <w:rFonts w:hint="eastAsia" w:ascii="Times New Roman" w:cs="Times New Roman"/>
        </w:rPr>
        <w:t>表儿茶素峰面积</w:t>
      </w:r>
      <w:r>
        <w:rPr>
          <w:rFonts w:ascii="Times New Roman" w:cs="Times New Roman"/>
        </w:rPr>
        <w:t>的</w:t>
      </w:r>
      <w:r>
        <w:rPr>
          <w:rFonts w:ascii="Times New Roman" w:hAnsi="Times New Roman" w:cs="Times New Roman"/>
        </w:rPr>
        <w:t>RSD</w:t>
      </w:r>
      <w:r>
        <w:rPr>
          <w:rFonts w:ascii="Times New Roman" w:cs="Times New Roman"/>
        </w:rPr>
        <w:t>为</w:t>
      </w:r>
      <w:r>
        <w:rPr>
          <w:rFonts w:hint="eastAsia" w:ascii="Times New Roman" w:hAnsi="Times New Roman" w:cs="Times New Roman"/>
        </w:rPr>
        <w:t>0.41</w:t>
      </w:r>
      <w:r>
        <w:rPr>
          <w:rFonts w:ascii="Times New Roman" w:hAnsi="Times New Roman" w:cs="Times New Roman"/>
        </w:rPr>
        <w:t>%</w:t>
      </w:r>
      <w:r>
        <w:rPr>
          <w:rFonts w:ascii="Times New Roman" w:cs="Times New Roman"/>
        </w:rPr>
        <w:t>，说明仪器精密度良好。</w:t>
      </w:r>
    </w:p>
    <w:p>
      <w:pPr>
        <w:spacing w:line="360" w:lineRule="auto"/>
        <w:jc w:val="center"/>
        <w:rPr>
          <w:rFonts w:ascii="Times New Roman" w:hAnsi="Times New Roman" w:eastAsia="黑体" w:cs="Times New Roman"/>
          <w:szCs w:val="21"/>
        </w:rPr>
      </w:pPr>
      <w:r>
        <w:rPr>
          <w:rFonts w:ascii="Times New Roman" w:hAnsi="黑体" w:eastAsia="黑体" w:cs="Times New Roman"/>
          <w:szCs w:val="21"/>
        </w:rPr>
        <w:t>表</w:t>
      </w:r>
      <w:r>
        <w:rPr>
          <w:rFonts w:hint="eastAsia" w:ascii="Times New Roman" w:hAnsi="Times New Roman" w:eastAsia="黑体" w:cs="Times New Roman"/>
          <w:szCs w:val="21"/>
        </w:rPr>
        <w:t>10</w:t>
      </w:r>
      <w:r>
        <w:rPr>
          <w:rFonts w:ascii="Times New Roman" w:hAnsi="黑体" w:eastAsia="黑体" w:cs="Times New Roman"/>
          <w:szCs w:val="21"/>
        </w:rPr>
        <w:t>精密度考察</w:t>
      </w:r>
    </w:p>
    <w:tbl>
      <w:tblPr>
        <w:tblStyle w:val="8"/>
        <w:tblW w:w="8522"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14"/>
        <w:gridCol w:w="2183"/>
        <w:gridCol w:w="2113"/>
        <w:gridCol w:w="211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114"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ascii="Times New Roman" w:cs="Times New Roman"/>
                <w:i/>
                <w:iCs/>
                <w:szCs w:val="21"/>
              </w:rPr>
              <w:t>序号</w:t>
            </w:r>
          </w:p>
        </w:tc>
        <w:tc>
          <w:tcPr>
            <w:tcW w:w="2183"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cs="Times New Roman"/>
                <w:i/>
                <w:iCs/>
                <w:szCs w:val="21"/>
              </w:rPr>
              <w:t>峰面积</w:t>
            </w:r>
          </w:p>
        </w:tc>
        <w:tc>
          <w:tcPr>
            <w:tcW w:w="2113"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hAnsi="Times New Roman" w:cs="Times New Roman"/>
                <w:i/>
                <w:iCs/>
                <w:szCs w:val="21"/>
              </w:rPr>
              <w:t>平均峰面积</w:t>
            </w:r>
          </w:p>
        </w:tc>
        <w:tc>
          <w:tcPr>
            <w:tcW w:w="2112"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hAnsi="Times New Roman" w:cs="Times New Roman"/>
                <w:i/>
                <w:iCs/>
                <w:szCs w:val="21"/>
              </w:rPr>
              <w:t>RSD</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114" w:type="dxa"/>
          </w:tcPr>
          <w:p>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218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374002</w:t>
            </w:r>
          </w:p>
        </w:tc>
        <w:tc>
          <w:tcPr>
            <w:tcW w:w="2113"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w:t>
            </w:r>
            <w:r>
              <w:rPr>
                <w:rFonts w:hint="eastAsia" w:ascii="Times New Roman" w:hAnsi="Times New Roman" w:cs="Times New Roman"/>
                <w:szCs w:val="21"/>
              </w:rPr>
              <w:t>75742</w:t>
            </w:r>
          </w:p>
        </w:tc>
        <w:tc>
          <w:tcPr>
            <w:tcW w:w="2112"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0.41</w:t>
            </w:r>
            <w:r>
              <w:rPr>
                <w:rFonts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114" w:type="dxa"/>
          </w:tcPr>
          <w:p>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218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376735</w:t>
            </w:r>
          </w:p>
        </w:tc>
        <w:tc>
          <w:tcPr>
            <w:tcW w:w="2113" w:type="dxa"/>
            <w:vMerge w:val="continue"/>
          </w:tcPr>
          <w:p>
            <w:pPr>
              <w:spacing w:line="360" w:lineRule="auto"/>
              <w:jc w:val="center"/>
              <w:rPr>
                <w:rFonts w:ascii="Times New Roman" w:hAnsi="Times New Roman" w:cs="Times New Roman"/>
                <w:szCs w:val="21"/>
              </w:rPr>
            </w:pPr>
          </w:p>
        </w:tc>
        <w:tc>
          <w:tcPr>
            <w:tcW w:w="2112"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114" w:type="dxa"/>
          </w:tcPr>
          <w:p>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218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376452</w:t>
            </w:r>
          </w:p>
        </w:tc>
        <w:tc>
          <w:tcPr>
            <w:tcW w:w="2113" w:type="dxa"/>
            <w:vMerge w:val="continue"/>
          </w:tcPr>
          <w:p>
            <w:pPr>
              <w:spacing w:line="360" w:lineRule="auto"/>
              <w:jc w:val="center"/>
              <w:rPr>
                <w:rFonts w:ascii="Times New Roman" w:hAnsi="Times New Roman" w:cs="Times New Roman"/>
                <w:szCs w:val="21"/>
              </w:rPr>
            </w:pPr>
          </w:p>
        </w:tc>
        <w:tc>
          <w:tcPr>
            <w:tcW w:w="2112"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114" w:type="dxa"/>
          </w:tcPr>
          <w:p>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2183" w:type="dxa"/>
          </w:tcPr>
          <w:p>
            <w:pPr>
              <w:spacing w:line="360" w:lineRule="auto"/>
              <w:jc w:val="center"/>
              <w:rPr>
                <w:rFonts w:ascii="Times New Roman" w:hAnsi="Times New Roman" w:cs="Times New Roman"/>
                <w:szCs w:val="21"/>
              </w:rPr>
            </w:pPr>
            <w:r>
              <w:rPr>
                <w:rFonts w:ascii="Times New Roman" w:hAnsi="Times New Roman" w:cs="Times New Roman"/>
                <w:szCs w:val="21"/>
              </w:rPr>
              <w:t>3</w:t>
            </w:r>
            <w:r>
              <w:rPr>
                <w:rFonts w:hint="eastAsia" w:ascii="Times New Roman" w:hAnsi="Times New Roman" w:cs="Times New Roman"/>
                <w:szCs w:val="21"/>
              </w:rPr>
              <w:t>77878</w:t>
            </w:r>
          </w:p>
        </w:tc>
        <w:tc>
          <w:tcPr>
            <w:tcW w:w="2113" w:type="dxa"/>
            <w:vMerge w:val="continue"/>
          </w:tcPr>
          <w:p>
            <w:pPr>
              <w:spacing w:line="360" w:lineRule="auto"/>
              <w:jc w:val="center"/>
              <w:rPr>
                <w:rFonts w:ascii="Times New Roman" w:hAnsi="Times New Roman" w:cs="Times New Roman"/>
                <w:szCs w:val="21"/>
              </w:rPr>
            </w:pPr>
          </w:p>
        </w:tc>
        <w:tc>
          <w:tcPr>
            <w:tcW w:w="2112"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114" w:type="dxa"/>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2183" w:type="dxa"/>
          </w:tcPr>
          <w:p>
            <w:pPr>
              <w:spacing w:line="360" w:lineRule="auto"/>
              <w:jc w:val="center"/>
              <w:rPr>
                <w:rFonts w:ascii="Times New Roman" w:hAnsi="Times New Roman" w:cs="Times New Roman"/>
                <w:szCs w:val="21"/>
              </w:rPr>
            </w:pPr>
            <w:r>
              <w:rPr>
                <w:rFonts w:ascii="Times New Roman" w:hAnsi="Times New Roman" w:cs="Times New Roman"/>
                <w:szCs w:val="21"/>
              </w:rPr>
              <w:t>3</w:t>
            </w:r>
            <w:r>
              <w:rPr>
                <w:rFonts w:hint="eastAsia" w:ascii="Times New Roman" w:hAnsi="Times New Roman" w:cs="Times New Roman"/>
                <w:szCs w:val="21"/>
              </w:rPr>
              <w:t>75079</w:t>
            </w:r>
          </w:p>
        </w:tc>
        <w:tc>
          <w:tcPr>
            <w:tcW w:w="2113" w:type="dxa"/>
            <w:vMerge w:val="continue"/>
          </w:tcPr>
          <w:p>
            <w:pPr>
              <w:spacing w:line="360" w:lineRule="auto"/>
              <w:jc w:val="center"/>
              <w:rPr>
                <w:rFonts w:ascii="Times New Roman" w:hAnsi="Times New Roman" w:cs="Times New Roman"/>
                <w:szCs w:val="21"/>
              </w:rPr>
            </w:pPr>
          </w:p>
        </w:tc>
        <w:tc>
          <w:tcPr>
            <w:tcW w:w="2112"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114" w:type="dxa"/>
          </w:tcPr>
          <w:p>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218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374306</w:t>
            </w:r>
          </w:p>
        </w:tc>
        <w:tc>
          <w:tcPr>
            <w:tcW w:w="2113" w:type="dxa"/>
            <w:vMerge w:val="continue"/>
          </w:tcPr>
          <w:p>
            <w:pPr>
              <w:spacing w:line="360" w:lineRule="auto"/>
              <w:jc w:val="center"/>
              <w:rPr>
                <w:rFonts w:ascii="Times New Roman" w:hAnsi="Times New Roman" w:cs="Times New Roman"/>
                <w:szCs w:val="21"/>
              </w:rPr>
            </w:pPr>
          </w:p>
        </w:tc>
        <w:tc>
          <w:tcPr>
            <w:tcW w:w="2112" w:type="dxa"/>
            <w:vMerge w:val="continue"/>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.4.4</w:t>
      </w:r>
      <w:r>
        <w:rPr>
          <w:rFonts w:hint="eastAsia" w:ascii="Times New Roman" w:cs="Times New Roman"/>
        </w:rPr>
        <w:t>稳定性</w:t>
      </w:r>
      <w:r>
        <w:rPr>
          <w:rFonts w:ascii="Times New Roman" w:cs="Times New Roman"/>
        </w:rPr>
        <w:t>考察</w:t>
      </w:r>
    </w:p>
    <w:p>
      <w:pPr>
        <w:spacing w:line="360" w:lineRule="auto"/>
        <w:ind w:firstLine="480" w:firstLineChars="200"/>
        <w:rPr>
          <w:rFonts w:ascii="Times New Roman" w:hAnsi="Times New Roman" w:cs="Times New Roman"/>
        </w:rPr>
      </w:pPr>
      <w:r>
        <w:rPr>
          <w:rFonts w:ascii="Times New Roman" w:cs="Times New Roman"/>
        </w:rPr>
        <w:t>精密</w:t>
      </w:r>
      <w:r>
        <w:rPr>
          <w:rFonts w:hint="eastAsia" w:ascii="Times New Roman" w:cs="Times New Roman"/>
        </w:rPr>
        <w:t>称取蛇泡筋根药材粉末（202201007，过二号筛）0.5g</w:t>
      </w:r>
      <w:r>
        <w:rPr>
          <w:rFonts w:ascii="Times New Roman" w:cs="Times New Roman"/>
        </w:rPr>
        <w:t>，</w:t>
      </w:r>
      <w:r>
        <w:rPr>
          <w:rFonts w:hint="eastAsia" w:ascii="Times New Roman" w:cs="Times New Roman"/>
        </w:rPr>
        <w:t>置具塞锥形瓶中，加入70%乙醇50ml，称定重量，超声提取20分钟，取出，放冷，以70%乙醇补足减失的重量，滤过，取续滤液分别与0h、2h、4h、6h、8h、12h、16h和20h、24h</w:t>
      </w:r>
      <w:r>
        <w:rPr>
          <w:rFonts w:ascii="Times New Roman" w:cs="Times New Roman"/>
        </w:rPr>
        <w:t>进样，记录</w:t>
      </w:r>
      <w:r>
        <w:rPr>
          <w:rFonts w:hint="eastAsia" w:ascii="Times New Roman" w:cs="Times New Roman"/>
        </w:rPr>
        <w:t>表儿茶素的</w:t>
      </w:r>
      <w:r>
        <w:rPr>
          <w:rFonts w:ascii="Times New Roman" w:cs="Times New Roman"/>
        </w:rPr>
        <w:t>峰面积，并计算</w:t>
      </w:r>
      <w:r>
        <w:rPr>
          <w:rFonts w:ascii="Times New Roman" w:hAnsi="Times New Roman" w:cs="Times New Roman"/>
        </w:rPr>
        <w:t>RSD</w:t>
      </w:r>
      <w:r>
        <w:rPr>
          <w:rFonts w:ascii="Times New Roman" w:cs="Times New Roman"/>
        </w:rPr>
        <w:t>值以考</w:t>
      </w:r>
      <w:r>
        <w:rPr>
          <w:rFonts w:hint="eastAsia" w:ascii="Times New Roman" w:cs="Times New Roman"/>
        </w:rPr>
        <w:t>样品稳定性</w:t>
      </w:r>
      <w:r>
        <w:rPr>
          <w:rFonts w:ascii="Times New Roman" w:cs="Times New Roman"/>
        </w:rPr>
        <w:t>，结果见表</w:t>
      </w:r>
      <w:r>
        <w:rPr>
          <w:rFonts w:ascii="Times New Roman" w:hAnsi="Times New Roman" w:cs="Times New Roman"/>
        </w:rPr>
        <w:t>1</w:t>
      </w:r>
      <w:r>
        <w:rPr>
          <w:rFonts w:hint="eastAsia" w:ascii="Times New Roman" w:hAnsi="Times New Roman" w:cs="Times New Roman"/>
        </w:rPr>
        <w:t>1</w:t>
      </w:r>
      <w:r>
        <w:rPr>
          <w:rFonts w:ascii="Times New Roman" w:cs="Times New Roman"/>
        </w:rPr>
        <w:t>。结果表明：</w:t>
      </w:r>
      <w:r>
        <w:rPr>
          <w:rFonts w:hint="eastAsia" w:ascii="Times New Roman" w:cs="Times New Roman"/>
        </w:rPr>
        <w:t>表儿茶素在24h内稳定，峰面积</w:t>
      </w:r>
      <w:r>
        <w:rPr>
          <w:rFonts w:ascii="Times New Roman" w:cs="Times New Roman"/>
        </w:rPr>
        <w:t>的</w:t>
      </w:r>
      <w:r>
        <w:rPr>
          <w:rFonts w:ascii="Times New Roman" w:hAnsi="Times New Roman" w:cs="Times New Roman"/>
        </w:rPr>
        <w:t>RSD</w:t>
      </w:r>
      <w:r>
        <w:rPr>
          <w:rFonts w:ascii="Times New Roman" w:cs="Times New Roman"/>
        </w:rPr>
        <w:t>为</w:t>
      </w:r>
      <w:r>
        <w:rPr>
          <w:rFonts w:hint="eastAsia" w:ascii="Times New Roman" w:hAnsi="Times New Roman" w:cs="Times New Roman"/>
        </w:rPr>
        <w:t>0.76</w:t>
      </w:r>
      <w:r>
        <w:rPr>
          <w:rFonts w:ascii="Times New Roman" w:hAnsi="Times New Roman" w:cs="Times New Roman"/>
        </w:rPr>
        <w:t>%</w:t>
      </w:r>
      <w:r>
        <w:rPr>
          <w:rFonts w:ascii="Times New Roman" w:cs="Times New Roman"/>
        </w:rPr>
        <w:t>。</w:t>
      </w:r>
    </w:p>
    <w:p>
      <w:pPr>
        <w:spacing w:line="360" w:lineRule="auto"/>
        <w:ind w:firstLine="480" w:firstLineChars="200"/>
        <w:jc w:val="center"/>
        <w:rPr>
          <w:rFonts w:ascii="Times New Roman" w:hAnsi="Times New Roman" w:cs="Times New Roman"/>
        </w:rPr>
      </w:pPr>
    </w:p>
    <w:p>
      <w:pPr>
        <w:spacing w:line="360" w:lineRule="auto"/>
        <w:ind w:firstLine="480" w:firstLineChars="200"/>
        <w:jc w:val="center"/>
        <w:rPr>
          <w:rFonts w:ascii="Times New Roman" w:hAnsi="Times New Roman" w:eastAsia="黑体" w:cs="Times New Roman"/>
          <w:szCs w:val="21"/>
        </w:rPr>
      </w:pPr>
      <w:r>
        <w:rPr>
          <w:rFonts w:ascii="Times New Roman" w:hAnsi="黑体" w:eastAsia="黑体" w:cs="Times New Roman"/>
          <w:szCs w:val="21"/>
        </w:rPr>
        <w:t>表</w:t>
      </w:r>
      <w:r>
        <w:rPr>
          <w:rFonts w:ascii="Times New Roman" w:hAnsi="Times New Roman" w:eastAsia="黑体" w:cs="Times New Roman"/>
          <w:szCs w:val="21"/>
        </w:rPr>
        <w:t>1</w:t>
      </w:r>
      <w:r>
        <w:rPr>
          <w:rFonts w:hint="eastAsia" w:ascii="Times New Roman" w:hAnsi="Times New Roman" w:eastAsia="黑体" w:cs="Times New Roman"/>
          <w:szCs w:val="21"/>
        </w:rPr>
        <w:t>1</w:t>
      </w:r>
      <w:r>
        <w:rPr>
          <w:rFonts w:ascii="Times New Roman" w:hAnsi="黑体" w:eastAsia="黑体" w:cs="Times New Roman"/>
          <w:szCs w:val="21"/>
        </w:rPr>
        <w:t>稳定性考察结果</w:t>
      </w:r>
    </w:p>
    <w:tbl>
      <w:tblPr>
        <w:tblStyle w:val="8"/>
        <w:tblW w:w="8522"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23"/>
        <w:gridCol w:w="2139"/>
        <w:gridCol w:w="1979"/>
        <w:gridCol w:w="268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ascii="Times New Roman" w:cs="Times New Roman"/>
                <w:i/>
                <w:iCs/>
                <w:szCs w:val="21"/>
              </w:rPr>
              <w:t>时间</w:t>
            </w:r>
          </w:p>
        </w:tc>
        <w:tc>
          <w:tcPr>
            <w:tcW w:w="2139"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cs="Times New Roman"/>
                <w:i/>
                <w:iCs/>
                <w:szCs w:val="21"/>
              </w:rPr>
              <w:t>峰面积</w:t>
            </w:r>
          </w:p>
        </w:tc>
        <w:tc>
          <w:tcPr>
            <w:tcW w:w="1979"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cs="Times New Roman"/>
                <w:i/>
                <w:iCs/>
                <w:szCs w:val="21"/>
              </w:rPr>
              <w:t>平均峰面积</w:t>
            </w:r>
          </w:p>
        </w:tc>
        <w:tc>
          <w:tcPr>
            <w:tcW w:w="2681"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cs="Times New Roman"/>
                <w:i/>
                <w:iCs/>
                <w:szCs w:val="21"/>
              </w:rPr>
              <w:t>RSD</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ascii="Times New Roman" w:hAnsi="Times New Roman" w:cs="Times New Roman"/>
                <w:szCs w:val="21"/>
              </w:rPr>
              <w:t>0h</w:t>
            </w:r>
          </w:p>
        </w:tc>
        <w:tc>
          <w:tcPr>
            <w:tcW w:w="213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344497</w:t>
            </w:r>
          </w:p>
        </w:tc>
        <w:tc>
          <w:tcPr>
            <w:tcW w:w="1979" w:type="dxa"/>
            <w:vMerge w:val="restart"/>
          </w:tcPr>
          <w:p>
            <w:pPr>
              <w:spacing w:line="360" w:lineRule="auto"/>
              <w:jc w:val="center"/>
              <w:rPr>
                <w:rFonts w:ascii="Times New Roman" w:hAnsi="Times New Roman" w:cs="Times New Roman"/>
                <w:szCs w:val="21"/>
              </w:rPr>
            </w:pPr>
            <w:r>
              <w:rPr>
                <w:rFonts w:hint="eastAsia" w:ascii="Times New Roman" w:hAnsi="Times New Roman" w:cs="Times New Roman"/>
                <w:szCs w:val="21"/>
              </w:rPr>
              <w:t>347555.2</w:t>
            </w:r>
          </w:p>
        </w:tc>
        <w:tc>
          <w:tcPr>
            <w:tcW w:w="2681" w:type="dxa"/>
            <w:vMerge w:val="restart"/>
          </w:tcPr>
          <w:p>
            <w:pPr>
              <w:spacing w:line="360" w:lineRule="auto"/>
              <w:jc w:val="center"/>
              <w:rPr>
                <w:rFonts w:ascii="Times New Roman" w:hAnsi="Times New Roman" w:cs="Times New Roman"/>
                <w:szCs w:val="21"/>
              </w:rPr>
            </w:pPr>
            <w:r>
              <w:rPr>
                <w:rFonts w:hint="eastAsia" w:ascii="Times New Roman" w:hAnsi="Times New Roman" w:cs="Times New Roman"/>
                <w:szCs w:val="21"/>
              </w:rPr>
              <w:t>0.0076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ascii="Times New Roman" w:hAnsi="Times New Roman" w:cs="Times New Roman"/>
                <w:szCs w:val="21"/>
              </w:rPr>
              <w:t>2h</w:t>
            </w:r>
          </w:p>
        </w:tc>
        <w:tc>
          <w:tcPr>
            <w:tcW w:w="213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345899</w:t>
            </w:r>
          </w:p>
        </w:tc>
        <w:tc>
          <w:tcPr>
            <w:tcW w:w="1979" w:type="dxa"/>
            <w:vMerge w:val="continue"/>
          </w:tcPr>
          <w:p>
            <w:pPr>
              <w:spacing w:line="360" w:lineRule="auto"/>
              <w:jc w:val="center"/>
              <w:rPr>
                <w:rFonts w:ascii="Times New Roman" w:hAnsi="Times New Roman" w:cs="Times New Roman"/>
                <w:szCs w:val="21"/>
              </w:rPr>
            </w:pPr>
          </w:p>
        </w:tc>
        <w:tc>
          <w:tcPr>
            <w:tcW w:w="2681"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h</w:t>
            </w:r>
          </w:p>
        </w:tc>
        <w:tc>
          <w:tcPr>
            <w:tcW w:w="213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347046</w:t>
            </w:r>
          </w:p>
        </w:tc>
        <w:tc>
          <w:tcPr>
            <w:tcW w:w="1979" w:type="dxa"/>
            <w:vMerge w:val="continue"/>
          </w:tcPr>
          <w:p>
            <w:pPr>
              <w:spacing w:line="360" w:lineRule="auto"/>
              <w:jc w:val="center"/>
              <w:rPr>
                <w:rFonts w:ascii="Times New Roman" w:hAnsi="Times New Roman" w:cs="Times New Roman"/>
                <w:szCs w:val="21"/>
              </w:rPr>
            </w:pPr>
          </w:p>
        </w:tc>
        <w:tc>
          <w:tcPr>
            <w:tcW w:w="2681"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h</w:t>
            </w:r>
          </w:p>
        </w:tc>
        <w:tc>
          <w:tcPr>
            <w:tcW w:w="2139" w:type="dxa"/>
          </w:tcPr>
          <w:p>
            <w:pPr>
              <w:spacing w:line="360" w:lineRule="auto"/>
              <w:jc w:val="center"/>
              <w:rPr>
                <w:rFonts w:ascii="Times New Roman" w:hAnsi="Times New Roman" w:cs="Times New Roman"/>
                <w:szCs w:val="21"/>
              </w:rPr>
            </w:pPr>
            <w:r>
              <w:rPr>
                <w:rFonts w:ascii="Times New Roman" w:hAnsi="Times New Roman" w:cs="Times New Roman"/>
                <w:szCs w:val="21"/>
              </w:rPr>
              <w:t>34</w:t>
            </w:r>
            <w:r>
              <w:rPr>
                <w:rFonts w:hint="eastAsia" w:ascii="Times New Roman" w:hAnsi="Times New Roman" w:cs="Times New Roman"/>
                <w:szCs w:val="21"/>
              </w:rPr>
              <w:t>7965</w:t>
            </w:r>
          </w:p>
        </w:tc>
        <w:tc>
          <w:tcPr>
            <w:tcW w:w="1979" w:type="dxa"/>
            <w:vMerge w:val="continue"/>
          </w:tcPr>
          <w:p>
            <w:pPr>
              <w:spacing w:line="360" w:lineRule="auto"/>
              <w:jc w:val="center"/>
              <w:rPr>
                <w:rFonts w:ascii="Times New Roman" w:hAnsi="Times New Roman" w:cs="Times New Roman"/>
                <w:szCs w:val="21"/>
              </w:rPr>
            </w:pPr>
          </w:p>
        </w:tc>
        <w:tc>
          <w:tcPr>
            <w:tcW w:w="2681"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8</w:t>
            </w:r>
            <w:r>
              <w:rPr>
                <w:rFonts w:ascii="Times New Roman" w:hAnsi="Times New Roman" w:cs="Times New Roman"/>
                <w:szCs w:val="21"/>
              </w:rPr>
              <w:t>h</w:t>
            </w:r>
          </w:p>
        </w:tc>
        <w:tc>
          <w:tcPr>
            <w:tcW w:w="213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348799</w:t>
            </w:r>
          </w:p>
        </w:tc>
        <w:tc>
          <w:tcPr>
            <w:tcW w:w="1979" w:type="dxa"/>
            <w:vMerge w:val="continue"/>
          </w:tcPr>
          <w:p>
            <w:pPr>
              <w:spacing w:line="360" w:lineRule="auto"/>
              <w:jc w:val="center"/>
              <w:rPr>
                <w:rFonts w:ascii="Times New Roman" w:hAnsi="Times New Roman" w:cs="Times New Roman"/>
                <w:szCs w:val="21"/>
              </w:rPr>
            </w:pPr>
          </w:p>
        </w:tc>
        <w:tc>
          <w:tcPr>
            <w:tcW w:w="2681"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12</w:t>
            </w:r>
            <w:r>
              <w:rPr>
                <w:rFonts w:ascii="Times New Roman" w:hAnsi="Times New Roman" w:cs="Times New Roman"/>
                <w:szCs w:val="21"/>
              </w:rPr>
              <w:t>h</w:t>
            </w:r>
          </w:p>
        </w:tc>
        <w:tc>
          <w:tcPr>
            <w:tcW w:w="2139" w:type="dxa"/>
          </w:tcPr>
          <w:p>
            <w:pPr>
              <w:spacing w:line="360" w:lineRule="auto"/>
              <w:jc w:val="center"/>
              <w:rPr>
                <w:rFonts w:ascii="Times New Roman" w:hAnsi="Times New Roman" w:cs="Times New Roman"/>
                <w:szCs w:val="21"/>
              </w:rPr>
            </w:pPr>
            <w:r>
              <w:rPr>
                <w:rFonts w:ascii="Times New Roman" w:hAnsi="Times New Roman" w:cs="Times New Roman"/>
                <w:szCs w:val="21"/>
              </w:rPr>
              <w:t>3</w:t>
            </w:r>
            <w:r>
              <w:rPr>
                <w:rFonts w:hint="eastAsia" w:ascii="Times New Roman" w:hAnsi="Times New Roman" w:cs="Times New Roman"/>
                <w:szCs w:val="21"/>
              </w:rPr>
              <w:t>46652</w:t>
            </w:r>
          </w:p>
        </w:tc>
        <w:tc>
          <w:tcPr>
            <w:tcW w:w="1979" w:type="dxa"/>
            <w:vMerge w:val="continue"/>
          </w:tcPr>
          <w:p>
            <w:pPr>
              <w:spacing w:line="360" w:lineRule="auto"/>
              <w:jc w:val="center"/>
              <w:rPr>
                <w:rFonts w:ascii="Times New Roman" w:hAnsi="Times New Roman" w:cs="Times New Roman"/>
                <w:szCs w:val="21"/>
              </w:rPr>
            </w:pPr>
          </w:p>
        </w:tc>
        <w:tc>
          <w:tcPr>
            <w:tcW w:w="2681"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16h</w:t>
            </w:r>
          </w:p>
        </w:tc>
        <w:tc>
          <w:tcPr>
            <w:tcW w:w="213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346512</w:t>
            </w:r>
          </w:p>
        </w:tc>
        <w:tc>
          <w:tcPr>
            <w:tcW w:w="1979" w:type="dxa"/>
            <w:vMerge w:val="continue"/>
          </w:tcPr>
          <w:p>
            <w:pPr>
              <w:spacing w:line="360" w:lineRule="auto"/>
              <w:jc w:val="center"/>
              <w:rPr>
                <w:rFonts w:ascii="Times New Roman" w:hAnsi="Times New Roman" w:cs="Times New Roman"/>
                <w:szCs w:val="21"/>
              </w:rPr>
            </w:pPr>
          </w:p>
        </w:tc>
        <w:tc>
          <w:tcPr>
            <w:tcW w:w="2681"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20h</w:t>
            </w:r>
          </w:p>
        </w:tc>
        <w:tc>
          <w:tcPr>
            <w:tcW w:w="213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346821</w:t>
            </w:r>
          </w:p>
        </w:tc>
        <w:tc>
          <w:tcPr>
            <w:tcW w:w="1979" w:type="dxa"/>
            <w:vMerge w:val="continue"/>
          </w:tcPr>
          <w:p>
            <w:pPr>
              <w:spacing w:line="360" w:lineRule="auto"/>
              <w:jc w:val="center"/>
              <w:rPr>
                <w:rFonts w:ascii="Times New Roman" w:hAnsi="Times New Roman" w:cs="Times New Roman"/>
                <w:szCs w:val="21"/>
              </w:rPr>
            </w:pPr>
          </w:p>
        </w:tc>
        <w:tc>
          <w:tcPr>
            <w:tcW w:w="2681"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72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24h</w:t>
            </w:r>
          </w:p>
        </w:tc>
        <w:tc>
          <w:tcPr>
            <w:tcW w:w="213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353806</w:t>
            </w:r>
          </w:p>
        </w:tc>
        <w:tc>
          <w:tcPr>
            <w:tcW w:w="1979" w:type="dxa"/>
            <w:vMerge w:val="continue"/>
          </w:tcPr>
          <w:p>
            <w:pPr>
              <w:spacing w:line="360" w:lineRule="auto"/>
              <w:jc w:val="center"/>
              <w:rPr>
                <w:rFonts w:ascii="Times New Roman" w:hAnsi="Times New Roman" w:cs="Times New Roman"/>
                <w:szCs w:val="21"/>
              </w:rPr>
            </w:pPr>
          </w:p>
        </w:tc>
        <w:tc>
          <w:tcPr>
            <w:tcW w:w="2681" w:type="dxa"/>
            <w:vMerge w:val="continue"/>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.4.5</w:t>
      </w:r>
      <w:r>
        <w:rPr>
          <w:rFonts w:hint="eastAsia" w:ascii="Times New Roman" w:cs="Times New Roman"/>
        </w:rPr>
        <w:t>重复性</w:t>
      </w:r>
      <w:r>
        <w:rPr>
          <w:rFonts w:ascii="Times New Roman" w:cs="Times New Roman"/>
        </w:rPr>
        <w:t>考察</w:t>
      </w:r>
    </w:p>
    <w:p>
      <w:pPr>
        <w:spacing w:line="360" w:lineRule="auto"/>
        <w:ind w:firstLine="480" w:firstLineChars="200"/>
        <w:rPr>
          <w:rFonts w:ascii="Times New Roman" w:cs="Times New Roman"/>
        </w:rPr>
      </w:pPr>
      <w:r>
        <w:rPr>
          <w:rFonts w:ascii="Times New Roman" w:cs="Times New Roman"/>
        </w:rPr>
        <w:t>精密</w:t>
      </w:r>
      <w:r>
        <w:rPr>
          <w:rFonts w:hint="eastAsia" w:ascii="Times New Roman" w:cs="Times New Roman"/>
        </w:rPr>
        <w:t>称取蛇泡筋根药材粉末（202201007，过二号筛）6份，每份约0.5g</w:t>
      </w:r>
      <w:r>
        <w:rPr>
          <w:rFonts w:ascii="Times New Roman" w:cs="Times New Roman"/>
        </w:rPr>
        <w:t>，</w:t>
      </w:r>
      <w:r>
        <w:rPr>
          <w:rFonts w:hint="eastAsia" w:ascii="Times New Roman" w:cs="Times New Roman"/>
        </w:rPr>
        <w:t>置具塞锥形瓶中，加入70%乙醇50ml，称定重量，超声提取20分钟，取出，放冷，以70%乙醇补足减失的重量，滤过，取续滤液</w:t>
      </w:r>
      <w:r>
        <w:rPr>
          <w:rFonts w:ascii="Times New Roman" w:cs="Times New Roman"/>
        </w:rPr>
        <w:t>进样，记录</w:t>
      </w:r>
      <w:r>
        <w:rPr>
          <w:rFonts w:hint="eastAsia" w:ascii="Times New Roman" w:cs="Times New Roman"/>
        </w:rPr>
        <w:t>表儿茶素的</w:t>
      </w:r>
      <w:r>
        <w:rPr>
          <w:rFonts w:ascii="Times New Roman" w:cs="Times New Roman"/>
        </w:rPr>
        <w:t>峰面积，并计算</w:t>
      </w:r>
      <w:r>
        <w:rPr>
          <w:rFonts w:hint="eastAsia" w:ascii="Times New Roman" w:cs="Times New Roman"/>
        </w:rPr>
        <w:t>药材中表儿茶素的含量和</w:t>
      </w:r>
      <w:r>
        <w:rPr>
          <w:rFonts w:ascii="Times New Roman" w:hAnsi="Times New Roman" w:cs="Times New Roman"/>
        </w:rPr>
        <w:t>RSD，</w:t>
      </w:r>
      <w:r>
        <w:rPr>
          <w:rFonts w:ascii="Times New Roman" w:cs="Times New Roman"/>
        </w:rPr>
        <w:t>以</w:t>
      </w:r>
      <w:r>
        <w:rPr>
          <w:rFonts w:hint="eastAsia" w:ascii="Times New Roman" w:cs="Times New Roman"/>
        </w:rPr>
        <w:t>考察重复性</w:t>
      </w:r>
      <w:r>
        <w:rPr>
          <w:rFonts w:ascii="Times New Roman" w:cs="Times New Roman"/>
        </w:rPr>
        <w:t>，结果见表</w:t>
      </w:r>
      <w:r>
        <w:rPr>
          <w:rFonts w:ascii="Times New Roman" w:hAnsi="Times New Roman" w:cs="Times New Roman"/>
        </w:rPr>
        <w:t>1</w:t>
      </w:r>
      <w:r>
        <w:rPr>
          <w:rFonts w:hint="eastAsia" w:ascii="Times New Roman" w:hAnsi="Times New Roman" w:cs="Times New Roman"/>
        </w:rPr>
        <w:t>2</w:t>
      </w:r>
      <w:r>
        <w:rPr>
          <w:rFonts w:ascii="Times New Roman" w:cs="Times New Roman"/>
        </w:rPr>
        <w:t>。</w:t>
      </w:r>
    </w:p>
    <w:p>
      <w:pPr>
        <w:spacing w:line="360" w:lineRule="auto"/>
        <w:ind w:firstLine="480" w:firstLineChars="200"/>
        <w:jc w:val="center"/>
        <w:rPr>
          <w:rFonts w:ascii="Times New Roman" w:hAnsi="Times New Roman" w:eastAsia="黑体" w:cs="Times New Roman"/>
          <w:szCs w:val="21"/>
        </w:rPr>
      </w:pPr>
      <w:r>
        <w:rPr>
          <w:rFonts w:ascii="Times New Roman" w:hAnsi="黑体" w:eastAsia="黑体" w:cs="Times New Roman"/>
          <w:szCs w:val="21"/>
        </w:rPr>
        <w:t>表</w:t>
      </w:r>
      <w:r>
        <w:rPr>
          <w:rFonts w:ascii="Times New Roman" w:hAnsi="Times New Roman" w:eastAsia="黑体" w:cs="Times New Roman"/>
          <w:szCs w:val="21"/>
        </w:rPr>
        <w:t>1</w:t>
      </w:r>
      <w:r>
        <w:rPr>
          <w:rFonts w:hint="eastAsia" w:ascii="Times New Roman" w:hAnsi="Times New Roman" w:eastAsia="黑体" w:cs="Times New Roman"/>
          <w:szCs w:val="21"/>
        </w:rPr>
        <w:t>2</w:t>
      </w:r>
      <w:r>
        <w:rPr>
          <w:rFonts w:hint="eastAsia" w:ascii="Times New Roman" w:hAnsi="黑体" w:eastAsia="黑体" w:cs="Times New Roman"/>
          <w:szCs w:val="21"/>
        </w:rPr>
        <w:t>重复</w:t>
      </w:r>
      <w:r>
        <w:rPr>
          <w:rFonts w:ascii="Times New Roman" w:hAnsi="黑体" w:eastAsia="黑体" w:cs="Times New Roman"/>
          <w:szCs w:val="21"/>
        </w:rPr>
        <w:t>性考察结果</w:t>
      </w:r>
    </w:p>
    <w:tbl>
      <w:tblPr>
        <w:tblStyle w:val="8"/>
        <w:tblW w:w="8522"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1"/>
        <w:gridCol w:w="1708"/>
        <w:gridCol w:w="1578"/>
        <w:gridCol w:w="1716"/>
        <w:gridCol w:w="2149"/>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371"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ascii="Times New Roman" w:hAnsi="Times New Roman" w:cs="Times New Roman"/>
                <w:i/>
                <w:iCs/>
                <w:szCs w:val="21"/>
              </w:rPr>
              <w:t>称量量g</w:t>
            </w:r>
          </w:p>
        </w:tc>
        <w:tc>
          <w:tcPr>
            <w:tcW w:w="1708"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ascii="Times New Roman" w:hAnsi="Times New Roman" w:cs="Times New Roman"/>
                <w:i/>
                <w:iCs/>
                <w:szCs w:val="21"/>
              </w:rPr>
              <w:t>峰面积</w:t>
            </w:r>
          </w:p>
        </w:tc>
        <w:tc>
          <w:tcPr>
            <w:tcW w:w="1578"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ascii="Times New Roman" w:hAnsi="Times New Roman" w:cs="Times New Roman"/>
                <w:i/>
                <w:iCs/>
                <w:szCs w:val="21"/>
              </w:rPr>
              <w:t>含量mg/g</w:t>
            </w:r>
          </w:p>
        </w:tc>
        <w:tc>
          <w:tcPr>
            <w:tcW w:w="1716"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ascii="Times New Roman" w:hAnsi="Times New Roman" w:cs="Times New Roman"/>
                <w:i/>
                <w:iCs/>
                <w:szCs w:val="21"/>
              </w:rPr>
              <w:t>平均含量mg/g</w:t>
            </w:r>
          </w:p>
        </w:tc>
        <w:tc>
          <w:tcPr>
            <w:tcW w:w="2149"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ascii="Times New Roman" w:hAnsi="Times New Roman" w:cs="Times New Roman"/>
                <w:i/>
                <w:iCs/>
                <w:szCs w:val="21"/>
              </w:rPr>
              <w:t>RSD</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402" w:hRule="atLeast"/>
        </w:trPr>
        <w:tc>
          <w:tcPr>
            <w:tcW w:w="1371" w:type="dxa"/>
            <w:vAlign w:val="center"/>
          </w:tcPr>
          <w:p>
            <w:pPr>
              <w:jc w:val="right"/>
              <w:rPr>
                <w:rFonts w:ascii="Times New Roman" w:hAnsi="Times New Roman" w:cs="Times New Roman"/>
              </w:rPr>
            </w:pPr>
            <w:r>
              <w:rPr>
                <w:rFonts w:hint="eastAsia" w:ascii="Times New Roman" w:hAnsi="Times New Roman" w:cs="Times New Roman"/>
              </w:rPr>
              <w:t>0.5053</w:t>
            </w:r>
          </w:p>
        </w:tc>
        <w:tc>
          <w:tcPr>
            <w:tcW w:w="1708" w:type="dxa"/>
            <w:vAlign w:val="center"/>
          </w:tcPr>
          <w:p>
            <w:pPr>
              <w:jc w:val="right"/>
              <w:rPr>
                <w:rFonts w:ascii="Times New Roman" w:hAnsi="Times New Roman" w:cs="Times New Roman"/>
              </w:rPr>
            </w:pPr>
            <w:r>
              <w:rPr>
                <w:rFonts w:hint="eastAsia" w:ascii="Times New Roman" w:hAnsi="Times New Roman" w:cs="Times New Roman"/>
              </w:rPr>
              <w:t>359906</w:t>
            </w:r>
          </w:p>
        </w:tc>
        <w:tc>
          <w:tcPr>
            <w:tcW w:w="1578" w:type="dxa"/>
            <w:vAlign w:val="center"/>
          </w:tcPr>
          <w:p>
            <w:pPr>
              <w:jc w:val="right"/>
              <w:rPr>
                <w:rFonts w:ascii="Times New Roman" w:hAnsi="Times New Roman" w:cs="Times New Roman"/>
              </w:rPr>
            </w:pPr>
            <w:r>
              <w:rPr>
                <w:rFonts w:hint="eastAsia" w:ascii="Times New Roman" w:hAnsi="Times New Roman" w:cs="Times New Roman"/>
              </w:rPr>
              <w:t>15.7654</w:t>
            </w:r>
          </w:p>
        </w:tc>
        <w:tc>
          <w:tcPr>
            <w:tcW w:w="1716"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15.8130</w:t>
            </w:r>
          </w:p>
        </w:tc>
        <w:tc>
          <w:tcPr>
            <w:tcW w:w="2149"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0.</w:t>
            </w:r>
            <w:r>
              <w:rPr>
                <w:rFonts w:ascii="Times New Roman" w:hAnsi="Times New Roman" w:cs="Times New Roman"/>
                <w:szCs w:val="21"/>
              </w:rPr>
              <w:t>42%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371" w:type="dxa"/>
            <w:vAlign w:val="center"/>
          </w:tcPr>
          <w:p>
            <w:pPr>
              <w:jc w:val="right"/>
              <w:rPr>
                <w:rFonts w:ascii="Times New Roman" w:hAnsi="Times New Roman" w:cs="Times New Roman"/>
              </w:rPr>
            </w:pPr>
            <w:r>
              <w:rPr>
                <w:rFonts w:hint="eastAsia" w:ascii="Times New Roman" w:hAnsi="Times New Roman" w:cs="Times New Roman"/>
              </w:rPr>
              <w:t>0.5074</w:t>
            </w:r>
          </w:p>
        </w:tc>
        <w:tc>
          <w:tcPr>
            <w:tcW w:w="1708" w:type="dxa"/>
            <w:vAlign w:val="center"/>
          </w:tcPr>
          <w:p>
            <w:pPr>
              <w:jc w:val="right"/>
              <w:rPr>
                <w:rFonts w:ascii="Times New Roman" w:hAnsi="Times New Roman" w:cs="Times New Roman"/>
              </w:rPr>
            </w:pPr>
            <w:r>
              <w:rPr>
                <w:rFonts w:hint="eastAsia" w:ascii="Times New Roman" w:hAnsi="Times New Roman" w:cs="Times New Roman"/>
              </w:rPr>
              <w:t>362331</w:t>
            </w:r>
          </w:p>
        </w:tc>
        <w:tc>
          <w:tcPr>
            <w:tcW w:w="1578" w:type="dxa"/>
            <w:vAlign w:val="center"/>
          </w:tcPr>
          <w:p>
            <w:pPr>
              <w:jc w:val="right"/>
              <w:rPr>
                <w:rFonts w:ascii="Times New Roman" w:hAnsi="Times New Roman" w:cs="Times New Roman"/>
              </w:rPr>
            </w:pPr>
            <w:r>
              <w:rPr>
                <w:rFonts w:hint="eastAsia" w:ascii="Times New Roman" w:hAnsi="Times New Roman" w:cs="Times New Roman"/>
              </w:rPr>
              <w:t>15.8050</w:t>
            </w:r>
          </w:p>
        </w:tc>
        <w:tc>
          <w:tcPr>
            <w:tcW w:w="1716" w:type="dxa"/>
            <w:vMerge w:val="continue"/>
          </w:tcPr>
          <w:p>
            <w:pPr>
              <w:spacing w:line="360" w:lineRule="auto"/>
              <w:jc w:val="center"/>
              <w:rPr>
                <w:rFonts w:ascii="Times New Roman" w:hAnsi="Times New Roman" w:cs="Times New Roman"/>
                <w:szCs w:val="21"/>
              </w:rPr>
            </w:pPr>
          </w:p>
        </w:tc>
        <w:tc>
          <w:tcPr>
            <w:tcW w:w="2149"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402" w:hRule="atLeast"/>
        </w:trPr>
        <w:tc>
          <w:tcPr>
            <w:tcW w:w="1371" w:type="dxa"/>
            <w:vAlign w:val="center"/>
          </w:tcPr>
          <w:p>
            <w:pPr>
              <w:jc w:val="right"/>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.5042</w:t>
            </w:r>
          </w:p>
        </w:tc>
        <w:tc>
          <w:tcPr>
            <w:tcW w:w="1708" w:type="dxa"/>
            <w:vAlign w:val="center"/>
          </w:tcPr>
          <w:p>
            <w:pPr>
              <w:jc w:val="right"/>
              <w:rPr>
                <w:rFonts w:ascii="Times New Roman" w:hAnsi="Times New Roman" w:cs="Times New Roman"/>
              </w:rPr>
            </w:pPr>
            <w:r>
              <w:rPr>
                <w:rFonts w:hint="eastAsia" w:ascii="Times New Roman" w:hAnsi="Times New Roman" w:cs="Times New Roman"/>
              </w:rPr>
              <w:t>362814</w:t>
            </w:r>
          </w:p>
        </w:tc>
        <w:tc>
          <w:tcPr>
            <w:tcW w:w="1578" w:type="dxa"/>
            <w:vAlign w:val="center"/>
          </w:tcPr>
          <w:p>
            <w:pPr>
              <w:jc w:val="right"/>
              <w:rPr>
                <w:rFonts w:ascii="Times New Roman" w:hAnsi="Times New Roman" w:cs="Times New Roman"/>
              </w:rPr>
            </w:pPr>
            <w:r>
              <w:rPr>
                <w:rFonts w:hint="eastAsia" w:ascii="Times New Roman" w:hAnsi="Times New Roman" w:cs="Times New Roman"/>
              </w:rPr>
              <w:t>15.9264</w:t>
            </w:r>
          </w:p>
        </w:tc>
        <w:tc>
          <w:tcPr>
            <w:tcW w:w="1716" w:type="dxa"/>
            <w:vMerge w:val="continue"/>
          </w:tcPr>
          <w:p>
            <w:pPr>
              <w:spacing w:line="360" w:lineRule="auto"/>
              <w:jc w:val="center"/>
              <w:rPr>
                <w:rFonts w:ascii="Times New Roman" w:hAnsi="Times New Roman" w:cs="Times New Roman"/>
                <w:szCs w:val="21"/>
              </w:rPr>
            </w:pPr>
          </w:p>
        </w:tc>
        <w:tc>
          <w:tcPr>
            <w:tcW w:w="2149"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371" w:type="dxa"/>
            <w:vAlign w:val="center"/>
          </w:tcPr>
          <w:p>
            <w:pPr>
              <w:jc w:val="right"/>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5080</w:t>
            </w:r>
          </w:p>
        </w:tc>
        <w:tc>
          <w:tcPr>
            <w:tcW w:w="1708" w:type="dxa"/>
            <w:vAlign w:val="center"/>
          </w:tcPr>
          <w:p>
            <w:pPr>
              <w:jc w:val="right"/>
              <w:rPr>
                <w:rFonts w:ascii="Times New Roman" w:hAnsi="Times New Roman" w:cs="Times New Roman"/>
              </w:rPr>
            </w:pPr>
            <w:r>
              <w:rPr>
                <w:rFonts w:hint="eastAsia" w:ascii="Times New Roman" w:hAnsi="Times New Roman" w:cs="Times New Roman"/>
              </w:rPr>
              <w:t>363427</w:t>
            </w:r>
          </w:p>
        </w:tc>
        <w:tc>
          <w:tcPr>
            <w:tcW w:w="1578" w:type="dxa"/>
            <w:vAlign w:val="center"/>
          </w:tcPr>
          <w:p>
            <w:pPr>
              <w:jc w:val="right"/>
              <w:rPr>
                <w:rFonts w:ascii="Times New Roman" w:hAnsi="Times New Roman" w:cs="Times New Roman"/>
              </w:rPr>
            </w:pPr>
            <w:r>
              <w:rPr>
                <w:rFonts w:hint="eastAsia" w:ascii="Times New Roman" w:hAnsi="Times New Roman" w:cs="Times New Roman"/>
              </w:rPr>
              <w:t>15.8337</w:t>
            </w:r>
          </w:p>
        </w:tc>
        <w:tc>
          <w:tcPr>
            <w:tcW w:w="1716" w:type="dxa"/>
            <w:vMerge w:val="continue"/>
          </w:tcPr>
          <w:p>
            <w:pPr>
              <w:spacing w:line="360" w:lineRule="auto"/>
              <w:jc w:val="center"/>
              <w:rPr>
                <w:rFonts w:ascii="Times New Roman" w:hAnsi="Times New Roman" w:cs="Times New Roman"/>
                <w:szCs w:val="21"/>
              </w:rPr>
            </w:pPr>
          </w:p>
        </w:tc>
        <w:tc>
          <w:tcPr>
            <w:tcW w:w="2149"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402" w:hRule="atLeast"/>
        </w:trPr>
        <w:tc>
          <w:tcPr>
            <w:tcW w:w="1371" w:type="dxa"/>
            <w:vAlign w:val="center"/>
          </w:tcPr>
          <w:p>
            <w:pPr>
              <w:jc w:val="right"/>
              <w:rPr>
                <w:rFonts w:ascii="Times New Roman" w:hAnsi="Times New Roman" w:cs="Times New Roman"/>
              </w:rPr>
            </w:pPr>
            <w:r>
              <w:rPr>
                <w:rFonts w:hint="eastAsia" w:ascii="Times New Roman" w:hAnsi="Times New Roman" w:cs="Times New Roman"/>
              </w:rPr>
              <w:t>0.5066</w:t>
            </w:r>
          </w:p>
        </w:tc>
        <w:tc>
          <w:tcPr>
            <w:tcW w:w="1708" w:type="dxa"/>
            <w:vAlign w:val="center"/>
          </w:tcPr>
          <w:p>
            <w:pPr>
              <w:jc w:val="righ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61964</w:t>
            </w:r>
          </w:p>
        </w:tc>
        <w:tc>
          <w:tcPr>
            <w:tcW w:w="1578" w:type="dxa"/>
            <w:vAlign w:val="center"/>
          </w:tcPr>
          <w:p>
            <w:pPr>
              <w:jc w:val="right"/>
              <w:rPr>
                <w:rFonts w:ascii="Times New Roman" w:hAnsi="Times New Roman" w:cs="Times New Roman"/>
              </w:rPr>
            </w:pPr>
            <w:r>
              <w:rPr>
                <w:rFonts w:hint="eastAsia" w:ascii="Times New Roman" w:hAnsi="Times New Roman" w:cs="Times New Roman"/>
              </w:rPr>
              <w:t>15.8141</w:t>
            </w:r>
          </w:p>
        </w:tc>
        <w:tc>
          <w:tcPr>
            <w:tcW w:w="1716" w:type="dxa"/>
            <w:vMerge w:val="continue"/>
          </w:tcPr>
          <w:p>
            <w:pPr>
              <w:spacing w:line="360" w:lineRule="auto"/>
              <w:jc w:val="center"/>
              <w:rPr>
                <w:rFonts w:ascii="Times New Roman" w:hAnsi="Times New Roman" w:cs="Times New Roman"/>
                <w:szCs w:val="21"/>
              </w:rPr>
            </w:pPr>
          </w:p>
        </w:tc>
        <w:tc>
          <w:tcPr>
            <w:tcW w:w="2149"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371" w:type="dxa"/>
            <w:vAlign w:val="center"/>
          </w:tcPr>
          <w:p>
            <w:pPr>
              <w:jc w:val="right"/>
              <w:rPr>
                <w:rFonts w:ascii="Times New Roman" w:hAnsi="Times New Roman" w:cs="Times New Roman"/>
              </w:rPr>
            </w:pPr>
            <w:r>
              <w:rPr>
                <w:rFonts w:hint="eastAsia" w:ascii="Times New Roman" w:hAnsi="Times New Roman" w:cs="Times New Roman"/>
              </w:rPr>
              <w:t>0.5062</w:t>
            </w:r>
          </w:p>
        </w:tc>
        <w:tc>
          <w:tcPr>
            <w:tcW w:w="1708" w:type="dxa"/>
            <w:vAlign w:val="center"/>
          </w:tcPr>
          <w:p>
            <w:pPr>
              <w:jc w:val="right"/>
              <w:rPr>
                <w:rFonts w:ascii="Times New Roman" w:hAnsi="Times New Roman" w:cs="Times New Roman"/>
              </w:rPr>
            </w:pPr>
            <w:r>
              <w:rPr>
                <w:rFonts w:hint="eastAsia" w:ascii="Times New Roman" w:hAnsi="Times New Roman" w:cs="Times New Roman"/>
              </w:rPr>
              <w:t>359814</w:t>
            </w:r>
          </w:p>
        </w:tc>
        <w:tc>
          <w:tcPr>
            <w:tcW w:w="1578" w:type="dxa"/>
            <w:vAlign w:val="center"/>
          </w:tcPr>
          <w:p>
            <w:pPr>
              <w:jc w:val="right"/>
              <w:rPr>
                <w:rFonts w:ascii="Times New Roman" w:hAnsi="Times New Roman" w:cs="Times New Roman"/>
              </w:rPr>
            </w:pPr>
            <w:r>
              <w:rPr>
                <w:rFonts w:hint="eastAsia" w:ascii="Times New Roman" w:hAnsi="Times New Roman" w:cs="Times New Roman"/>
              </w:rPr>
              <w:t>15.7333</w:t>
            </w:r>
          </w:p>
        </w:tc>
        <w:tc>
          <w:tcPr>
            <w:tcW w:w="1716" w:type="dxa"/>
            <w:vMerge w:val="continue"/>
          </w:tcPr>
          <w:p>
            <w:pPr>
              <w:spacing w:line="360" w:lineRule="auto"/>
              <w:jc w:val="center"/>
              <w:rPr>
                <w:rFonts w:ascii="Times New Roman" w:hAnsi="Times New Roman" w:cs="Times New Roman"/>
                <w:szCs w:val="21"/>
              </w:rPr>
            </w:pPr>
          </w:p>
        </w:tc>
        <w:tc>
          <w:tcPr>
            <w:tcW w:w="2149" w:type="dxa"/>
            <w:vMerge w:val="continue"/>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rPr>
      </w:pPr>
      <w:r>
        <w:rPr>
          <w:rFonts w:hint="eastAsia" w:ascii="Times New Roman" w:hAnsi="Times New Roman" w:cs="Times New Roman"/>
        </w:rPr>
        <w:t>由表11可以看出，样品分析方法重复性良好，批次202201007药材中表儿茶素含量为15.813mg/g。</w:t>
      </w: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.4.</w:t>
      </w:r>
      <w:r>
        <w:rPr>
          <w:rFonts w:hint="eastAsia" w:ascii="Times New Roman" w:hAnsi="Times New Roman" w:cs="Times New Roman"/>
        </w:rPr>
        <w:t>6</w:t>
      </w:r>
      <w:r>
        <w:rPr>
          <w:rFonts w:hint="eastAsia" w:ascii="Times New Roman" w:cs="Times New Roman"/>
        </w:rPr>
        <w:t>加样回收率</w:t>
      </w:r>
      <w:r>
        <w:rPr>
          <w:rFonts w:ascii="Times New Roman" w:cs="Times New Roman"/>
        </w:rPr>
        <w:t>考察</w:t>
      </w:r>
    </w:p>
    <w:p>
      <w:pPr>
        <w:spacing w:line="360" w:lineRule="auto"/>
        <w:ind w:firstLine="480" w:firstLineChars="200"/>
        <w:rPr>
          <w:rFonts w:ascii="Times New Roman" w:cs="Times New Roman"/>
        </w:rPr>
      </w:pPr>
      <w:r>
        <w:rPr>
          <w:rFonts w:ascii="Times New Roman" w:cs="Times New Roman"/>
        </w:rPr>
        <w:t>精密</w:t>
      </w:r>
      <w:r>
        <w:rPr>
          <w:rFonts w:hint="eastAsia" w:ascii="Times New Roman" w:cs="Times New Roman"/>
        </w:rPr>
        <w:t>称取蛇泡筋根药材粉末（202201007，过二号筛）6份，每份约0.26g</w:t>
      </w:r>
      <w:r>
        <w:rPr>
          <w:rFonts w:ascii="Times New Roman" w:cs="Times New Roman"/>
        </w:rPr>
        <w:t>，</w:t>
      </w:r>
      <w:r>
        <w:rPr>
          <w:rFonts w:hint="eastAsia" w:ascii="Times New Roman" w:cs="Times New Roman"/>
        </w:rPr>
        <w:t>置具塞锥形瓶中，分别加入对照品溶液（1.32mg/ml）3.5ml，再加入70%乙醇46.5ml，称定重量，超声提取20分钟，取出，放冷，以70%乙醇补足减失的重量，滤过，取续滤液</w:t>
      </w:r>
      <w:r>
        <w:rPr>
          <w:rFonts w:ascii="Times New Roman" w:cs="Times New Roman"/>
        </w:rPr>
        <w:t>进样，记录</w:t>
      </w:r>
      <w:r>
        <w:rPr>
          <w:rFonts w:hint="eastAsia" w:ascii="Times New Roman" w:cs="Times New Roman"/>
        </w:rPr>
        <w:t>表儿茶素的</w:t>
      </w:r>
      <w:r>
        <w:rPr>
          <w:rFonts w:ascii="Times New Roman" w:cs="Times New Roman"/>
        </w:rPr>
        <w:t>峰面积，并计算</w:t>
      </w:r>
      <w:r>
        <w:rPr>
          <w:rFonts w:hint="eastAsia" w:ascii="Times New Roman" w:cs="Times New Roman"/>
        </w:rPr>
        <w:t>表儿茶素的加样回收</w:t>
      </w:r>
      <w:r>
        <w:rPr>
          <w:rFonts w:ascii="Times New Roman" w:cs="Times New Roman"/>
        </w:rPr>
        <w:t>，结果见表</w:t>
      </w:r>
      <w:r>
        <w:rPr>
          <w:rFonts w:ascii="Times New Roman" w:hAnsi="Times New Roman" w:cs="Times New Roman"/>
        </w:rPr>
        <w:t>1</w:t>
      </w:r>
      <w:r>
        <w:rPr>
          <w:rFonts w:hint="eastAsia" w:ascii="Times New Roman" w:hAnsi="Times New Roman" w:cs="Times New Roman"/>
        </w:rPr>
        <w:t>3</w:t>
      </w:r>
      <w:r>
        <w:rPr>
          <w:rFonts w:ascii="Times New Roman" w:cs="Times New Roman"/>
        </w:rPr>
        <w:t>。</w:t>
      </w:r>
    </w:p>
    <w:p>
      <w:pPr>
        <w:spacing w:line="360" w:lineRule="auto"/>
        <w:ind w:firstLine="480" w:firstLineChars="200"/>
        <w:jc w:val="center"/>
        <w:rPr>
          <w:rFonts w:ascii="Times New Roman" w:hAnsi="Times New Roman" w:eastAsia="黑体" w:cs="Times New Roman"/>
          <w:szCs w:val="21"/>
        </w:rPr>
      </w:pPr>
      <w:r>
        <w:rPr>
          <w:rFonts w:ascii="Times New Roman" w:hAnsi="黑体" w:eastAsia="黑体" w:cs="Times New Roman"/>
          <w:szCs w:val="21"/>
        </w:rPr>
        <w:t>表</w:t>
      </w:r>
      <w:r>
        <w:rPr>
          <w:rFonts w:ascii="Times New Roman" w:hAnsi="Times New Roman" w:eastAsia="黑体" w:cs="Times New Roman"/>
          <w:szCs w:val="21"/>
        </w:rPr>
        <w:t>1</w:t>
      </w:r>
      <w:r>
        <w:rPr>
          <w:rFonts w:hint="eastAsia" w:ascii="Times New Roman" w:hAnsi="Times New Roman" w:eastAsia="黑体" w:cs="Times New Roman"/>
          <w:szCs w:val="21"/>
        </w:rPr>
        <w:t>3</w:t>
      </w:r>
      <w:r>
        <w:rPr>
          <w:rFonts w:hint="eastAsia" w:ascii="Times New Roman" w:hAnsi="黑体" w:eastAsia="黑体" w:cs="Times New Roman"/>
          <w:szCs w:val="21"/>
        </w:rPr>
        <w:t>加样回收</w:t>
      </w:r>
      <w:r>
        <w:rPr>
          <w:rFonts w:ascii="Times New Roman" w:hAnsi="黑体" w:eastAsia="黑体" w:cs="Times New Roman"/>
          <w:szCs w:val="21"/>
        </w:rPr>
        <w:t>结果</w:t>
      </w:r>
    </w:p>
    <w:tbl>
      <w:tblPr>
        <w:tblStyle w:val="8"/>
        <w:tblW w:w="8522"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1"/>
        <w:gridCol w:w="1290"/>
        <w:gridCol w:w="1176"/>
        <w:gridCol w:w="1176"/>
        <w:gridCol w:w="1057"/>
        <w:gridCol w:w="1539"/>
        <w:gridCol w:w="1013"/>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271" w:type="dxa"/>
            <w:tcBorders>
              <w:top w:val="single" w:color="auto" w:sz="4" w:space="0"/>
              <w:bottom w:val="single" w:color="000000" w:sz="6" w:space="0"/>
            </w:tcBorders>
          </w:tcPr>
          <w:p>
            <w:pPr>
              <w:spacing w:line="360" w:lineRule="auto"/>
              <w:jc w:val="center"/>
              <w:rPr>
                <w:rFonts w:ascii="Times New Roman" w:hAnsi="Times New Roman" w:cs="Times New Roman"/>
                <w:b/>
                <w:i/>
                <w:iCs/>
                <w:szCs w:val="21"/>
              </w:rPr>
            </w:pPr>
            <w:r>
              <w:rPr>
                <w:rFonts w:hint="eastAsia" w:ascii="Times New Roman" w:cs="Times New Roman"/>
                <w:b/>
                <w:i/>
                <w:iCs/>
                <w:szCs w:val="21"/>
              </w:rPr>
              <w:t>称量量g</w:t>
            </w:r>
          </w:p>
        </w:tc>
        <w:tc>
          <w:tcPr>
            <w:tcW w:w="1290"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cs="Times New Roman"/>
                <w:i/>
                <w:iCs/>
                <w:szCs w:val="21"/>
              </w:rPr>
              <w:t>加入量mg</w:t>
            </w:r>
          </w:p>
        </w:tc>
        <w:tc>
          <w:tcPr>
            <w:tcW w:w="1176" w:type="dxa"/>
            <w:tcBorders>
              <w:top w:val="single" w:color="auto" w:sz="4" w:space="0"/>
              <w:bottom w:val="single" w:color="000000" w:sz="6" w:space="0"/>
            </w:tcBorders>
          </w:tcPr>
          <w:p>
            <w:pPr>
              <w:spacing w:line="360" w:lineRule="auto"/>
              <w:jc w:val="center"/>
              <w:rPr>
                <w:rFonts w:ascii="Times New Roman" w:cs="Times New Roman"/>
                <w:i/>
                <w:iCs/>
                <w:szCs w:val="21"/>
              </w:rPr>
            </w:pPr>
            <w:r>
              <w:rPr>
                <w:rFonts w:hint="eastAsia" w:ascii="Times New Roman" w:cs="Times New Roman"/>
                <w:i/>
                <w:iCs/>
                <w:szCs w:val="21"/>
              </w:rPr>
              <w:t>样品含量mg</w:t>
            </w:r>
          </w:p>
        </w:tc>
        <w:tc>
          <w:tcPr>
            <w:tcW w:w="1176" w:type="dxa"/>
            <w:tcBorders>
              <w:top w:val="single" w:color="auto" w:sz="4" w:space="0"/>
              <w:bottom w:val="single" w:color="000000" w:sz="6" w:space="0"/>
            </w:tcBorders>
          </w:tcPr>
          <w:p>
            <w:pPr>
              <w:spacing w:line="360" w:lineRule="auto"/>
              <w:jc w:val="center"/>
              <w:rPr>
                <w:rFonts w:ascii="Times New Roman" w:cs="Times New Roman"/>
                <w:i/>
                <w:iCs/>
                <w:szCs w:val="21"/>
              </w:rPr>
            </w:pPr>
            <w:r>
              <w:rPr>
                <w:rFonts w:hint="eastAsia" w:ascii="Times New Roman" w:cs="Times New Roman"/>
                <w:i/>
                <w:iCs/>
                <w:szCs w:val="21"/>
              </w:rPr>
              <w:t>测得总量mg</w:t>
            </w:r>
          </w:p>
        </w:tc>
        <w:tc>
          <w:tcPr>
            <w:tcW w:w="1057" w:type="dxa"/>
            <w:tcBorders>
              <w:top w:val="single" w:color="auto" w:sz="4" w:space="0"/>
              <w:bottom w:val="single" w:color="000000" w:sz="6" w:space="0"/>
            </w:tcBorders>
          </w:tcPr>
          <w:p>
            <w:pPr>
              <w:spacing w:line="360" w:lineRule="auto"/>
              <w:jc w:val="center"/>
              <w:rPr>
                <w:rFonts w:ascii="Times New Roman" w:cs="Times New Roman"/>
                <w:i/>
                <w:iCs/>
                <w:szCs w:val="21"/>
              </w:rPr>
            </w:pPr>
            <w:r>
              <w:rPr>
                <w:rFonts w:hint="eastAsia" w:ascii="Times New Roman" w:cs="Times New Roman"/>
                <w:i/>
                <w:iCs/>
                <w:szCs w:val="21"/>
              </w:rPr>
              <w:t>回收率%</w:t>
            </w:r>
          </w:p>
        </w:tc>
        <w:tc>
          <w:tcPr>
            <w:tcW w:w="1539"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cs="Times New Roman"/>
                <w:i/>
                <w:iCs/>
                <w:szCs w:val="21"/>
              </w:rPr>
              <w:t>平均回收率%</w:t>
            </w:r>
          </w:p>
        </w:tc>
        <w:tc>
          <w:tcPr>
            <w:tcW w:w="1013" w:type="dxa"/>
            <w:tcBorders>
              <w:top w:val="single" w:color="auto" w:sz="4" w:space="0"/>
              <w:bottom w:val="single" w:color="000000" w:sz="6" w:space="0"/>
            </w:tcBorders>
          </w:tcPr>
          <w:p>
            <w:pPr>
              <w:spacing w:line="360" w:lineRule="auto"/>
              <w:jc w:val="center"/>
              <w:rPr>
                <w:rFonts w:ascii="Times New Roman" w:hAnsi="Times New Roman" w:cs="Times New Roman"/>
                <w:i/>
                <w:iCs/>
                <w:szCs w:val="21"/>
              </w:rPr>
            </w:pPr>
            <w:r>
              <w:rPr>
                <w:rFonts w:hint="eastAsia" w:ascii="Times New Roman" w:cs="Times New Roman"/>
                <w:i/>
                <w:iCs/>
                <w:szCs w:val="21"/>
              </w:rPr>
              <w:t>RSD</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271" w:type="dxa"/>
            <w:vAlign w:val="bottom"/>
          </w:tcPr>
          <w:p>
            <w:pPr>
              <w:jc w:val="right"/>
              <w:rPr>
                <w:rFonts w:ascii="Times New Roman" w:hAnsi="Times New Roman" w:cs="Times New Roman"/>
              </w:rPr>
            </w:pPr>
            <w:r>
              <w:rPr>
                <w:rFonts w:hint="eastAsia" w:ascii="Times New Roman" w:hAnsi="Times New Roman" w:cs="Times New Roman"/>
              </w:rPr>
              <w:t>0.2612</w:t>
            </w:r>
          </w:p>
        </w:tc>
        <w:tc>
          <w:tcPr>
            <w:tcW w:w="1290" w:type="dxa"/>
            <w:vAlign w:val="bottom"/>
          </w:tcPr>
          <w:p>
            <w:pPr>
              <w:jc w:val="center"/>
              <w:rPr>
                <w:rFonts w:ascii="Times New Roman" w:hAnsi="Times New Roman" w:cs="Times New Roman"/>
              </w:rPr>
            </w:pPr>
            <w:r>
              <w:rPr>
                <w:rFonts w:hint="eastAsia" w:ascii="Times New Roman" w:hAnsi="Times New Roman" w:cs="Times New Roman"/>
              </w:rPr>
              <w:t>4.6200</w:t>
            </w:r>
          </w:p>
        </w:tc>
        <w:tc>
          <w:tcPr>
            <w:tcW w:w="1176" w:type="dxa"/>
            <w:vAlign w:val="bottom"/>
          </w:tcPr>
          <w:p>
            <w:pPr>
              <w:jc w:val="right"/>
              <w:rPr>
                <w:rFonts w:ascii="Times New Roman" w:hAnsi="Times New Roman" w:cs="Times New Roman"/>
              </w:rPr>
            </w:pPr>
            <w:r>
              <w:rPr>
                <w:rFonts w:hint="eastAsia" w:ascii="Times New Roman" w:hAnsi="Times New Roman" w:cs="Times New Roman"/>
              </w:rPr>
              <w:t>4.1304</w:t>
            </w:r>
          </w:p>
        </w:tc>
        <w:tc>
          <w:tcPr>
            <w:tcW w:w="1176" w:type="dxa"/>
            <w:vAlign w:val="bottom"/>
          </w:tcPr>
          <w:p>
            <w:pPr>
              <w:jc w:val="right"/>
              <w:rPr>
                <w:rFonts w:ascii="Times New Roman" w:hAnsi="Times New Roman" w:cs="Times New Roman"/>
              </w:rPr>
            </w:pPr>
            <w:r>
              <w:rPr>
                <w:rFonts w:hint="eastAsia" w:ascii="Times New Roman" w:hAnsi="Times New Roman" w:cs="Times New Roman"/>
              </w:rPr>
              <w:t>8.705</w:t>
            </w:r>
          </w:p>
        </w:tc>
        <w:tc>
          <w:tcPr>
            <w:tcW w:w="1057" w:type="dxa"/>
            <w:vAlign w:val="bottom"/>
          </w:tcPr>
          <w:p>
            <w:pPr>
              <w:jc w:val="right"/>
              <w:rPr>
                <w:rFonts w:ascii="Times New Roman" w:hAnsi="Times New Roman" w:cs="Times New Roman"/>
              </w:rPr>
            </w:pPr>
            <w:r>
              <w:rPr>
                <w:rFonts w:hint="eastAsia" w:ascii="Times New Roman" w:hAnsi="Times New Roman" w:cs="Times New Roman"/>
              </w:rPr>
              <w:t>99.02%</w:t>
            </w:r>
          </w:p>
        </w:tc>
        <w:tc>
          <w:tcPr>
            <w:tcW w:w="1539" w:type="dxa"/>
            <w:vMerge w:val="restart"/>
            <w:vAlign w:val="center"/>
          </w:tcPr>
          <w:p>
            <w:pPr>
              <w:jc w:val="center"/>
              <w:rPr>
                <w:rFonts w:ascii="Times New Roman" w:hAnsi="Times New Roman" w:cs="Times New Roman"/>
              </w:rPr>
            </w:pPr>
            <w:r>
              <w:rPr>
                <w:rFonts w:hint="eastAsia" w:ascii="Times New Roman" w:hAnsi="Times New Roman" w:cs="Times New Roman"/>
              </w:rPr>
              <w:t>97.98%</w:t>
            </w:r>
          </w:p>
        </w:tc>
        <w:tc>
          <w:tcPr>
            <w:tcW w:w="1013"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0.88%</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271" w:type="dxa"/>
            <w:vAlign w:val="bottom"/>
          </w:tcPr>
          <w:p>
            <w:pPr>
              <w:jc w:val="right"/>
              <w:rPr>
                <w:rFonts w:ascii="Times New Roman" w:hAnsi="Times New Roman" w:cs="Times New Roman"/>
              </w:rPr>
            </w:pPr>
            <w:r>
              <w:rPr>
                <w:rFonts w:hint="eastAsia" w:ascii="Times New Roman" w:hAnsi="Times New Roman" w:cs="Times New Roman"/>
              </w:rPr>
              <w:t>0.2602</w:t>
            </w:r>
          </w:p>
        </w:tc>
        <w:tc>
          <w:tcPr>
            <w:tcW w:w="1290" w:type="dxa"/>
          </w:tcPr>
          <w:p>
            <w:pPr>
              <w:jc w:val="center"/>
            </w:pPr>
            <w:r>
              <w:rPr>
                <w:rFonts w:hint="eastAsia" w:ascii="Times New Roman" w:hAnsi="Times New Roman" w:cs="Times New Roman"/>
              </w:rPr>
              <w:t>4.6200</w:t>
            </w:r>
          </w:p>
        </w:tc>
        <w:tc>
          <w:tcPr>
            <w:tcW w:w="1176" w:type="dxa"/>
            <w:vAlign w:val="bottom"/>
          </w:tcPr>
          <w:p>
            <w:pPr>
              <w:jc w:val="right"/>
              <w:rPr>
                <w:rFonts w:ascii="Times New Roman" w:hAnsi="Times New Roman" w:cs="Times New Roman"/>
              </w:rPr>
            </w:pPr>
            <w:r>
              <w:rPr>
                <w:rFonts w:hint="eastAsia" w:ascii="Times New Roman" w:hAnsi="Times New Roman" w:cs="Times New Roman"/>
              </w:rPr>
              <w:t>4.1145</w:t>
            </w:r>
          </w:p>
        </w:tc>
        <w:tc>
          <w:tcPr>
            <w:tcW w:w="1176" w:type="dxa"/>
            <w:vAlign w:val="bottom"/>
          </w:tcPr>
          <w:p>
            <w:pPr>
              <w:jc w:val="right"/>
              <w:rPr>
                <w:rFonts w:ascii="Times New Roman" w:hAnsi="Times New Roman" w:cs="Times New Roman"/>
              </w:rPr>
            </w:pPr>
            <w:r>
              <w:rPr>
                <w:rFonts w:hint="eastAsia" w:ascii="Times New Roman" w:hAnsi="Times New Roman" w:cs="Times New Roman"/>
              </w:rPr>
              <w:t>8.615</w:t>
            </w:r>
          </w:p>
        </w:tc>
        <w:tc>
          <w:tcPr>
            <w:tcW w:w="1057" w:type="dxa"/>
            <w:vAlign w:val="bottom"/>
          </w:tcPr>
          <w:p>
            <w:pPr>
              <w:jc w:val="right"/>
              <w:rPr>
                <w:rFonts w:ascii="Times New Roman" w:hAnsi="Times New Roman" w:cs="Times New Roman"/>
              </w:rPr>
            </w:pPr>
            <w:r>
              <w:rPr>
                <w:rFonts w:hint="eastAsia" w:ascii="Times New Roman" w:hAnsi="Times New Roman" w:cs="Times New Roman"/>
              </w:rPr>
              <w:t>97.41%</w:t>
            </w:r>
          </w:p>
        </w:tc>
        <w:tc>
          <w:tcPr>
            <w:tcW w:w="1539" w:type="dxa"/>
            <w:vMerge w:val="continue"/>
          </w:tcPr>
          <w:p>
            <w:pPr>
              <w:spacing w:line="360" w:lineRule="auto"/>
              <w:jc w:val="center"/>
              <w:rPr>
                <w:rFonts w:ascii="Times New Roman" w:hAnsi="Times New Roman" w:cs="Times New Roman"/>
                <w:szCs w:val="21"/>
              </w:rPr>
            </w:pPr>
          </w:p>
        </w:tc>
        <w:tc>
          <w:tcPr>
            <w:tcW w:w="1013"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271" w:type="dxa"/>
            <w:vAlign w:val="bottom"/>
          </w:tcPr>
          <w:p>
            <w:pPr>
              <w:jc w:val="right"/>
              <w:rPr>
                <w:rFonts w:ascii="Times New Roman" w:hAnsi="Times New Roman" w:cs="Times New Roman"/>
              </w:rPr>
            </w:pPr>
            <w:r>
              <w:rPr>
                <w:rFonts w:hint="eastAsia" w:ascii="Times New Roman" w:hAnsi="Times New Roman" w:cs="Times New Roman"/>
              </w:rPr>
              <w:t>0.2619</w:t>
            </w:r>
          </w:p>
        </w:tc>
        <w:tc>
          <w:tcPr>
            <w:tcW w:w="1290" w:type="dxa"/>
          </w:tcPr>
          <w:p>
            <w:pPr>
              <w:jc w:val="center"/>
            </w:pPr>
            <w:r>
              <w:rPr>
                <w:rFonts w:hint="eastAsia" w:ascii="Times New Roman" w:hAnsi="Times New Roman" w:cs="Times New Roman"/>
              </w:rPr>
              <w:t>4.6200</w:t>
            </w:r>
          </w:p>
        </w:tc>
        <w:tc>
          <w:tcPr>
            <w:tcW w:w="1176" w:type="dxa"/>
            <w:vAlign w:val="bottom"/>
          </w:tcPr>
          <w:p>
            <w:pPr>
              <w:jc w:val="right"/>
              <w:rPr>
                <w:rFonts w:ascii="Times New Roman" w:hAnsi="Times New Roman" w:cs="Times New Roman"/>
              </w:rPr>
            </w:pPr>
            <w:r>
              <w:rPr>
                <w:rFonts w:hint="eastAsia" w:ascii="Times New Roman" w:hAnsi="Times New Roman" w:cs="Times New Roman"/>
              </w:rPr>
              <w:t>4.1414</w:t>
            </w:r>
          </w:p>
        </w:tc>
        <w:tc>
          <w:tcPr>
            <w:tcW w:w="1176" w:type="dxa"/>
            <w:vAlign w:val="bottom"/>
          </w:tcPr>
          <w:p>
            <w:pPr>
              <w:jc w:val="right"/>
              <w:rPr>
                <w:rFonts w:ascii="Times New Roman" w:hAnsi="Times New Roman" w:cs="Times New Roman"/>
              </w:rPr>
            </w:pPr>
            <w:r>
              <w:rPr>
                <w:rFonts w:hint="eastAsia" w:ascii="Times New Roman" w:hAnsi="Times New Roman" w:cs="Times New Roman"/>
              </w:rPr>
              <w:t>8.655</w:t>
            </w:r>
          </w:p>
        </w:tc>
        <w:tc>
          <w:tcPr>
            <w:tcW w:w="1057" w:type="dxa"/>
            <w:vAlign w:val="bottom"/>
          </w:tcPr>
          <w:p>
            <w:pPr>
              <w:jc w:val="right"/>
              <w:rPr>
                <w:rFonts w:ascii="Times New Roman" w:hAnsi="Times New Roman" w:cs="Times New Roman"/>
              </w:rPr>
            </w:pPr>
            <w:r>
              <w:rPr>
                <w:rFonts w:hint="eastAsia" w:ascii="Times New Roman" w:hAnsi="Times New Roman" w:cs="Times New Roman"/>
              </w:rPr>
              <w:t>97.70%</w:t>
            </w:r>
          </w:p>
        </w:tc>
        <w:tc>
          <w:tcPr>
            <w:tcW w:w="1539" w:type="dxa"/>
            <w:vMerge w:val="continue"/>
          </w:tcPr>
          <w:p>
            <w:pPr>
              <w:spacing w:line="360" w:lineRule="auto"/>
              <w:jc w:val="center"/>
              <w:rPr>
                <w:rFonts w:ascii="Times New Roman" w:hAnsi="Times New Roman" w:cs="Times New Roman"/>
                <w:szCs w:val="21"/>
              </w:rPr>
            </w:pPr>
          </w:p>
        </w:tc>
        <w:tc>
          <w:tcPr>
            <w:tcW w:w="1013"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271" w:type="dxa"/>
            <w:vAlign w:val="bottom"/>
          </w:tcPr>
          <w:p>
            <w:pPr>
              <w:jc w:val="right"/>
              <w:rPr>
                <w:rFonts w:ascii="Times New Roman" w:hAnsi="Times New Roman" w:cs="Times New Roman"/>
              </w:rPr>
            </w:pPr>
            <w:r>
              <w:rPr>
                <w:rFonts w:hint="eastAsia" w:ascii="Times New Roman" w:hAnsi="Times New Roman" w:cs="Times New Roman"/>
              </w:rPr>
              <w:t>0.2637</w:t>
            </w:r>
          </w:p>
        </w:tc>
        <w:tc>
          <w:tcPr>
            <w:tcW w:w="1290" w:type="dxa"/>
          </w:tcPr>
          <w:p>
            <w:pPr>
              <w:jc w:val="center"/>
            </w:pPr>
            <w:r>
              <w:rPr>
                <w:rFonts w:hint="eastAsia" w:ascii="Times New Roman" w:hAnsi="Times New Roman" w:cs="Times New Roman"/>
              </w:rPr>
              <w:t>4.6200</w:t>
            </w:r>
          </w:p>
        </w:tc>
        <w:tc>
          <w:tcPr>
            <w:tcW w:w="1176" w:type="dxa"/>
            <w:vAlign w:val="bottom"/>
          </w:tcPr>
          <w:p>
            <w:pPr>
              <w:jc w:val="right"/>
              <w:rPr>
                <w:rFonts w:ascii="Times New Roman" w:hAnsi="Times New Roman" w:cs="Times New Roman"/>
              </w:rPr>
            </w:pPr>
            <w:r>
              <w:rPr>
                <w:rFonts w:hint="eastAsia" w:ascii="Times New Roman" w:hAnsi="Times New Roman" w:cs="Times New Roman"/>
              </w:rPr>
              <w:t>4.1699</w:t>
            </w:r>
          </w:p>
        </w:tc>
        <w:tc>
          <w:tcPr>
            <w:tcW w:w="1176" w:type="dxa"/>
            <w:vAlign w:val="bottom"/>
          </w:tcPr>
          <w:p>
            <w:pPr>
              <w:jc w:val="right"/>
              <w:rPr>
                <w:rFonts w:ascii="Times New Roman" w:hAnsi="Times New Roman" w:cs="Times New Roman"/>
              </w:rPr>
            </w:pPr>
            <w:r>
              <w:rPr>
                <w:rFonts w:hint="eastAsia" w:ascii="Times New Roman" w:hAnsi="Times New Roman" w:cs="Times New Roman"/>
              </w:rPr>
              <w:t>8.695</w:t>
            </w:r>
          </w:p>
        </w:tc>
        <w:tc>
          <w:tcPr>
            <w:tcW w:w="1057" w:type="dxa"/>
            <w:vAlign w:val="bottom"/>
          </w:tcPr>
          <w:p>
            <w:pPr>
              <w:jc w:val="right"/>
              <w:rPr>
                <w:rFonts w:ascii="Times New Roman" w:hAnsi="Times New Roman" w:cs="Times New Roman"/>
              </w:rPr>
            </w:pPr>
            <w:r>
              <w:rPr>
                <w:rFonts w:hint="eastAsia" w:ascii="Times New Roman" w:hAnsi="Times New Roman" w:cs="Times New Roman"/>
              </w:rPr>
              <w:t>97.94%</w:t>
            </w:r>
          </w:p>
        </w:tc>
        <w:tc>
          <w:tcPr>
            <w:tcW w:w="1539" w:type="dxa"/>
            <w:vMerge w:val="continue"/>
          </w:tcPr>
          <w:p>
            <w:pPr>
              <w:spacing w:line="360" w:lineRule="auto"/>
              <w:jc w:val="center"/>
              <w:rPr>
                <w:rFonts w:ascii="Times New Roman" w:hAnsi="Times New Roman" w:cs="Times New Roman"/>
                <w:szCs w:val="21"/>
              </w:rPr>
            </w:pPr>
          </w:p>
        </w:tc>
        <w:tc>
          <w:tcPr>
            <w:tcW w:w="1013"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271" w:type="dxa"/>
            <w:vAlign w:val="bottom"/>
          </w:tcPr>
          <w:p>
            <w:pPr>
              <w:jc w:val="right"/>
              <w:rPr>
                <w:rFonts w:ascii="Times New Roman" w:hAnsi="Times New Roman" w:cs="Times New Roman"/>
              </w:rPr>
            </w:pPr>
            <w:r>
              <w:rPr>
                <w:rFonts w:hint="eastAsia" w:ascii="Times New Roman" w:hAnsi="Times New Roman" w:cs="Times New Roman"/>
              </w:rPr>
              <w:t>0.2631</w:t>
            </w:r>
          </w:p>
        </w:tc>
        <w:tc>
          <w:tcPr>
            <w:tcW w:w="1290" w:type="dxa"/>
          </w:tcPr>
          <w:p>
            <w:pPr>
              <w:jc w:val="center"/>
            </w:pPr>
            <w:r>
              <w:rPr>
                <w:rFonts w:hint="eastAsia" w:ascii="Times New Roman" w:hAnsi="Times New Roman" w:cs="Times New Roman"/>
              </w:rPr>
              <w:t>4.6200</w:t>
            </w:r>
          </w:p>
        </w:tc>
        <w:tc>
          <w:tcPr>
            <w:tcW w:w="1176" w:type="dxa"/>
            <w:vAlign w:val="bottom"/>
          </w:tcPr>
          <w:p>
            <w:pPr>
              <w:jc w:val="right"/>
              <w:rPr>
                <w:rFonts w:ascii="Times New Roman" w:hAnsi="Times New Roman" w:cs="Times New Roman"/>
              </w:rPr>
            </w:pPr>
            <w:r>
              <w:rPr>
                <w:rFonts w:hint="eastAsia" w:ascii="Times New Roman" w:hAnsi="Times New Roman" w:cs="Times New Roman"/>
              </w:rPr>
              <w:t>4.1604</w:t>
            </w:r>
          </w:p>
        </w:tc>
        <w:tc>
          <w:tcPr>
            <w:tcW w:w="1176" w:type="dxa"/>
            <w:vAlign w:val="bottom"/>
          </w:tcPr>
          <w:p>
            <w:pPr>
              <w:jc w:val="right"/>
              <w:rPr>
                <w:rFonts w:ascii="Times New Roman" w:hAnsi="Times New Roman" w:cs="Times New Roman"/>
              </w:rPr>
            </w:pPr>
            <w:r>
              <w:rPr>
                <w:rFonts w:hint="eastAsia" w:ascii="Times New Roman" w:hAnsi="Times New Roman" w:cs="Times New Roman"/>
              </w:rPr>
              <w:t>8.635</w:t>
            </w:r>
          </w:p>
        </w:tc>
        <w:tc>
          <w:tcPr>
            <w:tcW w:w="1057" w:type="dxa"/>
            <w:vAlign w:val="bottom"/>
          </w:tcPr>
          <w:p>
            <w:pPr>
              <w:jc w:val="right"/>
              <w:rPr>
                <w:rFonts w:ascii="Times New Roman" w:hAnsi="Times New Roman" w:cs="Times New Roman"/>
              </w:rPr>
            </w:pPr>
            <w:r>
              <w:rPr>
                <w:rFonts w:hint="eastAsia" w:ascii="Times New Roman" w:hAnsi="Times New Roman" w:cs="Times New Roman"/>
              </w:rPr>
              <w:t>96.85%</w:t>
            </w:r>
          </w:p>
        </w:tc>
        <w:tc>
          <w:tcPr>
            <w:tcW w:w="1539" w:type="dxa"/>
            <w:vMerge w:val="continue"/>
          </w:tcPr>
          <w:p>
            <w:pPr>
              <w:spacing w:line="360" w:lineRule="auto"/>
              <w:jc w:val="center"/>
              <w:rPr>
                <w:rFonts w:ascii="Times New Roman" w:hAnsi="Times New Roman" w:cs="Times New Roman"/>
                <w:szCs w:val="21"/>
              </w:rPr>
            </w:pPr>
          </w:p>
        </w:tc>
        <w:tc>
          <w:tcPr>
            <w:tcW w:w="1013" w:type="dxa"/>
            <w:vMerge w:val="continue"/>
          </w:tcPr>
          <w:p>
            <w:pPr>
              <w:spacing w:line="360" w:lineRule="auto"/>
              <w:jc w:val="center"/>
              <w:rPr>
                <w:rFonts w:ascii="Times New Roman" w:hAnsi="Times New Roman" w:cs="Times New Roman"/>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271" w:type="dxa"/>
            <w:vAlign w:val="bottom"/>
          </w:tcPr>
          <w:p>
            <w:pPr>
              <w:jc w:val="right"/>
              <w:rPr>
                <w:rFonts w:ascii="Times New Roman" w:hAnsi="Times New Roman" w:cs="Times New Roman"/>
              </w:rPr>
            </w:pPr>
            <w:r>
              <w:rPr>
                <w:rFonts w:hint="eastAsia" w:ascii="Times New Roman" w:hAnsi="Times New Roman" w:cs="Times New Roman"/>
              </w:rPr>
              <w:t>0.2626</w:t>
            </w:r>
          </w:p>
        </w:tc>
        <w:tc>
          <w:tcPr>
            <w:tcW w:w="1290" w:type="dxa"/>
          </w:tcPr>
          <w:p>
            <w:pPr>
              <w:jc w:val="center"/>
            </w:pPr>
            <w:r>
              <w:rPr>
                <w:rFonts w:hint="eastAsia" w:ascii="Times New Roman" w:hAnsi="Times New Roman" w:cs="Times New Roman"/>
              </w:rPr>
              <w:t>4.6200</w:t>
            </w:r>
          </w:p>
        </w:tc>
        <w:tc>
          <w:tcPr>
            <w:tcW w:w="1176" w:type="dxa"/>
            <w:vAlign w:val="bottom"/>
          </w:tcPr>
          <w:p>
            <w:pPr>
              <w:jc w:val="right"/>
              <w:rPr>
                <w:rFonts w:ascii="Times New Roman" w:hAnsi="Times New Roman" w:cs="Times New Roman"/>
              </w:rPr>
            </w:pPr>
            <w:r>
              <w:rPr>
                <w:rFonts w:hint="eastAsia" w:ascii="Times New Roman" w:hAnsi="Times New Roman" w:cs="Times New Roman"/>
              </w:rPr>
              <w:t>4.1525</w:t>
            </w:r>
          </w:p>
        </w:tc>
        <w:tc>
          <w:tcPr>
            <w:tcW w:w="1176" w:type="dxa"/>
            <w:vAlign w:val="bottom"/>
          </w:tcPr>
          <w:p>
            <w:pPr>
              <w:jc w:val="right"/>
              <w:rPr>
                <w:rFonts w:ascii="Times New Roman" w:hAnsi="Times New Roman" w:cs="Times New Roman"/>
              </w:rPr>
            </w:pPr>
            <w:r>
              <w:rPr>
                <w:rFonts w:hint="eastAsia" w:ascii="Times New Roman" w:hAnsi="Times New Roman" w:cs="Times New Roman"/>
              </w:rPr>
              <w:t>8.725</w:t>
            </w:r>
          </w:p>
        </w:tc>
        <w:tc>
          <w:tcPr>
            <w:tcW w:w="1057" w:type="dxa"/>
            <w:vAlign w:val="bottom"/>
          </w:tcPr>
          <w:p>
            <w:pPr>
              <w:jc w:val="right"/>
              <w:rPr>
                <w:rFonts w:ascii="Times New Roman" w:hAnsi="Times New Roman" w:cs="Times New Roman"/>
              </w:rPr>
            </w:pPr>
            <w:r>
              <w:rPr>
                <w:rFonts w:hint="eastAsia" w:ascii="Times New Roman" w:hAnsi="Times New Roman" w:cs="Times New Roman"/>
              </w:rPr>
              <w:t>98.98%</w:t>
            </w:r>
          </w:p>
        </w:tc>
        <w:tc>
          <w:tcPr>
            <w:tcW w:w="1539" w:type="dxa"/>
            <w:vMerge w:val="continue"/>
          </w:tcPr>
          <w:p>
            <w:pPr>
              <w:spacing w:line="360" w:lineRule="auto"/>
              <w:jc w:val="center"/>
              <w:rPr>
                <w:rFonts w:ascii="Times New Roman" w:hAnsi="Times New Roman" w:cs="Times New Roman"/>
                <w:szCs w:val="21"/>
              </w:rPr>
            </w:pPr>
          </w:p>
        </w:tc>
        <w:tc>
          <w:tcPr>
            <w:tcW w:w="1013" w:type="dxa"/>
            <w:vMerge w:val="continue"/>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.5</w:t>
      </w:r>
      <w:r>
        <w:rPr>
          <w:rFonts w:ascii="Times New Roman" w:cs="Times New Roman"/>
        </w:rPr>
        <w:t>不同</w:t>
      </w:r>
      <w:r>
        <w:rPr>
          <w:rFonts w:hint="eastAsia" w:ascii="Times New Roman" w:cs="Times New Roman"/>
        </w:rPr>
        <w:t>批次蛇泡筋根</w:t>
      </w:r>
      <w:r>
        <w:rPr>
          <w:rFonts w:ascii="Times New Roman" w:cs="Times New Roman"/>
        </w:rPr>
        <w:t>药材中</w:t>
      </w:r>
      <w:r>
        <w:rPr>
          <w:rFonts w:hint="eastAsia" w:ascii="Times New Roman" w:cs="Times New Roman"/>
        </w:rPr>
        <w:t>表儿茶素</w:t>
      </w:r>
      <w:r>
        <w:rPr>
          <w:rFonts w:ascii="Times New Roman" w:cs="Times New Roman"/>
        </w:rPr>
        <w:t>的含量测定</w:t>
      </w:r>
    </w:p>
    <w:p>
      <w:pPr>
        <w:spacing w:line="360" w:lineRule="auto"/>
        <w:ind w:firstLine="480" w:firstLineChars="200"/>
        <w:rPr>
          <w:rFonts w:ascii="Times New Roman" w:hAnsi="Times New Roman" w:cs="Times New Roman"/>
        </w:rPr>
      </w:pPr>
      <w:r>
        <w:rPr>
          <w:rFonts w:hint="eastAsia" w:ascii="Times New Roman" w:cs="Times New Roman"/>
        </w:rPr>
        <w:t>精密称取不同批次的蛇泡筋根</w:t>
      </w:r>
      <w:r>
        <w:rPr>
          <w:rFonts w:ascii="Times New Roman" w:cs="Times New Roman"/>
        </w:rPr>
        <w:t>药材</w:t>
      </w:r>
      <w:r>
        <w:rPr>
          <w:rFonts w:hint="eastAsia" w:ascii="Times New Roman" w:cs="Times New Roman"/>
        </w:rPr>
        <w:t>粉末（过二号筛）各2份，每份约0.5g，按</w:t>
      </w:r>
      <w:r>
        <w:rPr>
          <w:rFonts w:ascii="Times New Roman" w:cs="Times New Roman"/>
        </w:rPr>
        <w:t>供试品</w:t>
      </w:r>
      <w:r>
        <w:rPr>
          <w:rFonts w:hint="eastAsia" w:ascii="Times New Roman" w:cs="Times New Roman"/>
        </w:rPr>
        <w:t>制备方法项下方法制备供试品</w:t>
      </w:r>
      <w:r>
        <w:rPr>
          <w:rFonts w:ascii="Times New Roman" w:cs="Times New Roman"/>
        </w:rPr>
        <w:t>溶液，采用序列进样法进样，测定供试品中</w:t>
      </w:r>
      <w:r>
        <w:rPr>
          <w:rFonts w:hint="eastAsia" w:ascii="Times New Roman" w:cs="Times New Roman"/>
        </w:rPr>
        <w:t>表儿茶素峰面积，计算样品中表儿茶素</w:t>
      </w:r>
      <w:r>
        <w:rPr>
          <w:rFonts w:ascii="Times New Roman" w:cs="Times New Roman"/>
        </w:rPr>
        <w:t>的含量，结果见表</w:t>
      </w:r>
      <w:r>
        <w:rPr>
          <w:rFonts w:ascii="Times New Roman" w:hAnsi="Times New Roman" w:cs="Times New Roman"/>
        </w:rPr>
        <w:t>1</w:t>
      </w:r>
      <w:r>
        <w:rPr>
          <w:rFonts w:hint="eastAsia" w:ascii="Times New Roman" w:hAnsi="Times New Roman" w:cs="Times New Roman"/>
        </w:rPr>
        <w:t>4</w:t>
      </w:r>
      <w:r>
        <w:rPr>
          <w:rFonts w:ascii="Times New Roman" w:cs="Times New Roman"/>
        </w:rPr>
        <w:t>。</w:t>
      </w:r>
    </w:p>
    <w:p>
      <w:pPr>
        <w:spacing w:line="360" w:lineRule="auto"/>
        <w:jc w:val="center"/>
        <w:rPr>
          <w:rFonts w:ascii="Times New Roman" w:hAnsi="Times New Roman" w:eastAsia="黑体" w:cs="Times New Roman"/>
          <w:szCs w:val="21"/>
        </w:rPr>
      </w:pPr>
      <w:r>
        <w:rPr>
          <w:rFonts w:ascii="Times New Roman" w:hAnsi="黑体" w:eastAsia="黑体" w:cs="Times New Roman"/>
          <w:szCs w:val="21"/>
        </w:rPr>
        <w:t>表</w:t>
      </w:r>
      <w:r>
        <w:rPr>
          <w:rFonts w:ascii="Times New Roman" w:hAnsi="Times New Roman" w:eastAsia="黑体" w:cs="Times New Roman"/>
          <w:szCs w:val="21"/>
        </w:rPr>
        <w:t>1</w:t>
      </w:r>
      <w:r>
        <w:rPr>
          <w:rFonts w:hint="eastAsia" w:ascii="Times New Roman" w:hAnsi="Times New Roman" w:eastAsia="黑体" w:cs="Times New Roman"/>
          <w:szCs w:val="21"/>
        </w:rPr>
        <w:t>4</w:t>
      </w:r>
      <w:r>
        <w:rPr>
          <w:rFonts w:ascii="Times New Roman" w:hAnsi="黑体" w:eastAsia="黑体" w:cs="Times New Roman"/>
          <w:szCs w:val="21"/>
        </w:rPr>
        <w:t>不同</w:t>
      </w:r>
      <w:r>
        <w:rPr>
          <w:rFonts w:hint="eastAsia" w:ascii="Times New Roman" w:hAnsi="黑体" w:eastAsia="黑体" w:cs="Times New Roman"/>
          <w:szCs w:val="21"/>
        </w:rPr>
        <w:t>批次蛇泡筋根</w:t>
      </w:r>
      <w:r>
        <w:rPr>
          <w:rFonts w:ascii="Times New Roman" w:hAnsi="黑体" w:eastAsia="黑体" w:cs="Times New Roman"/>
          <w:szCs w:val="21"/>
        </w:rPr>
        <w:t>药材中</w:t>
      </w:r>
      <w:r>
        <w:rPr>
          <w:rFonts w:hint="eastAsia" w:ascii="Times New Roman" w:hAnsi="黑体" w:eastAsia="黑体" w:cs="Times New Roman"/>
          <w:szCs w:val="21"/>
        </w:rPr>
        <w:t>表儿茶素的</w:t>
      </w:r>
      <w:r>
        <w:rPr>
          <w:rFonts w:ascii="Times New Roman" w:hAnsi="黑体" w:eastAsia="黑体" w:cs="Times New Roman"/>
          <w:szCs w:val="21"/>
        </w:rPr>
        <w:t>含量</w:t>
      </w:r>
    </w:p>
    <w:tbl>
      <w:tblPr>
        <w:tblStyle w:val="8"/>
        <w:tblW w:w="7320" w:type="dxa"/>
        <w:jc w:val="center"/>
        <w:tblLayout w:type="fixed"/>
        <w:tblCellMar>
          <w:top w:w="0" w:type="dxa"/>
          <w:left w:w="108" w:type="dxa"/>
          <w:bottom w:w="0" w:type="dxa"/>
          <w:right w:w="108" w:type="dxa"/>
        </w:tblCellMar>
      </w:tblPr>
      <w:tblGrid>
        <w:gridCol w:w="1296"/>
        <w:gridCol w:w="1376"/>
        <w:gridCol w:w="2437"/>
        <w:gridCol w:w="2211"/>
      </w:tblGrid>
      <w:tr>
        <w:tblPrEx>
          <w:tblCellMar>
            <w:top w:w="0" w:type="dxa"/>
            <w:left w:w="108" w:type="dxa"/>
            <w:bottom w:w="0" w:type="dxa"/>
            <w:right w:w="108" w:type="dxa"/>
          </w:tblCellMar>
        </w:tblPrEx>
        <w:trPr>
          <w:trHeight w:val="315" w:hRule="atLeast"/>
          <w:jc w:val="center"/>
        </w:trPr>
        <w:tc>
          <w:tcPr>
            <w:tcW w:w="1296" w:type="dxa"/>
            <w:vMerge w:val="restart"/>
            <w:tcBorders>
              <w:top w:val="single" w:color="auto" w:sz="4" w:space="0"/>
              <w:left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批号</w:t>
            </w:r>
          </w:p>
        </w:tc>
        <w:tc>
          <w:tcPr>
            <w:tcW w:w="1376" w:type="dxa"/>
            <w:vMerge w:val="restart"/>
            <w:tcBorders>
              <w:top w:val="single" w:color="auto" w:sz="4" w:space="0"/>
              <w:left w:val="nil"/>
              <w:right w:val="nil"/>
            </w:tcBorders>
            <w:vAlign w:val="center"/>
          </w:tcPr>
          <w:p>
            <w:pPr>
              <w:jc w:val="center"/>
              <w:rPr>
                <w:rFonts w:ascii="Times New Roman" w:hAnsi="Times New Roman" w:cs="Times New Roman"/>
              </w:rPr>
            </w:pPr>
            <w:r>
              <w:rPr>
                <w:rFonts w:hint="eastAsia" w:ascii="Times New Roman" w:hAnsi="Times New Roman" w:cs="Times New Roman"/>
              </w:rPr>
              <w:t>水分含量%</w:t>
            </w:r>
          </w:p>
        </w:tc>
        <w:tc>
          <w:tcPr>
            <w:tcW w:w="4648" w:type="dxa"/>
            <w:gridSpan w:val="2"/>
            <w:tcBorders>
              <w:top w:val="single" w:color="auto" w:sz="4" w:space="0"/>
              <w:left w:val="nil"/>
              <w:bottom w:val="single" w:color="auto" w:sz="4" w:space="0"/>
              <w:right w:val="nil"/>
            </w:tcBorders>
            <w:vAlign w:val="center"/>
          </w:tcPr>
          <w:p>
            <w:pPr>
              <w:jc w:val="center"/>
              <w:rPr>
                <w:rFonts w:ascii="Times New Roman" w:hAnsi="Times New Roman" w:cs="Times New Roman"/>
              </w:rPr>
            </w:pPr>
            <w:r>
              <w:rPr>
                <w:rFonts w:hint="eastAsia" w:ascii="Times New Roman" w:hAnsi="Times New Roman" w:cs="Times New Roman"/>
              </w:rPr>
              <w:t>表儿茶素含量</w:t>
            </w:r>
          </w:p>
        </w:tc>
      </w:tr>
      <w:tr>
        <w:tblPrEx>
          <w:tblCellMar>
            <w:top w:w="0" w:type="dxa"/>
            <w:left w:w="108" w:type="dxa"/>
            <w:bottom w:w="0" w:type="dxa"/>
            <w:right w:w="108" w:type="dxa"/>
          </w:tblCellMar>
        </w:tblPrEx>
        <w:trPr>
          <w:trHeight w:val="315" w:hRule="atLeast"/>
          <w:jc w:val="center"/>
        </w:trPr>
        <w:tc>
          <w:tcPr>
            <w:tcW w:w="1296" w:type="dxa"/>
            <w:vMerge w:val="continue"/>
            <w:tcBorders>
              <w:left w:val="nil"/>
              <w:bottom w:val="single" w:color="auto" w:sz="4" w:space="0"/>
              <w:right w:val="nil"/>
            </w:tcBorders>
            <w:vAlign w:val="center"/>
          </w:tcPr>
          <w:p>
            <w:pPr>
              <w:spacing w:line="360" w:lineRule="auto"/>
              <w:jc w:val="center"/>
              <w:rPr>
                <w:rFonts w:ascii="Times New Roman" w:hAnsi="Times New Roman" w:cs="Times New Roman"/>
              </w:rPr>
            </w:pPr>
          </w:p>
        </w:tc>
        <w:tc>
          <w:tcPr>
            <w:tcW w:w="1376" w:type="dxa"/>
            <w:vMerge w:val="continue"/>
            <w:tcBorders>
              <w:left w:val="nil"/>
              <w:bottom w:val="single" w:color="auto" w:sz="4" w:space="0"/>
              <w:right w:val="nil"/>
            </w:tcBorders>
            <w:vAlign w:val="center"/>
          </w:tcPr>
          <w:p>
            <w:pPr>
              <w:jc w:val="center"/>
              <w:rPr>
                <w:rFonts w:ascii="Times New Roman" w:hAnsi="Times New Roman" w:cs="Times New Roman"/>
              </w:rPr>
            </w:pPr>
          </w:p>
        </w:tc>
        <w:tc>
          <w:tcPr>
            <w:tcW w:w="2437" w:type="dxa"/>
            <w:tcBorders>
              <w:top w:val="single" w:color="auto" w:sz="4" w:space="0"/>
              <w:left w:val="nil"/>
              <w:bottom w:val="single" w:color="auto" w:sz="4" w:space="0"/>
              <w:right w:val="nil"/>
            </w:tcBorders>
            <w:vAlign w:val="center"/>
          </w:tcPr>
          <w:p>
            <w:pPr>
              <w:jc w:val="center"/>
              <w:rPr>
                <w:rFonts w:ascii="Times New Roman" w:hAnsi="Times New Roman" w:cs="Times New Roman"/>
              </w:rPr>
            </w:pPr>
            <w:r>
              <w:rPr>
                <w:rFonts w:hint="eastAsia" w:ascii="Times New Roman" w:hAnsi="Times New Roman" w:cs="Times New Roman"/>
              </w:rPr>
              <w:t>测定量mg/g</w:t>
            </w:r>
          </w:p>
        </w:tc>
        <w:tc>
          <w:tcPr>
            <w:tcW w:w="2211" w:type="dxa"/>
            <w:tcBorders>
              <w:top w:val="single" w:color="auto" w:sz="4" w:space="0"/>
              <w:left w:val="nil"/>
              <w:bottom w:val="single" w:color="auto" w:sz="4" w:space="0"/>
              <w:right w:val="nil"/>
            </w:tcBorders>
            <w:vAlign w:val="center"/>
          </w:tcPr>
          <w:p>
            <w:pPr>
              <w:jc w:val="center"/>
              <w:rPr>
                <w:rFonts w:ascii="Times New Roman" w:hAnsi="Times New Roman" w:cs="Times New Roman"/>
              </w:rPr>
            </w:pPr>
            <w:r>
              <w:rPr>
                <w:rFonts w:hint="eastAsia" w:ascii="Times New Roman" w:hAnsi="Times New Roman" w:cs="Times New Roman"/>
              </w:rPr>
              <w:t>干燥药材含量mg/g</w:t>
            </w:r>
          </w:p>
        </w:tc>
      </w:tr>
      <w:tr>
        <w:tblPrEx>
          <w:tblCellMar>
            <w:top w:w="0" w:type="dxa"/>
            <w:left w:w="108" w:type="dxa"/>
            <w:bottom w:w="0" w:type="dxa"/>
            <w:right w:w="108" w:type="dxa"/>
          </w:tblCellMar>
        </w:tblPrEx>
        <w:trPr>
          <w:trHeight w:val="315" w:hRule="atLeast"/>
          <w:jc w:val="center"/>
        </w:trPr>
        <w:tc>
          <w:tcPr>
            <w:tcW w:w="1296" w:type="dxa"/>
            <w:tcBorders>
              <w:top w:val="single" w:color="auto" w:sz="4" w:space="0"/>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202201001</w:t>
            </w:r>
          </w:p>
        </w:tc>
        <w:tc>
          <w:tcPr>
            <w:tcW w:w="1376" w:type="dxa"/>
            <w:tcBorders>
              <w:top w:val="single" w:color="auto" w:sz="4" w:space="0"/>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5.19</w:t>
            </w:r>
          </w:p>
        </w:tc>
        <w:tc>
          <w:tcPr>
            <w:tcW w:w="2437"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19.5134</w:t>
            </w:r>
          </w:p>
        </w:tc>
        <w:tc>
          <w:tcPr>
            <w:tcW w:w="2211"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20.5816</w:t>
            </w:r>
          </w:p>
        </w:tc>
      </w:tr>
      <w:tr>
        <w:tblPrEx>
          <w:tblCellMar>
            <w:top w:w="0" w:type="dxa"/>
            <w:left w:w="108" w:type="dxa"/>
            <w:bottom w:w="0" w:type="dxa"/>
            <w:right w:w="108" w:type="dxa"/>
          </w:tblCellMar>
        </w:tblPrEx>
        <w:trPr>
          <w:trHeight w:val="315" w:hRule="atLeast"/>
          <w:jc w:val="center"/>
        </w:trPr>
        <w:tc>
          <w:tcPr>
            <w:tcW w:w="1296" w:type="dxa"/>
            <w:tcBorders>
              <w:top w:val="nil"/>
              <w:left w:val="nil"/>
              <w:bottom w:val="nil"/>
              <w:right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2201002</w:t>
            </w:r>
          </w:p>
        </w:tc>
        <w:tc>
          <w:tcPr>
            <w:tcW w:w="1376" w:type="dxa"/>
            <w:tcBorders>
              <w:top w:val="nil"/>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3.14</w:t>
            </w:r>
          </w:p>
        </w:tc>
        <w:tc>
          <w:tcPr>
            <w:tcW w:w="243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15.4814</w:t>
            </w:r>
          </w:p>
        </w:tc>
        <w:tc>
          <w:tcPr>
            <w:tcW w:w="2211"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16.3549</w:t>
            </w:r>
          </w:p>
        </w:tc>
      </w:tr>
      <w:tr>
        <w:tblPrEx>
          <w:tblCellMar>
            <w:top w:w="0" w:type="dxa"/>
            <w:left w:w="108" w:type="dxa"/>
            <w:bottom w:w="0" w:type="dxa"/>
            <w:right w:w="108" w:type="dxa"/>
          </w:tblCellMar>
        </w:tblPrEx>
        <w:trPr>
          <w:trHeight w:val="315" w:hRule="atLeast"/>
          <w:jc w:val="center"/>
        </w:trPr>
        <w:tc>
          <w:tcPr>
            <w:tcW w:w="1296" w:type="dxa"/>
            <w:tcBorders>
              <w:top w:val="nil"/>
              <w:left w:val="nil"/>
              <w:bottom w:val="nil"/>
              <w:right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2201003</w:t>
            </w:r>
          </w:p>
        </w:tc>
        <w:tc>
          <w:tcPr>
            <w:tcW w:w="1376" w:type="dxa"/>
            <w:tcBorders>
              <w:top w:val="nil"/>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2.92</w:t>
            </w:r>
          </w:p>
        </w:tc>
        <w:tc>
          <w:tcPr>
            <w:tcW w:w="243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13.7968</w:t>
            </w:r>
          </w:p>
        </w:tc>
        <w:tc>
          <w:tcPr>
            <w:tcW w:w="2211"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14.2118</w:t>
            </w:r>
          </w:p>
        </w:tc>
      </w:tr>
      <w:tr>
        <w:tblPrEx>
          <w:tblCellMar>
            <w:top w:w="0" w:type="dxa"/>
            <w:left w:w="108" w:type="dxa"/>
            <w:bottom w:w="0" w:type="dxa"/>
            <w:right w:w="108" w:type="dxa"/>
          </w:tblCellMar>
        </w:tblPrEx>
        <w:trPr>
          <w:trHeight w:val="315" w:hRule="atLeast"/>
          <w:jc w:val="center"/>
        </w:trPr>
        <w:tc>
          <w:tcPr>
            <w:tcW w:w="1296" w:type="dxa"/>
            <w:tcBorders>
              <w:top w:val="nil"/>
              <w:left w:val="nil"/>
              <w:bottom w:val="nil"/>
              <w:right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2201004</w:t>
            </w:r>
          </w:p>
        </w:tc>
        <w:tc>
          <w:tcPr>
            <w:tcW w:w="1376" w:type="dxa"/>
            <w:tcBorders>
              <w:top w:val="nil"/>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3.68</w:t>
            </w:r>
          </w:p>
        </w:tc>
        <w:tc>
          <w:tcPr>
            <w:tcW w:w="243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12.9492</w:t>
            </w:r>
          </w:p>
        </w:tc>
        <w:tc>
          <w:tcPr>
            <w:tcW w:w="2211"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13.4414</w:t>
            </w:r>
          </w:p>
        </w:tc>
      </w:tr>
      <w:tr>
        <w:tblPrEx>
          <w:tblCellMar>
            <w:top w:w="0" w:type="dxa"/>
            <w:left w:w="108" w:type="dxa"/>
            <w:bottom w:w="0" w:type="dxa"/>
            <w:right w:w="108" w:type="dxa"/>
          </w:tblCellMar>
        </w:tblPrEx>
        <w:trPr>
          <w:trHeight w:val="315" w:hRule="atLeast"/>
          <w:jc w:val="center"/>
        </w:trPr>
        <w:tc>
          <w:tcPr>
            <w:tcW w:w="1296" w:type="dxa"/>
            <w:tcBorders>
              <w:top w:val="nil"/>
              <w:left w:val="nil"/>
              <w:bottom w:val="nil"/>
              <w:right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2201005</w:t>
            </w:r>
          </w:p>
        </w:tc>
        <w:tc>
          <w:tcPr>
            <w:tcW w:w="1376" w:type="dxa"/>
            <w:tcBorders>
              <w:top w:val="nil"/>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3.63</w:t>
            </w:r>
          </w:p>
        </w:tc>
        <w:tc>
          <w:tcPr>
            <w:tcW w:w="243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14.7890</w:t>
            </w:r>
          </w:p>
        </w:tc>
        <w:tc>
          <w:tcPr>
            <w:tcW w:w="2211"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15.3461</w:t>
            </w:r>
          </w:p>
        </w:tc>
      </w:tr>
      <w:tr>
        <w:tblPrEx>
          <w:tblCellMar>
            <w:top w:w="0" w:type="dxa"/>
            <w:left w:w="108" w:type="dxa"/>
            <w:bottom w:w="0" w:type="dxa"/>
            <w:right w:w="108" w:type="dxa"/>
          </w:tblCellMar>
        </w:tblPrEx>
        <w:trPr>
          <w:trHeight w:val="315" w:hRule="atLeast"/>
          <w:jc w:val="center"/>
        </w:trPr>
        <w:tc>
          <w:tcPr>
            <w:tcW w:w="1296" w:type="dxa"/>
            <w:tcBorders>
              <w:top w:val="nil"/>
              <w:left w:val="nil"/>
              <w:bottom w:val="nil"/>
              <w:right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2201006</w:t>
            </w:r>
          </w:p>
        </w:tc>
        <w:tc>
          <w:tcPr>
            <w:tcW w:w="1376" w:type="dxa"/>
            <w:tcBorders>
              <w:top w:val="nil"/>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2.44</w:t>
            </w:r>
          </w:p>
        </w:tc>
        <w:tc>
          <w:tcPr>
            <w:tcW w:w="243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12.7843</w:t>
            </w:r>
          </w:p>
        </w:tc>
        <w:tc>
          <w:tcPr>
            <w:tcW w:w="2211"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13.1040</w:t>
            </w:r>
          </w:p>
        </w:tc>
      </w:tr>
      <w:tr>
        <w:tblPrEx>
          <w:tblCellMar>
            <w:top w:w="0" w:type="dxa"/>
            <w:left w:w="108" w:type="dxa"/>
            <w:bottom w:w="0" w:type="dxa"/>
            <w:right w:w="108" w:type="dxa"/>
          </w:tblCellMar>
        </w:tblPrEx>
        <w:trPr>
          <w:trHeight w:val="315" w:hRule="atLeast"/>
          <w:jc w:val="center"/>
        </w:trPr>
        <w:tc>
          <w:tcPr>
            <w:tcW w:w="1296" w:type="dxa"/>
            <w:tcBorders>
              <w:top w:val="nil"/>
              <w:left w:val="nil"/>
              <w:bottom w:val="nil"/>
              <w:right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2201007</w:t>
            </w:r>
          </w:p>
        </w:tc>
        <w:tc>
          <w:tcPr>
            <w:tcW w:w="1376" w:type="dxa"/>
            <w:tcBorders>
              <w:top w:val="nil"/>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3.31</w:t>
            </w:r>
          </w:p>
        </w:tc>
        <w:tc>
          <w:tcPr>
            <w:tcW w:w="243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15.7907</w:t>
            </w:r>
          </w:p>
        </w:tc>
        <w:tc>
          <w:tcPr>
            <w:tcW w:w="2211"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16.3313</w:t>
            </w:r>
          </w:p>
        </w:tc>
      </w:tr>
      <w:tr>
        <w:tblPrEx>
          <w:tblCellMar>
            <w:top w:w="0" w:type="dxa"/>
            <w:left w:w="108" w:type="dxa"/>
            <w:bottom w:w="0" w:type="dxa"/>
            <w:right w:w="108" w:type="dxa"/>
          </w:tblCellMar>
        </w:tblPrEx>
        <w:trPr>
          <w:trHeight w:val="315" w:hRule="atLeast"/>
          <w:jc w:val="center"/>
        </w:trPr>
        <w:tc>
          <w:tcPr>
            <w:tcW w:w="1296" w:type="dxa"/>
            <w:tcBorders>
              <w:top w:val="nil"/>
              <w:left w:val="nil"/>
              <w:right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2201008</w:t>
            </w:r>
          </w:p>
        </w:tc>
        <w:tc>
          <w:tcPr>
            <w:tcW w:w="1376" w:type="dxa"/>
            <w:tcBorders>
              <w:top w:val="nil"/>
              <w:left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2.98</w:t>
            </w:r>
          </w:p>
        </w:tc>
        <w:tc>
          <w:tcPr>
            <w:tcW w:w="2437"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16.4384</w:t>
            </w:r>
          </w:p>
        </w:tc>
        <w:tc>
          <w:tcPr>
            <w:tcW w:w="2211"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16.9433</w:t>
            </w:r>
          </w:p>
        </w:tc>
      </w:tr>
      <w:tr>
        <w:tblPrEx>
          <w:tblCellMar>
            <w:top w:w="0" w:type="dxa"/>
            <w:left w:w="108" w:type="dxa"/>
            <w:bottom w:w="0" w:type="dxa"/>
            <w:right w:w="108" w:type="dxa"/>
          </w:tblCellMar>
        </w:tblPrEx>
        <w:trPr>
          <w:trHeight w:val="315" w:hRule="atLeast"/>
          <w:jc w:val="center"/>
        </w:trPr>
        <w:tc>
          <w:tcPr>
            <w:tcW w:w="1296" w:type="dxa"/>
            <w:tcBorders>
              <w:top w:val="nil"/>
              <w:left w:val="nil"/>
              <w:bottom w:val="nil"/>
              <w:right w:val="nil"/>
            </w:tcBorders>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2201009</w:t>
            </w:r>
          </w:p>
        </w:tc>
        <w:tc>
          <w:tcPr>
            <w:tcW w:w="1376" w:type="dxa"/>
            <w:tcBorders>
              <w:top w:val="nil"/>
              <w:left w:val="nil"/>
              <w:bottom w:val="nil"/>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6.53</w:t>
            </w:r>
          </w:p>
        </w:tc>
        <w:tc>
          <w:tcPr>
            <w:tcW w:w="243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18.7100</w:t>
            </w:r>
          </w:p>
        </w:tc>
        <w:tc>
          <w:tcPr>
            <w:tcW w:w="2211"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 xml:space="preserve"> 20.0171</w:t>
            </w:r>
          </w:p>
        </w:tc>
      </w:tr>
      <w:tr>
        <w:tblPrEx>
          <w:tblCellMar>
            <w:top w:w="0" w:type="dxa"/>
            <w:left w:w="108" w:type="dxa"/>
            <w:bottom w:w="0" w:type="dxa"/>
            <w:right w:w="108" w:type="dxa"/>
          </w:tblCellMar>
        </w:tblPrEx>
        <w:trPr>
          <w:trHeight w:val="315" w:hRule="atLeast"/>
          <w:jc w:val="center"/>
        </w:trPr>
        <w:tc>
          <w:tcPr>
            <w:tcW w:w="1296" w:type="dxa"/>
            <w:tcBorders>
              <w:top w:val="nil"/>
              <w:left w:val="nil"/>
              <w:bottom w:val="single" w:color="auto" w:sz="4" w:space="0"/>
              <w:right w:val="nil"/>
            </w:tcBorders>
          </w:tcPr>
          <w:p>
            <w:pPr>
              <w:spacing w:line="360" w:lineRule="auto"/>
              <w:jc w:val="center"/>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2201010</w:t>
            </w:r>
          </w:p>
        </w:tc>
        <w:tc>
          <w:tcPr>
            <w:tcW w:w="1376" w:type="dxa"/>
            <w:tcBorders>
              <w:top w:val="nil"/>
              <w:left w:val="nil"/>
              <w:bottom w:val="single" w:color="auto" w:sz="4" w:space="0"/>
              <w:right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szCs w:val="21"/>
              </w:rPr>
              <w:t>3.39</w:t>
            </w:r>
          </w:p>
        </w:tc>
        <w:tc>
          <w:tcPr>
            <w:tcW w:w="2437" w:type="dxa"/>
            <w:tcBorders>
              <w:top w:val="nil"/>
              <w:left w:val="nil"/>
              <w:bottom w:val="single" w:color="auto" w:sz="4" w:space="0"/>
              <w:right w:val="nil"/>
            </w:tcBorders>
            <w:vAlign w:val="center"/>
          </w:tcPr>
          <w:p>
            <w:pPr>
              <w:jc w:val="center"/>
              <w:rPr>
                <w:rFonts w:ascii="Times New Roman" w:hAnsi="Times New Roman" w:cs="Times New Roman"/>
              </w:rPr>
            </w:pPr>
            <w:r>
              <w:rPr>
                <w:rFonts w:hint="eastAsia" w:ascii="Times New Roman" w:hAnsi="Times New Roman" w:cs="Times New Roman"/>
              </w:rPr>
              <w:t>17.8011</w:t>
            </w:r>
          </w:p>
        </w:tc>
        <w:tc>
          <w:tcPr>
            <w:tcW w:w="2211" w:type="dxa"/>
            <w:tcBorders>
              <w:top w:val="nil"/>
              <w:left w:val="nil"/>
              <w:bottom w:val="single" w:color="auto" w:sz="4" w:space="0"/>
              <w:right w:val="nil"/>
            </w:tcBorders>
            <w:vAlign w:val="center"/>
          </w:tcPr>
          <w:p>
            <w:pPr>
              <w:jc w:val="center"/>
              <w:rPr>
                <w:rFonts w:ascii="Times New Roman" w:hAnsi="Times New Roman" w:cs="Times New Roman"/>
              </w:rPr>
            </w:pPr>
            <w:r>
              <w:rPr>
                <w:rFonts w:hint="eastAsia" w:ascii="Times New Roman" w:hAnsi="Times New Roman" w:cs="Times New Roman"/>
              </w:rPr>
              <w:t xml:space="preserve"> 18.4257</w:t>
            </w:r>
          </w:p>
        </w:tc>
      </w:tr>
    </w:tbl>
    <w:p>
      <w:pPr>
        <w:adjustRightInd w:val="0"/>
        <w:spacing w:line="360" w:lineRule="auto"/>
        <w:ind w:firstLine="480" w:firstLineChars="200"/>
        <w:rPr>
          <w:rFonts w:ascii="Times New Roman" w:hAnsi="Times New Roman" w:eastAsia="黑体" w:cs="Times New Roman"/>
          <w:bCs/>
          <w:sz w:val="32"/>
          <w:szCs w:val="32"/>
        </w:rPr>
      </w:pPr>
      <w:r>
        <w:rPr>
          <w:rFonts w:hint="eastAsia" w:ascii="Times New Roman" w:cs="Times New Roman"/>
        </w:rPr>
        <w:t>根据上述测定结果，蛇泡筋根中表儿茶素含量有一定差异，范围在13.1040~20.5816之间，因此以含量最低批次制定药材含量限度。故暂规定：本品按干燥品计算，含表儿茶素（</w:t>
      </w:r>
      <w:r>
        <w:rPr>
          <w:rFonts w:ascii="Times New Roman" w:cs="Times New Roman"/>
        </w:rPr>
        <w:t>C</w:t>
      </w:r>
      <w:r>
        <w:rPr>
          <w:rFonts w:ascii="Times New Roman" w:cs="Times New Roman"/>
          <w:vertAlign w:val="subscript"/>
        </w:rPr>
        <w:t>15</w:t>
      </w:r>
      <w:r>
        <w:rPr>
          <w:rFonts w:ascii="Times New Roman" w:cs="Times New Roman"/>
        </w:rPr>
        <w:t>H</w:t>
      </w:r>
      <w:r>
        <w:rPr>
          <w:rFonts w:ascii="Times New Roman" w:cs="Times New Roman"/>
          <w:vertAlign w:val="subscript"/>
        </w:rPr>
        <w:t>14</w:t>
      </w:r>
      <w:r>
        <w:rPr>
          <w:rFonts w:ascii="Times New Roman" w:cs="Times New Roman"/>
        </w:rPr>
        <w:t>O</w:t>
      </w:r>
      <w:r>
        <w:rPr>
          <w:rFonts w:ascii="Times New Roman" w:cs="Times New Roman"/>
          <w:vertAlign w:val="subscript"/>
        </w:rPr>
        <w:t>5</w:t>
      </w:r>
      <w:r>
        <w:rPr>
          <w:rFonts w:hint="eastAsia" w:ascii="Times New Roman" w:cs="Times New Roman"/>
        </w:rPr>
        <w:t>）总量，不得少于1.3％．</w:t>
      </w:r>
      <w:r>
        <w:rPr>
          <w:rFonts w:hint="eastAsia" w:ascii="黑体" w:hAnsi="黑体" w:eastAsia="黑体" w:cs="黑体"/>
          <w:bCs/>
          <w:sz w:val="32"/>
          <w:szCs w:val="32"/>
        </w:rPr>
        <w:t></w:t>
      </w:r>
    </w:p>
    <w:p>
      <w:pPr>
        <w:adjustRightInd w:val="0"/>
        <w:spacing w:line="360" w:lineRule="auto"/>
        <w:rPr>
          <w:rFonts w:ascii="Times New Roman" w:cs="Times New Roman"/>
        </w:rPr>
      </w:pPr>
    </w:p>
    <w:p>
      <w:pPr>
        <w:adjustRightInd w:val="0"/>
        <w:spacing w:line="360" w:lineRule="auto"/>
        <w:rPr>
          <w:rFonts w:ascii="Times New Roman" w:cs="Times New Roman"/>
        </w:rPr>
      </w:pPr>
      <w:r>
        <w:rPr>
          <w:rFonts w:ascii="Times New Roman" w:cs="Times New Roman"/>
        </w:rPr>
        <w:t>12</w:t>
      </w:r>
      <w:r>
        <w:rPr>
          <w:rFonts w:hint="eastAsia" w:ascii="Times New Roman" w:cs="Times New Roman"/>
        </w:rPr>
        <w:t>．</w:t>
      </w:r>
      <w:r>
        <w:rPr>
          <w:rFonts w:ascii="Times New Roman" w:cs="Times New Roman"/>
        </w:rPr>
        <w:t>性味与归经、功能与主治</w:t>
      </w:r>
      <w:r>
        <w:rPr>
          <w:rFonts w:hint="eastAsia" w:ascii="Times New Roman" w:cs="Times New Roman"/>
        </w:rPr>
        <w:t>和用法用量参照《海南岛常用中草药手册》</w:t>
      </w:r>
      <w:r>
        <w:rPr>
          <w:rFonts w:hint="eastAsia" w:ascii="Times New Roman" w:cs="Times New Roman"/>
          <w:vertAlign w:val="superscript"/>
        </w:rPr>
        <w:t>[4]</w:t>
      </w:r>
      <w:r>
        <w:rPr>
          <w:rFonts w:hint="eastAsia" w:ascii="Times New Roman" w:cs="Times New Roman"/>
        </w:rPr>
        <w:t>。</w:t>
      </w:r>
    </w:p>
    <w:p>
      <w:pPr>
        <w:adjustRightInd w:val="0"/>
        <w:spacing w:line="360" w:lineRule="auto"/>
        <w:ind w:firstLine="720" w:firstLineChars="300"/>
        <w:rPr>
          <w:rFonts w:ascii="Times New Roman" w:cs="Times New Roman"/>
        </w:rPr>
      </w:pPr>
      <w:r>
        <w:rPr>
          <w:rFonts w:ascii="Times New Roman" w:cs="Times New Roman"/>
        </w:rPr>
        <w:t>味</w:t>
      </w:r>
      <w:r>
        <w:rPr>
          <w:rFonts w:hint="eastAsia" w:ascii="Times New Roman" w:cs="Times New Roman"/>
        </w:rPr>
        <w:t>微辛、甘、涩，</w:t>
      </w:r>
      <w:r>
        <w:rPr>
          <w:rFonts w:ascii="Times New Roman" w:cs="Times New Roman"/>
        </w:rPr>
        <w:t>温。祛风</w:t>
      </w:r>
      <w:r>
        <w:rPr>
          <w:rFonts w:hint="eastAsia" w:ascii="Times New Roman" w:cs="Times New Roman"/>
        </w:rPr>
        <w:t>止痛</w:t>
      </w:r>
      <w:r>
        <w:rPr>
          <w:rFonts w:ascii="Times New Roman" w:cs="Times New Roman"/>
        </w:rPr>
        <w:t>，</w:t>
      </w:r>
      <w:r>
        <w:rPr>
          <w:rFonts w:hint="eastAsia" w:ascii="Times New Roman" w:cs="Times New Roman"/>
        </w:rPr>
        <w:t>散结，解毒。</w:t>
      </w:r>
      <w:r>
        <w:rPr>
          <w:rFonts w:ascii="Times New Roman" w:cs="Times New Roman"/>
        </w:rPr>
        <w:t>用于</w:t>
      </w:r>
      <w:r>
        <w:rPr>
          <w:rFonts w:hint="eastAsia" w:ascii="Times New Roman" w:cs="Times New Roman"/>
        </w:rPr>
        <w:t>风湿腰腿痛，糖尿病，小肠气，痔疮，湿疹的治疗。用量0.5-1两（折算15-30g）</w:t>
      </w:r>
      <w:r>
        <w:rPr>
          <w:rFonts w:ascii="Times New Roman" w:hAnsi="Times New Roman" w:cs="Times New Roman"/>
        </w:rPr>
        <w:t>。</w:t>
      </w:r>
    </w:p>
    <w:p>
      <w:pPr>
        <w:autoSpaceDE w:val="0"/>
        <w:autoSpaceDN w:val="0"/>
        <w:adjustRightInd w:val="0"/>
        <w:spacing w:line="360" w:lineRule="auto"/>
        <w:rPr>
          <w:rFonts w:ascii="Times New Roman" w:hAnsi="Times New Roman" w:cs="Times New Roman"/>
        </w:rPr>
      </w:pPr>
    </w:p>
    <w:p>
      <w:pPr>
        <w:autoSpaceDE w:val="0"/>
        <w:autoSpaceDN w:val="0"/>
        <w:adjustRightInd w:val="0"/>
        <w:spacing w:line="360" w:lineRule="auto"/>
        <w:rPr>
          <w:rFonts w:ascii="Times New Roman" w:hAnsi="Times New Roman" w:cs="Times New Roman"/>
        </w:rPr>
      </w:pPr>
    </w:p>
    <w:p>
      <w:pPr>
        <w:autoSpaceDE w:val="0"/>
        <w:autoSpaceDN w:val="0"/>
        <w:adjustRightInd w:val="0"/>
        <w:spacing w:line="360" w:lineRule="auto"/>
        <w:rPr>
          <w:rFonts w:ascii="Times New Roman" w:hAnsi="Times New Roman" w:cs="Times New Roman"/>
        </w:rPr>
      </w:pPr>
      <w:r>
        <w:rPr>
          <w:rFonts w:hint="eastAsia" w:ascii="Times New Roman" w:hAnsi="Times New Roman" w:cs="Times New Roman"/>
        </w:rPr>
        <w:t>参考文献：</w:t>
      </w:r>
    </w:p>
    <w:p>
      <w:pPr>
        <w:autoSpaceDE w:val="0"/>
        <w:autoSpaceDN w:val="0"/>
        <w:adjustRightInd w:val="0"/>
        <w:spacing w:line="360" w:lineRule="auto"/>
        <w:ind w:firstLine="480" w:firstLineChars="200"/>
        <w:rPr>
          <w:rFonts w:ascii="Times New Roman" w:hAnsi="Times New Roman" w:cs="Times New Roman"/>
        </w:rPr>
      </w:pPr>
      <w:r>
        <w:rPr>
          <w:rFonts w:ascii="Times New Roman" w:hAnsi="Times New Roman" w:cs="Times New Roman"/>
        </w:rPr>
        <w:t xml:space="preserve">[1] </w:t>
      </w:r>
      <w:r>
        <w:rPr>
          <w:rFonts w:ascii="Times New Roman" w:cs="Times New Roman"/>
        </w:rPr>
        <w:t>杨小波</w:t>
      </w:r>
      <w:r>
        <w:rPr>
          <w:rFonts w:ascii="Times New Roman" w:hAnsi="Times New Roman" w:cs="Times New Roman"/>
        </w:rPr>
        <w:t>.</w:t>
      </w:r>
      <w:r>
        <w:rPr>
          <w:rFonts w:ascii="Times New Roman" w:cs="Times New Roman"/>
        </w:rPr>
        <w:t>海南植物图志（第</w:t>
      </w:r>
      <w:r>
        <w:rPr>
          <w:rFonts w:ascii="Times New Roman" w:hAnsi="Times New Roman" w:cs="Times New Roman"/>
        </w:rPr>
        <w:t>5</w:t>
      </w:r>
      <w:r>
        <w:rPr>
          <w:rFonts w:ascii="Times New Roman" w:cs="Times New Roman"/>
        </w:rPr>
        <w:t>卷）</w:t>
      </w:r>
      <w:r>
        <w:rPr>
          <w:rFonts w:ascii="Times New Roman" w:hAnsi="Times New Roman" w:cs="Times New Roman"/>
        </w:rPr>
        <w:t>[M]</w:t>
      </w:r>
      <w:r>
        <w:rPr>
          <w:rFonts w:ascii="Times New Roman" w:cs="Times New Roman"/>
        </w:rPr>
        <w:t>，北京：科学出版社，</w:t>
      </w:r>
      <w:r>
        <w:rPr>
          <w:rFonts w:ascii="Times New Roman" w:hAnsi="Times New Roman" w:cs="Times New Roman"/>
        </w:rPr>
        <w:t>2015</w:t>
      </w:r>
      <w:r>
        <w:rPr>
          <w:rFonts w:ascii="Times New Roman" w:cs="Times New Roman"/>
        </w:rPr>
        <w:t>，</w:t>
      </w:r>
      <w:r>
        <w:rPr>
          <w:rFonts w:ascii="Times New Roman" w:hAnsi="Times New Roman" w:cs="Times New Roman"/>
        </w:rPr>
        <w:t>318.</w:t>
      </w:r>
    </w:p>
    <w:p>
      <w:pPr>
        <w:autoSpaceDE w:val="0"/>
        <w:autoSpaceDN w:val="0"/>
        <w:adjustRightInd w:val="0"/>
        <w:spacing w:line="360" w:lineRule="auto"/>
        <w:ind w:firstLine="480" w:firstLineChars="200"/>
        <w:rPr>
          <w:rFonts w:ascii="Times New Roman" w:hAnsi="Times New Roman" w:cs="Times New Roman"/>
        </w:rPr>
      </w:pPr>
      <w:r>
        <w:rPr>
          <w:rFonts w:ascii="Times New Roman" w:hAnsi="Times New Roman" w:cs="Times New Roman"/>
        </w:rPr>
        <w:t>[2]</w:t>
      </w:r>
      <w:r>
        <w:rPr>
          <w:rFonts w:ascii="Times New Roman" w:cs="Times New Roman"/>
        </w:rPr>
        <w:t>郑灏</w:t>
      </w:r>
      <w:r>
        <w:rPr>
          <w:rFonts w:ascii="Times New Roman" w:hAnsi="Times New Roman" w:cs="Times New Roman"/>
        </w:rPr>
        <w:t>,</w:t>
      </w:r>
      <w:r>
        <w:rPr>
          <w:rFonts w:ascii="Times New Roman" w:cs="Times New Roman"/>
        </w:rPr>
        <w:t>姚令文</w:t>
      </w:r>
      <w:r>
        <w:rPr>
          <w:rFonts w:ascii="Times New Roman" w:hAnsi="Times New Roman" w:cs="Times New Roman"/>
        </w:rPr>
        <w:t>,</w:t>
      </w:r>
      <w:r>
        <w:rPr>
          <w:rFonts w:ascii="Times New Roman" w:cs="Times New Roman"/>
        </w:rPr>
        <w:t>支荣荣</w:t>
      </w:r>
      <w:r>
        <w:rPr>
          <w:rFonts w:ascii="Times New Roman" w:hAnsi="Times New Roman" w:cs="Times New Roman"/>
        </w:rPr>
        <w:t>,</w:t>
      </w:r>
      <w:r>
        <w:rPr>
          <w:rFonts w:ascii="Times New Roman" w:cs="Times New Roman"/>
        </w:rPr>
        <w:t>倪萍</w:t>
      </w:r>
      <w:r>
        <w:rPr>
          <w:rFonts w:ascii="Times New Roman" w:hAnsi="Times New Roman" w:cs="Times New Roman"/>
        </w:rPr>
        <w:t>,</w:t>
      </w:r>
      <w:r>
        <w:rPr>
          <w:rFonts w:ascii="Times New Roman" w:cs="Times New Roman"/>
        </w:rPr>
        <w:t>丁爱华</w:t>
      </w:r>
      <w:r>
        <w:rPr>
          <w:rFonts w:ascii="Times New Roman" w:hAnsi="Times New Roman" w:cs="Times New Roman"/>
        </w:rPr>
        <w:t>,</w:t>
      </w:r>
      <w:r>
        <w:rPr>
          <w:rFonts w:ascii="Times New Roman" w:cs="Times New Roman"/>
        </w:rPr>
        <w:t>程显隆</w:t>
      </w:r>
      <w:r>
        <w:rPr>
          <w:rFonts w:ascii="Times New Roman" w:hAnsi="Times New Roman" w:cs="Times New Roman"/>
        </w:rPr>
        <w:t>,</w:t>
      </w:r>
      <w:r>
        <w:rPr>
          <w:rFonts w:ascii="Times New Roman" w:cs="Times New Roman"/>
        </w:rPr>
        <w:t>魏锋</w:t>
      </w:r>
      <w:r>
        <w:rPr>
          <w:rFonts w:ascii="Times New Roman" w:hAnsi="Times New Roman" w:cs="Times New Roman"/>
        </w:rPr>
        <w:t>.</w:t>
      </w:r>
      <w:r>
        <w:rPr>
          <w:rFonts w:ascii="Times New Roman" w:cs="Times New Roman"/>
        </w:rPr>
        <w:t>茅莓中表儿茶素的含量测定研究</w:t>
      </w:r>
      <w:r>
        <w:rPr>
          <w:rFonts w:ascii="Times New Roman" w:hAnsi="Times New Roman" w:cs="Times New Roman"/>
        </w:rPr>
        <w:t>[J].</w:t>
      </w:r>
      <w:r>
        <w:rPr>
          <w:rFonts w:ascii="Times New Roman" w:cs="Times New Roman"/>
        </w:rPr>
        <w:t>中国药品标准</w:t>
      </w:r>
      <w:r>
        <w:rPr>
          <w:rFonts w:ascii="Times New Roman" w:hAnsi="Times New Roman" w:cs="Times New Roman"/>
        </w:rPr>
        <w:t>,2019,20(02):123-127.</w:t>
      </w:r>
    </w:p>
    <w:p>
      <w:pPr>
        <w:autoSpaceDE w:val="0"/>
        <w:autoSpaceDN w:val="0"/>
        <w:adjustRightInd w:val="0"/>
        <w:spacing w:line="360" w:lineRule="auto"/>
        <w:ind w:firstLine="480" w:firstLineChars="200"/>
        <w:rPr>
          <w:rFonts w:ascii="Times New Roman" w:hAnsi="Times New Roman" w:cs="Times New Roman"/>
        </w:rPr>
      </w:pPr>
      <w:r>
        <w:rPr>
          <w:rFonts w:ascii="Times New Roman" w:hAnsi="Times New Roman" w:cs="Times New Roman"/>
        </w:rPr>
        <w:t>[3]</w:t>
      </w:r>
      <w:r>
        <w:rPr>
          <w:rFonts w:ascii="Times New Roman" w:cs="Times New Roman"/>
        </w:rPr>
        <w:t>黄镛</w:t>
      </w:r>
      <w:r>
        <w:rPr>
          <w:rFonts w:ascii="Times New Roman" w:hAnsi="Times New Roman" w:cs="Times New Roman"/>
        </w:rPr>
        <w:t>,</w:t>
      </w:r>
      <w:r>
        <w:rPr>
          <w:rFonts w:ascii="Times New Roman" w:cs="Times New Roman"/>
        </w:rPr>
        <w:t>林钰文</w:t>
      </w:r>
      <w:r>
        <w:rPr>
          <w:rFonts w:ascii="Times New Roman" w:hAnsi="Times New Roman" w:cs="Times New Roman"/>
        </w:rPr>
        <w:t>,</w:t>
      </w:r>
      <w:r>
        <w:rPr>
          <w:rFonts w:ascii="Times New Roman" w:cs="Times New Roman"/>
        </w:rPr>
        <w:t>杨柳青</w:t>
      </w:r>
      <w:r>
        <w:rPr>
          <w:rFonts w:ascii="Times New Roman" w:hAnsi="Times New Roman" w:cs="Times New Roman"/>
        </w:rPr>
        <w:t>.</w:t>
      </w:r>
      <w:r>
        <w:rPr>
          <w:rFonts w:ascii="Times New Roman" w:cs="Times New Roman"/>
        </w:rPr>
        <w:t>中药茅莓根、茎、叶中表儿茶素的含量测定</w:t>
      </w:r>
      <w:r>
        <w:rPr>
          <w:rFonts w:ascii="Times New Roman" w:hAnsi="Times New Roman" w:cs="Times New Roman"/>
        </w:rPr>
        <w:t>[J].</w:t>
      </w:r>
      <w:r>
        <w:rPr>
          <w:rFonts w:ascii="Times New Roman" w:cs="Times New Roman"/>
        </w:rPr>
        <w:t>北方药学</w:t>
      </w:r>
      <w:r>
        <w:rPr>
          <w:rFonts w:ascii="Times New Roman" w:hAnsi="Times New Roman" w:cs="Times New Roman"/>
        </w:rPr>
        <w:t>,2016,13(07):3-4.</w:t>
      </w:r>
    </w:p>
    <w:p>
      <w:pPr>
        <w:autoSpaceDE w:val="0"/>
        <w:autoSpaceDN w:val="0"/>
        <w:adjustRightInd w:val="0"/>
        <w:spacing w:line="360" w:lineRule="auto"/>
        <w:ind w:firstLine="480" w:firstLineChars="200"/>
        <w:rPr>
          <w:rFonts w:ascii="Times New Roman" w:hAnsi="Times New Roman" w:cs="Times New Roman"/>
        </w:rPr>
      </w:pPr>
      <w:r>
        <w:rPr>
          <w:rFonts w:hint="eastAsia" w:ascii="Times New Roman" w:hAnsi="Times New Roman" w:cs="Times New Roman"/>
        </w:rPr>
        <w:t xml:space="preserve">[4] </w:t>
      </w:r>
      <w:r>
        <w:rPr>
          <w:rFonts w:ascii="Times New Roman" w:hAnsi="Times New Roman" w:cs="Times New Roman"/>
        </w:rPr>
        <w:t>海南行政区卫生事业管理局革委会</w:t>
      </w:r>
      <w:r>
        <w:rPr>
          <w:rFonts w:hint="eastAsia" w:ascii="Times New Roman" w:hAnsi="Times New Roman" w:cs="Times New Roman"/>
        </w:rPr>
        <w:t>.海南岛常用中草药手册</w:t>
      </w:r>
      <w:r>
        <w:rPr>
          <w:rFonts w:ascii="Times New Roman" w:hAnsi="Times New Roman" w:cs="Times New Roman"/>
        </w:rPr>
        <w:t>[M]</w:t>
      </w:r>
      <w:r>
        <w:rPr>
          <w:rFonts w:hint="eastAsia" w:ascii="Times New Roman" w:hAnsi="Times New Roman" w:cs="Times New Roman"/>
        </w:rPr>
        <w:t>，</w:t>
      </w:r>
      <w:r>
        <w:rPr>
          <w:rFonts w:ascii="Times New Roman" w:hAnsi="Times New Roman" w:cs="Times New Roman"/>
        </w:rPr>
        <w:t>海南行政区卫生事业管理局革委会编，1969，412-413.</w:t>
      </w:r>
    </w:p>
    <w:sectPr>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0000000000000000000"/>
    <w:charset w:val="01"/>
    <w:family w:val="auto"/>
    <w:pitch w:val="default"/>
    <w:sig w:usb0="00000000" w:usb1="00000000" w:usb2="00000000" w:usb3="00000000" w:csb0="00000000"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172E89"/>
    <w:multiLevelType w:val="multilevel"/>
    <w:tmpl w:val="19172E89"/>
    <w:lvl w:ilvl="0" w:tentative="0">
      <w:start w:val="1"/>
      <w:numFmt w:val="decimal"/>
      <w:lvlText w:val="%1."/>
      <w:lvlJc w:val="left"/>
      <w:pPr>
        <w:ind w:left="360" w:hanging="360"/>
      </w:pPr>
      <w:rPr>
        <w:rFonts w:hint="default"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78B"/>
    <w:rsid w:val="00003E09"/>
    <w:rsid w:val="00012247"/>
    <w:rsid w:val="0001303B"/>
    <w:rsid w:val="00031BA7"/>
    <w:rsid w:val="00035C09"/>
    <w:rsid w:val="00040433"/>
    <w:rsid w:val="000412D9"/>
    <w:rsid w:val="00041BB6"/>
    <w:rsid w:val="00046BB2"/>
    <w:rsid w:val="000525CC"/>
    <w:rsid w:val="00054514"/>
    <w:rsid w:val="00060DE3"/>
    <w:rsid w:val="0007190F"/>
    <w:rsid w:val="0007311A"/>
    <w:rsid w:val="00074E8D"/>
    <w:rsid w:val="0007502E"/>
    <w:rsid w:val="0007620C"/>
    <w:rsid w:val="000765A6"/>
    <w:rsid w:val="000770C5"/>
    <w:rsid w:val="00090D1C"/>
    <w:rsid w:val="00091AEE"/>
    <w:rsid w:val="00092D59"/>
    <w:rsid w:val="0009742B"/>
    <w:rsid w:val="000A24B7"/>
    <w:rsid w:val="000A62B3"/>
    <w:rsid w:val="000B1275"/>
    <w:rsid w:val="000B1E9C"/>
    <w:rsid w:val="000B7842"/>
    <w:rsid w:val="000C45BD"/>
    <w:rsid w:val="000C559F"/>
    <w:rsid w:val="000D5422"/>
    <w:rsid w:val="000E174C"/>
    <w:rsid w:val="000E2402"/>
    <w:rsid w:val="000F3143"/>
    <w:rsid w:val="0010099D"/>
    <w:rsid w:val="00116F8D"/>
    <w:rsid w:val="00120CCF"/>
    <w:rsid w:val="001215E2"/>
    <w:rsid w:val="001338E9"/>
    <w:rsid w:val="00142C3E"/>
    <w:rsid w:val="00142F0A"/>
    <w:rsid w:val="00144746"/>
    <w:rsid w:val="001477D9"/>
    <w:rsid w:val="00161B72"/>
    <w:rsid w:val="00163B51"/>
    <w:rsid w:val="001804DD"/>
    <w:rsid w:val="00180E39"/>
    <w:rsid w:val="0018540E"/>
    <w:rsid w:val="00186225"/>
    <w:rsid w:val="001974A0"/>
    <w:rsid w:val="001A018F"/>
    <w:rsid w:val="001A08FE"/>
    <w:rsid w:val="001A2EAC"/>
    <w:rsid w:val="001A3C57"/>
    <w:rsid w:val="001A694C"/>
    <w:rsid w:val="001B256A"/>
    <w:rsid w:val="001B2A46"/>
    <w:rsid w:val="001D3433"/>
    <w:rsid w:val="001D76F8"/>
    <w:rsid w:val="001F0ED2"/>
    <w:rsid w:val="001F1AAF"/>
    <w:rsid w:val="001F2477"/>
    <w:rsid w:val="001F519D"/>
    <w:rsid w:val="001F5B3C"/>
    <w:rsid w:val="00204547"/>
    <w:rsid w:val="00215650"/>
    <w:rsid w:val="0021591A"/>
    <w:rsid w:val="00215DFE"/>
    <w:rsid w:val="002213D3"/>
    <w:rsid w:val="002256C8"/>
    <w:rsid w:val="00230C32"/>
    <w:rsid w:val="00232A18"/>
    <w:rsid w:val="002370C3"/>
    <w:rsid w:val="00245176"/>
    <w:rsid w:val="00251754"/>
    <w:rsid w:val="002557BA"/>
    <w:rsid w:val="00264A81"/>
    <w:rsid w:val="00265122"/>
    <w:rsid w:val="00275D14"/>
    <w:rsid w:val="00276318"/>
    <w:rsid w:val="00285CCB"/>
    <w:rsid w:val="002B7FA4"/>
    <w:rsid w:val="002C3457"/>
    <w:rsid w:val="002C420C"/>
    <w:rsid w:val="002D359B"/>
    <w:rsid w:val="002D6831"/>
    <w:rsid w:val="002E4283"/>
    <w:rsid w:val="002F2F2D"/>
    <w:rsid w:val="003013C1"/>
    <w:rsid w:val="00304C60"/>
    <w:rsid w:val="003104D9"/>
    <w:rsid w:val="00311066"/>
    <w:rsid w:val="00315509"/>
    <w:rsid w:val="003166B3"/>
    <w:rsid w:val="00321C60"/>
    <w:rsid w:val="00324211"/>
    <w:rsid w:val="003339F0"/>
    <w:rsid w:val="00333DF2"/>
    <w:rsid w:val="00341BED"/>
    <w:rsid w:val="00341E66"/>
    <w:rsid w:val="0034457A"/>
    <w:rsid w:val="00344A4B"/>
    <w:rsid w:val="00351C79"/>
    <w:rsid w:val="0035269C"/>
    <w:rsid w:val="00355D71"/>
    <w:rsid w:val="00367451"/>
    <w:rsid w:val="00376A6B"/>
    <w:rsid w:val="00376B41"/>
    <w:rsid w:val="00386969"/>
    <w:rsid w:val="00386C36"/>
    <w:rsid w:val="0039205C"/>
    <w:rsid w:val="00392773"/>
    <w:rsid w:val="003A7503"/>
    <w:rsid w:val="003B053C"/>
    <w:rsid w:val="003B17BC"/>
    <w:rsid w:val="003B2348"/>
    <w:rsid w:val="003C06B7"/>
    <w:rsid w:val="003C1D9D"/>
    <w:rsid w:val="003C23D1"/>
    <w:rsid w:val="003D5121"/>
    <w:rsid w:val="003D736F"/>
    <w:rsid w:val="003E29F7"/>
    <w:rsid w:val="003E3FE3"/>
    <w:rsid w:val="003E4FEB"/>
    <w:rsid w:val="003E6CB1"/>
    <w:rsid w:val="003F02C6"/>
    <w:rsid w:val="003F40DF"/>
    <w:rsid w:val="003F6A41"/>
    <w:rsid w:val="003F710D"/>
    <w:rsid w:val="00401499"/>
    <w:rsid w:val="004022C4"/>
    <w:rsid w:val="00412A7D"/>
    <w:rsid w:val="0041602B"/>
    <w:rsid w:val="0042478B"/>
    <w:rsid w:val="00427B51"/>
    <w:rsid w:val="00431F0C"/>
    <w:rsid w:val="00431FB9"/>
    <w:rsid w:val="0043408C"/>
    <w:rsid w:val="0043542C"/>
    <w:rsid w:val="004356F1"/>
    <w:rsid w:val="00435992"/>
    <w:rsid w:val="004438C5"/>
    <w:rsid w:val="00446E73"/>
    <w:rsid w:val="00452924"/>
    <w:rsid w:val="004536F5"/>
    <w:rsid w:val="004539F0"/>
    <w:rsid w:val="0046281C"/>
    <w:rsid w:val="004665E4"/>
    <w:rsid w:val="00466E2C"/>
    <w:rsid w:val="00470915"/>
    <w:rsid w:val="0047166C"/>
    <w:rsid w:val="00472A40"/>
    <w:rsid w:val="0048417C"/>
    <w:rsid w:val="004909A2"/>
    <w:rsid w:val="004953D0"/>
    <w:rsid w:val="004A49AB"/>
    <w:rsid w:val="004B55ED"/>
    <w:rsid w:val="004C1898"/>
    <w:rsid w:val="004C238C"/>
    <w:rsid w:val="004C24E5"/>
    <w:rsid w:val="004C4000"/>
    <w:rsid w:val="004C5F54"/>
    <w:rsid w:val="004D09BD"/>
    <w:rsid w:val="004D7D6B"/>
    <w:rsid w:val="004E0346"/>
    <w:rsid w:val="004E4A03"/>
    <w:rsid w:val="004F46D5"/>
    <w:rsid w:val="005054B2"/>
    <w:rsid w:val="005145C5"/>
    <w:rsid w:val="00517812"/>
    <w:rsid w:val="00525065"/>
    <w:rsid w:val="005253EB"/>
    <w:rsid w:val="00525F84"/>
    <w:rsid w:val="00526768"/>
    <w:rsid w:val="00527FAF"/>
    <w:rsid w:val="005321FC"/>
    <w:rsid w:val="00537784"/>
    <w:rsid w:val="00542FD4"/>
    <w:rsid w:val="005470A0"/>
    <w:rsid w:val="005528E6"/>
    <w:rsid w:val="00552DA7"/>
    <w:rsid w:val="00553D5B"/>
    <w:rsid w:val="005555EA"/>
    <w:rsid w:val="00557B9D"/>
    <w:rsid w:val="005629DB"/>
    <w:rsid w:val="00563C1A"/>
    <w:rsid w:val="005642DB"/>
    <w:rsid w:val="00580163"/>
    <w:rsid w:val="0058240A"/>
    <w:rsid w:val="005870DB"/>
    <w:rsid w:val="00592850"/>
    <w:rsid w:val="005A05C1"/>
    <w:rsid w:val="005A572A"/>
    <w:rsid w:val="005B4820"/>
    <w:rsid w:val="005C78ED"/>
    <w:rsid w:val="005D0750"/>
    <w:rsid w:val="005E0CA2"/>
    <w:rsid w:val="005E28BB"/>
    <w:rsid w:val="005F01F1"/>
    <w:rsid w:val="005F641E"/>
    <w:rsid w:val="0060111C"/>
    <w:rsid w:val="00603C3B"/>
    <w:rsid w:val="00610F57"/>
    <w:rsid w:val="00612DEE"/>
    <w:rsid w:val="00617CA8"/>
    <w:rsid w:val="006211D8"/>
    <w:rsid w:val="00622F1F"/>
    <w:rsid w:val="00627BBC"/>
    <w:rsid w:val="00636AE2"/>
    <w:rsid w:val="00637958"/>
    <w:rsid w:val="00637F59"/>
    <w:rsid w:val="00640A9B"/>
    <w:rsid w:val="00641EDD"/>
    <w:rsid w:val="0064644D"/>
    <w:rsid w:val="00651B6A"/>
    <w:rsid w:val="00651E4F"/>
    <w:rsid w:val="006555BD"/>
    <w:rsid w:val="006669ED"/>
    <w:rsid w:val="0068080C"/>
    <w:rsid w:val="00680DF6"/>
    <w:rsid w:val="006849BF"/>
    <w:rsid w:val="00686150"/>
    <w:rsid w:val="00693885"/>
    <w:rsid w:val="006A2E2B"/>
    <w:rsid w:val="006B35F8"/>
    <w:rsid w:val="006C1C78"/>
    <w:rsid w:val="006C24DF"/>
    <w:rsid w:val="006D410E"/>
    <w:rsid w:val="006D4E38"/>
    <w:rsid w:val="006E1230"/>
    <w:rsid w:val="006E28A9"/>
    <w:rsid w:val="006E4601"/>
    <w:rsid w:val="006F25A5"/>
    <w:rsid w:val="00703DEA"/>
    <w:rsid w:val="00707019"/>
    <w:rsid w:val="00712B7A"/>
    <w:rsid w:val="00714359"/>
    <w:rsid w:val="00722B3F"/>
    <w:rsid w:val="00732A05"/>
    <w:rsid w:val="00740839"/>
    <w:rsid w:val="0074587D"/>
    <w:rsid w:val="007510F8"/>
    <w:rsid w:val="0076174A"/>
    <w:rsid w:val="00766FBA"/>
    <w:rsid w:val="00775890"/>
    <w:rsid w:val="007776C8"/>
    <w:rsid w:val="00780684"/>
    <w:rsid w:val="00781A10"/>
    <w:rsid w:val="00785C52"/>
    <w:rsid w:val="00794A2D"/>
    <w:rsid w:val="007974E5"/>
    <w:rsid w:val="007A031C"/>
    <w:rsid w:val="007A343B"/>
    <w:rsid w:val="007A3943"/>
    <w:rsid w:val="007B1050"/>
    <w:rsid w:val="007B41AE"/>
    <w:rsid w:val="007B628C"/>
    <w:rsid w:val="007B71E5"/>
    <w:rsid w:val="007C0B62"/>
    <w:rsid w:val="007D10B9"/>
    <w:rsid w:val="007E1462"/>
    <w:rsid w:val="007E6EF7"/>
    <w:rsid w:val="007F5A17"/>
    <w:rsid w:val="007F7218"/>
    <w:rsid w:val="00800656"/>
    <w:rsid w:val="00801A6E"/>
    <w:rsid w:val="00805EAA"/>
    <w:rsid w:val="008074A9"/>
    <w:rsid w:val="00811B21"/>
    <w:rsid w:val="008132EC"/>
    <w:rsid w:val="0081493C"/>
    <w:rsid w:val="00814A9A"/>
    <w:rsid w:val="00823D0A"/>
    <w:rsid w:val="008323E1"/>
    <w:rsid w:val="0083448D"/>
    <w:rsid w:val="008344A5"/>
    <w:rsid w:val="00837E60"/>
    <w:rsid w:val="0085293A"/>
    <w:rsid w:val="00853B15"/>
    <w:rsid w:val="008560C9"/>
    <w:rsid w:val="00856D21"/>
    <w:rsid w:val="0087674D"/>
    <w:rsid w:val="008850F3"/>
    <w:rsid w:val="00885759"/>
    <w:rsid w:val="008914A6"/>
    <w:rsid w:val="00893EC0"/>
    <w:rsid w:val="008A213E"/>
    <w:rsid w:val="008B2898"/>
    <w:rsid w:val="008B2F0D"/>
    <w:rsid w:val="008B5AD7"/>
    <w:rsid w:val="008B7305"/>
    <w:rsid w:val="008C533A"/>
    <w:rsid w:val="008D72DF"/>
    <w:rsid w:val="008E302D"/>
    <w:rsid w:val="008E4F72"/>
    <w:rsid w:val="008E7F15"/>
    <w:rsid w:val="008F0BF0"/>
    <w:rsid w:val="00902220"/>
    <w:rsid w:val="0090360D"/>
    <w:rsid w:val="00903DEE"/>
    <w:rsid w:val="00904729"/>
    <w:rsid w:val="00907374"/>
    <w:rsid w:val="00912B93"/>
    <w:rsid w:val="00912D4A"/>
    <w:rsid w:val="009243CB"/>
    <w:rsid w:val="00926175"/>
    <w:rsid w:val="00930FAD"/>
    <w:rsid w:val="00931396"/>
    <w:rsid w:val="00933D5D"/>
    <w:rsid w:val="009374D1"/>
    <w:rsid w:val="00942D06"/>
    <w:rsid w:val="00950459"/>
    <w:rsid w:val="0095090C"/>
    <w:rsid w:val="00957957"/>
    <w:rsid w:val="00957CF9"/>
    <w:rsid w:val="00957E70"/>
    <w:rsid w:val="00960F23"/>
    <w:rsid w:val="00963DA1"/>
    <w:rsid w:val="009678AB"/>
    <w:rsid w:val="009763B6"/>
    <w:rsid w:val="009812A3"/>
    <w:rsid w:val="0098750A"/>
    <w:rsid w:val="00996C21"/>
    <w:rsid w:val="009A1CC3"/>
    <w:rsid w:val="009B69E8"/>
    <w:rsid w:val="009B76A9"/>
    <w:rsid w:val="009B7940"/>
    <w:rsid w:val="009C4279"/>
    <w:rsid w:val="009C5B89"/>
    <w:rsid w:val="009C7A63"/>
    <w:rsid w:val="009D29A0"/>
    <w:rsid w:val="009D7EC1"/>
    <w:rsid w:val="009E0746"/>
    <w:rsid w:val="009E5EFF"/>
    <w:rsid w:val="009E7716"/>
    <w:rsid w:val="009F1D52"/>
    <w:rsid w:val="009F22AE"/>
    <w:rsid w:val="00A005AE"/>
    <w:rsid w:val="00A03702"/>
    <w:rsid w:val="00A07410"/>
    <w:rsid w:val="00A106FA"/>
    <w:rsid w:val="00A111CE"/>
    <w:rsid w:val="00A13CB4"/>
    <w:rsid w:val="00A16A12"/>
    <w:rsid w:val="00A22F17"/>
    <w:rsid w:val="00A2718A"/>
    <w:rsid w:val="00A43568"/>
    <w:rsid w:val="00A4637D"/>
    <w:rsid w:val="00A5712B"/>
    <w:rsid w:val="00A575FC"/>
    <w:rsid w:val="00A6345A"/>
    <w:rsid w:val="00A63826"/>
    <w:rsid w:val="00A63C2F"/>
    <w:rsid w:val="00A6445B"/>
    <w:rsid w:val="00A64CBC"/>
    <w:rsid w:val="00A73C22"/>
    <w:rsid w:val="00A86A97"/>
    <w:rsid w:val="00AA21D8"/>
    <w:rsid w:val="00AA675C"/>
    <w:rsid w:val="00AD56A3"/>
    <w:rsid w:val="00AE16A9"/>
    <w:rsid w:val="00AE1ADC"/>
    <w:rsid w:val="00AE472A"/>
    <w:rsid w:val="00AE4F11"/>
    <w:rsid w:val="00AE7395"/>
    <w:rsid w:val="00AE76C9"/>
    <w:rsid w:val="00B0035A"/>
    <w:rsid w:val="00B02F06"/>
    <w:rsid w:val="00B12306"/>
    <w:rsid w:val="00B23613"/>
    <w:rsid w:val="00B32B7D"/>
    <w:rsid w:val="00B42266"/>
    <w:rsid w:val="00B4265F"/>
    <w:rsid w:val="00B441F2"/>
    <w:rsid w:val="00B52634"/>
    <w:rsid w:val="00B52C53"/>
    <w:rsid w:val="00B5381A"/>
    <w:rsid w:val="00B57DDC"/>
    <w:rsid w:val="00B60770"/>
    <w:rsid w:val="00B61E37"/>
    <w:rsid w:val="00B62093"/>
    <w:rsid w:val="00B70CCB"/>
    <w:rsid w:val="00B75DBE"/>
    <w:rsid w:val="00B8223E"/>
    <w:rsid w:val="00B839A6"/>
    <w:rsid w:val="00B85364"/>
    <w:rsid w:val="00B86076"/>
    <w:rsid w:val="00B95CD3"/>
    <w:rsid w:val="00BA386F"/>
    <w:rsid w:val="00BB194A"/>
    <w:rsid w:val="00BB24DA"/>
    <w:rsid w:val="00BB424F"/>
    <w:rsid w:val="00BB70AE"/>
    <w:rsid w:val="00BC43F5"/>
    <w:rsid w:val="00BC554E"/>
    <w:rsid w:val="00BC60C1"/>
    <w:rsid w:val="00BC6AD7"/>
    <w:rsid w:val="00BC781E"/>
    <w:rsid w:val="00BD196E"/>
    <w:rsid w:val="00BD67CF"/>
    <w:rsid w:val="00BE1676"/>
    <w:rsid w:val="00BE2057"/>
    <w:rsid w:val="00BE7CAD"/>
    <w:rsid w:val="00BF03B0"/>
    <w:rsid w:val="00BF241F"/>
    <w:rsid w:val="00BF5A11"/>
    <w:rsid w:val="00C06E74"/>
    <w:rsid w:val="00C073AA"/>
    <w:rsid w:val="00C1287D"/>
    <w:rsid w:val="00C22207"/>
    <w:rsid w:val="00C22543"/>
    <w:rsid w:val="00C27837"/>
    <w:rsid w:val="00C46119"/>
    <w:rsid w:val="00C471E0"/>
    <w:rsid w:val="00C737AA"/>
    <w:rsid w:val="00C74113"/>
    <w:rsid w:val="00C7447A"/>
    <w:rsid w:val="00C76C31"/>
    <w:rsid w:val="00C81FCA"/>
    <w:rsid w:val="00C91B11"/>
    <w:rsid w:val="00C91B5C"/>
    <w:rsid w:val="00C92E2F"/>
    <w:rsid w:val="00C97DFC"/>
    <w:rsid w:val="00C97EFE"/>
    <w:rsid w:val="00CA62D8"/>
    <w:rsid w:val="00CB0387"/>
    <w:rsid w:val="00CB3300"/>
    <w:rsid w:val="00CC3146"/>
    <w:rsid w:val="00CC35D2"/>
    <w:rsid w:val="00CD03AE"/>
    <w:rsid w:val="00CD21DE"/>
    <w:rsid w:val="00CD510F"/>
    <w:rsid w:val="00CD6B7A"/>
    <w:rsid w:val="00CD6E69"/>
    <w:rsid w:val="00CD7DC2"/>
    <w:rsid w:val="00CE0570"/>
    <w:rsid w:val="00CE1DE4"/>
    <w:rsid w:val="00CE4372"/>
    <w:rsid w:val="00CE5E13"/>
    <w:rsid w:val="00CF4DBD"/>
    <w:rsid w:val="00D004C6"/>
    <w:rsid w:val="00D030E7"/>
    <w:rsid w:val="00D16F1D"/>
    <w:rsid w:val="00D17878"/>
    <w:rsid w:val="00D17B38"/>
    <w:rsid w:val="00D20988"/>
    <w:rsid w:val="00D2443F"/>
    <w:rsid w:val="00D276AE"/>
    <w:rsid w:val="00D422AD"/>
    <w:rsid w:val="00D47F91"/>
    <w:rsid w:val="00D51D03"/>
    <w:rsid w:val="00D56FAB"/>
    <w:rsid w:val="00D57EBD"/>
    <w:rsid w:val="00D77018"/>
    <w:rsid w:val="00D8127A"/>
    <w:rsid w:val="00D82D68"/>
    <w:rsid w:val="00D949C3"/>
    <w:rsid w:val="00DA42C2"/>
    <w:rsid w:val="00DA6301"/>
    <w:rsid w:val="00DB0C66"/>
    <w:rsid w:val="00DB1224"/>
    <w:rsid w:val="00DC74AC"/>
    <w:rsid w:val="00DD4530"/>
    <w:rsid w:val="00DE0E26"/>
    <w:rsid w:val="00DE3908"/>
    <w:rsid w:val="00DE5FB5"/>
    <w:rsid w:val="00DE6BF5"/>
    <w:rsid w:val="00DF1BA8"/>
    <w:rsid w:val="00DF68AF"/>
    <w:rsid w:val="00E00C84"/>
    <w:rsid w:val="00E15D12"/>
    <w:rsid w:val="00E27916"/>
    <w:rsid w:val="00E346AE"/>
    <w:rsid w:val="00E42533"/>
    <w:rsid w:val="00E4737F"/>
    <w:rsid w:val="00E50A34"/>
    <w:rsid w:val="00E5190E"/>
    <w:rsid w:val="00E53C1B"/>
    <w:rsid w:val="00E54BED"/>
    <w:rsid w:val="00E57EDC"/>
    <w:rsid w:val="00E60100"/>
    <w:rsid w:val="00E62A9D"/>
    <w:rsid w:val="00E6412E"/>
    <w:rsid w:val="00E67F77"/>
    <w:rsid w:val="00E70E7F"/>
    <w:rsid w:val="00E70F38"/>
    <w:rsid w:val="00E77A0C"/>
    <w:rsid w:val="00E77C5F"/>
    <w:rsid w:val="00E80D0D"/>
    <w:rsid w:val="00E8522E"/>
    <w:rsid w:val="00E96776"/>
    <w:rsid w:val="00EB6D6A"/>
    <w:rsid w:val="00EC0DF8"/>
    <w:rsid w:val="00EC514A"/>
    <w:rsid w:val="00EC5944"/>
    <w:rsid w:val="00EC7AFF"/>
    <w:rsid w:val="00EE348B"/>
    <w:rsid w:val="00EE5E38"/>
    <w:rsid w:val="00EE67F4"/>
    <w:rsid w:val="00EF0A9C"/>
    <w:rsid w:val="00EF6863"/>
    <w:rsid w:val="00EF6BCD"/>
    <w:rsid w:val="00F00809"/>
    <w:rsid w:val="00F012F3"/>
    <w:rsid w:val="00F057C2"/>
    <w:rsid w:val="00F1209B"/>
    <w:rsid w:val="00F14DD2"/>
    <w:rsid w:val="00F1699A"/>
    <w:rsid w:val="00F236AF"/>
    <w:rsid w:val="00F25B8A"/>
    <w:rsid w:val="00F2610D"/>
    <w:rsid w:val="00F333AF"/>
    <w:rsid w:val="00F379B5"/>
    <w:rsid w:val="00F46A72"/>
    <w:rsid w:val="00F5472F"/>
    <w:rsid w:val="00F600E5"/>
    <w:rsid w:val="00F61EDE"/>
    <w:rsid w:val="00F6432F"/>
    <w:rsid w:val="00F653FC"/>
    <w:rsid w:val="00F712BF"/>
    <w:rsid w:val="00F731B7"/>
    <w:rsid w:val="00F7442F"/>
    <w:rsid w:val="00F81B78"/>
    <w:rsid w:val="00F91A67"/>
    <w:rsid w:val="00F9206D"/>
    <w:rsid w:val="00F942F9"/>
    <w:rsid w:val="00FA04F1"/>
    <w:rsid w:val="00FA4FD6"/>
    <w:rsid w:val="00FA52A7"/>
    <w:rsid w:val="00FA79D5"/>
    <w:rsid w:val="00FB04F4"/>
    <w:rsid w:val="00FB1964"/>
    <w:rsid w:val="00FC36BC"/>
    <w:rsid w:val="00FD72F9"/>
    <w:rsid w:val="00FE21A3"/>
    <w:rsid w:val="01442840"/>
    <w:rsid w:val="01802B8C"/>
    <w:rsid w:val="01A13F76"/>
    <w:rsid w:val="01A72CE6"/>
    <w:rsid w:val="08FD7B5A"/>
    <w:rsid w:val="09685B9E"/>
    <w:rsid w:val="161422DA"/>
    <w:rsid w:val="16B325DF"/>
    <w:rsid w:val="18DD1A38"/>
    <w:rsid w:val="195513FC"/>
    <w:rsid w:val="29566E1B"/>
    <w:rsid w:val="29C4753F"/>
    <w:rsid w:val="2A13132B"/>
    <w:rsid w:val="2A456232"/>
    <w:rsid w:val="2D0C78B0"/>
    <w:rsid w:val="30474FAA"/>
    <w:rsid w:val="30941430"/>
    <w:rsid w:val="30FD6223"/>
    <w:rsid w:val="31A8453F"/>
    <w:rsid w:val="323C3F95"/>
    <w:rsid w:val="34876BE7"/>
    <w:rsid w:val="37D05C96"/>
    <w:rsid w:val="3D406DA2"/>
    <w:rsid w:val="3E223BFF"/>
    <w:rsid w:val="3F5E679C"/>
    <w:rsid w:val="481B5119"/>
    <w:rsid w:val="48D56299"/>
    <w:rsid w:val="57450E1B"/>
    <w:rsid w:val="581F7F56"/>
    <w:rsid w:val="5B604A83"/>
    <w:rsid w:val="5C3C7842"/>
    <w:rsid w:val="5EFF3217"/>
    <w:rsid w:val="614A7535"/>
    <w:rsid w:val="61A71739"/>
    <w:rsid w:val="634A3F9E"/>
    <w:rsid w:val="6AC57D25"/>
    <w:rsid w:val="6B68195E"/>
    <w:rsid w:val="6C560C42"/>
    <w:rsid w:val="6E642B91"/>
    <w:rsid w:val="6E8D0182"/>
    <w:rsid w:val="70593C14"/>
    <w:rsid w:val="757454B1"/>
    <w:rsid w:val="78665555"/>
    <w:rsid w:val="7A2A4B43"/>
    <w:rsid w:val="7B026DA0"/>
    <w:rsid w:val="7D544C1F"/>
    <w:rsid w:val="7DF326FB"/>
    <w:rsid w:val="97FB94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qFormat="1"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11">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5"/>
    <w:qFormat/>
    <w:uiPriority w:val="0"/>
    <w:pPr>
      <w:widowControl w:val="0"/>
      <w:jc w:val="both"/>
    </w:pPr>
    <w:rPr>
      <w:rFonts w:hAnsi="Times New Roman" w:cs="Times New Roman"/>
      <w:kern w:val="2"/>
      <w:sz w:val="18"/>
      <w:szCs w:val="18"/>
    </w:rPr>
  </w:style>
  <w:style w:type="paragraph" w:styleId="3">
    <w:name w:val="Body Text"/>
    <w:basedOn w:val="1"/>
    <w:qFormat/>
    <w:uiPriority w:val="0"/>
    <w:pPr>
      <w:widowControl w:val="0"/>
      <w:adjustRightInd w:val="0"/>
      <w:spacing w:line="360" w:lineRule="auto"/>
      <w:jc w:val="both"/>
    </w:pPr>
    <w:rPr>
      <w:rFonts w:cs="Times New Roman"/>
      <w:b/>
      <w:bCs/>
      <w:kern w:val="2"/>
      <w:sz w:val="36"/>
    </w:rPr>
  </w:style>
  <w:style w:type="paragraph" w:styleId="4">
    <w:name w:val="Body Text Indent"/>
    <w:basedOn w:val="1"/>
    <w:qFormat/>
    <w:uiPriority w:val="0"/>
    <w:pPr>
      <w:widowControl w:val="0"/>
      <w:spacing w:after="120"/>
      <w:ind w:left="420" w:leftChars="200"/>
      <w:jc w:val="both"/>
    </w:pPr>
    <w:rPr>
      <w:rFonts w:ascii="Times New Roman" w:hAnsi="Times New Roman" w:cs="Times New Roman"/>
      <w:kern w:val="2"/>
      <w:sz w:val="21"/>
    </w:rPr>
  </w:style>
  <w:style w:type="paragraph" w:styleId="5">
    <w:name w:val="Balloon Text"/>
    <w:basedOn w:val="1"/>
    <w:link w:val="16"/>
    <w:qFormat/>
    <w:uiPriority w:val="0"/>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18"/>
    </w:rPr>
  </w:style>
  <w:style w:type="paragraph" w:styleId="7">
    <w:name w:val="header"/>
    <w:basedOn w:val="1"/>
    <w:qFormat/>
    <w:uiPriority w:val="0"/>
    <w:pPr>
      <w:widowControl w:val="0"/>
      <w:pBdr>
        <w:bottom w:val="single" w:color="auto" w:sz="6" w:space="1"/>
      </w:pBdr>
      <w:tabs>
        <w:tab w:val="center" w:pos="4153"/>
        <w:tab w:val="right" w:pos="8306"/>
      </w:tabs>
      <w:autoSpaceDE w:val="0"/>
      <w:autoSpaceDN w:val="0"/>
      <w:adjustRightInd w:val="0"/>
      <w:jc w:val="center"/>
    </w:pPr>
    <w:rPr>
      <w:rFonts w:hint="eastAsia" w:hAnsi="Times New Roman" w:cs="Times New Roman"/>
      <w:sz w:val="28"/>
      <w:szCs w:val="20"/>
    </w:rPr>
  </w:style>
  <w:style w:type="table" w:styleId="9">
    <w:name w:val="Table Grid"/>
    <w:basedOn w:val="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0">
    <w:name w:val="Table Classic 1"/>
    <w:basedOn w:val="8"/>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12">
    <w:name w:val="page number"/>
    <w:basedOn w:val="11"/>
    <w:qFormat/>
    <w:uiPriority w:val="0"/>
  </w:style>
  <w:style w:type="paragraph" w:customStyle="1" w:styleId="13">
    <w:name w:val="列出段落1"/>
    <w:basedOn w:val="1"/>
    <w:qFormat/>
    <w:uiPriority w:val="34"/>
    <w:pPr>
      <w:ind w:firstLine="420" w:firstLineChars="200"/>
    </w:pPr>
  </w:style>
  <w:style w:type="character" w:customStyle="1" w:styleId="14">
    <w:name w:val="def3"/>
    <w:qFormat/>
    <w:uiPriority w:val="0"/>
  </w:style>
  <w:style w:type="character" w:customStyle="1" w:styleId="15">
    <w:name w:val="文档结构图 Char"/>
    <w:link w:val="2"/>
    <w:qFormat/>
    <w:uiPriority w:val="0"/>
    <w:rPr>
      <w:rFonts w:ascii="宋体"/>
      <w:kern w:val="2"/>
      <w:sz w:val="18"/>
      <w:szCs w:val="18"/>
    </w:rPr>
  </w:style>
  <w:style w:type="character" w:customStyle="1" w:styleId="16">
    <w:name w:val="批注框文本 Char"/>
    <w:basedOn w:val="11"/>
    <w:link w:val="5"/>
    <w:qFormat/>
    <w:uiPriority w:val="0"/>
    <w:rPr>
      <w:rFonts w:ascii="宋体" w:hAnsi="宋体" w:cs="宋体"/>
      <w:sz w:val="18"/>
      <w:szCs w:val="18"/>
    </w:rPr>
  </w:style>
  <w:style w:type="paragraph" w:styleId="17">
    <w:name w:val="List Paragraph"/>
    <w:basedOn w:val="1"/>
    <w:qFormat/>
    <w:uiPriority w:val="34"/>
    <w:pPr>
      <w:widowControl w:val="0"/>
      <w:ind w:firstLine="420" w:firstLineChars="200"/>
      <w:jc w:val="both"/>
    </w:pPr>
    <w:rPr>
      <w:rFonts w:ascii="Calibri" w:hAnsi="Calibri"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34503;&#27873;&#31563;&#22270;&#35889;\&#25968;&#25454;&#20998;&#265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a:defRPr lang="zh-CN" sz="1200" b="0" i="0" u="none" strike="noStrike" kern="1200" baseline="0">
                <a:solidFill>
                  <a:srgbClr val="000000"/>
                </a:solidFill>
                <a:latin typeface="宋体"/>
                <a:ea typeface="宋体"/>
                <a:cs typeface="宋体"/>
              </a:defRPr>
            </a:pPr>
            <a:r>
              <a:rPr lang="zh-CN" altLang="en-US"/>
              <a:t>标准曲线</a:t>
            </a:r>
            <a:endParaRPr lang="zh-CN" altLang="en-US"/>
          </a:p>
        </c:rich>
      </c:tx>
      <c:layout>
        <c:manualLayout>
          <c:xMode val="edge"/>
          <c:yMode val="edge"/>
          <c:x val="0.412532637075718"/>
          <c:y val="0.0372881355932204"/>
        </c:manualLayout>
      </c:layout>
      <c:overlay val="false"/>
      <c:spPr>
        <a:noFill/>
        <a:ln w="25400">
          <a:noFill/>
        </a:ln>
      </c:spPr>
    </c:title>
    <c:autoTitleDeleted val="false"/>
    <c:plotArea>
      <c:layout>
        <c:manualLayout>
          <c:layoutTarget val="inner"/>
          <c:xMode val="edge"/>
          <c:yMode val="edge"/>
          <c:x val="0.255874673629243"/>
          <c:y val="0.203390167157983"/>
          <c:w val="0.671018276762403"/>
          <c:h val="0.566102631923053"/>
        </c:manualLayout>
      </c:layout>
      <c:scatterChart>
        <c:scatterStyle val="lineMarker"/>
        <c:varyColors val="false"/>
        <c:ser>
          <c:idx val="0"/>
          <c:order val="0"/>
          <c:tx>
            <c:strRef>
              <c:f>标准曲线!$D$19</c:f>
              <c:strCache>
                <c:ptCount val="1"/>
                <c:pt idx="0">
                  <c:v>平均峰面积</c:v>
                </c:pt>
              </c:strCache>
            </c:strRef>
          </c:tx>
          <c:spPr>
            <a:ln w="28575" cap="rnd" cmpd="sng" algn="ctr">
              <a:noFill/>
              <a:prstDash val="solid"/>
              <a:round/>
            </a:ln>
          </c:spPr>
          <c:marker>
            <c:symbol val="diamond"/>
            <c:size val="5"/>
            <c:spPr>
              <a:solidFill>
                <a:srgbClr val="000080"/>
              </a:solidFill>
              <a:ln w="9525" cap="flat" cmpd="sng" algn="ctr">
                <a:solidFill>
                  <a:srgbClr val="000080"/>
                </a:solidFill>
                <a:prstDash val="solid"/>
                <a:round/>
              </a:ln>
            </c:spPr>
          </c:marker>
          <c:dLbls>
            <c:delete val="true"/>
          </c:dLbls>
          <c:trendline>
            <c:spPr>
              <a:ln w="25400" cap="rnd" cmpd="sng" algn="ctr">
                <a:solidFill>
                  <a:srgbClr val="000000"/>
                </a:solidFill>
                <a:prstDash val="solid"/>
                <a:round/>
              </a:ln>
            </c:spPr>
            <c:trendlineType val="linear"/>
            <c:dispRSqr val="true"/>
            <c:dispEq val="true"/>
            <c:trendlineLbl>
              <c:layout>
                <c:manualLayout>
                  <c:x val="-0.0575456919060053"/>
                  <c:y val="-0.0508475161411034"/>
                </c:manualLayout>
              </c:layout>
              <c:tx>
                <c:rich>
                  <a:bodyPr rot="0" spcFirstLastPara="0" vertOverflow="ellipsis" vert="horz" wrap="square" anchor="ctr" anchorCtr="true"/>
                  <a:lstStyle/>
                  <a:p>
                    <a:pPr>
                      <a:defRPr lang="zh-CN" sz="1200" b="0" i="0" u="none" strike="noStrike" kern="1200" baseline="0">
                        <a:solidFill>
                          <a:srgbClr val="000000"/>
                        </a:solidFill>
                        <a:latin typeface="宋体"/>
                        <a:ea typeface="宋体"/>
                        <a:cs typeface="宋体"/>
                      </a:defRPr>
                    </a:pPr>
                    <a:r>
                      <a:rPr lang="en-US" altLang="zh-CN" sz="1000" b="0" i="0" strike="noStrike">
                        <a:solidFill>
                          <a:srgbClr val="000000"/>
                        </a:solidFill>
                        <a:latin typeface="Times New Roman"/>
                        <a:cs typeface="Times New Roman"/>
                      </a:rPr>
                      <a:t>y = 759268x - 3004.6</a:t>
                    </a:r>
                    <a:endParaRPr lang="en-US" altLang="zh-CN" sz="1000" b="0" i="0" strike="noStrike">
                      <a:solidFill>
                        <a:srgbClr val="000000"/>
                      </a:solidFill>
                      <a:latin typeface="Times New Roman"/>
                      <a:cs typeface="Times New Roman"/>
                    </a:endParaRPr>
                  </a:p>
                  <a:p>
                    <a:pPr>
                      <a:defRPr lang="zh-CN" sz="1200" b="0" i="0" u="none" strike="noStrike" kern="1200" baseline="0">
                        <a:solidFill>
                          <a:srgbClr val="000000"/>
                        </a:solidFill>
                        <a:latin typeface="宋体"/>
                        <a:ea typeface="宋体"/>
                        <a:cs typeface="宋体"/>
                      </a:defRPr>
                    </a:pPr>
                    <a:r>
                      <a:rPr lang="en-US" altLang="zh-CN" sz="1000" b="0" i="0" strike="noStrike">
                        <a:solidFill>
                          <a:srgbClr val="000000"/>
                        </a:solidFill>
                        <a:latin typeface="Times New Roman"/>
                        <a:cs typeface="Times New Roman"/>
                      </a:rPr>
                      <a:t>R</a:t>
                    </a:r>
                    <a:r>
                      <a:rPr lang="en-US" altLang="zh-CN" sz="1000" b="0" i="0" strike="noStrike" baseline="30000">
                        <a:solidFill>
                          <a:srgbClr val="000000"/>
                        </a:solidFill>
                        <a:latin typeface="Times New Roman"/>
                        <a:cs typeface="Times New Roman"/>
                      </a:rPr>
                      <a:t>2</a:t>
                    </a:r>
                    <a:r>
                      <a:rPr lang="en-US" altLang="zh-CN" sz="1000" b="0" i="0" strike="noStrike">
                        <a:solidFill>
                          <a:srgbClr val="000000"/>
                        </a:solidFill>
                        <a:latin typeface="Times New Roman"/>
                        <a:cs typeface="Times New Roman"/>
                      </a:rPr>
                      <a:t> = 0.9998</a:t>
                    </a:r>
                    <a:endParaRPr lang="en-US" altLang="zh-CN" sz="1000" b="0" i="0" strike="noStrike">
                      <a:solidFill>
                        <a:srgbClr val="000000"/>
                      </a:solidFill>
                      <a:latin typeface="Times New Roman"/>
                      <a:cs typeface="Times New Roman"/>
                    </a:endParaRPr>
                  </a:p>
                </c:rich>
              </c:tx>
              <c:numFmt formatCode="General" sourceLinked="false"/>
              <c:spPr>
                <a:noFill/>
                <a:ln w="25400">
                  <a:noFill/>
                </a:ln>
              </c:spPr>
              <c:txPr>
                <a:bodyPr rot="0" spcFirstLastPara="0" vertOverflow="ellipsis" vert="horz" wrap="square" anchor="ctr" anchorCtr="true"/>
                <a:lstStyle/>
                <a:p>
                  <a:pPr>
                    <a:defRPr lang="zh-CN" sz="1200" b="0" i="0" u="none" strike="noStrike" kern="1200" baseline="0">
                      <a:solidFill>
                        <a:srgbClr val="000000"/>
                      </a:solidFill>
                      <a:latin typeface="宋体"/>
                      <a:ea typeface="宋体"/>
                      <a:cs typeface="宋体"/>
                    </a:defRPr>
                  </a:pPr>
                </a:p>
              </c:txPr>
            </c:trendlineLbl>
          </c:trendline>
          <c:xVal>
            <c:numRef>
              <c:f>标准曲线!$C$20:$C$25</c:f>
              <c:numCache>
                <c:formatCode>General</c:formatCode>
                <c:ptCount val="6"/>
                <c:pt idx="0">
                  <c:v>0.1</c:v>
                </c:pt>
                <c:pt idx="1">
                  <c:v>0.2</c:v>
                </c:pt>
                <c:pt idx="2">
                  <c:v>0.4</c:v>
                </c:pt>
                <c:pt idx="3">
                  <c:v>0.6</c:v>
                </c:pt>
                <c:pt idx="4">
                  <c:v>0.8</c:v>
                </c:pt>
                <c:pt idx="5">
                  <c:v>1</c:v>
                </c:pt>
              </c:numCache>
            </c:numRef>
          </c:xVal>
          <c:yVal>
            <c:numRef>
              <c:f>标准曲线!$D$20:$D$25</c:f>
              <c:numCache>
                <c:formatCode>General</c:formatCode>
                <c:ptCount val="6"/>
                <c:pt idx="0">
                  <c:v>72376</c:v>
                </c:pt>
                <c:pt idx="1">
                  <c:v>149512.5</c:v>
                </c:pt>
                <c:pt idx="2">
                  <c:v>302187</c:v>
                </c:pt>
                <c:pt idx="3">
                  <c:v>453439</c:v>
                </c:pt>
                <c:pt idx="4">
                  <c:v>597994.5</c:v>
                </c:pt>
                <c:pt idx="5">
                  <c:v>760194</c:v>
                </c:pt>
              </c:numCache>
            </c:numRef>
          </c:yVal>
          <c:smooth val="false"/>
        </c:ser>
        <c:dLbls>
          <c:showLegendKey val="false"/>
          <c:showVal val="false"/>
          <c:showCatName val="false"/>
          <c:showSerName val="false"/>
          <c:showPercent val="false"/>
          <c:showBubbleSize val="false"/>
        </c:dLbls>
        <c:axId val="290330816"/>
        <c:axId val="290331392"/>
      </c:scatterChart>
      <c:valAx>
        <c:axId val="290330816"/>
        <c:scaling>
          <c:orientation val="minMax"/>
        </c:scaling>
        <c:delete val="false"/>
        <c:axPos val="b"/>
        <c:title>
          <c:tx>
            <c:rich>
              <a:bodyPr rot="0" spcFirstLastPara="0" vertOverflow="ellipsis" vert="horz" wrap="square" anchor="ctr" anchorCtr="true"/>
              <a:lstStyle/>
              <a:p>
                <a:pPr>
                  <a:defRPr lang="zh-CN" sz="1100" b="0" i="0" u="none" strike="noStrike" kern="1200" baseline="0">
                    <a:solidFill>
                      <a:srgbClr val="000000"/>
                    </a:solidFill>
                    <a:latin typeface="宋体"/>
                    <a:ea typeface="宋体"/>
                    <a:cs typeface="宋体"/>
                  </a:defRPr>
                </a:pPr>
                <a:r>
                  <a:rPr lang="zh-CN" altLang="en-US" sz="1000" b="0" i="0" strike="noStrike">
                    <a:solidFill>
                      <a:srgbClr val="000000"/>
                    </a:solidFill>
                    <a:latin typeface="宋体"/>
                    <a:ea typeface="宋体"/>
                  </a:rPr>
                  <a:t>进样量</a:t>
                </a:r>
                <a:r>
                  <a:rPr lang="en-US" altLang="zh-CN" sz="1000" b="0" i="0" strike="noStrike">
                    <a:solidFill>
                      <a:srgbClr val="000000"/>
                    </a:solidFill>
                    <a:latin typeface="宋体"/>
                    <a:ea typeface="宋体"/>
                  </a:rPr>
                  <a:t>ug</a:t>
                </a:r>
                <a:endParaRPr lang="en-US" altLang="zh-CN" sz="1000" b="0" i="0" strike="noStrike">
                  <a:solidFill>
                    <a:srgbClr val="000000"/>
                  </a:solidFill>
                  <a:latin typeface="宋体"/>
                  <a:ea typeface="宋体"/>
                </a:endParaRPr>
              </a:p>
            </c:rich>
          </c:tx>
          <c:layout>
            <c:manualLayout>
              <c:xMode val="edge"/>
              <c:yMode val="edge"/>
              <c:x val="0.785900783289818"/>
              <c:y val="0.884747186262734"/>
            </c:manualLayout>
          </c:layout>
          <c:overlay val="false"/>
          <c:spPr>
            <a:noFill/>
            <a:ln w="25400">
              <a:noFill/>
            </a:ln>
          </c:spPr>
        </c:title>
        <c:numFmt formatCode="General" sourceLinked="true"/>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true"/>
          <a:lstStyle/>
          <a:p>
            <a:pPr>
              <a:defRPr lang="zh-CN" sz="1200" b="0" i="0" u="none" strike="noStrike" kern="1200" baseline="0">
                <a:solidFill>
                  <a:srgbClr val="000000"/>
                </a:solidFill>
                <a:latin typeface="宋体"/>
                <a:ea typeface="宋体"/>
                <a:cs typeface="宋体"/>
              </a:defRPr>
            </a:pPr>
          </a:p>
        </c:txPr>
        <c:crossAx val="290331392"/>
        <c:crosses val="autoZero"/>
        <c:crossBetween val="midCat"/>
      </c:valAx>
      <c:valAx>
        <c:axId val="290331392"/>
        <c:scaling>
          <c:orientation val="minMax"/>
        </c:scaling>
        <c:delete val="false"/>
        <c:axPos val="l"/>
        <c:title>
          <c:tx>
            <c:rich>
              <a:bodyPr rot="-5400000" spcFirstLastPara="0" vertOverflow="ellipsis" vert="horz" wrap="square" anchor="ctr" anchorCtr="true"/>
              <a:lstStyle/>
              <a:p>
                <a:pPr>
                  <a:defRPr lang="zh-CN" sz="1000" b="0" i="0" u="none" strike="noStrike" kern="1200" baseline="0">
                    <a:solidFill>
                      <a:srgbClr val="000000"/>
                    </a:solidFill>
                    <a:latin typeface="宋体"/>
                    <a:ea typeface="宋体"/>
                    <a:cs typeface="宋体"/>
                  </a:defRPr>
                </a:pPr>
                <a:r>
                  <a:rPr lang="zh-CN" altLang="en-US"/>
                  <a:t>平均峰面积</a:t>
                </a:r>
                <a:endParaRPr lang="zh-CN" altLang="en-US"/>
              </a:p>
            </c:rich>
          </c:tx>
          <c:layout>
            <c:manualLayout>
              <c:xMode val="edge"/>
              <c:yMode val="edge"/>
              <c:x val="0.0443864229765014"/>
              <c:y val="0.138983406735175"/>
            </c:manualLayout>
          </c:layout>
          <c:overlay val="false"/>
          <c:spPr>
            <a:noFill/>
            <a:ln w="25400">
              <a:noFill/>
            </a:ln>
          </c:spPr>
        </c:title>
        <c:numFmt formatCode="General" sourceLinked="true"/>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true"/>
          <a:lstStyle/>
          <a:p>
            <a:pPr>
              <a:defRPr lang="zh-CN" sz="1200" b="0" i="0" u="none" strike="noStrike" kern="1200" baseline="0">
                <a:solidFill>
                  <a:srgbClr val="000000"/>
                </a:solidFill>
                <a:latin typeface="宋体"/>
                <a:ea typeface="宋体"/>
                <a:cs typeface="宋体"/>
              </a:defRPr>
            </a:pPr>
          </a:p>
        </c:txPr>
        <c:crossAx val="290330816"/>
        <c:crosses val="autoZero"/>
        <c:crossBetween val="midCat"/>
      </c:valAx>
      <c:spPr>
        <a:noFill/>
        <a:ln w="25400">
          <a:noFill/>
        </a:ln>
      </c:spPr>
    </c:plotArea>
    <c:plotVisOnly val="true"/>
    <c:dispBlanksAs val="gap"/>
    <c:showDLblsOverMax val="false"/>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a:ea typeface="宋体"/>
          <a:cs typeface="宋体"/>
        </a:defRPr>
      </a:pPr>
    </a:p>
  </c:txPr>
  <c:externalData r:id="rId1">
    <c:autoUpdate val="false"/>
  </c:externalData>
  <c:userShapes r:id="rId2"/>
</c:chartSpace>
</file>

<file path=word/drawings/drawing1.xml><?xml version="1.0" encoding="utf-8"?>
<c:userShapes xmlns:c="http://schemas.openxmlformats.org/drawingml/2006/chart">
  <cdr:relSizeAnchor xmlns:cdr="http://schemas.openxmlformats.org/drawingml/2006/chartDrawing">
    <cdr:from>
      <cdr:x>0.50024</cdr:x>
      <cdr:y>0.5</cdr:y>
    </cdr:from>
    <cdr:to>
      <cdr:x>0.56258</cdr:x>
      <cdr:y>0.57102</cdr:y>
    </cdr:to>
    <cdr:sp>
      <cdr:nvSpPr>
        <cdr:cNvPr id="2" name="矩形 1"/>
        <cdr:cNvSpPr/>
      </cdr:nvSpPr>
      <cdr:spPr xmlns:a="http://schemas.openxmlformats.org/drawingml/2006/main">
        <a:xfrm xmlns:a="http://schemas.openxmlformats.org/drawingml/2006/main">
          <a:off x="1832866" y="1412875"/>
          <a:ext cx="227990" cy="200225"/>
        </a:xfrm>
        <a:prstGeom xmlns:a="http://schemas.openxmlformats.org/drawingml/2006/main" prst="rect">
          <a:avLst/>
        </a:prstGeom>
        <a:noFill/>
        <a:ln>
          <a:noFill/>
        </a:ln>
        <a:effectLst/>
      </cdr:spPr>
      <cdr:txBody xmlns:a="http://schemas.openxmlformats.org/drawingml/2006/main">
        <a:bodyPr vertOverflow="clip" vert="horz" wrap="square" lIns="27432" tIns="18288" rIns="27432" bIns="18288" anchor="ctr" anchorCtr="false" upright="true">
          <a:normAutofit/>
        </a:bodyPr>
        <a:lstStyle/>
        <a:p>
          <a:pPr algn="ctr" rtl="0">
            <a:defRPr sz="1000"/>
          </a:pPr>
          <a:r>
            <a:rPr lang="zh-CN" altLang="en-US" sz="1200" b="0" i="0" u="none" strike="noStrike" baseline="0">
              <a:solidFill>
                <a:srgbClr val="000000"/>
              </a:solidFill>
              <a:latin typeface="宋体"/>
              <a:ea typeface="宋体"/>
            </a:rPr>
            <a:t>个</a:t>
          </a:r>
          <a:endParaRPr lang="zh-CN" altLang="en-US" sz="1200" b="0" i="0" u="none" strike="noStrike" baseline="0">
            <a:solidFill>
              <a:srgbClr val="000000"/>
            </a:solidFill>
            <a:latin typeface="宋体"/>
            <a:ea typeface="宋体"/>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1902</Words>
  <Characters>10847</Characters>
  <Lines>90</Lines>
  <Paragraphs>25</Paragraphs>
  <TotalTime>0</TotalTime>
  <ScaleCrop>false</ScaleCrop>
  <LinksUpToDate>false</LinksUpToDate>
  <CharactersWithSpaces>12724</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2024-06-04T20:13:00Z</dcterms:created>
  <dc:creator>yaoxue</dc:creator>
  <cp:lastModifiedBy>uos</cp:lastModifiedBy>
  <cp:lastPrinted>2022-03-22T00:12:00Z</cp:lastPrinted>
  <dcterms:modified xsi:type="dcterms:W3CDTF">2024-06-11T15:21:33Z</dcterms:modified>
  <dc:title>学 校 代 码：     ２９４２　　　　　　　　　　　　　　　学 号：        01401026</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