
<file path=[Content_Types].xml><?xml version="1.0" encoding="utf-8"?>
<Types xmlns="http://schemas.openxmlformats.org/package/2006/content-types">
  <Default Extension="png" ContentType="image/png"/>
  <Default Extension="tiff" ContentType="image/tiff"/>
  <Default Extension="jpeg" ContentType="image/jpeg"/>
  <Default Extension="JPG" ContentType="image/.jp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72118">
      <w:pPr>
        <w:jc w:val="center"/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</w:pPr>
      <w:r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  <w:t>海南省中药材</w:t>
      </w:r>
      <w:r>
        <w:rPr>
          <w:rFonts w:hint="eastAsia" w:ascii="黑体" w:hAnsi="宋体" w:eastAsia="黑体" w:cs="黑体"/>
          <w:bCs/>
          <w:kern w:val="2"/>
          <w:sz w:val="32"/>
          <w:szCs w:val="32"/>
          <w:lang w:val="en-US" w:eastAsia="zh-CN" w:bidi="ar"/>
        </w:rPr>
        <w:t>质量</w:t>
      </w:r>
      <w:r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  <w:t>标准征求意见稿</w:t>
      </w:r>
    </w:p>
    <w:p w14:paraId="1DD10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156" w:before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珠子草</w:t>
      </w:r>
    </w:p>
    <w:p w14:paraId="7798E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hint="eastAsia" w:ascii="Times New Roman" w:hAnsi="Times New Roman" w:cs="Times New Roman"/>
          <w:b/>
          <w:sz w:val="24"/>
          <w:szCs w:val="24"/>
        </w:rPr>
        <w:t>huzicao</w:t>
      </w:r>
    </w:p>
    <w:p w14:paraId="3FB56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PHYLLANTHUS HERBA</w:t>
      </w:r>
    </w:p>
    <w:p w14:paraId="2C3E9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left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本品为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大戟</w:t>
      </w:r>
      <w:r>
        <w:rPr>
          <w:rFonts w:ascii="Times New Roman" w:hAnsi="Times New Roman" w:cs="Times New Roman"/>
          <w:color w:val="auto"/>
          <w:sz w:val="24"/>
          <w:szCs w:val="24"/>
        </w:rPr>
        <w:t>科植物</w:t>
      </w:r>
      <w:bookmarkStart w:id="0" w:name="OLE_LINK17"/>
      <w:bookmarkStart w:id="1" w:name="OLE_LINK15"/>
      <w:bookmarkStart w:id="2" w:name="OLE_LINK16"/>
      <w:bookmarkStart w:id="3" w:name="OLE_LINK14"/>
      <w:r>
        <w:rPr>
          <w:rFonts w:hint="eastAsia" w:ascii="Times New Roman" w:hAnsi="Times New Roman" w:cs="Times New Roman"/>
          <w:color w:val="auto"/>
          <w:sz w:val="24"/>
          <w:szCs w:val="24"/>
        </w:rPr>
        <w:t>珠子草</w:t>
      </w:r>
      <w:bookmarkEnd w:id="0"/>
      <w:bookmarkEnd w:id="1"/>
      <w:bookmarkEnd w:id="2"/>
      <w:bookmarkEnd w:id="3"/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Phyllanthus niruri 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Linn.</w:t>
      </w:r>
      <w:r>
        <w:rPr>
          <w:rFonts w:ascii="Times New Roman" w:hAnsi="Times New Roman" w:cs="Times New Roman"/>
          <w:color w:val="auto"/>
          <w:sz w:val="24"/>
          <w:szCs w:val="24"/>
        </w:rPr>
        <w:t>的干燥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全草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  <w:r>
        <w:rPr>
          <w:rFonts w:hint="eastAsia" w:ascii="Times New Roman" w:hAnsi="Times New Roman" w:cs="Times New Roman"/>
          <w:color w:val="auto"/>
          <w:sz w:val="24"/>
          <w:szCs w:val="24"/>
          <w:shd w:val="clear" w:color="auto" w:fill="FFFFFF"/>
        </w:rPr>
        <w:t>夏、秋季采收</w:t>
      </w:r>
      <w:r>
        <w:rPr>
          <w:rFonts w:ascii="Times New Roman" w:hAnsi="Times New Roman" w:cs="Times New Roman"/>
          <w:color w:val="auto"/>
          <w:sz w:val="24"/>
          <w:szCs w:val="24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洗净，</w:t>
      </w:r>
      <w:r>
        <w:rPr>
          <w:rFonts w:ascii="Times New Roman" w:hAnsi="Times New Roman" w:cs="Times New Roman"/>
          <w:color w:val="auto"/>
          <w:sz w:val="24"/>
          <w:szCs w:val="24"/>
        </w:rPr>
        <w:t>晒干。</w:t>
      </w:r>
    </w:p>
    <w:p w14:paraId="7829D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【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性状</w:t>
      </w:r>
      <w:r>
        <w:rPr>
          <w:rFonts w:ascii="Times New Roman" w:hAnsi="Times New Roman" w:cs="Times New Roman"/>
          <w:color w:val="auto"/>
          <w:sz w:val="24"/>
          <w:szCs w:val="24"/>
        </w:rPr>
        <w:t>】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本品长短不一，长可达50cm，无毛。根外表面棕色或棕黄色，有纵纹，直径2~6mm，断面棕色至灰绿色，主根不发达，须根多数，表面浅灰棕色，质硬，不易折断。茎圆柱形，粗者呈棕褐色，细者呈棕黄色，有纵皱纹，质脆，易折断，断面灰绿色或黄白色，髓部中空。单叶互生，叶纸质，长椭圆形，长4~12mm，叶柄短，托叶披针形。蒴果扁圆形，直径1~1.5mm，黄绿色，表面平滑无毛，果柄及花萼宿存，多脱落。气微，味苦。</w:t>
      </w:r>
    </w:p>
    <w:p w14:paraId="25330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ascii="Times New Roman" w:hAnsi="宋体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【鉴别】</w:t>
      </w:r>
      <w:r>
        <w:rPr>
          <w:rFonts w:hint="eastAsia" w:ascii="Times New Roman" w:hAnsi="宋体" w:cs="Times New Roman"/>
          <w:color w:val="auto"/>
          <w:sz w:val="24"/>
          <w:szCs w:val="24"/>
        </w:rPr>
        <w:t>（</w:t>
      </w:r>
      <w:r>
        <w:rPr>
          <w:rFonts w:ascii="Times New Roman" w:hAnsi="宋体" w:cs="Times New Roman"/>
          <w:color w:val="auto"/>
          <w:sz w:val="24"/>
          <w:szCs w:val="24"/>
        </w:rPr>
        <w:t>1</w:t>
      </w:r>
      <w:r>
        <w:rPr>
          <w:rFonts w:hint="eastAsia" w:ascii="Times New Roman" w:hAnsi="宋体" w:cs="Times New Roman"/>
          <w:color w:val="auto"/>
          <w:sz w:val="24"/>
          <w:szCs w:val="24"/>
        </w:rPr>
        <w:t>）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本品粉末淡黄色至棕黄色。根表皮细胞类长方形或类多角形，壁稍厚，稍弯曲，淡黄色；木纤维多成束，壁厚，纹孔明显，直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径32～65μm。茎表皮细胞类方形，棕黄色，排列整齐，壁厚，稍弯曲；木纤维多成束，壁厚，纹孔明显，直径20～50μm。叶表皮细胞垂周壁波状弯曲，气孔平轴式、不定式。草酸钙簇晶散在于薄壁细胞，直径10～36μm。导管主为螺纹导管和具缘纹孔导管，偶见梯纹导管，直径6～24μm。</w:t>
      </w:r>
    </w:p>
    <w:p w14:paraId="64B1B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宋体" w:cs="Times New Roman"/>
          <w:color w:val="auto"/>
          <w:sz w:val="24"/>
          <w:szCs w:val="24"/>
        </w:rPr>
        <w:t>（2）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取本品粉末1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.0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g，加甲醇10ml，超声处理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0分钟，滤过，滤液作为供试品溶液。另取珠子草对照药材1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.0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g，同法制成对照药材溶液。照薄层色谱法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通则0502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试验，吸取上述两种溶液各5</w:t>
      </w:r>
      <w:r>
        <w:rPr>
          <w:rFonts w:ascii="Times New Roman" w:hAnsi="Times New Roman" w:cs="Times New Roman"/>
          <w:color w:val="auto"/>
          <w:sz w:val="24"/>
          <w:szCs w:val="24"/>
        </w:rPr>
        <w:t>μ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l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，分别点于同一硅胶G薄层板上，以环己烷-三氯甲烷-乙酸乙酯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: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: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为展开剂，展开，取出，晾干，喷以10%硫酸乙醇溶液，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加热至斑点显色清晰，置紫外光灯（365nm）下检视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。供试品色谱中，在与对照药材色谱相应的位置上，显相同颜色的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荧光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斑点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。</w:t>
      </w:r>
    </w:p>
    <w:p w14:paraId="736B0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【检查】水分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</w:rPr>
        <w:t>不得过10.0%（</w:t>
      </w:r>
      <w:r>
        <w:rPr>
          <w:rFonts w:ascii="Times New Roman" w:hAnsi="Times New Roman" w:cs="Times New Roman"/>
          <w:color w:val="auto"/>
          <w:sz w:val="24"/>
          <w:szCs w:val="24"/>
        </w:rPr>
        <w:t>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color w:val="auto"/>
          <w:sz w:val="24"/>
          <w:szCs w:val="24"/>
        </w:rPr>
        <w:t>通则0832）。</w:t>
      </w:r>
    </w:p>
    <w:p w14:paraId="6C4FE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hint="eastAsia"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总灰分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不得过9.0%（</w:t>
      </w:r>
      <w:r>
        <w:rPr>
          <w:rFonts w:ascii="Times New Roman" w:hAnsi="Times New Roman" w:cs="Times New Roman"/>
          <w:color w:val="auto"/>
          <w:sz w:val="24"/>
          <w:szCs w:val="24"/>
        </w:rPr>
        <w:t>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通则2302）。</w:t>
      </w:r>
    </w:p>
    <w:p w14:paraId="6C8C3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酸不溶性灰分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不得过2.0%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（</w:t>
      </w:r>
      <w:r>
        <w:rPr>
          <w:rFonts w:ascii="Times New Roman" w:hAnsi="Times New Roman" w:cs="Times New Roman"/>
          <w:color w:val="auto"/>
          <w:sz w:val="24"/>
          <w:szCs w:val="24"/>
        </w:rPr>
        <w:t>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通则2302）。</w:t>
      </w:r>
    </w:p>
    <w:p w14:paraId="51092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left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【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浸出物</w:t>
      </w:r>
      <w:r>
        <w:rPr>
          <w:rFonts w:ascii="Times New Roman" w:hAnsi="Times New Roman" w:cs="Times New Roman"/>
          <w:color w:val="auto"/>
          <w:sz w:val="24"/>
          <w:szCs w:val="24"/>
        </w:rPr>
        <w:t>】照浸出物测定法（《中国药典》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通则2201）项下的热浸法测定，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用水作溶剂，</w:t>
      </w:r>
      <w:r>
        <w:rPr>
          <w:rFonts w:ascii="Times New Roman" w:hAnsi="Times New Roman" w:cs="Times New Roman"/>
          <w:color w:val="auto"/>
          <w:sz w:val="24"/>
          <w:szCs w:val="24"/>
        </w:rPr>
        <w:t>不得少于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.0%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64DCC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【性味与归经】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苦，凉。归肝、肾、大肠经。</w:t>
      </w:r>
    </w:p>
    <w:p w14:paraId="4CCA3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【功能与主治】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清热，利湿，化痰，解毒。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主治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黄疸，泄泻，痢疾，热淋，石淋，水肿，痰咳，目赤肿痛，毒蛇咬伤。</w:t>
      </w:r>
    </w:p>
    <w:p w14:paraId="04B24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【用法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与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用量】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9~30g。外用适量，捣敷。</w:t>
      </w:r>
    </w:p>
    <w:p w14:paraId="62C72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【贮藏】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置干燥处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74670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E44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C5E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起草单位：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中国医学科学院药用植物研究所海南分所</w:t>
      </w:r>
    </w:p>
    <w:p w14:paraId="09291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复核单位：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海南省检验检测研究院</w:t>
      </w:r>
    </w:p>
    <w:p w14:paraId="29856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珠子草</w:t>
      </w: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药材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质量标准起草说明</w:t>
      </w:r>
    </w:p>
    <w:p w14:paraId="0EB00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一、来源</w:t>
      </w:r>
    </w:p>
    <w:p w14:paraId="7EC35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珠子草为大戟科叶下珠属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植物珠子草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Phyllanthus niruri 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Linn.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的干燥全草。大戟科叶下珠属（又名柚柑属）植物全世界有600余种，主要分布于热带、亚热带地区，我国有30余种，主要分布于长江流域及南方诸省。生于旷野草地、山坡和山谷向阳处。该属植物大多具有平肝清热、利水解毒的功效。</w:t>
      </w:r>
    </w:p>
    <w:p w14:paraId="5CB30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二、别名</w:t>
      </w:r>
    </w:p>
    <w:p w14:paraId="27356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蛇仔草、霸贝菜、小返魂、月下珠。</w:t>
      </w:r>
    </w:p>
    <w:p w14:paraId="6E62D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三、资源分布</w:t>
      </w:r>
    </w:p>
    <w:p w14:paraId="7C95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生态环境：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生于路旁、山坡及旷野草地上。</w:t>
      </w:r>
    </w:p>
    <w:p w14:paraId="5EAC4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资源分布：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主要分布于热带、亚热带地区，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主要产于我国南方各省及海南各地（《海南植物志》）。</w:t>
      </w:r>
    </w:p>
    <w:p w14:paraId="5AC19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四、植物形态</w:t>
      </w:r>
    </w:p>
    <w:p w14:paraId="044C6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一年生草本，高达50cm；茎略带褐红色，通常自中上部分枝；枝圆柱形，橄榄色；全株无毛。叶片纸质，长椭圆形，长5~10mm，宽2~5mm，顶端钝、圆或近截形，有时具不明显的锐尖头，基部偏斜；侧脉每边4～7条；叶柄极短；托叶披针形，长1~2mm，膜质透明。通常1朵雄花和1朵雌花双生于每一叶腋内，有时只有1朵雌花腋生；雄花：花梗长1~1.5mm；萼片5，倒卵形或宽卵形，长1.2~1.5mm，宽1~1.5mm，顶端钝或圆，中部黄绿色，基部有时淡红色，边缘膜质；花盘腺体5，倒卵形，宽0.25~0.4mm；雄蕊3，花丝长0.6~0.9mm，2/3至3/4合生成柱，花药近球形，长0.25~0.4mm，药室纵裂；花粉粒长球形，具3孔沟，少数4孔沟，沟狭长；雌花：花梗长1.5~4mm；萼片5，不相等，宽椭圆形或倒卵形，长1.5~2.3mm，宽1.2~1.8mm，顶端钝或圆，中部绿色，边缘略带黄白色，膜质；花盘盘状；子房圆球形，3室，花柱3，分离，顶端2裂，裂片外弯。蒴果扁球状，直径约3mm，褐红色，平滑，成熟后开裂为3个2裂的分果爿，轴柱及萼片宿存；种子长1~1.5mm，宽0.8~1.2mm，有小颗粒状排成的纵条纹。花果期1~10月。</w:t>
      </w:r>
    </w:p>
    <w:p w14:paraId="1AEA8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五、性状</w:t>
      </w:r>
    </w:p>
    <w:p w14:paraId="249E4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珠子草药材样品均为野生种，采自海南省琼中县、保亭县、白沙县、澄迈县。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cs="Times New Roman"/>
          <w:color w:val="auto"/>
          <w:sz w:val="24"/>
        </w:rPr>
        <w:t>对照药材采自</w:t>
      </w:r>
      <w:r>
        <w:rPr>
          <w:rFonts w:hint="eastAsia" w:ascii="Times New Roman" w:cs="Times New Roman"/>
          <w:color w:val="auto"/>
          <w:sz w:val="24"/>
        </w:rPr>
        <w:t>海南省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琼中黎族苗族自治县</w:t>
      </w:r>
      <w:r>
        <w:rPr>
          <w:rFonts w:ascii="Times New Roman" w:cs="Times New Roman"/>
          <w:color w:val="auto"/>
          <w:sz w:val="24"/>
        </w:rPr>
        <w:t>，原植物经中国医学科学院药用植物研究所海南分所</w:t>
      </w:r>
      <w:r>
        <w:rPr>
          <w:rFonts w:hint="eastAsia" w:ascii="Times New Roman" w:cs="Times New Roman"/>
          <w:color w:val="auto"/>
          <w:sz w:val="24"/>
          <w:lang w:val="en-US" w:eastAsia="zh-CN"/>
        </w:rPr>
        <w:t>李榕涛副</w:t>
      </w:r>
      <w:r>
        <w:rPr>
          <w:rFonts w:hint="eastAsia" w:ascii="Times New Roman" w:cs="Times New Roman"/>
          <w:color w:val="auto"/>
          <w:sz w:val="24"/>
        </w:rPr>
        <w:t>研究员</w:t>
      </w:r>
      <w:r>
        <w:rPr>
          <w:rFonts w:ascii="Times New Roman" w:cs="Times New Roman"/>
          <w:color w:val="auto"/>
          <w:sz w:val="24"/>
        </w:rPr>
        <w:t>鉴定为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大戟</w:t>
      </w:r>
      <w:r>
        <w:rPr>
          <w:rFonts w:ascii="Times New Roman" w:hAnsi="Times New Roman" w:cs="Times New Roman"/>
          <w:color w:val="auto"/>
          <w:sz w:val="24"/>
          <w:szCs w:val="24"/>
        </w:rPr>
        <w:t>科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叶下珠</w:t>
      </w:r>
      <w:r>
        <w:rPr>
          <w:rFonts w:ascii="Times New Roman" w:hAnsi="Times New Roman" w:cs="Times New Roman"/>
          <w:color w:val="auto"/>
          <w:sz w:val="24"/>
          <w:szCs w:val="24"/>
        </w:rPr>
        <w:t>属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植物珠子草（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Phyllanthus niruri 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>Linn.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）</w:t>
      </w:r>
      <w:r>
        <w:rPr>
          <w:rFonts w:ascii="Times New Roman" w:hAnsi="Times New Roman" w:cs="Times New Roman"/>
          <w:color w:val="auto"/>
          <w:sz w:val="24"/>
          <w:szCs w:val="24"/>
        </w:rPr>
        <w:t>，凭证（腊叶）标本保存于海南省中药标本馆（海口市药谷四路4号中国医学科学院药用植物研究所海南分所内），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cs="Times New Roman"/>
          <w:color w:val="auto"/>
          <w:sz w:val="24"/>
        </w:rPr>
        <w:t>基原和药材。</w:t>
      </w:r>
    </w:p>
    <w:p w14:paraId="6798CA00">
      <w:pPr>
        <w:spacing w:line="360" w:lineRule="auto"/>
        <w:ind w:firstLine="422" w:firstLineChars="200"/>
        <w:jc w:val="center"/>
        <w:rPr>
          <w:rFonts w:hint="eastAsia" w:ascii="Times New Roman" w:cs="Times New Roman"/>
          <w:b/>
          <w:bCs/>
          <w:color w:val="auto"/>
          <w:sz w:val="21"/>
          <w:szCs w:val="21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</w:rPr>
        <w:t>表1  10批珠子草药材样品及来源</w:t>
      </w:r>
    </w:p>
    <w:tbl>
      <w:tblPr>
        <w:tblStyle w:val="7"/>
        <w:tblW w:w="8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2"/>
        <w:gridCol w:w="4170"/>
        <w:gridCol w:w="1298"/>
      </w:tblGrid>
      <w:tr w14:paraId="670E1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bottom w:val="single" w:color="auto" w:sz="4" w:space="0"/>
              <w:right w:val="nil"/>
            </w:tcBorders>
          </w:tcPr>
          <w:p w14:paraId="6B8A5384">
            <w:pPr>
              <w:spacing w:line="360" w:lineRule="auto"/>
              <w:ind w:firstLine="316" w:firstLineChars="15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样品批号</w:t>
            </w:r>
          </w:p>
        </w:tc>
        <w:tc>
          <w:tcPr>
            <w:tcW w:w="4170" w:type="dxa"/>
            <w:tcBorders>
              <w:left w:val="nil"/>
              <w:bottom w:val="single" w:color="auto" w:sz="4" w:space="0"/>
              <w:right w:val="nil"/>
            </w:tcBorders>
          </w:tcPr>
          <w:p w14:paraId="34B2CF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来源（海南）</w:t>
            </w:r>
          </w:p>
        </w:tc>
        <w:tc>
          <w:tcPr>
            <w:tcW w:w="1298" w:type="dxa"/>
            <w:tcBorders>
              <w:left w:val="nil"/>
              <w:bottom w:val="single" w:color="auto" w:sz="4" w:space="0"/>
              <w:right w:val="nil"/>
            </w:tcBorders>
          </w:tcPr>
          <w:p w14:paraId="4ADEF9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来源日期</w:t>
            </w:r>
          </w:p>
        </w:tc>
      </w:tr>
      <w:tr w14:paraId="67646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bottom w:val="nil"/>
              <w:right w:val="nil"/>
            </w:tcBorders>
          </w:tcPr>
          <w:p w14:paraId="23B9569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ZZC20210616001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（对照药材）</w:t>
            </w:r>
          </w:p>
        </w:tc>
        <w:tc>
          <w:tcPr>
            <w:tcW w:w="4170" w:type="dxa"/>
            <w:tcBorders>
              <w:left w:val="nil"/>
              <w:bottom w:val="nil"/>
              <w:right w:val="nil"/>
            </w:tcBorders>
          </w:tcPr>
          <w:p w14:paraId="183C75E4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琼中弯岭镇乌石农场大队</w:t>
            </w:r>
          </w:p>
        </w:tc>
        <w:tc>
          <w:tcPr>
            <w:tcW w:w="1298" w:type="dxa"/>
            <w:tcBorders>
              <w:left w:val="nil"/>
              <w:bottom w:val="nil"/>
              <w:right w:val="nil"/>
            </w:tcBorders>
          </w:tcPr>
          <w:p w14:paraId="62836FC9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2021.06.16</w:t>
            </w:r>
          </w:p>
        </w:tc>
      </w:tr>
      <w:tr w14:paraId="57DDF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120BF711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ZZC20210703002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7011F4BB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保亭响水镇南梗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BE6948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2021.07.03</w:t>
            </w:r>
          </w:p>
        </w:tc>
      </w:tr>
      <w:tr w14:paraId="148AC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7974B8C9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ZZC20210703003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0DE1F5A7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保亭国营金江农场什龙二路椰之郡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099BA3F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2021.07.03</w:t>
            </w:r>
          </w:p>
        </w:tc>
      </w:tr>
      <w:tr w14:paraId="74783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2C00D73D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ZZC20210703004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374E08E4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保亭国营金江农场什龙二路椰之郡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7B7E27A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2021.07.03</w:t>
            </w:r>
          </w:p>
        </w:tc>
      </w:tr>
      <w:tr w14:paraId="139C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44245D01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ZZC20210703005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4210D770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保亭国营金江农场什龙二路椰之郡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1B25C8F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2021.07.03</w:t>
            </w:r>
          </w:p>
        </w:tc>
      </w:tr>
      <w:tr w14:paraId="145E6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76315023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ZZC20210703006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5CDC5642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保亭国营金江农场什龙二路椰之郡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BE61273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2021.07.03</w:t>
            </w:r>
          </w:p>
        </w:tc>
      </w:tr>
      <w:tr w14:paraId="67E47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05507BF5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ZZC20210806007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7BB00BEA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白沙邦溪镇付俄岭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BC60CC4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2021.08.06</w:t>
            </w:r>
          </w:p>
        </w:tc>
      </w:tr>
      <w:tr w14:paraId="16957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43F4FE2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ZZC20210806008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28C7BD38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白沙邦溪镇付俄岭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11B2E204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2021.08.06</w:t>
            </w:r>
          </w:p>
        </w:tc>
      </w:tr>
      <w:tr w14:paraId="2F275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7E103951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ZZC20211007009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4F73D987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澄迈县永发镇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A6CE8AF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2021.10.07</w:t>
            </w:r>
          </w:p>
        </w:tc>
      </w:tr>
      <w:tr w14:paraId="732A4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nil"/>
              <w:left w:val="nil"/>
              <w:right w:val="nil"/>
            </w:tcBorders>
          </w:tcPr>
          <w:p w14:paraId="133B6B12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ZZC20211007010</w:t>
            </w:r>
          </w:p>
        </w:tc>
        <w:tc>
          <w:tcPr>
            <w:tcW w:w="4170" w:type="dxa"/>
            <w:tcBorders>
              <w:top w:val="nil"/>
              <w:left w:val="nil"/>
              <w:right w:val="nil"/>
            </w:tcBorders>
          </w:tcPr>
          <w:p w14:paraId="698759C5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澄迈县永发镇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</w:tcPr>
          <w:p w14:paraId="088BB84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2021.10.07</w:t>
            </w:r>
          </w:p>
        </w:tc>
      </w:tr>
    </w:tbl>
    <w:p w14:paraId="379B7CD8">
      <w:pPr>
        <w:spacing w:line="360" w:lineRule="auto"/>
        <w:jc w:val="center"/>
        <w:rPr>
          <w:rFonts w:ascii="Times New Roman" w:cs="Times New Roman" w:hAnsiTheme="minorHAnsi"/>
          <w:color w:val="auto"/>
          <w:sz w:val="24"/>
          <w:szCs w:val="22"/>
        </w:rPr>
      </w:pPr>
      <w:r>
        <w:drawing>
          <wp:inline distT="0" distB="0" distL="0" distR="0">
            <wp:extent cx="1646555" cy="2217420"/>
            <wp:effectExtent l="0" t="0" r="10795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71" t="8346" r="24753" b="6100"/>
                    <a:stretch>
                      <a:fillRect/>
                    </a:stretch>
                  </pic:blipFill>
                  <pic:spPr>
                    <a:xfrm>
                      <a:off x="0" y="0"/>
                      <a:ext cx="1646555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ascii="Times New Roman" w:cs="Times New Roman"/>
          <w:color w:val="auto"/>
          <w:sz w:val="24"/>
        </w:rPr>
        <w:drawing>
          <wp:inline distT="0" distB="0" distL="0" distR="0">
            <wp:extent cx="2894965" cy="2224405"/>
            <wp:effectExtent l="0" t="0" r="635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48" t="11558" r="16807" b="3874"/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14C40">
      <w:pPr>
        <w:spacing w:line="360" w:lineRule="auto"/>
        <w:ind w:firstLine="422" w:firstLineChars="200"/>
        <w:jc w:val="center"/>
        <w:rPr>
          <w:rFonts w:ascii="Times New Roman" w:cs="Times New Roman" w:hAnsiTheme="minorHAnsi"/>
          <w:b/>
          <w:bCs/>
          <w:color w:val="auto"/>
          <w:sz w:val="21"/>
          <w:szCs w:val="20"/>
        </w:rPr>
      </w:pPr>
      <w:r>
        <w:rPr>
          <w:rFonts w:ascii="Times New Roman" w:cs="Times New Roman" w:hAnsiTheme="minorHAnsi"/>
          <w:b/>
          <w:bCs/>
          <w:color w:val="auto"/>
          <w:sz w:val="21"/>
          <w:szCs w:val="20"/>
        </w:rPr>
        <w:t>图</w:t>
      </w:r>
      <w:r>
        <w:rPr>
          <w:rFonts w:hint="eastAsia" w:ascii="Times New Roman" w:cs="Times New Roman"/>
          <w:b/>
          <w:bCs/>
          <w:color w:val="auto"/>
          <w:sz w:val="21"/>
          <w:szCs w:val="20"/>
          <w:lang w:val="en-US" w:eastAsia="zh-CN"/>
        </w:rPr>
        <w:t>1</w:t>
      </w:r>
      <w:r>
        <w:rPr>
          <w:rFonts w:ascii="Times New Roman" w:cs="Times New Roman" w:hAnsiTheme="minorHAnsi"/>
          <w:b/>
          <w:bCs/>
          <w:color w:val="auto"/>
          <w:sz w:val="21"/>
          <w:szCs w:val="20"/>
        </w:rPr>
        <w:t xml:space="preserve">  </w:t>
      </w:r>
      <w:r>
        <w:rPr>
          <w:rFonts w:hint="default" w:ascii="Times New Roman" w:cs="Times New Roman" w:hAnsiTheme="minorHAnsi"/>
          <w:b/>
          <w:bCs/>
          <w:color w:val="auto"/>
          <w:sz w:val="21"/>
          <w:szCs w:val="20"/>
        </w:rPr>
        <w:t>珠子草基原植物及</w:t>
      </w:r>
      <w:r>
        <w:rPr>
          <w:rFonts w:ascii="Times New Roman" w:cs="Times New Roman" w:hAnsiTheme="minorHAnsi"/>
          <w:b/>
          <w:bCs/>
          <w:color w:val="auto"/>
          <w:sz w:val="21"/>
          <w:szCs w:val="20"/>
        </w:rPr>
        <w:t>对照药材</w:t>
      </w:r>
    </w:p>
    <w:p w14:paraId="111B179E">
      <w:pPr>
        <w:spacing w:line="360" w:lineRule="auto"/>
        <w:ind w:firstLine="480" w:firstLineChars="200"/>
        <w:jc w:val="both"/>
        <w:rPr>
          <w:rFonts w:ascii="Times New Roman" w:cs="Times New Roman" w:hAnsiTheme="minorHAnsi"/>
          <w:b/>
          <w:bCs/>
          <w:color w:val="auto"/>
          <w:sz w:val="24"/>
          <w:szCs w:val="22"/>
        </w:rPr>
      </w:pPr>
      <w:r>
        <w:rPr>
          <w:rFonts w:hint="eastAsia"/>
          <w:sz w:val="24"/>
          <w:szCs w:val="32"/>
          <w:highlight w:val="none"/>
          <w:lang w:val="en-US" w:eastAsia="zh-CN"/>
        </w:rPr>
        <w:t>珠子草药材性状为：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本品长短不一，长可达50cm，无毛。根外表面棕色或棕黄色，有纵纹，直径2~6mm，断面棕色至灰绿色，主根不发达，须根多数，表面浅灰棕色，质硬，不易折断。茎圆柱形，粗者呈棕褐色，细者呈棕黄色，有纵皱纹，质脆，易折断，断面灰绿色或黄白色，髓部中空。单叶互生，叶纸质，长椭圆形，长4~12mm，叶柄短，托叶披针形。蒴果扁圆形，直径1~1.5mm，黄绿色，表面平滑无毛，果柄及花萼宿存，多脱落。气微，味苦。</w:t>
      </w:r>
    </w:p>
    <w:p w14:paraId="44E45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highlight w:val="none"/>
          <w:lang w:val="en-US" w:eastAsia="zh-CN"/>
        </w:rPr>
        <w:t>根</w:t>
      </w:r>
    </w:p>
    <w:p w14:paraId="500D2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color w:val="FF0000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586865"/>
            <wp:effectExtent l="0" t="0" r="17780" b="13335"/>
            <wp:docPr id="3" name="图片 3" descr="根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根-1-标尺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577340"/>
            <wp:effectExtent l="0" t="0" r="17780" b="3810"/>
            <wp:docPr id="1" name="图片 1" descr="根-横切面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根-横切面-标尺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43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color w:val="FF0000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205730" cy="2116455"/>
            <wp:effectExtent l="0" t="0" r="13970" b="17145"/>
            <wp:docPr id="2" name="图片 2" descr="根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根-标尺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0573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5E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highlight w:val="none"/>
          <w:lang w:val="en-US" w:eastAsia="zh-CN"/>
        </w:rPr>
        <w:t>茎</w:t>
      </w:r>
    </w:p>
    <w:p w14:paraId="603EA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color w:val="FF0000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871980"/>
            <wp:effectExtent l="0" t="0" r="17780" b="13970"/>
            <wp:docPr id="6" name="图片 6" descr="茎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茎-标尺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871980"/>
            <wp:effectExtent l="0" t="0" r="17780" b="13970"/>
            <wp:docPr id="9" name="图片 9" descr="茎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茎-1-标尺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767205"/>
            <wp:effectExtent l="0" t="0" r="17780" b="4445"/>
            <wp:docPr id="4" name="图片 4" descr="茎-3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茎-3-标尺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758315"/>
            <wp:effectExtent l="0" t="0" r="17780" b="13335"/>
            <wp:docPr id="8" name="图片 8" descr="茎-2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茎-2-标尺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BF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color w:val="FF0000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596390"/>
            <wp:effectExtent l="0" t="0" r="17780" b="3810"/>
            <wp:docPr id="5" name="图片 5" descr="茎-横切面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茎-横切面-标尺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595755"/>
            <wp:effectExtent l="0" t="0" r="17780" b="4445"/>
            <wp:docPr id="10" name="图片 10" descr="茎-横切面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茎-横切面-1-标尺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F5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highlight w:val="none"/>
          <w:lang w:val="en-US" w:eastAsia="zh-CN"/>
        </w:rPr>
        <w:t>叶</w:t>
      </w:r>
    </w:p>
    <w:p w14:paraId="65F76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color w:val="FF0000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671955"/>
            <wp:effectExtent l="0" t="0" r="17780" b="4445"/>
            <wp:docPr id="11" name="图片 11" descr="叶-2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叶-2-标尺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2070" cy="1671955"/>
            <wp:effectExtent l="0" t="0" r="17780" b="4445"/>
            <wp:docPr id="12" name="图片 12" descr="叶-1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叶-1-标尺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189220" cy="2122170"/>
            <wp:effectExtent l="0" t="0" r="11430" b="11430"/>
            <wp:docPr id="13" name="图片 13" descr="叶-标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叶-标尺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7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果</w:t>
      </w:r>
    </w:p>
    <w:p w14:paraId="069CC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color w:val="FF0000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402205" cy="1934210"/>
            <wp:effectExtent l="0" t="0" r="17145" b="8890"/>
            <wp:docPr id="25" name="图片 25" descr="珠子草-果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珠子草-果(1)"/>
                    <pic:cNvPicPr>
                      <a:picLocks noChangeAspect="1"/>
                    </pic:cNvPicPr>
                  </pic:nvPicPr>
                  <pic:blipFill>
                    <a:blip r:embed="rId23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205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692400" cy="1944370"/>
            <wp:effectExtent l="0" t="0" r="12700" b="17780"/>
            <wp:docPr id="24" name="图片 24" descr="珠子草-果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珠子草-果-2(1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F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Times New Roman" w:cs="Times New Roman" w:hAnsiTheme="minorHAnsi" w:eastAsiaTheme="minorEastAsia"/>
          <w:b/>
          <w:bCs/>
          <w:color w:val="auto"/>
          <w:sz w:val="21"/>
          <w:szCs w:val="20"/>
          <w:lang w:eastAsia="zh-CN"/>
        </w:rPr>
      </w:pP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图2珠子草药材外观性状</w:t>
      </w:r>
    </w:p>
    <w:p w14:paraId="56CFE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六、化学成分</w:t>
      </w:r>
    </w:p>
    <w:p w14:paraId="29A70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ascii="Times New Roman" w:cs="Times New Roman" w:hAnsiTheme="minorHAnsi"/>
          <w:color w:val="auto"/>
          <w:sz w:val="24"/>
          <w:szCs w:val="22"/>
        </w:rPr>
      </w:pPr>
      <w:r>
        <w:rPr>
          <w:rFonts w:hint="eastAsia" w:ascii="Times New Roman" w:cs="Times New Roman"/>
          <w:color w:val="auto"/>
          <w:sz w:val="24"/>
          <w:szCs w:val="22"/>
          <w:lang w:val="en-US" w:eastAsia="zh-CN"/>
        </w:rPr>
        <w:t>珠子草主要含有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珠子草脂素（</w:t>
      </w:r>
      <w:r>
        <w:rPr>
          <w:rFonts w:ascii="Times New Roman" w:cs="Times New Roman" w:hAnsiTheme="minorHAnsi"/>
          <w:color w:val="auto"/>
          <w:sz w:val="24"/>
          <w:szCs w:val="22"/>
        </w:rPr>
        <w:t>Phyllanthi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）、珠子草次素（</w:t>
      </w:r>
      <w:r>
        <w:rPr>
          <w:rFonts w:ascii="Times New Roman" w:cs="Times New Roman" w:hAnsiTheme="minorHAnsi"/>
          <w:color w:val="auto"/>
          <w:sz w:val="24"/>
          <w:szCs w:val="22"/>
        </w:rPr>
        <w:t>Hypophyllanthi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）、珠子草素（N</w:t>
      </w:r>
      <w:r>
        <w:rPr>
          <w:rFonts w:ascii="Times New Roman" w:cs="Times New Roman" w:hAnsiTheme="minorHAnsi"/>
          <w:color w:val="auto"/>
          <w:sz w:val="24"/>
          <w:szCs w:val="22"/>
        </w:rPr>
        <w:t>iranthi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）、芦丁（</w:t>
      </w:r>
      <w:r>
        <w:rPr>
          <w:rFonts w:ascii="Times New Roman" w:cs="Times New Roman" w:hAnsiTheme="minorHAnsi"/>
          <w:color w:val="auto"/>
          <w:sz w:val="24"/>
          <w:szCs w:val="22"/>
        </w:rPr>
        <w:t>Rutin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）、短叶苏木酚（V</w:t>
      </w:r>
      <w:r>
        <w:rPr>
          <w:rFonts w:ascii="Times New Roman" w:cs="Times New Roman" w:hAnsiTheme="minorHAnsi"/>
          <w:color w:val="auto"/>
          <w:sz w:val="24"/>
          <w:szCs w:val="22"/>
        </w:rPr>
        <w:t>ilofin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）、没食子酸（G</w:t>
      </w:r>
      <w:r>
        <w:rPr>
          <w:rFonts w:ascii="Times New Roman" w:cs="Times New Roman" w:hAnsiTheme="minorHAnsi"/>
          <w:color w:val="auto"/>
          <w:sz w:val="24"/>
          <w:szCs w:val="22"/>
        </w:rPr>
        <w:t>allic acid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）、鞣花酸（E</w:t>
      </w:r>
      <w:r>
        <w:rPr>
          <w:rFonts w:ascii="Times New Roman" w:cs="Times New Roman" w:hAnsiTheme="minorHAnsi"/>
          <w:color w:val="auto"/>
          <w:sz w:val="24"/>
          <w:szCs w:val="22"/>
        </w:rPr>
        <w:t>llagic acid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）、柯里拉京（C</w:t>
      </w:r>
      <w:r>
        <w:rPr>
          <w:rFonts w:ascii="Times New Roman" w:cs="Times New Roman" w:hAnsiTheme="minorHAnsi"/>
          <w:color w:val="auto"/>
          <w:sz w:val="24"/>
          <w:szCs w:val="22"/>
        </w:rPr>
        <w:t>orilagin</w:t>
      </w:r>
      <w:r>
        <w:rPr>
          <w:rFonts w:hint="default" w:ascii="Times New Roman" w:cs="Times New Roman" w:hAnsiTheme="minorHAnsi"/>
          <w:color w:val="auto"/>
          <w:sz w:val="24"/>
          <w:szCs w:val="22"/>
        </w:rPr>
        <w:t>）等。</w:t>
      </w:r>
    </w:p>
    <w:p w14:paraId="3724C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七、鉴别</w:t>
      </w:r>
    </w:p>
    <w:p w14:paraId="002A4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（1）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显微鉴别</w:t>
      </w:r>
    </w:p>
    <w:p w14:paraId="6C4D3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/>
          <w:color w:val="FF0000"/>
          <w:sz w:val="24"/>
          <w:szCs w:val="32"/>
          <w:highlight w:val="none"/>
          <w:lang w:val="en-US" w:eastAsia="zh-CN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照显微鉴别法（《中国药典》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通则2001）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鉴别</w:t>
      </w:r>
      <w:r>
        <w:rPr>
          <w:rFonts w:ascii="Times New Roman" w:hAnsi="Times New Roman" w:cs="Times New Roman"/>
          <w:color w:val="auto"/>
          <w:sz w:val="24"/>
          <w:szCs w:val="24"/>
        </w:rPr>
        <w:t>，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本品粉末淡黄色至棕黄色。根表皮细胞类长方</w:t>
      </w:r>
      <w:r>
        <w:rPr>
          <w:rFonts w:hint="eastAsia"/>
          <w:b w:val="0"/>
          <w:bCs w:val="0"/>
          <w:color w:val="auto"/>
          <w:sz w:val="24"/>
          <w:szCs w:val="32"/>
          <w:highlight w:val="none"/>
          <w:lang w:val="en-US" w:eastAsia="zh-CN"/>
        </w:rPr>
        <w:t>形或类多角形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，壁稍厚，稍弯曲，淡黄色；木纤维多成束，壁厚，纹孔明显，直径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32~65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μ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m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。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茎表皮细胞类方形，棕黄色，排列整齐，壁厚，稍弯曲；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木纤维多成束，壁厚，纹孔明显，直径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20~50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μ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m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。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叶表皮细胞垂周壁波状弯曲，气孔平轴式、不定式。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草酸钙簇晶散在于薄壁细胞，直径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～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36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μm。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导管主为螺纹导管和具缘纹孔导管，偶见梯纹导管，直径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6~24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μ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。</w:t>
      </w:r>
    </w:p>
    <w:p w14:paraId="393FB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default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此外，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核查了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《实用瑶药学》及相关文献记载的“珠子草”粉末显微鉴别，与本次制定的内容基本一致。</w:t>
      </w:r>
    </w:p>
    <w:p w14:paraId="013FE3F3">
      <w:pPr>
        <w:spacing w:line="360" w:lineRule="auto"/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6690" cy="3245485"/>
            <wp:effectExtent l="0" t="0" r="10160" b="12065"/>
            <wp:docPr id="21" name="图片 21" descr="表皮-40x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表皮-40x-2"/>
                    <pic:cNvPicPr>
                      <a:picLocks noChangeAspect="1"/>
                    </pic:cNvPicPr>
                  </pic:nvPicPr>
                  <pic:blipFill>
                    <a:blip r:embed="rId25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26" name="图片 26" descr="表皮-40x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表皮-40x-1"/>
                    <pic:cNvPicPr>
                      <a:picLocks noChangeAspect="1"/>
                    </pic:cNvPicPr>
                  </pic:nvPicPr>
                  <pic:blipFill>
                    <a:blip r:embed="rId26">
                      <a:lum bright="18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22D46">
      <w:pPr>
        <w:spacing w:line="360" w:lineRule="auto"/>
        <w:jc w:val="left"/>
        <w:rPr>
          <w:rFonts w:hint="default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叶表皮细胞</w:t>
      </w:r>
    </w:p>
    <w:p w14:paraId="5EADAFF1">
      <w:pPr>
        <w:spacing w:line="360" w:lineRule="auto"/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0975" cy="4006215"/>
            <wp:effectExtent l="0" t="0" r="15875" b="13335"/>
            <wp:docPr id="27" name="图片 27" descr="气孔-40x-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气孔-40x-3(1)"/>
                    <pic:cNvPicPr>
                      <a:picLocks noChangeAspect="1"/>
                    </pic:cNvPicPr>
                  </pic:nvPicPr>
                  <pic:blipFill>
                    <a:blip r:embed="rId27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3675" cy="4479925"/>
            <wp:effectExtent l="0" t="0" r="3175" b="15875"/>
            <wp:docPr id="28" name="图片 28" descr="气孔-2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气孔-20x-1(1)"/>
                    <pic:cNvPicPr>
                      <a:picLocks noChangeAspect="1"/>
                    </pic:cNvPicPr>
                  </pic:nvPicPr>
                  <pic:blipFill>
                    <a:blip r:embed="rId28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0975" cy="4547870"/>
            <wp:effectExtent l="0" t="0" r="15875" b="5080"/>
            <wp:docPr id="29" name="图片 29" descr="气孔+表皮-4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气孔+表皮-40x-2(1)"/>
                    <pic:cNvPicPr>
                      <a:picLocks noChangeAspect="1"/>
                    </pic:cNvPicPr>
                  </pic:nvPicPr>
                  <pic:blipFill>
                    <a:blip r:embed="rId29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454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5665C">
      <w:pPr>
        <w:spacing w:line="360" w:lineRule="auto"/>
        <w:jc w:val="left"/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叶 气孔</w:t>
      </w:r>
    </w:p>
    <w:p w14:paraId="6BA820BD">
      <w:pPr>
        <w:spacing w:line="360" w:lineRule="auto"/>
        <w:jc w:val="center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1770" cy="3667125"/>
            <wp:effectExtent l="0" t="0" r="5080" b="9525"/>
            <wp:docPr id="30" name="图片 30" descr="簇晶-40x-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簇晶-40x-8(1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9865" cy="4378325"/>
            <wp:effectExtent l="0" t="0" r="6985" b="3175"/>
            <wp:docPr id="31" name="图片 31" descr="簇晶-4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簇晶-40x-1(1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AF023">
      <w:pPr>
        <w:spacing w:line="360" w:lineRule="auto"/>
        <w:jc w:val="left"/>
        <w:rPr>
          <w:rFonts w:hint="default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叶 草酸钙簇晶</w:t>
      </w:r>
    </w:p>
    <w:p w14:paraId="201D9513">
      <w:pPr>
        <w:spacing w:line="360" w:lineRule="auto"/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6690" cy="3511550"/>
            <wp:effectExtent l="0" t="0" r="10160" b="12700"/>
            <wp:docPr id="32" name="图片 32" descr="导管-40x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导管-40x-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color w:val="FF000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6690" cy="2895600"/>
            <wp:effectExtent l="0" t="0" r="10160" b="0"/>
            <wp:docPr id="33" name="图片 33" descr="导管-40x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导管-40x-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5D1D1">
      <w:pPr>
        <w:spacing w:line="360" w:lineRule="auto"/>
        <w:jc w:val="left"/>
        <w:rPr>
          <w:rFonts w:hint="default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叶 导管</w:t>
      </w:r>
    </w:p>
    <w:p w14:paraId="7F838048">
      <w:pPr>
        <w:spacing w:line="360" w:lineRule="auto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642235" cy="2339975"/>
            <wp:effectExtent l="0" t="0" r="5715" b="3175"/>
            <wp:docPr id="34" name="图片 34" descr="木栓细胞-20x-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木栓细胞-20x-8(1)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512695" cy="2352040"/>
            <wp:effectExtent l="0" t="0" r="1905" b="10160"/>
            <wp:docPr id="35" name="图片 35" descr="木栓细胞-20x-1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木栓细胞-20x-14(1)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C2C50">
      <w:pPr>
        <w:spacing w:line="360" w:lineRule="auto"/>
        <w:jc w:val="left"/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茎 表皮细胞</w:t>
      </w:r>
    </w:p>
    <w:p w14:paraId="171893A5">
      <w:pPr>
        <w:spacing w:line="360" w:lineRule="auto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513965" cy="2051685"/>
            <wp:effectExtent l="0" t="0" r="635" b="5715"/>
            <wp:docPr id="36" name="图片 36" descr="簇晶-20x-3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簇晶-20x-3-1(1)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660650" cy="2051685"/>
            <wp:effectExtent l="0" t="0" r="6350" b="5715"/>
            <wp:docPr id="37" name="图片 37" descr="簇晶-4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簇晶-40x-1(1)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F04EA">
      <w:pPr>
        <w:spacing w:line="360" w:lineRule="auto"/>
        <w:jc w:val="left"/>
        <w:rPr>
          <w:rFonts w:hint="default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茎 草酸钙簇晶</w:t>
      </w:r>
    </w:p>
    <w:p w14:paraId="1A6D5389">
      <w:pPr>
        <w:spacing w:line="360" w:lineRule="auto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3515" cy="2448560"/>
            <wp:effectExtent l="0" t="0" r="13335" b="8890"/>
            <wp:docPr id="38" name="图片 38" descr="纤维-2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纤维-20x-1(1)"/>
                    <pic:cNvPicPr>
                      <a:picLocks noChangeAspect="1"/>
                    </pic:cNvPicPr>
                  </pic:nvPicPr>
                  <pic:blipFill>
                    <a:blip r:embed="rId38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D9985">
      <w:pPr>
        <w:spacing w:line="360" w:lineRule="auto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58435" cy="4530090"/>
            <wp:effectExtent l="0" t="0" r="18415" b="3810"/>
            <wp:docPr id="39" name="图片 39" descr="纤维+导管-2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纤维+导管-20x-2(1)"/>
                    <pic:cNvPicPr>
                      <a:picLocks noChangeAspect="1"/>
                    </pic:cNvPicPr>
                  </pic:nvPicPr>
                  <pic:blipFill>
                    <a:blip r:embed="rId39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453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36EBB">
      <w:pPr>
        <w:spacing w:line="360" w:lineRule="auto"/>
        <w:jc w:val="left"/>
        <w:rPr>
          <w:rFonts w:hint="default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茎 木纤维</w:t>
      </w:r>
    </w:p>
    <w:p w14:paraId="4A9DC11B">
      <w:pPr>
        <w:spacing w:line="360" w:lineRule="auto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117725" cy="2671445"/>
            <wp:effectExtent l="0" t="0" r="15875" b="14605"/>
            <wp:docPr id="40" name="图片 40" descr="表皮-20x-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表皮-20x-3(1)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17725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3005455" cy="2655570"/>
            <wp:effectExtent l="0" t="0" r="4445" b="11430"/>
            <wp:docPr id="41" name="图片 41" descr="木栓细胞-40X-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木栓细胞-40X-5(1)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2EF63">
      <w:pPr>
        <w:spacing w:line="360" w:lineRule="auto"/>
        <w:jc w:val="left"/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根 表皮细胞</w:t>
      </w:r>
    </w:p>
    <w:p w14:paraId="52A5A98B">
      <w:pPr>
        <w:spacing w:line="360" w:lineRule="auto"/>
        <w:jc w:val="both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3515" cy="5132705"/>
            <wp:effectExtent l="0" t="0" r="13335" b="10795"/>
            <wp:docPr id="42" name="图片 42" descr="纤维-2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纤维-20x-2(1)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90428">
      <w:pPr>
        <w:spacing w:line="360" w:lineRule="auto"/>
        <w:jc w:val="left"/>
        <w:rPr>
          <w:rFonts w:hint="default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根 木纤维</w:t>
      </w:r>
    </w:p>
    <w:p w14:paraId="12029CDD">
      <w:pPr>
        <w:spacing w:line="360" w:lineRule="auto"/>
        <w:jc w:val="both"/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66055" cy="5308600"/>
            <wp:effectExtent l="0" t="0" r="10795" b="6350"/>
            <wp:docPr id="43" name="图片 43" descr="导管-2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导管-20x-2(1)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23124">
      <w:pPr>
        <w:spacing w:line="360" w:lineRule="auto"/>
        <w:jc w:val="left"/>
        <w:rPr>
          <w:rFonts w:hint="default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根 具缘纹孔导管</w:t>
      </w:r>
    </w:p>
    <w:p w14:paraId="10483864">
      <w:pPr>
        <w:spacing w:line="360" w:lineRule="auto"/>
        <w:jc w:val="center"/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图3 珠子草药材粉末显微结构</w:t>
      </w:r>
    </w:p>
    <w:p w14:paraId="5C965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（2）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薄层色谱鉴别</w:t>
      </w:r>
    </w:p>
    <w:p w14:paraId="37228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取本品粉末1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.0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g，加甲醇10ml，超声处理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0分钟，滤过，滤液作为供试品溶液。另取珠子草对照药材1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.0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g，同法制成对照药材溶液。照薄层色谱法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通则0502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试验，吸取上述两种溶液各5</w:t>
      </w:r>
      <w:r>
        <w:rPr>
          <w:rFonts w:ascii="Times New Roman" w:hAnsi="Times New Roman" w:cs="Times New Roman"/>
          <w:color w:val="auto"/>
          <w:sz w:val="24"/>
          <w:szCs w:val="24"/>
        </w:rPr>
        <w:t>μ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l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，分别点于同一硅胶G薄层板上，以环己烷-三氯甲烷-乙酸乙酯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: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: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为展开剂，展开，取出，晾干，喷以10%硫酸乙醇溶液，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加热至斑点显色清晰，置紫外光灯（365nm）下检视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。供试品色谱中，在与对照药材色谱相应的位置上，显相同颜色的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荧光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斑点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</w:rPr>
        <w:t>。</w:t>
      </w:r>
    </w:p>
    <w:p w14:paraId="3967C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4748530" cy="2359660"/>
            <wp:effectExtent l="0" t="0" r="13970" b="2540"/>
            <wp:docPr id="17" name="图片 1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4853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80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422" w:firstLineChars="200"/>
        <w:jc w:val="center"/>
        <w:textAlignment w:val="auto"/>
        <w:rPr>
          <w:rFonts w:hint="default"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4"/>
          <w:highlight w:val="none"/>
          <w:lang w:val="en-US" w:eastAsia="zh-CN"/>
        </w:rPr>
        <w:t>图4 珠子草药材样品薄层色谱图</w:t>
      </w:r>
    </w:p>
    <w:p w14:paraId="663BC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firstLine="422" w:firstLineChars="200"/>
        <w:jc w:val="center"/>
        <w:textAlignment w:val="auto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（1、7为对照药材，其他为10批供试品）</w:t>
      </w:r>
    </w:p>
    <w:p w14:paraId="174F0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八、检查</w:t>
      </w:r>
    </w:p>
    <w:p w14:paraId="4BE20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）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水分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照水分测定法（《中国药典》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通则0832）项下的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烘干</w:t>
      </w:r>
      <w:r>
        <w:rPr>
          <w:rFonts w:ascii="Times New Roman" w:hAnsi="Times New Roman" w:cs="Times New Roman"/>
          <w:color w:val="auto"/>
          <w:sz w:val="24"/>
          <w:szCs w:val="24"/>
        </w:rPr>
        <w:t>法，测定10批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珠子草</w:t>
      </w:r>
      <w:r>
        <w:rPr>
          <w:rFonts w:ascii="Times New Roman" w:hAnsi="Times New Roman" w:cs="Times New Roman"/>
          <w:color w:val="auto"/>
          <w:sz w:val="24"/>
          <w:szCs w:val="24"/>
        </w:rPr>
        <w:t>药材水分为6.46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hint="eastAsia" w:ascii="Times New Roman" w:hAnsi="宋体" w:cs="Times New Roman"/>
          <w:color w:val="auto"/>
          <w:sz w:val="24"/>
          <w:szCs w:val="24"/>
        </w:rPr>
        <w:t>~</w:t>
      </w:r>
      <w:r>
        <w:rPr>
          <w:rFonts w:ascii="Times New Roman" w:hAnsi="Times New Roman" w:cs="Times New Roman"/>
          <w:color w:val="auto"/>
          <w:sz w:val="24"/>
          <w:szCs w:val="24"/>
        </w:rPr>
        <w:t>10.23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ascii="Times New Roman" w:hAnsi="Times New Roman" w:cs="Times New Roman"/>
          <w:color w:val="auto"/>
          <w:sz w:val="24"/>
          <w:szCs w:val="24"/>
        </w:rPr>
        <w:t>，</w:t>
      </w:r>
      <w:r>
        <w:rPr>
          <w:rFonts w:ascii="Times New Roman" w:cs="Times New Roman"/>
          <w:color w:val="auto"/>
          <w:sz w:val="24"/>
        </w:rPr>
        <w:t>根据</w:t>
      </w:r>
      <w:r>
        <w:rPr>
          <w:rFonts w:ascii="Times New Roman" w:hAnsi="Times New Roman" w:cs="Times New Roman"/>
          <w:color w:val="auto"/>
          <w:sz w:val="24"/>
        </w:rPr>
        <w:t>10</w:t>
      </w:r>
      <w:r>
        <w:rPr>
          <w:rFonts w:ascii="Times New Roman" w:cs="Times New Roman"/>
          <w:color w:val="auto"/>
          <w:sz w:val="24"/>
        </w:rPr>
        <w:t>批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cs="Times New Roman"/>
          <w:color w:val="auto"/>
          <w:sz w:val="24"/>
        </w:rPr>
        <w:t>水分平均值</w:t>
      </w:r>
      <w:r>
        <w:rPr>
          <w:rFonts w:hint="eastAsia" w:ascii="Times New Roman" w:cs="Times New Roman"/>
          <w:color w:val="auto"/>
          <w:sz w:val="24"/>
          <w:lang w:val="en-US" w:eastAsia="zh-CN"/>
        </w:rPr>
        <w:t>下浮</w:t>
      </w:r>
      <w:r>
        <w:rPr>
          <w:rFonts w:ascii="Times New Roman" w:hAnsi="Times New Roman" w:cs="Times New Roman"/>
          <w:color w:val="auto"/>
          <w:sz w:val="24"/>
        </w:rPr>
        <w:t>20%</w:t>
      </w:r>
      <w:r>
        <w:rPr>
          <w:rFonts w:ascii="Times New Roman" w:cs="Times New Roman"/>
          <w:color w:val="auto"/>
          <w:sz w:val="24"/>
        </w:rPr>
        <w:t>，得到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cs="Times New Roman"/>
          <w:color w:val="auto"/>
          <w:sz w:val="24"/>
        </w:rPr>
        <w:t>水分限定标准：</w:t>
      </w:r>
      <w:r>
        <w:rPr>
          <w:rFonts w:ascii="Times New Roman" w:hAnsi="Times New Roman" w:cs="Times New Roman"/>
          <w:color w:val="auto"/>
          <w:sz w:val="24"/>
        </w:rPr>
        <w:t>8.2</w:t>
      </w:r>
      <w:r>
        <w:rPr>
          <w:rFonts w:hint="eastAsia" w:ascii="Times New Roman" w:hAnsi="Times New Roman" w:cs="Times New Roman"/>
          <w:color w:val="auto"/>
          <w:sz w:val="24"/>
        </w:rPr>
        <w:t>4</w:t>
      </w:r>
      <w:r>
        <w:rPr>
          <w:rFonts w:ascii="Times New Roman" w:hAnsi="Times New Roman" w:cs="Times New Roman"/>
          <w:color w:val="auto"/>
          <w:sz w:val="24"/>
        </w:rPr>
        <w:t>%×1.2=9.8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9</w:t>
      </w:r>
      <w:r>
        <w:rPr>
          <w:rFonts w:ascii="Times New Roman" w:hAnsi="Times New Roman" w:cs="Times New Roman"/>
          <w:color w:val="auto"/>
          <w:sz w:val="24"/>
        </w:rPr>
        <w:t>%</w:t>
      </w:r>
      <w:r>
        <w:rPr>
          <w:rFonts w:ascii="Times New Roman" w:cs="Times New Roman"/>
          <w:color w:val="auto"/>
          <w:sz w:val="24"/>
        </w:rPr>
        <w:t>，</w:t>
      </w:r>
      <w:r>
        <w:rPr>
          <w:rFonts w:ascii="Times New Roman" w:hAnsi="Times New Roman" w:cs="Times New Roman"/>
          <w:color w:val="auto"/>
          <w:sz w:val="24"/>
          <w:szCs w:val="24"/>
        </w:rPr>
        <w:t>拟规定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hAnsi="Times New Roman" w:cs="Times New Roman"/>
          <w:color w:val="auto"/>
          <w:sz w:val="24"/>
          <w:szCs w:val="24"/>
        </w:rPr>
        <w:t>药材水分不得过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.0%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398BE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eastAsia="zh-CN"/>
        </w:rPr>
        <w:t>）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总灰分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照灰分测定法（《中国药典》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通则2302）项下的总灰分测定法，测定10个批次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珠子草</w:t>
      </w:r>
      <w:r>
        <w:rPr>
          <w:rFonts w:ascii="Times New Roman" w:hAnsi="Times New Roman" w:cs="Times New Roman"/>
          <w:color w:val="auto"/>
          <w:sz w:val="24"/>
          <w:szCs w:val="24"/>
        </w:rPr>
        <w:t>药材总灰分为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.48</w:t>
      </w:r>
      <w:r>
        <w:rPr>
          <w:rFonts w:ascii="Times New Roman" w:hAnsi="Times New Roman" w:cs="Times New Roman"/>
          <w:color w:val="auto"/>
          <w:sz w:val="24"/>
          <w:szCs w:val="24"/>
        </w:rPr>
        <w:t>%</w:t>
      </w:r>
      <w:r>
        <w:rPr>
          <w:rFonts w:hint="eastAsia" w:ascii="Times New Roman" w:hAnsi="宋体" w:cs="Times New Roman"/>
          <w:color w:val="auto"/>
          <w:sz w:val="24"/>
          <w:szCs w:val="24"/>
        </w:rPr>
        <w:t>~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8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.61</w:t>
      </w:r>
      <w:r>
        <w:rPr>
          <w:rFonts w:ascii="Times New Roman" w:hAnsi="Times New Roman" w:cs="Times New Roman"/>
          <w:color w:val="auto"/>
          <w:sz w:val="24"/>
          <w:szCs w:val="24"/>
        </w:rPr>
        <w:t>%，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得到珠子草灰分限定标准：</w:t>
      </w:r>
      <w:r>
        <w:rPr>
          <w:rFonts w:ascii="Times New Roman" w:hAnsi="Times New Roman" w:cs="Times New Roman"/>
          <w:color w:val="auto"/>
          <w:sz w:val="24"/>
          <w:szCs w:val="24"/>
        </w:rPr>
        <w:t>6.87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ascii="Times New Roman" w:hAnsi="Times New Roman" w:cs="Times New Roman"/>
          <w:color w:val="auto"/>
          <w:sz w:val="24"/>
        </w:rPr>
        <w:t>×1.2=8.2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6</w:t>
      </w:r>
      <w:r>
        <w:rPr>
          <w:rFonts w:hint="eastAsia" w:ascii="Times New Roman" w:hAnsi="Times New Roman" w:cs="Times New Roman"/>
          <w:color w:val="auto"/>
          <w:sz w:val="24"/>
        </w:rPr>
        <w:t>%，</w:t>
      </w:r>
      <w:r>
        <w:rPr>
          <w:rFonts w:ascii="Times New Roman" w:hAnsi="Times New Roman" w:cs="Times New Roman"/>
          <w:color w:val="auto"/>
          <w:sz w:val="24"/>
          <w:szCs w:val="24"/>
        </w:rPr>
        <w:t>拟规定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珠子草</w:t>
      </w:r>
      <w:r>
        <w:rPr>
          <w:rFonts w:ascii="Times New Roman" w:hAnsi="Times New Roman" w:cs="Times New Roman"/>
          <w:color w:val="auto"/>
          <w:sz w:val="24"/>
          <w:szCs w:val="24"/>
        </w:rPr>
        <w:t>药材总灰分不得过9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.0%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6B51C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default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（3）酸不溶性灰分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照灰分测定法（《中国药典》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2020年版</w:t>
      </w:r>
      <w:r>
        <w:rPr>
          <w:rFonts w:ascii="Times New Roman" w:hAnsi="Times New Roman" w:cs="Times New Roman"/>
          <w:color w:val="auto"/>
          <w:sz w:val="24"/>
          <w:szCs w:val="24"/>
        </w:rPr>
        <w:t>四部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通则2302）项下的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酸不溶性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灰分测定法</w:t>
      </w:r>
      <w:r>
        <w:rPr>
          <w:rFonts w:ascii="Times New Roman" w:hAnsi="Times New Roman" w:cs="Times New Roman"/>
          <w:color w:val="auto"/>
          <w:sz w:val="24"/>
          <w:szCs w:val="24"/>
        </w:rPr>
        <w:t>，测定10个批次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珠子草</w:t>
      </w:r>
      <w:r>
        <w:rPr>
          <w:rFonts w:ascii="Times New Roman" w:hAnsi="Times New Roman" w:cs="Times New Roman"/>
          <w:color w:val="auto"/>
          <w:sz w:val="24"/>
          <w:szCs w:val="24"/>
        </w:rPr>
        <w:t>药材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酸不溶性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灰分</w:t>
      </w:r>
      <w:r>
        <w:rPr>
          <w:rFonts w:ascii="Times New Roman" w:hAnsi="Times New Roman" w:cs="Times New Roman"/>
          <w:color w:val="auto"/>
          <w:sz w:val="24"/>
          <w:szCs w:val="24"/>
        </w:rPr>
        <w:t>为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0.32</w:t>
      </w:r>
      <w:r>
        <w:rPr>
          <w:rFonts w:ascii="Times New Roman" w:hAnsi="Times New Roman" w:cs="Times New Roman"/>
          <w:color w:val="auto"/>
          <w:sz w:val="24"/>
          <w:szCs w:val="24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～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2.20</w:t>
      </w:r>
      <w:r>
        <w:rPr>
          <w:rFonts w:ascii="Times New Roman" w:hAnsi="Times New Roman" w:cs="Times New Roman"/>
          <w:color w:val="auto"/>
          <w:sz w:val="24"/>
          <w:szCs w:val="24"/>
        </w:rPr>
        <w:t>%，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得到珠子草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酸不溶性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灰分限定标准：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1.07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%</w:t>
      </w:r>
      <w:r>
        <w:rPr>
          <w:rFonts w:ascii="Times New Roman" w:hAnsi="Times New Roman" w:cs="Times New Roman"/>
          <w:color w:val="auto"/>
          <w:sz w:val="24"/>
        </w:rPr>
        <w:t>×1.2=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1.28</w:t>
      </w:r>
      <w:r>
        <w:rPr>
          <w:rFonts w:hint="eastAsia" w:ascii="Times New Roman" w:hAnsi="Times New Roman" w:cs="Times New Roman"/>
          <w:color w:val="auto"/>
          <w:sz w:val="24"/>
        </w:rPr>
        <w:t>%，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拟规定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珠子草</w:t>
      </w:r>
      <w:r>
        <w:rPr>
          <w:rFonts w:ascii="Times New Roman" w:hAnsi="Times New Roman" w:cs="Times New Roman"/>
          <w:color w:val="auto"/>
          <w:sz w:val="24"/>
          <w:szCs w:val="24"/>
        </w:rPr>
        <w:t>药材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酸不溶性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灰分</w:t>
      </w:r>
      <w:r>
        <w:rPr>
          <w:rFonts w:ascii="Times New Roman" w:hAnsi="Times New Roman" w:cs="Times New Roman"/>
          <w:color w:val="auto"/>
          <w:sz w:val="24"/>
          <w:szCs w:val="24"/>
        </w:rPr>
        <w:t>不得过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.0%</w:t>
      </w:r>
      <w:r>
        <w:rPr>
          <w:rFonts w:ascii="Times New Roman" w:hAnsi="Times New Roman" w:cs="Times New Roman"/>
          <w:color w:val="auto"/>
          <w:sz w:val="24"/>
          <w:szCs w:val="24"/>
        </w:rPr>
        <w:t>。</w:t>
      </w:r>
    </w:p>
    <w:p w14:paraId="47A57455">
      <w:pPr>
        <w:spacing w:line="360" w:lineRule="auto"/>
        <w:ind w:firstLine="422" w:firstLineChars="200"/>
        <w:jc w:val="center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表2  10批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>珠子草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药材水分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eastAsia="zh-CN"/>
        </w:rPr>
        <w:t>、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总灰分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及酸不溶性灰分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测定结果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>（n=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>）</w:t>
      </w:r>
    </w:p>
    <w:tbl>
      <w:tblPr>
        <w:tblStyle w:val="7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8"/>
        <w:gridCol w:w="1391"/>
        <w:gridCol w:w="1834"/>
        <w:gridCol w:w="2248"/>
      </w:tblGrid>
      <w:tr w14:paraId="33A0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left w:val="nil"/>
              <w:bottom w:val="single" w:color="auto" w:sz="4" w:space="0"/>
              <w:right w:val="nil"/>
            </w:tcBorders>
          </w:tcPr>
          <w:p w14:paraId="316CC2BD">
            <w:pPr>
              <w:spacing w:line="360" w:lineRule="auto"/>
              <w:ind w:firstLine="422" w:firstLineChars="20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样品批号</w:t>
            </w:r>
          </w:p>
        </w:tc>
        <w:tc>
          <w:tcPr>
            <w:tcW w:w="1391" w:type="dxa"/>
            <w:tcBorders>
              <w:left w:val="nil"/>
              <w:bottom w:val="single" w:color="auto" w:sz="4" w:space="0"/>
              <w:right w:val="nil"/>
            </w:tcBorders>
          </w:tcPr>
          <w:p w14:paraId="347788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水分（%）</w:t>
            </w:r>
          </w:p>
        </w:tc>
        <w:tc>
          <w:tcPr>
            <w:tcW w:w="1834" w:type="dxa"/>
            <w:tcBorders>
              <w:left w:val="nil"/>
              <w:bottom w:val="single" w:color="auto" w:sz="4" w:space="0"/>
              <w:right w:val="nil"/>
            </w:tcBorders>
          </w:tcPr>
          <w:p w14:paraId="68C341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总灰分（%）</w:t>
            </w:r>
          </w:p>
        </w:tc>
        <w:tc>
          <w:tcPr>
            <w:tcW w:w="2248" w:type="dxa"/>
            <w:tcBorders>
              <w:left w:val="nil"/>
              <w:bottom w:val="single" w:color="auto" w:sz="4" w:space="0"/>
              <w:right w:val="nil"/>
            </w:tcBorders>
          </w:tcPr>
          <w:p w14:paraId="68529E6A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</w:rPr>
              <w:t>酸不溶性灰分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  <w:tr w14:paraId="22E54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14:paraId="7172CB65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ZZC20210616001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（对照药材）</w:t>
            </w:r>
          </w:p>
        </w:tc>
        <w:tc>
          <w:tcPr>
            <w:tcW w:w="1391" w:type="dxa"/>
            <w:tcBorders>
              <w:left w:val="nil"/>
              <w:bottom w:val="nil"/>
              <w:right w:val="nil"/>
            </w:tcBorders>
          </w:tcPr>
          <w:p w14:paraId="5BF1E856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8.18±0.10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</w:tcPr>
          <w:p w14:paraId="6A6B14D0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7.90±0.13</w:t>
            </w:r>
          </w:p>
        </w:tc>
        <w:tc>
          <w:tcPr>
            <w:tcW w:w="2248" w:type="dxa"/>
            <w:tcBorders>
              <w:left w:val="nil"/>
              <w:bottom w:val="nil"/>
              <w:right w:val="nil"/>
            </w:tcBorders>
          </w:tcPr>
          <w:p w14:paraId="5B7DE9B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0.32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</w:tr>
      <w:tr w14:paraId="1AD47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1009E868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67258797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7.11±0.10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25CF9355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8.61±0.11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5C8FE83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2.20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0.02</w:t>
            </w:r>
          </w:p>
        </w:tc>
      </w:tr>
      <w:tr w14:paraId="59166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5B5637BB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ZZC20210703003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15A4ECF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8.63±0.15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7324302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5.53±0.07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AF9B741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0.50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</w:tr>
      <w:tr w14:paraId="6189E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47F252BD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365D0303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8.18±0.02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29496893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5.50±0.10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5679F89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1.26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0.02</w:t>
            </w:r>
          </w:p>
        </w:tc>
      </w:tr>
      <w:tr w14:paraId="3EA1B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58DA5DF6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4C538BD2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8.25±0.05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3C27DD44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5.48±0.02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4255DED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0.59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</w:tr>
      <w:tr w14:paraId="2F8DC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6BAB1F12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ZZC20210703006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1ED3DA18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8.13±0.15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40629B91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5.68±0.05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35577F1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0.72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0.03</w:t>
            </w:r>
          </w:p>
        </w:tc>
      </w:tr>
      <w:tr w14:paraId="7C769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1774B146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ZZC20210806007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72C1920F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7.05±0.13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070D3C2B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7.63±0.10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F1051FC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0.95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0.02</w:t>
            </w:r>
          </w:p>
        </w:tc>
      </w:tr>
      <w:tr w14:paraId="35C3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5BBD178B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ZZC20210806008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003D2942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6.46±0.10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456482D2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7.85±0.13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628015B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2.09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</w:tr>
      <w:tr w14:paraId="25ED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3D891F0C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ZZC20211007009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14:paraId="5078D245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10.23±0.02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462782C6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7.30±0.13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14:paraId="2AC5642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1.47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0.04</w:t>
            </w:r>
          </w:p>
        </w:tc>
      </w:tr>
      <w:tr w14:paraId="3352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68AC38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ZZC20211007010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47CC793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10.20±0.18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2011398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7.28±0.12</w:t>
            </w:r>
          </w:p>
        </w:tc>
        <w:tc>
          <w:tcPr>
            <w:tcW w:w="224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EBD8E5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0.56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0.01</w:t>
            </w:r>
          </w:p>
        </w:tc>
      </w:tr>
      <w:tr w14:paraId="70BD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8" w:type="dxa"/>
            <w:tcBorders>
              <w:top w:val="single" w:color="auto" w:sz="4" w:space="0"/>
              <w:left w:val="nil"/>
              <w:right w:val="nil"/>
            </w:tcBorders>
          </w:tcPr>
          <w:p w14:paraId="562DF986">
            <w:pPr>
              <w:spacing w:line="360" w:lineRule="auto"/>
              <w:ind w:firstLine="525" w:firstLineChars="25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X±sd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right w:val="nil"/>
            </w:tcBorders>
          </w:tcPr>
          <w:p w14:paraId="3CCA761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8.2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0.10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right w:val="nil"/>
            </w:tcBorders>
          </w:tcPr>
          <w:p w14:paraId="3E2196E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6.8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0.10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right w:val="nil"/>
            </w:tcBorders>
          </w:tcPr>
          <w:p w14:paraId="1F1BFE4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1.07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0.02</w:t>
            </w:r>
          </w:p>
        </w:tc>
      </w:tr>
    </w:tbl>
    <w:p w14:paraId="00E22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九、浸出物</w:t>
      </w:r>
    </w:p>
    <w:p w14:paraId="4394A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ascii="Times New Roman" w:cs="Times New Roman"/>
          <w:color w:val="auto"/>
          <w:sz w:val="24"/>
        </w:rPr>
      </w:pPr>
      <w:r>
        <w:rPr>
          <w:rFonts w:ascii="Times New Roman" w:cs="Times New Roman"/>
          <w:bCs/>
          <w:color w:val="auto"/>
          <w:sz w:val="24"/>
        </w:rPr>
        <w:t>照浸出物</w:t>
      </w:r>
      <w:r>
        <w:rPr>
          <w:rFonts w:ascii="Times New Roman" w:cs="Times New Roman"/>
          <w:color w:val="auto"/>
          <w:sz w:val="24"/>
        </w:rPr>
        <w:t>测定法（《中国药典》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年版</w:t>
      </w:r>
      <w:r>
        <w:rPr>
          <w:rFonts w:ascii="Times New Roman" w:cs="Times New Roman"/>
          <w:color w:val="auto"/>
          <w:sz w:val="24"/>
        </w:rPr>
        <w:t>四部</w:t>
      </w:r>
      <w:r>
        <w:rPr>
          <w:rFonts w:hint="eastAsia" w:ascii="Times New Roman" w:cs="Times New Roman"/>
          <w:color w:val="auto"/>
          <w:sz w:val="24"/>
          <w:lang w:val="en-US" w:eastAsia="zh-CN"/>
        </w:rPr>
        <w:t xml:space="preserve"> </w:t>
      </w:r>
      <w:r>
        <w:rPr>
          <w:rFonts w:ascii="Times New Roman" w:cs="Times New Roman"/>
          <w:color w:val="auto"/>
          <w:sz w:val="24"/>
        </w:rPr>
        <w:t>通则</w:t>
      </w:r>
      <w:r>
        <w:rPr>
          <w:rFonts w:ascii="Times New Roman" w:hAnsi="Times New Roman" w:cs="Times New Roman"/>
          <w:color w:val="auto"/>
          <w:sz w:val="24"/>
        </w:rPr>
        <w:t>2201</w:t>
      </w:r>
      <w:r>
        <w:rPr>
          <w:rFonts w:ascii="Times New Roman" w:cs="Times New Roman"/>
          <w:color w:val="auto"/>
          <w:sz w:val="24"/>
        </w:rPr>
        <w:t>）项下的热浸法，用</w:t>
      </w:r>
      <w:r>
        <w:rPr>
          <w:rFonts w:hint="eastAsia" w:ascii="Times New Roman" w:cs="Times New Roman"/>
          <w:color w:val="auto"/>
          <w:sz w:val="24"/>
        </w:rPr>
        <w:t>水</w:t>
      </w:r>
      <w:r>
        <w:rPr>
          <w:rFonts w:ascii="Times New Roman" w:cs="Times New Roman"/>
          <w:color w:val="auto"/>
          <w:sz w:val="24"/>
        </w:rPr>
        <w:t>作溶剂，测定</w:t>
      </w:r>
      <w:r>
        <w:rPr>
          <w:rFonts w:ascii="Times New Roman" w:hAnsi="Times New Roman" w:cs="Times New Roman"/>
          <w:color w:val="auto"/>
          <w:sz w:val="24"/>
        </w:rPr>
        <w:t>10</w:t>
      </w:r>
      <w:r>
        <w:rPr>
          <w:rFonts w:ascii="Times New Roman" w:cs="Times New Roman"/>
          <w:color w:val="auto"/>
          <w:sz w:val="24"/>
        </w:rPr>
        <w:t>批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cs="Times New Roman"/>
          <w:color w:val="auto"/>
          <w:sz w:val="24"/>
        </w:rPr>
        <w:t>药材浸出物为14.46</w:t>
      </w:r>
      <w:r>
        <w:rPr>
          <w:rFonts w:ascii="Times New Roman" w:hAnsi="Times New Roman" w:cs="Times New Roman"/>
          <w:color w:val="auto"/>
          <w:sz w:val="24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～</w:t>
      </w:r>
      <w:r>
        <w:rPr>
          <w:rFonts w:ascii="Times New Roman" w:hAnsi="Times New Roman" w:cs="Times New Roman"/>
          <w:color w:val="auto"/>
          <w:sz w:val="24"/>
        </w:rPr>
        <w:t>20</w:t>
      </w:r>
      <w:r>
        <w:rPr>
          <w:rFonts w:hint="eastAsia" w:ascii="Times New Roman" w:hAnsi="Times New Roman" w:cs="Times New Roman"/>
          <w:color w:val="auto"/>
          <w:sz w:val="24"/>
        </w:rPr>
        <w:t>.30</w:t>
      </w:r>
      <w:r>
        <w:rPr>
          <w:rFonts w:ascii="Times New Roman" w:hAnsi="Times New Roman" w:cs="Times New Roman"/>
          <w:color w:val="auto"/>
          <w:sz w:val="24"/>
        </w:rPr>
        <w:t>%</w:t>
      </w:r>
      <w:r>
        <w:rPr>
          <w:rFonts w:ascii="Times New Roman" w:cs="Times New Roman"/>
          <w:color w:val="auto"/>
          <w:sz w:val="24"/>
        </w:rPr>
        <w:t>，根据</w:t>
      </w:r>
      <w:r>
        <w:rPr>
          <w:rFonts w:ascii="Times New Roman" w:hAnsi="Times New Roman" w:cs="Times New Roman"/>
          <w:color w:val="auto"/>
          <w:sz w:val="24"/>
        </w:rPr>
        <w:t>10</w:t>
      </w:r>
      <w:r>
        <w:rPr>
          <w:rFonts w:ascii="Times New Roman" w:cs="Times New Roman"/>
          <w:color w:val="auto"/>
          <w:sz w:val="24"/>
        </w:rPr>
        <w:t>批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cs="Times New Roman"/>
          <w:color w:val="auto"/>
          <w:sz w:val="24"/>
        </w:rPr>
        <w:t>浸出物平均值</w:t>
      </w:r>
      <w:r>
        <w:rPr>
          <w:rFonts w:hint="eastAsia" w:ascii="Times New Roman" w:cs="Times New Roman"/>
          <w:color w:val="auto"/>
          <w:sz w:val="24"/>
          <w:lang w:val="en-US" w:eastAsia="zh-CN"/>
        </w:rPr>
        <w:t>下浮2</w:t>
      </w:r>
      <w:r>
        <w:rPr>
          <w:rFonts w:ascii="Times New Roman" w:hAnsi="Times New Roman" w:cs="Times New Roman"/>
          <w:color w:val="auto"/>
          <w:sz w:val="24"/>
        </w:rPr>
        <w:t>0%</w:t>
      </w:r>
      <w:r>
        <w:rPr>
          <w:rFonts w:ascii="Times New Roman" w:cs="Times New Roman"/>
          <w:color w:val="auto"/>
          <w:sz w:val="24"/>
        </w:rPr>
        <w:t>，得到其含量限定标准：</w:t>
      </w:r>
      <w:r>
        <w:rPr>
          <w:rFonts w:ascii="Times New Roman" w:hAnsi="Times New Roman" w:cs="Times New Roman"/>
          <w:color w:val="auto"/>
          <w:sz w:val="24"/>
          <w:szCs w:val="24"/>
        </w:rPr>
        <w:t>16.74</w:t>
      </w:r>
      <w:r>
        <w:rPr>
          <w:rFonts w:ascii="Times New Roman" w:hAnsi="Times New Roman" w:cs="Times New Roman"/>
          <w:color w:val="auto"/>
          <w:sz w:val="24"/>
        </w:rPr>
        <w:t>%×0.8=13.39%</w:t>
      </w:r>
      <w:r>
        <w:rPr>
          <w:rFonts w:ascii="Times New Roman" w:cs="Times New Roman"/>
          <w:color w:val="auto"/>
          <w:sz w:val="24"/>
        </w:rPr>
        <w:t>，拟规定</w:t>
      </w:r>
      <w:r>
        <w:rPr>
          <w:rFonts w:hint="eastAsia" w:ascii="Times New Roman" w:cs="Times New Roman"/>
          <w:color w:val="auto"/>
          <w:sz w:val="24"/>
        </w:rPr>
        <w:t>珠子草</w:t>
      </w:r>
      <w:r>
        <w:rPr>
          <w:rFonts w:ascii="Times New Roman" w:cs="Times New Roman"/>
          <w:color w:val="auto"/>
          <w:sz w:val="24"/>
        </w:rPr>
        <w:t>药材</w:t>
      </w:r>
      <w:r>
        <w:rPr>
          <w:rFonts w:hint="eastAsia" w:ascii="Times New Roman" w:cs="Times New Roman"/>
          <w:color w:val="auto"/>
          <w:sz w:val="24"/>
        </w:rPr>
        <w:t>水</w:t>
      </w:r>
      <w:r>
        <w:rPr>
          <w:rFonts w:ascii="Times New Roman" w:cs="Times New Roman"/>
          <w:color w:val="auto"/>
          <w:sz w:val="24"/>
        </w:rPr>
        <w:t>溶性浸出物不得少于</w:t>
      </w:r>
      <w:r>
        <w:rPr>
          <w:rFonts w:ascii="Times New Roman" w:hAnsi="Times New Roman" w:cs="Times New Roman"/>
          <w:color w:val="auto"/>
          <w:sz w:val="24"/>
        </w:rPr>
        <w:t>13.0</w:t>
      </w:r>
      <w:r>
        <w:rPr>
          <w:rFonts w:hint="eastAsia" w:ascii="Times New Roman" w:cs="Times New Roman"/>
          <w:color w:val="auto"/>
          <w:sz w:val="24"/>
          <w:lang w:val="en-US" w:eastAsia="zh-CN"/>
        </w:rPr>
        <w:t>%</w:t>
      </w:r>
      <w:r>
        <w:rPr>
          <w:rFonts w:ascii="Times New Roman" w:cs="Times New Roman"/>
          <w:color w:val="auto"/>
          <w:sz w:val="24"/>
        </w:rPr>
        <w:t>。</w:t>
      </w:r>
    </w:p>
    <w:p w14:paraId="186DC77D">
      <w:pPr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表3  10批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>珠子草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药材浸出物测定结果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>（n=</w:t>
      </w:r>
      <w:r>
        <w:rPr>
          <w:rFonts w:ascii="Times New Roman" w:hAnsi="Times New Roman" w:cs="Times New Roman"/>
          <w:b/>
          <w:bCs/>
          <w:color w:val="auto"/>
          <w:sz w:val="21"/>
          <w:szCs w:val="21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</w:rPr>
        <w:t>）</w:t>
      </w:r>
    </w:p>
    <w:tbl>
      <w:tblPr>
        <w:tblStyle w:val="7"/>
        <w:tblW w:w="64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3"/>
        <w:gridCol w:w="3103"/>
      </w:tblGrid>
      <w:tr w14:paraId="78A5F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left w:val="nil"/>
              <w:right w:val="nil"/>
            </w:tcBorders>
          </w:tcPr>
          <w:p w14:paraId="468AB4CA">
            <w:pPr>
              <w:spacing w:line="360" w:lineRule="auto"/>
              <w:ind w:firstLine="210" w:firstLineChars="10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样品批号</w:t>
            </w:r>
          </w:p>
        </w:tc>
        <w:tc>
          <w:tcPr>
            <w:tcW w:w="3103" w:type="dxa"/>
            <w:tcBorders>
              <w:left w:val="nil"/>
              <w:right w:val="nil"/>
            </w:tcBorders>
          </w:tcPr>
          <w:p w14:paraId="524693E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水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溶性浸出物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(%)</w:t>
            </w:r>
          </w:p>
        </w:tc>
      </w:tr>
      <w:tr w14:paraId="4C6CF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left w:val="nil"/>
              <w:bottom w:val="nil"/>
              <w:right w:val="nil"/>
            </w:tcBorders>
          </w:tcPr>
          <w:p w14:paraId="11EFE740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ZZC20210616001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（对照药材）</w:t>
            </w:r>
          </w:p>
        </w:tc>
        <w:tc>
          <w:tcPr>
            <w:tcW w:w="3103" w:type="dxa"/>
            <w:tcBorders>
              <w:left w:val="nil"/>
              <w:bottom w:val="nil"/>
              <w:right w:val="nil"/>
            </w:tcBorders>
          </w:tcPr>
          <w:p w14:paraId="3B8730E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20.30±0.36</w:t>
            </w:r>
          </w:p>
        </w:tc>
      </w:tr>
      <w:tr w14:paraId="7C5F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0BD394EA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ZZC20210703002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4F048B41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19.06±0.15</w:t>
            </w:r>
          </w:p>
        </w:tc>
      </w:tr>
      <w:tr w14:paraId="58B68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69D8902F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ZZC20210703003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34205DAD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14.50±0.10</w:t>
            </w:r>
          </w:p>
        </w:tc>
      </w:tr>
      <w:tr w14:paraId="3BF3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6C65DF1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ZZC20210703004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1B2D827A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14.46±0.23</w:t>
            </w:r>
          </w:p>
        </w:tc>
      </w:tr>
      <w:tr w14:paraId="01383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0062F6BF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ZZC20210703005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6FA0A71F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14.63±0.05</w:t>
            </w:r>
          </w:p>
        </w:tc>
      </w:tr>
      <w:tr w14:paraId="02EF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63B3DBF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ZZC20210703006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060B84BB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15.26±0.11</w:t>
            </w:r>
          </w:p>
        </w:tc>
      </w:tr>
      <w:tr w14:paraId="138B4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413DF6E9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ZZC20210806007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013619E0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18.10±0.20</w:t>
            </w:r>
          </w:p>
        </w:tc>
      </w:tr>
      <w:tr w14:paraId="0EE30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6120131A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ZZC20210806008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2689C8A4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18.66±0.11</w:t>
            </w:r>
          </w:p>
        </w:tc>
      </w:tr>
      <w:tr w14:paraId="5BA8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14:paraId="363E3820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ZZC20211007009</w:t>
            </w: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14:paraId="0BFBF30D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16.30±0.17</w:t>
            </w:r>
          </w:p>
        </w:tc>
      </w:tr>
      <w:tr w14:paraId="45142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75CEB81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ZZC20211007010</w:t>
            </w:r>
          </w:p>
        </w:tc>
        <w:tc>
          <w:tcPr>
            <w:tcW w:w="310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2C39AB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16.16±0.05</w:t>
            </w:r>
          </w:p>
        </w:tc>
      </w:tr>
      <w:tr w14:paraId="21D0C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3" w:type="dxa"/>
            <w:tcBorders>
              <w:top w:val="single" w:color="auto" w:sz="4" w:space="0"/>
              <w:left w:val="nil"/>
              <w:right w:val="nil"/>
            </w:tcBorders>
          </w:tcPr>
          <w:p w14:paraId="3224AC2E">
            <w:pPr>
              <w:spacing w:line="360" w:lineRule="auto"/>
              <w:ind w:firstLine="525" w:firstLineChars="25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X±sd</w:t>
            </w:r>
          </w:p>
        </w:tc>
        <w:tc>
          <w:tcPr>
            <w:tcW w:w="3103" w:type="dxa"/>
            <w:tcBorders>
              <w:top w:val="single" w:color="auto" w:sz="4" w:space="0"/>
              <w:left w:val="nil"/>
              <w:right w:val="nil"/>
            </w:tcBorders>
          </w:tcPr>
          <w:p w14:paraId="43EE236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16.74±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.14</w:t>
            </w:r>
          </w:p>
        </w:tc>
      </w:tr>
    </w:tbl>
    <w:p w14:paraId="528C0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十、采收与加工</w:t>
      </w:r>
    </w:p>
    <w:p w14:paraId="634B7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《中华本草》：夏、秋季采收，洗净,晒干。</w:t>
      </w:r>
    </w:p>
    <w:p w14:paraId="1F542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《实用瑶药学》：夏、秋季采集，鲜用或晒干备用。</w:t>
      </w:r>
    </w:p>
    <w:p w14:paraId="6F72C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《云南省中药材标准》：夏、秋季采收，除去杂质，洗净，晒干。</w:t>
      </w:r>
    </w:p>
    <w:p w14:paraId="362F3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拟规定珠子草药材采收与加工为：夏、秋季采收，洗净，晒干。</w:t>
      </w:r>
    </w:p>
    <w:p w14:paraId="62CB9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十一、药理作用</w:t>
      </w:r>
    </w:p>
    <w:p w14:paraId="3F5CE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/>
          <w:bCs/>
          <w:color w:val="auto"/>
          <w:sz w:val="24"/>
          <w:szCs w:val="32"/>
          <w:highlight w:val="none"/>
          <w:lang w:val="en-US" w:eastAsia="zh-CN"/>
        </w:rPr>
        <w:t>（1）抗病毒作用</w:t>
      </w: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 xml:space="preserve"> 对四氯化碳和半乳糖胺引起的乙肝病毒有抵抗作用。</w:t>
      </w:r>
    </w:p>
    <w:p w14:paraId="14DE6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/>
          <w:bCs/>
          <w:color w:val="auto"/>
          <w:sz w:val="24"/>
          <w:szCs w:val="32"/>
          <w:highlight w:val="none"/>
          <w:lang w:val="en-US" w:eastAsia="zh-CN"/>
        </w:rPr>
        <w:t>（2）镇痛作用</w:t>
      </w: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 xml:space="preserve"> 珠子草的甲醇提取物具有止痛作用。</w:t>
      </w:r>
    </w:p>
    <w:p w14:paraId="2E282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/>
          <w:bCs/>
          <w:color w:val="auto"/>
          <w:sz w:val="24"/>
          <w:szCs w:val="32"/>
          <w:highlight w:val="none"/>
          <w:lang w:val="en-US" w:eastAsia="zh-CN"/>
        </w:rPr>
        <w:t>（3）降血脂作用</w:t>
      </w: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 xml:space="preserve"> 提取物通过抑制肝胆固醇合成、增加LDL的分解代谢、激活LCAT和LPL产生降血脂作用。</w:t>
      </w:r>
    </w:p>
    <w:p w14:paraId="18AAB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/>
          <w:bCs/>
          <w:color w:val="auto"/>
          <w:sz w:val="24"/>
          <w:szCs w:val="32"/>
          <w:highlight w:val="none"/>
          <w:lang w:val="en-US" w:eastAsia="zh-CN"/>
        </w:rPr>
        <w:t>（4）保肝作用</w:t>
      </w: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 xml:space="preserve"> 叶下珠次素和叶下珠脂素在保护肝细胞不受损害有重要作用。</w:t>
      </w:r>
    </w:p>
    <w:p w14:paraId="16F15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十二、性味与归经</w:t>
      </w:r>
    </w:p>
    <w:p w14:paraId="31B32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《中华本草》：味淡，性微寒。归肝、肾、大肠经。</w:t>
      </w:r>
    </w:p>
    <w:p w14:paraId="47209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</w:t>
      </w:r>
      <w:r>
        <w:rPr>
          <w:rFonts w:hint="default" w:asciiTheme="minorAscii" w:hAnsiTheme="minorAscii"/>
          <w:color w:val="auto"/>
          <w:sz w:val="24"/>
          <w:szCs w:val="32"/>
          <w:highlight w:val="none"/>
          <w:lang w:val="en-US" w:eastAsia="zh-CN"/>
        </w:rPr>
        <w:t>哈尼医药</w:t>
      </w: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》：味</w:t>
      </w: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微苦、甘，性凉，归肾、肝、肠经。</w:t>
      </w:r>
    </w:p>
    <w:p w14:paraId="298CA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《桂北药用植物资源现代研究》：味甘、苦，性平。归脾经。</w:t>
      </w:r>
    </w:p>
    <w:p w14:paraId="4974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《最新中药药理与临床应用》：性凉，味苦。</w:t>
      </w:r>
    </w:p>
    <w:p w14:paraId="0DC4F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《药用植物花谱》： 味淡，性微寒。</w:t>
      </w:r>
    </w:p>
    <w:p w14:paraId="456E7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《云南省中药材标准》：苦，寒。归肝、脾、膀胱经。</w:t>
      </w:r>
    </w:p>
    <w:p w14:paraId="10B58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拟规定珠子草药材性味与归经为：苦，凉。归肝、肾、大肠经。</w:t>
      </w:r>
    </w:p>
    <w:p w14:paraId="43E50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十三、功能与主治</w:t>
      </w:r>
    </w:p>
    <w:p w14:paraId="61C92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《中华本草》：清热，利湿，化痰，解毒。主治黄疸，泄泻，痢疾，热淋，石淋，水肿，痰咳，目赤肿痛，毒蛇咬伤。</w:t>
      </w:r>
    </w:p>
    <w:p w14:paraId="3BDF0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《哈尼医药》：有清热利尿、明目、消食积之功效。</w:t>
      </w:r>
    </w:p>
    <w:p w14:paraId="469E3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《桂北药用植物资源现代研究》：平肝清热、利水解毒，用于治疗肠炎、肝炎、痢疾、尿路感染、无名肿痛等。</w:t>
      </w:r>
    </w:p>
    <w:p w14:paraId="7EF55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中国壮药图鉴》：中医认为，清热明目、止咳祛痰、利水渗湿、消积。主治感冒发热、痰咳、目赤、云翳、结膜炎、淋病、梅毒、黄疸、肾炎水肿、尿路结石、小儿疳积等。壮医认为，清热毒、通气道、利水道、明目、消积。主治贫痧（感冒）、发得（发热）、嗒叮（目赤）、兵化留（梅毒）、能蚌（黄疸）、笨浮（水肿）、喹疳（小儿疳积）等。</w:t>
      </w:r>
    </w:p>
    <w:p w14:paraId="69BDC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《最新中药药理与临床应用》：具有清肝明目，收敛利水，泻火消肿功效。</w:t>
      </w:r>
    </w:p>
    <w:p w14:paraId="126F6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《药用植物花谱》：清热，利湿，化痰，解毒。主治黄疸，泄泻，痢疾，热淋，石淋，水肿，痰咳，目赤肿痛，毒蛇咬伤。</w:t>
      </w:r>
    </w:p>
    <w:p w14:paraId="17864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《实用瑶药学》：清肝明目，消疳止痢，抗乙肝病毒，止咳祛痰。用于黄疸型肝炎，乙肝，小儿疳积，气管炎，痢疾，痈疮肿毒。</w:t>
      </w:r>
    </w:p>
    <w:p w14:paraId="75D93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《云南省中药材标准》：清热解毒，利湿通淋。用于黄疸胁痛，泻利水肿，小便不利。</w:t>
      </w:r>
    </w:p>
    <w:p w14:paraId="40A26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拟规定珠子草药材功能与主治为：清热，利湿，化痰，解毒。主治</w:t>
      </w:r>
      <w:bookmarkStart w:id="31" w:name="_GoBack"/>
      <w:bookmarkEnd w:id="31"/>
      <w:r>
        <w:rPr>
          <w:rFonts w:hint="eastAsia" w:asciiTheme="minorAscii" w:hAnsiTheme="minorAscii"/>
          <w:color w:val="auto"/>
          <w:sz w:val="24"/>
          <w:szCs w:val="32"/>
          <w:highlight w:val="none"/>
          <w:lang w:val="en-US" w:eastAsia="zh-CN"/>
        </w:rPr>
        <w:t>黄疸，泄泻，痢疾，热淋，石淋，水肿，痰咳，目赤肿痛，毒蛇咬伤</w:t>
      </w:r>
      <w:r>
        <w:rPr>
          <w:rFonts w:hint="eastAsia" w:ascii="Times New Roman" w:hAnsi="Times New Roman" w:eastAsia="宋体" w:cs="Times New Roman"/>
          <w:sz w:val="24"/>
          <w:highlight w:val="none"/>
        </w:rPr>
        <w:t>。</w:t>
      </w:r>
    </w:p>
    <w:p w14:paraId="7FE47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十四、用法与用量</w:t>
      </w:r>
    </w:p>
    <w:p w14:paraId="3C5CB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《中华本草》：内服，煎汤，15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~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30g。外用，适量，捣敷。</w:t>
      </w:r>
    </w:p>
    <w:p w14:paraId="233F1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《实用瑶药学》：内服，煎汤，9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~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15g。外用，适量，捣敷。</w:t>
      </w:r>
    </w:p>
    <w:p w14:paraId="4C57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  <w:t>《云南省中药材标准》：15-30g。</w:t>
      </w:r>
    </w:p>
    <w:p w14:paraId="66564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拟规定珠子草药材用法与用量为：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highlight w:val="none"/>
          <w:shd w:val="clear" w:color="auto" w:fill="FFFFFF"/>
        </w:rPr>
        <w:t>9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~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highlight w:val="none"/>
          <w:shd w:val="clear" w:color="auto" w:fill="FFFFFF"/>
        </w:rPr>
        <w:t>g。外用适量，捣敷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highlight w:val="none"/>
          <w:shd w:val="clear" w:color="auto" w:fill="FFFFFF"/>
          <w:lang w:eastAsia="zh-CN"/>
        </w:rPr>
        <w:t>。</w:t>
      </w:r>
    </w:p>
    <w:p w14:paraId="22D13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十五、贮藏</w:t>
      </w:r>
    </w:p>
    <w:p w14:paraId="5C311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default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置干燥处。</w:t>
      </w:r>
    </w:p>
    <w:p w14:paraId="5CABB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根据《国家药品标准工作手册》对贮藏规定保存药材的主要条件和要求，珠子草药材的药用部位为全草，没有特殊要求，写“置干燥处”即可。</w:t>
      </w:r>
    </w:p>
    <w:p w14:paraId="33657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  <w:t>此外，经比对《中国药典》2020年版四部与《中国药典》2025年版四部中的显微鉴别法（通则2001）、薄层色谱法（通则0502）、水分测定法（通则0832）、灰分测定法（通则2302）、浸出物测定法（通则2201）的内容一致，仅为《中国药典》年号变更。</w:t>
      </w:r>
    </w:p>
    <w:p w14:paraId="24ACD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Ascii" w:hAnsiTheme="minorAscii"/>
          <w:b w:val="0"/>
          <w:bCs w:val="0"/>
          <w:color w:val="auto"/>
          <w:sz w:val="24"/>
          <w:szCs w:val="32"/>
          <w:highlight w:val="none"/>
          <w:lang w:val="en-US" w:eastAsia="zh-CN"/>
        </w:rPr>
      </w:pPr>
    </w:p>
    <w:p w14:paraId="16970E95">
      <w:pPr>
        <w:ind w:firstLine="482" w:firstLineChars="20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hint="eastAsia" w:ascii="Times New Roman" w:hAnsi="Times New Roman" w:cs="Times New Roman"/>
          <w:b/>
          <w:sz w:val="24"/>
          <w:szCs w:val="24"/>
          <w:shd w:val="clear" w:color="auto" w:fill="FFFFFF"/>
        </w:rPr>
        <w:t>起草人：</w:t>
      </w:r>
      <w:r>
        <w:rPr>
          <w:rFonts w:hint="eastAsia" w:ascii="Times New Roman" w:hAnsi="Times New Roman" w:cs="Times New Roman"/>
          <w:sz w:val="24"/>
          <w:szCs w:val="24"/>
          <w:shd w:val="clear" w:color="auto" w:fill="FFFFFF"/>
        </w:rPr>
        <w:t>刘洋洋、冯剑、菅瑞至、</w:t>
      </w:r>
      <w:r>
        <w:rPr>
          <w:rFonts w:hint="eastAsia" w:ascii="Times New Roman" w:hAnsi="Times New Roman" w:cs="Times New Roman"/>
          <w:sz w:val="24"/>
          <w:szCs w:val="24"/>
          <w:shd w:val="clear" w:color="auto" w:fill="FFFFFF"/>
          <w:lang w:val="en-US" w:eastAsia="zh-CN"/>
        </w:rPr>
        <w:t>谢岸珍、蒋子肖、</w:t>
      </w:r>
      <w:r>
        <w:rPr>
          <w:rFonts w:hint="eastAsia" w:ascii="Times New Roman" w:hAnsi="Times New Roman" w:cs="Times New Roman"/>
          <w:sz w:val="24"/>
          <w:szCs w:val="24"/>
          <w:shd w:val="clear" w:color="auto" w:fill="FFFFFF"/>
        </w:rPr>
        <w:t>陈兰、邱秀儒</w:t>
      </w:r>
    </w:p>
    <w:p w14:paraId="3C17246C">
      <w:pPr>
        <w:widowControl/>
        <w:shd w:val="clear" w:color="auto" w:fill="FFFFFF"/>
        <w:spacing w:line="360" w:lineRule="auto"/>
        <w:ind w:left="479" w:leftChars="228"/>
        <w:jc w:val="left"/>
        <w:rPr>
          <w:rFonts w:ascii="Times New Roman" w:hAnsi="Times New Roman" w:cs="Times New Roman"/>
          <w:sz w:val="24"/>
          <w:szCs w:val="24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1C79E03">
      <w:pPr>
        <w:pStyle w:val="2"/>
        <w:spacing w:before="0" w:after="0"/>
        <w:rPr>
          <w:sz w:val="24"/>
          <w:szCs w:val="32"/>
        </w:rPr>
      </w:pPr>
      <w:bookmarkStart w:id="4" w:name="_Toc520964622"/>
      <w:bookmarkStart w:id="5" w:name="_Toc93310141"/>
      <w:r>
        <w:rPr>
          <w:sz w:val="24"/>
          <w:szCs w:val="32"/>
        </w:rPr>
        <w:t>参考文献</w:t>
      </w:r>
      <w:bookmarkEnd w:id="4"/>
      <w:bookmarkEnd w:id="5"/>
    </w:p>
    <w:p w14:paraId="5205A3A5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6" w:name="_Ref112162689"/>
      <w:bookmarkStart w:id="7" w:name="_Ref92221543"/>
      <w:bookmarkStart w:id="8" w:name="_Ref92129453"/>
      <w:bookmarkStart w:id="9" w:name="_Ref93310092"/>
      <w:r>
        <w:rPr>
          <w:rFonts w:hint="eastAsia" w:ascii="Times New Roman" w:hAnsi="Times New Roman" w:cs="Times New Roman"/>
          <w:szCs w:val="21"/>
        </w:rPr>
        <w:t>程新平，牛晓峰，朱周才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hint="eastAsia" w:ascii="Times New Roman" w:hAnsi="Times New Roman" w:cs="Times New Roman"/>
          <w:szCs w:val="21"/>
        </w:rPr>
        <w:t>珠子草生药学研究[J].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西安医科大学学报（医学版）,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2001,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22(2):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162-163.</w:t>
      </w:r>
      <w:bookmarkEnd w:id="6"/>
    </w:p>
    <w:p w14:paraId="3D63C084">
      <w:pPr>
        <w:pStyle w:val="10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bookmarkStart w:id="10" w:name="_Ref112162691"/>
      <w:r>
        <w:rPr>
          <w:rFonts w:hint="eastAsia" w:ascii="Times New Roman" w:hAnsi="Times New Roman" w:cs="Times New Roman"/>
          <w:szCs w:val="21"/>
        </w:rPr>
        <w:t>朱宇同，李秉滔，方宏勋.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珠子草新亚种的发现和鉴定[J].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广州中医药大学学报,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1997,14(2):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119-121</w:t>
      </w:r>
      <w:bookmarkEnd w:id="10"/>
      <w:r>
        <w:rPr>
          <w:rFonts w:ascii="Times New Roman" w:hAnsi="Times New Roman" w:cs="Times New Roman"/>
          <w:szCs w:val="21"/>
        </w:rPr>
        <w:t>.</w:t>
      </w:r>
    </w:p>
    <w:bookmarkEnd w:id="7"/>
    <w:bookmarkEnd w:id="8"/>
    <w:bookmarkEnd w:id="9"/>
    <w:p w14:paraId="36DD5E0C">
      <w:pPr>
        <w:pStyle w:val="10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云南省食品药品监督管理局.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云南省中药材标准（第三册·傣族药）[</w:t>
      </w:r>
      <w:r>
        <w:rPr>
          <w:rFonts w:ascii="Times New Roman" w:hAnsi="Times New Roman" w:cs="Times New Roman"/>
          <w:szCs w:val="21"/>
        </w:rPr>
        <w:t>M]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昆明: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云南科技出版社,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005, 38</w:t>
      </w:r>
      <w:r>
        <w:rPr>
          <w:rFonts w:hint="eastAsia" w:ascii="Times New Roman" w:hAnsi="Times New Roman" w:cs="Times New Roman"/>
          <w:szCs w:val="21"/>
        </w:rPr>
        <w:t>.</w:t>
      </w:r>
    </w:p>
    <w:p w14:paraId="656DC0E2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18"/>
          <w:szCs w:val="18"/>
        </w:rPr>
      </w:pPr>
      <w:bookmarkStart w:id="11" w:name="_Ref114432942"/>
      <w:r>
        <w:rPr>
          <w:rFonts w:hint="eastAsia" w:ascii="Times New Roman" w:hAnsi="Times New Roman" w:cs="Times New Roman"/>
          <w:szCs w:val="21"/>
        </w:rPr>
        <w:t>徐贵丽, 舒万里, 邹静, 等.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 xml:space="preserve">云南及海南产珠子草化学成分的初步研究[J]. 中国民族民间医药杂志, 2000, </w:t>
      </w:r>
      <w:r>
        <w:rPr>
          <w:rFonts w:ascii="Times New Roman" w:hAnsi="Times New Roman" w:cs="Times New Roman"/>
          <w:szCs w:val="21"/>
        </w:rPr>
        <w:t>(</w:t>
      </w:r>
      <w:r>
        <w:rPr>
          <w:rFonts w:hint="eastAsia" w:ascii="Times New Roman" w:hAnsi="Times New Roman" w:cs="Times New Roman"/>
          <w:szCs w:val="21"/>
        </w:rPr>
        <w:t>02)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86-88</w:t>
      </w:r>
      <w:bookmarkEnd w:id="11"/>
      <w:r>
        <w:rPr>
          <w:rFonts w:ascii="Times New Roman" w:hAnsi="Times New Roman" w:cs="Times New Roman"/>
          <w:szCs w:val="21"/>
        </w:rPr>
        <w:t>.</w:t>
      </w:r>
    </w:p>
    <w:p w14:paraId="3E8D85BA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李秉滔.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中国叶下珠属植物的修订</w:t>
      </w:r>
      <w:r>
        <w:rPr>
          <w:rFonts w:ascii="Times New Roman" w:hAnsi="Times New Roman" w:cs="Times New Roman"/>
          <w:szCs w:val="21"/>
        </w:rPr>
        <w:t xml:space="preserve">[J]. </w:t>
      </w:r>
      <w:r>
        <w:rPr>
          <w:rFonts w:hint="eastAsia" w:ascii="Times New Roman" w:hAnsi="Times New Roman" w:cs="Times New Roman"/>
          <w:szCs w:val="21"/>
        </w:rPr>
        <w:t>植物分类学报,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1987,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25(5):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371</w:t>
      </w:r>
      <w:r>
        <w:rPr>
          <w:rFonts w:ascii="Times New Roman" w:hAnsi="Times New Roman" w:cs="Times New Roman"/>
          <w:szCs w:val="21"/>
        </w:rPr>
        <w:t>.</w:t>
      </w:r>
    </w:p>
    <w:p w14:paraId="5650126D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朱华. 中国壮药图鉴 上[M]. 2017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593</w:t>
      </w:r>
      <w:r>
        <w:rPr>
          <w:rFonts w:ascii="Times New Roman" w:hAnsi="Times New Roman" w:cs="Times New Roman"/>
          <w:szCs w:val="21"/>
        </w:rPr>
        <w:t>.</w:t>
      </w:r>
    </w:p>
    <w:p w14:paraId="58DFC1FA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2" w:name="_Ref114564288"/>
      <w:r>
        <w:rPr>
          <w:rFonts w:hint="eastAsia" w:ascii="Times New Roman" w:hAnsi="Times New Roman" w:cs="Times New Roman"/>
          <w:szCs w:val="21"/>
        </w:rPr>
        <w:t>江苏新医学院·中药大辞典(下册) [M]. 上海：上海人民出版社,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1989: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1496</w:t>
      </w:r>
      <w:bookmarkEnd w:id="12"/>
      <w:r>
        <w:rPr>
          <w:rFonts w:ascii="Times New Roman" w:hAnsi="Times New Roman" w:cs="Times New Roman"/>
          <w:szCs w:val="21"/>
        </w:rPr>
        <w:t>.</w:t>
      </w:r>
    </w:p>
    <w:p w14:paraId="1B21809E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3" w:name="_Ref117280754"/>
      <w:r>
        <w:rPr>
          <w:rFonts w:hint="eastAsia" w:ascii="Times New Roman" w:hAnsi="Times New Roman" w:cs="Times New Roman"/>
          <w:szCs w:val="21"/>
        </w:rPr>
        <w:t>杨丹，刘贤贤，程忠泉主编. 桂北药用植物资源现代研究[M]. 2019:</w:t>
      </w:r>
      <w:r>
        <w:rPr>
          <w:rFonts w:ascii="Times New Roman" w:hAnsi="Times New Roman" w:cs="Times New Roman"/>
          <w:szCs w:val="21"/>
        </w:rPr>
        <w:t xml:space="preserve"> 30.</w:t>
      </w:r>
      <w:bookmarkEnd w:id="13"/>
    </w:p>
    <w:p w14:paraId="6F4FFD58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4" w:name="_Ref92129542"/>
      <w:r>
        <w:rPr>
          <w:rFonts w:hint="eastAsia" w:ascii="Times New Roman" w:hAnsi="Times New Roman" w:cs="Times New Roman"/>
          <w:szCs w:val="21"/>
        </w:rPr>
        <w:t>中国科学院《中国植物志》编辑委员会编. 中国植物志: 第</w:t>
      </w:r>
      <w:r>
        <w:rPr>
          <w:rFonts w:ascii="Times New Roman" w:hAnsi="Times New Roman" w:cs="Times New Roman"/>
          <w:szCs w:val="21"/>
        </w:rPr>
        <w:t>4</w:t>
      </w:r>
      <w:r>
        <w:rPr>
          <w:rFonts w:hint="eastAsia" w:ascii="Times New Roman" w:hAnsi="Times New Roman" w:cs="Times New Roman"/>
          <w:szCs w:val="21"/>
        </w:rPr>
        <w:t>4（1）卷[M]. 北京：科学出版社,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</w:t>
      </w:r>
      <w:r>
        <w:rPr>
          <w:rFonts w:ascii="Times New Roman" w:hAnsi="Times New Roman" w:cs="Times New Roman"/>
          <w:szCs w:val="21"/>
        </w:rPr>
        <w:t>94: 101</w:t>
      </w:r>
      <w:r>
        <w:rPr>
          <w:rFonts w:hint="eastAsia" w:ascii="Times New Roman" w:hAnsi="Times New Roman" w:cs="Times New Roman"/>
          <w:szCs w:val="21"/>
        </w:rPr>
        <w:t>.</w:t>
      </w:r>
      <w:bookmarkEnd w:id="14"/>
      <w:r>
        <w:rPr>
          <w:rFonts w:hint="eastAsia" w:ascii="Times New Roman" w:hAnsi="Times New Roman" w:cs="Times New Roman"/>
          <w:szCs w:val="21"/>
        </w:rPr>
        <w:t xml:space="preserve"> </w:t>
      </w:r>
    </w:p>
    <w:p w14:paraId="6AB711E7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5" w:name="_Ref114588118"/>
      <w:r>
        <w:rPr>
          <w:rFonts w:hint="eastAsia" w:ascii="Times New Roman" w:hAnsi="Times New Roman" w:cs="Times New Roman"/>
          <w:szCs w:val="21"/>
        </w:rPr>
        <w:t>RAJAKANNAN V,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 xml:space="preserve">SRIPATHI M </w:t>
      </w:r>
      <w:r>
        <w:rPr>
          <w:rFonts w:ascii="Times New Roman" w:hAnsi="Times New Roman" w:cs="Times New Roman"/>
          <w:szCs w:val="21"/>
        </w:rPr>
        <w:t>S</w:t>
      </w:r>
      <w:r>
        <w:rPr>
          <w:rFonts w:hint="eastAsia"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SELVANAYAGAMS, et al.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Phyllanthin from the plant Phyllanthus amarus[J].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Acta Crystallographica,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Section E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Structure Reports Online,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2003,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59(2):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0203-0205.</w:t>
      </w:r>
      <w:bookmarkEnd w:id="15"/>
    </w:p>
    <w:p w14:paraId="0C36AB5B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6" w:name="_Ref114588120"/>
      <w:r>
        <w:rPr>
          <w:rFonts w:hint="eastAsia" w:ascii="Times New Roman" w:hAnsi="Times New Roman" w:cs="Times New Roman"/>
          <w:szCs w:val="21"/>
        </w:rPr>
        <w:t>陈剑，莫银屏，胡吉卓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hint="eastAsia" w:ascii="Times New Roman" w:hAnsi="Times New Roman" w:cs="Times New Roman"/>
          <w:szCs w:val="21"/>
        </w:rPr>
        <w:t>高速逆流色谱法分离珠子草中的木脂素[J].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广西大学学报：自然科学版,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2014,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39(5)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1191-1197.</w:t>
      </w:r>
      <w:bookmarkEnd w:id="16"/>
    </w:p>
    <w:p w14:paraId="28586CC5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7" w:name="_Ref114593465"/>
      <w:r>
        <w:rPr>
          <w:rFonts w:hint="eastAsia" w:ascii="Times New Roman" w:hAnsi="Times New Roman" w:cs="Times New Roman"/>
          <w:szCs w:val="21"/>
        </w:rPr>
        <w:t>SOMANABANDHU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NITAYANGKURA S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MAHIDOLC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et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al.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hint="eastAsia" w:ascii="Times New Roman" w:hAnsi="Times New Roman" w:cs="Times New Roman"/>
          <w:szCs w:val="21"/>
        </w:rPr>
        <w:t>H-and</w:t>
      </w:r>
      <w:r>
        <w:rPr>
          <w:rFonts w:hint="eastAsia" w:ascii="Times New Roman" w:hAnsi="Times New Roman" w:cs="Times New Roman"/>
          <w:szCs w:val="21"/>
          <w:vertAlign w:val="superscript"/>
        </w:rPr>
        <w:t>13</w:t>
      </w:r>
      <w:r>
        <w:rPr>
          <w:rFonts w:hint="eastAsia" w:ascii="Times New Roman" w:hAnsi="Times New Roman" w:cs="Times New Roman"/>
          <w:szCs w:val="21"/>
        </w:rPr>
        <w:t>C-nmr assignments of phyllanthin and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hypophyllanthin: lignans that enhance cytotoxic responses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with cultured multidrug-resistant cells[J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J Nat Prod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1993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56(2)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233-</w:t>
      </w:r>
      <w:r>
        <w:rPr>
          <w:rFonts w:ascii="Times New Roman" w:hAnsi="Times New Roman" w:cs="Times New Roman"/>
          <w:szCs w:val="21"/>
        </w:rPr>
        <w:t>23</w:t>
      </w:r>
      <w:r>
        <w:rPr>
          <w:rFonts w:hint="eastAsia" w:ascii="Times New Roman" w:hAnsi="Times New Roman" w:cs="Times New Roman"/>
          <w:szCs w:val="21"/>
        </w:rPr>
        <w:t>9.</w:t>
      </w:r>
      <w:bookmarkEnd w:id="17"/>
    </w:p>
    <w:p w14:paraId="63518992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8" w:name="_Ref114593623"/>
      <w:r>
        <w:rPr>
          <w:rFonts w:ascii="Times New Roman" w:hAnsi="Times New Roman" w:cs="Times New Roman"/>
          <w:szCs w:val="21"/>
        </w:rPr>
        <w:t>WANG CY, LEE SS. Analysis and identification of lignans in Phyllanthus urinaria by HPLC-SPE-NMR[J]. Phytochem Anal, 2005, 16(2): 120-126.</w:t>
      </w:r>
      <w:bookmarkEnd w:id="18"/>
    </w:p>
    <w:p w14:paraId="4A17953B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19" w:name="_Ref114593843"/>
      <w:r>
        <w:rPr>
          <w:rFonts w:hint="eastAsia" w:ascii="Times New Roman" w:hAnsi="Times New Roman" w:cs="Times New Roman"/>
          <w:szCs w:val="21"/>
        </w:rPr>
        <w:t>唐浩国，郑卫东，陈宗道.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麻竹叶黄酮类成分研究[J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中国农学通报,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2005,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24(4)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114-118.</w:t>
      </w:r>
      <w:bookmarkEnd w:id="19"/>
    </w:p>
    <w:p w14:paraId="05C4E78E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0" w:name="_Ref114593844"/>
      <w:r>
        <w:rPr>
          <w:rFonts w:hint="eastAsia" w:ascii="Times New Roman" w:hAnsi="Times New Roman" w:cs="Times New Roman"/>
          <w:szCs w:val="21"/>
        </w:rPr>
        <w:t>唐于平，王颖，楼凤昌，等.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银杏叶中的黄酮醇苷类成分[J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药学学报,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2000,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35(5)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363-366.</w:t>
      </w:r>
      <w:bookmarkEnd w:id="20"/>
    </w:p>
    <w:p w14:paraId="6DF3F45F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1" w:name="_Ref114594199"/>
      <w:r>
        <w:rPr>
          <w:rFonts w:hint="eastAsia" w:ascii="Times New Roman" w:hAnsi="Times New Roman" w:cs="Times New Roman"/>
          <w:szCs w:val="21"/>
        </w:rPr>
        <w:t>张文静，翁连进，易立涛，等.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猫眼草化学成分的研究[J].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中草药,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2016,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47(4):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554-558.</w:t>
      </w:r>
      <w:bookmarkEnd w:id="21"/>
    </w:p>
    <w:p w14:paraId="42F2CCC9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2" w:name="_Ref114594200"/>
      <w:r>
        <w:rPr>
          <w:rFonts w:hint="eastAsia" w:ascii="Times New Roman" w:hAnsi="Times New Roman" w:cs="Times New Roman"/>
          <w:szCs w:val="21"/>
        </w:rPr>
        <w:t>林佳，李琰，徐丽珍.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石榴叶的化学成分研究[J].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中南药学,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2005,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3(2)</w:t>
      </w:r>
      <w:r>
        <w:rPr>
          <w:rFonts w:ascii="Times New Roman" w:hAnsi="Times New Roman" w:cs="Times New Roman"/>
          <w:szCs w:val="21"/>
        </w:rPr>
        <w:t xml:space="preserve">: </w:t>
      </w:r>
      <w:r>
        <w:rPr>
          <w:rFonts w:hint="eastAsia" w:ascii="Times New Roman" w:hAnsi="Times New Roman" w:cs="Times New Roman"/>
          <w:szCs w:val="21"/>
        </w:rPr>
        <w:t>70-72.</w:t>
      </w:r>
      <w:bookmarkEnd w:id="22"/>
    </w:p>
    <w:p w14:paraId="77A700A0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3" w:name="_Ref114594715"/>
      <w:r>
        <w:rPr>
          <w:rFonts w:hint="eastAsia" w:ascii="Times New Roman" w:hAnsi="Times New Roman" w:cs="Times New Roman"/>
          <w:szCs w:val="21"/>
        </w:rPr>
        <w:t>李慧，杨宝，黄芬，等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hint="eastAsia" w:ascii="Times New Roman" w:hAnsi="Times New Roman" w:cs="Times New Roman"/>
          <w:szCs w:val="21"/>
        </w:rPr>
        <w:t>半边旗化学成分研究[J].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中草药,</w:t>
      </w:r>
      <w:r>
        <w:rPr>
          <w:rFonts w:ascii="Times New Roman" w:hAnsi="Times New Roman" w:cs="Times New Roman"/>
          <w:szCs w:val="21"/>
        </w:rPr>
        <w:t xml:space="preserve"> 2018, 49(1): 95-99.</w:t>
      </w:r>
      <w:bookmarkEnd w:id="23"/>
    </w:p>
    <w:p w14:paraId="5CCFF083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4" w:name="_Ref114594717"/>
      <w:r>
        <w:rPr>
          <w:rFonts w:hint="eastAsia" w:ascii="Times New Roman" w:hAnsi="Times New Roman" w:cs="Times New Roman"/>
          <w:szCs w:val="21"/>
        </w:rPr>
        <w:t>刘春丽，关小丽，李典鹏，等.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龙眼壳中化学成分的研究（I）</w:t>
      </w:r>
      <w:r>
        <w:rPr>
          <w:rFonts w:ascii="Times New Roman" w:hAnsi="Times New Roman" w:cs="Times New Roman"/>
          <w:szCs w:val="21"/>
        </w:rPr>
        <w:t>[J]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广西植物,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2014,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34(2):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167-169.</w:t>
      </w:r>
      <w:bookmarkEnd w:id="24"/>
    </w:p>
    <w:p w14:paraId="304AAB21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5" w:name="_Ref114596078"/>
      <w:r>
        <w:rPr>
          <w:rFonts w:hint="eastAsia" w:ascii="Times New Roman" w:hAnsi="Times New Roman" w:cs="Times New Roman"/>
          <w:szCs w:val="21"/>
        </w:rPr>
        <w:t>王洪平，曹芳，杨秀伟.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头花蓼地上部分的化学成分研究[J].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中草药,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2013,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44(1):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24-30.</w:t>
      </w:r>
      <w:bookmarkEnd w:id="25"/>
    </w:p>
    <w:p w14:paraId="3B93ED27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6" w:name="_Ref114596079"/>
      <w:r>
        <w:rPr>
          <w:rFonts w:hint="eastAsia" w:ascii="Times New Roman" w:hAnsi="Times New Roman" w:cs="Times New Roman"/>
          <w:szCs w:val="21"/>
        </w:rPr>
        <w:t>黄永林，李典鹏，杨子明.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红背山麻杆叶的化学成分研究（</w:t>
      </w:r>
      <w:r>
        <w:rPr>
          <w:rFonts w:ascii="Times New Roman" w:hAnsi="Times New Roman" w:cs="Times New Roman"/>
          <w:szCs w:val="21"/>
        </w:rPr>
        <w:t>Ⅳ</w:t>
      </w:r>
      <w:r>
        <w:rPr>
          <w:rFonts w:hint="eastAsia" w:ascii="Times New Roman" w:hAnsi="Times New Roman" w:cs="Times New Roman"/>
          <w:szCs w:val="21"/>
        </w:rPr>
        <w:t>）---多酚类化合物[J</w:t>
      </w:r>
      <w:r>
        <w:rPr>
          <w:rFonts w:ascii="Times New Roman" w:hAnsi="Times New Roman" w:cs="Times New Roman"/>
          <w:szCs w:val="21"/>
        </w:rPr>
        <w:t>]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广西植物,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2015,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35(4):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564-568.</w:t>
      </w:r>
      <w:bookmarkEnd w:id="26"/>
    </w:p>
    <w:p w14:paraId="34FDB4AE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7" w:name="_Ref114645955"/>
      <w:r>
        <w:rPr>
          <w:rFonts w:hint="eastAsia" w:ascii="Times New Roman" w:hAnsi="Times New Roman" w:cs="Times New Roman"/>
          <w:szCs w:val="21"/>
        </w:rPr>
        <w:t>Ward RS,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Satyanarayana P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Row LR</w:t>
      </w:r>
      <w:r>
        <w:rPr>
          <w:rFonts w:ascii="Times New Roman" w:hAnsi="Times New Roman" w:cs="Times New Roman"/>
          <w:szCs w:val="21"/>
        </w:rPr>
        <w:t xml:space="preserve">, </w:t>
      </w:r>
      <w:r>
        <w:rPr>
          <w:rFonts w:hint="eastAsia" w:ascii="Times New Roman" w:hAnsi="Times New Roman" w:cs="Times New Roman"/>
          <w:szCs w:val="21"/>
        </w:rPr>
        <w:t>et al. The case for a revised structure for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hypophyllanthin. An analysis of the carbon-</w:t>
      </w:r>
      <w:r>
        <w:rPr>
          <w:rFonts w:hint="eastAsia" w:ascii="Times New Roman" w:hAnsi="Times New Roman" w:cs="Times New Roman"/>
          <w:szCs w:val="21"/>
          <w:vertAlign w:val="superscript"/>
        </w:rPr>
        <w:t>13</w:t>
      </w:r>
      <w:r>
        <w:rPr>
          <w:rFonts w:hint="eastAsia" w:ascii="Times New Roman" w:hAnsi="Times New Roman" w:cs="Times New Roman"/>
          <w:szCs w:val="21"/>
        </w:rPr>
        <w:t>NMR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spectra of aryltetralins[J].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T</w:t>
      </w:r>
      <w:r>
        <w:rPr>
          <w:rFonts w:hint="eastAsia" w:ascii="Times New Roman" w:hAnsi="Times New Roman" w:cs="Times New Roman"/>
          <w:i/>
          <w:iCs/>
          <w:szCs w:val="21"/>
        </w:rPr>
        <w:t>etrahedron Lett.</w:t>
      </w:r>
      <w:r>
        <w:rPr>
          <w:rFonts w:hint="eastAsia"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1979,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32: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3043-3046</w:t>
      </w:r>
      <w:r>
        <w:rPr>
          <w:rFonts w:ascii="Times New Roman" w:hAnsi="Times New Roman" w:cs="Times New Roman"/>
          <w:szCs w:val="21"/>
        </w:rPr>
        <w:t>.</w:t>
      </w:r>
      <w:bookmarkEnd w:id="27"/>
    </w:p>
    <w:p w14:paraId="040943F1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Snatos AR. Analgesic effects of callus culture extracts from selected species of </w:t>
      </w:r>
      <w:r>
        <w:rPr>
          <w:rFonts w:ascii="Times New Roman" w:hAnsi="Times New Roman" w:cs="Times New Roman"/>
          <w:i/>
          <w:iCs/>
          <w:szCs w:val="21"/>
        </w:rPr>
        <w:t>Phyllanthus</w:t>
      </w:r>
      <w:r>
        <w:rPr>
          <w:rFonts w:ascii="Times New Roman" w:hAnsi="Times New Roman" w:cs="Times New Roman"/>
          <w:szCs w:val="21"/>
        </w:rPr>
        <w:t xml:space="preserve"> in mice [J]. </w:t>
      </w:r>
      <w:r>
        <w:rPr>
          <w:rFonts w:ascii="Times New Roman" w:hAnsi="Times New Roman" w:cs="Times New Roman"/>
          <w:i/>
          <w:iCs/>
          <w:szCs w:val="21"/>
        </w:rPr>
        <w:t>J. pharm. Pharmacol</w:t>
      </w:r>
      <w:r>
        <w:rPr>
          <w:rFonts w:ascii="Times New Roman" w:hAnsi="Times New Roman" w:cs="Times New Roman"/>
          <w:szCs w:val="21"/>
        </w:rPr>
        <w:t>. 1994, 46(9): 755-759.</w:t>
      </w:r>
    </w:p>
    <w:p w14:paraId="72802806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8" w:name="_Ref114650424"/>
      <w:r>
        <w:rPr>
          <w:rFonts w:ascii="Times New Roman" w:hAnsi="Times New Roman" w:cs="Times New Roman"/>
          <w:szCs w:val="21"/>
        </w:rPr>
        <w:t xml:space="preserve">Khanna AK, Rizvi F, Chander R. Lipid lowering activity of </w:t>
      </w:r>
      <w:r>
        <w:rPr>
          <w:rFonts w:ascii="Times New Roman" w:hAnsi="Times New Roman" w:cs="Times New Roman"/>
          <w:i/>
          <w:iCs/>
          <w:szCs w:val="21"/>
        </w:rPr>
        <w:t>Phyllanthus niruri</w:t>
      </w:r>
      <w:r>
        <w:rPr>
          <w:rFonts w:ascii="Times New Roman" w:hAnsi="Times New Roman" w:cs="Times New Roman"/>
          <w:szCs w:val="21"/>
        </w:rPr>
        <w:t xml:space="preserve"> in hyperlipemic rats[J]. </w:t>
      </w:r>
      <w:r>
        <w:rPr>
          <w:rFonts w:ascii="Times New Roman" w:hAnsi="Times New Roman" w:cs="Times New Roman"/>
          <w:i/>
          <w:iCs/>
          <w:szCs w:val="21"/>
        </w:rPr>
        <w:t>Journal of Ethnopharmacology</w:t>
      </w:r>
      <w:r>
        <w:rPr>
          <w:rFonts w:ascii="Times New Roman" w:hAnsi="Times New Roman" w:cs="Times New Roman"/>
          <w:szCs w:val="21"/>
        </w:rPr>
        <w:t>, 2002, 8(2): 19-22.</w:t>
      </w:r>
      <w:bookmarkEnd w:id="28"/>
    </w:p>
    <w:p w14:paraId="398C6637">
      <w:pPr>
        <w:pStyle w:val="10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bookmarkStart w:id="29" w:name="_Ref114653366"/>
      <w:r>
        <w:rPr>
          <w:rFonts w:hint="eastAsia" w:ascii="Times New Roman" w:hAnsi="Times New Roman" w:cs="Times New Roman"/>
          <w:szCs w:val="21"/>
        </w:rPr>
        <w:t>梁峰，谢月明.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珠子草的化学成分、抗乙肝病毒活性及临床研究概况[J]</w:t>
      </w:r>
      <w:r>
        <w:rPr>
          <w:rFonts w:ascii="Times New Roman" w:hAnsi="Times New Roman" w:cs="Times New Roman"/>
          <w:szCs w:val="21"/>
        </w:rPr>
        <w:t xml:space="preserve">. </w:t>
      </w:r>
      <w:r>
        <w:rPr>
          <w:rFonts w:hint="eastAsia" w:ascii="Times New Roman" w:hAnsi="Times New Roman" w:cs="Times New Roman"/>
          <w:szCs w:val="21"/>
        </w:rPr>
        <w:t>广西中医,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1995,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18(1):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45-47</w:t>
      </w:r>
      <w:r>
        <w:rPr>
          <w:rFonts w:ascii="Times New Roman" w:hAnsi="Times New Roman" w:cs="Times New Roman"/>
          <w:szCs w:val="21"/>
        </w:rPr>
        <w:t>.</w:t>
      </w:r>
      <w:bookmarkEnd w:id="29"/>
    </w:p>
    <w:p w14:paraId="1937576F">
      <w:pPr>
        <w:pStyle w:val="10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szCs w:val="21"/>
        </w:rPr>
      </w:pPr>
      <w:bookmarkStart w:id="30" w:name="_Ref117281597"/>
      <w:r>
        <w:rPr>
          <w:rFonts w:hint="eastAsia" w:ascii="Times New Roman" w:hAnsi="Times New Roman" w:cs="Times New Roman"/>
          <w:szCs w:val="21"/>
        </w:rPr>
        <w:t>庞声航主编. 实用瑶药学[M]. 南宁：广西科学技术出版社, 2008:</w:t>
      </w:r>
      <w:r>
        <w:rPr>
          <w:rFonts w:ascii="Times New Roman" w:hAnsi="Times New Roman" w:cs="Times New Roman"/>
          <w:szCs w:val="21"/>
        </w:rPr>
        <w:t xml:space="preserve"> 321.</w:t>
      </w:r>
      <w:bookmarkEnd w:id="30"/>
    </w:p>
    <w:p w14:paraId="1C57D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both"/>
        <w:textAlignment w:val="auto"/>
        <w:rPr>
          <w:rFonts w:hint="default" w:ascii="Times New Roman" w:hAnsi="Times New Roman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0836A0A-B809-4845-9478-DAC905ABF74B}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D14DB3D-C620-4A28-9B59-A5B9DFF91709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A04EB2A3-881B-44F6-A916-8F66C7E69A54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11652064"/>
    </w:sdtPr>
    <w:sdtContent>
      <w:sdt>
        <w:sdtPr>
          <w:id w:val="1041640605"/>
          <w:showingPlcHdr/>
        </w:sdtPr>
        <w:sdtContent>
          <w:p w14:paraId="5963DCCA">
            <w:pPr>
              <w:pStyle w:val="5"/>
              <w:jc w:val="center"/>
            </w:pPr>
            <w:r>
              <w:rPr>
                <w:rFonts w:hint="eastAsia"/>
                <w:lang w:eastAsia="zh-CN"/>
              </w:rPr>
              <w:t xml:space="preserve">     </w:t>
            </w:r>
          </w:p>
        </w:sdtContent>
      </w:sdt>
    </w:sdtContent>
  </w:sdt>
  <w:p w14:paraId="3EBAE58E">
    <w:pPr>
      <w:pStyle w:val="5"/>
      <w:tabs>
        <w:tab w:val="left" w:pos="3059"/>
        <w:tab w:val="clear" w:pos="8306"/>
      </w:tabs>
      <w:rPr>
        <w:rFonts w:ascii="宋体" w:hAnsi="宋体" w:eastAsia="宋体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30C9E">
    <w:pPr>
      <w:pStyle w:val="5"/>
      <w:jc w:val="center"/>
    </w:pPr>
  </w:p>
  <w:p w14:paraId="4B07EDF4">
    <w:pPr>
      <w:pStyle w:val="5"/>
      <w:ind w:firstLine="720" w:firstLineChars="400"/>
      <w:rPr>
        <w:rFonts w:ascii="宋体" w:hAnsi="宋体" w:eastAsia="宋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C3471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6C7DC3"/>
    <w:multiLevelType w:val="multilevel"/>
    <w:tmpl w:val="366C7DC3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4636C"/>
    <w:rsid w:val="2F0D43ED"/>
    <w:rsid w:val="3BEF1864"/>
    <w:rsid w:val="4A2006FB"/>
    <w:rsid w:val="53A57A18"/>
    <w:rsid w:val="609D5E7E"/>
    <w:rsid w:val="6894636C"/>
    <w:rsid w:val="705E3045"/>
    <w:rsid w:val="76DD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140" w:after="140" w:line="360" w:lineRule="auto"/>
      <w:outlineLvl w:val="2"/>
    </w:pPr>
    <w:rPr>
      <w:rFonts w:ascii="Calibri" w:hAnsi="Calibri" w:eastAsia="宋体" w:cs="Times New Roman"/>
      <w:b/>
      <w:bCs/>
      <w:sz w:val="24"/>
      <w:szCs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107" w:beforeAutospacing="1" w:after="120" w:afterAutospacing="1"/>
      <w:jc w:val="left"/>
      <w:outlineLvl w:val="3"/>
    </w:pPr>
    <w:rPr>
      <w:rFonts w:hint="eastAsia" w:ascii="宋体" w:hAnsi="宋体" w:eastAsia="宋体" w:cs="Angsana New"/>
      <w:b/>
      <w:bCs/>
      <w:kern w:val="0"/>
      <w:sz w:val="21"/>
      <w:szCs w:val="24"/>
      <w:lang w:bidi="th-TH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3 字符"/>
    <w:basedOn w:val="8"/>
    <w:link w:val="3"/>
    <w:semiHidden/>
    <w:qFormat/>
    <w:uiPriority w:val="9"/>
    <w:rPr>
      <w:rFonts w:ascii="Calibri" w:hAnsi="Calibri" w:eastAsia="宋体" w:cs="Times New Roman"/>
      <w:b/>
      <w:bCs/>
      <w:sz w:val="24"/>
      <w:szCs w:val="3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microsoft.com/office/2007/relationships/hdphoto" Target="media/image2.wdp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6" Type="http://schemas.openxmlformats.org/officeDocument/2006/relationships/fontTable" Target="fontTable.xml"/><Relationship Id="rId45" Type="http://schemas.openxmlformats.org/officeDocument/2006/relationships/numbering" Target="numbering.xml"/><Relationship Id="rId44" Type="http://schemas.openxmlformats.org/officeDocument/2006/relationships/image" Target="media/image38.tiff"/><Relationship Id="rId43" Type="http://schemas.openxmlformats.org/officeDocument/2006/relationships/image" Target="media/image37.jpeg"/><Relationship Id="rId42" Type="http://schemas.openxmlformats.org/officeDocument/2006/relationships/image" Target="media/image36.jpe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1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pn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tiff"/><Relationship Id="rId32" Type="http://schemas.openxmlformats.org/officeDocument/2006/relationships/image" Target="media/image26.tiff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footer" Target="foot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tiff"/><Relationship Id="rId25" Type="http://schemas.openxmlformats.org/officeDocument/2006/relationships/image" Target="media/image19.tiff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tiff"/><Relationship Id="rId21" Type="http://schemas.openxmlformats.org/officeDocument/2006/relationships/image" Target="media/image15.tiff"/><Relationship Id="rId20" Type="http://schemas.openxmlformats.org/officeDocument/2006/relationships/image" Target="media/image14.tiff"/><Relationship Id="rId2" Type="http://schemas.openxmlformats.org/officeDocument/2006/relationships/settings" Target="settings.xml"/><Relationship Id="rId19" Type="http://schemas.openxmlformats.org/officeDocument/2006/relationships/image" Target="media/image13.tiff"/><Relationship Id="rId18" Type="http://schemas.openxmlformats.org/officeDocument/2006/relationships/image" Target="media/image12.tiff"/><Relationship Id="rId17" Type="http://schemas.openxmlformats.org/officeDocument/2006/relationships/image" Target="media/image11.tiff"/><Relationship Id="rId16" Type="http://schemas.openxmlformats.org/officeDocument/2006/relationships/image" Target="media/image10.tiff"/><Relationship Id="rId15" Type="http://schemas.openxmlformats.org/officeDocument/2006/relationships/image" Target="media/image9.tiff"/><Relationship Id="rId14" Type="http://schemas.openxmlformats.org/officeDocument/2006/relationships/image" Target="media/image8.tiff"/><Relationship Id="rId13" Type="http://schemas.openxmlformats.org/officeDocument/2006/relationships/image" Target="media/image7.tiff"/><Relationship Id="rId12" Type="http://schemas.openxmlformats.org/officeDocument/2006/relationships/image" Target="media/image6.tiff"/><Relationship Id="rId11" Type="http://schemas.openxmlformats.org/officeDocument/2006/relationships/image" Target="media/image5.tiff"/><Relationship Id="rId10" Type="http://schemas.microsoft.com/office/2007/relationships/hdphoto" Target="media/image4.wdp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5341</Words>
  <Characters>7899</Characters>
  <Lines>0</Lines>
  <Paragraphs>0</Paragraphs>
  <TotalTime>6</TotalTime>
  <ScaleCrop>false</ScaleCrop>
  <LinksUpToDate>false</LinksUpToDate>
  <CharactersWithSpaces>8193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2026-09-03T09:05:00Z</dcterms:created>
  <dc:creator>冯剑</dc:creator>
  <cp:lastModifiedBy>冯剑</cp:lastModifiedBy>
  <dcterms:modified xsi:type="dcterms:W3CDTF">2026-09-15T00:48:50Z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D1EEA2C131BB4D96A0C0666C0445D9B9_11</vt:lpwstr>
  </property>
  <property fmtid="{D5CDD505-2E9C-101B-9397-08002B2CF9AE}" pid="4" name="KSOTemplateDocerSaveRecord">
    <vt:lpwstr>eyJoZGlkIjoiMDQxNzk2NGE1Y2U3ZWRlY2U3NzY2NDlkNGRkNzdhZDQiLCJ1c2VySWQiOiIxODI4MDk1OTE1In0=</vt:lpwstr>
  </property>
</Properties>
</file>