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dp" ContentType="image/vnd.ms-photo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118">
      <w:pPr>
        <w:jc w:val="center"/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</w:pP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海南省中药材</w:t>
      </w:r>
      <w:r>
        <w:rPr>
          <w:rFonts w:hint="eastAsia" w:ascii="黑体" w:hAnsi="宋体" w:eastAsia="黑体" w:cs="黑体"/>
          <w:bCs/>
          <w:kern w:val="2"/>
          <w:sz w:val="32"/>
          <w:szCs w:val="32"/>
          <w:lang w:val="en-US" w:eastAsia="zh-CN" w:bidi="ar"/>
        </w:rPr>
        <w:t>质量</w:t>
      </w:r>
      <w:r>
        <w:rPr>
          <w:rFonts w:hint="default" w:ascii="黑体" w:hAnsi="宋体" w:eastAsia="黑体" w:cs="黑体"/>
          <w:bCs/>
          <w:kern w:val="2"/>
          <w:sz w:val="32"/>
          <w:szCs w:val="32"/>
          <w:lang w:val="en-US" w:eastAsia="zh-CN" w:bidi="ar"/>
        </w:rPr>
        <w:t>标准征求意见稿</w:t>
      </w:r>
    </w:p>
    <w:p w14:paraId="0D6F4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="156" w:beforeLines="5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白饭树</w:t>
      </w:r>
    </w:p>
    <w:p w14:paraId="72CB4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BaiFanShu</w:t>
      </w:r>
    </w:p>
    <w:p w14:paraId="4A3D0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val="en-US" w:eastAsia="zh-CN"/>
        </w:rPr>
        <w:t>FL</w:t>
      </w:r>
      <w:bookmarkStart w:id="12" w:name="_GoBack"/>
      <w:bookmarkEnd w:id="12"/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val="en-US" w:eastAsia="zh-CN"/>
        </w:rPr>
        <w:t>UEGGEA VIROSA RAMULUS ET FOLIUM</w:t>
      </w:r>
    </w:p>
    <w:p w14:paraId="5E429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>本品为大戟科白饭树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  <w:highlight w:val="none"/>
        </w:rPr>
        <w:t>F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highlight w:val="none"/>
          <w:lang w:eastAsia="zh-CN"/>
        </w:rPr>
        <w:t>l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  <w:highlight w:val="none"/>
        </w:rPr>
        <w:t xml:space="preserve">ueggea virosa 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>(Roxb.ex Wi</w:t>
      </w:r>
      <w:r>
        <w:rPr>
          <w:rFonts w:hint="eastAsia" w:ascii="Times New Roman" w:hAnsi="Times New Roman" w:cs="Times New Roman"/>
          <w:bCs/>
          <w:sz w:val="24"/>
          <w:szCs w:val="24"/>
          <w:highlight w:val="none"/>
          <w:lang w:eastAsia="zh-CN"/>
        </w:rPr>
        <w:t>ll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>d.)Voigt的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>干燥枝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>叶。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夏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秋季采收，洗净，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切段，干燥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。</w:t>
      </w:r>
    </w:p>
    <w:p w14:paraId="4F8C9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both"/>
        <w:textAlignment w:val="auto"/>
        <w:rPr>
          <w:rFonts w:hint="default" w:ascii="Times New Roman" w:hAnsi="Times New Roman" w:cs="Times New Roman"/>
          <w:bCs/>
          <w:color w:val="FF0000"/>
          <w:sz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【性状】</w:t>
      </w:r>
      <w:bookmarkStart w:id="0" w:name="_Hlk163806816"/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本品茎枝类圆形或类方形，具纵棱，茎表面红褐色，类圆形皮孔黄棕色，凹槽处尤多，棱上较少；质硬，可折断，断面黄白色，类白色髓部明显。单叶互生，多破碎脱落，完整者展平后呈长椭圆形或倒卵形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，长2～5cm，宽1～2.3cm，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先端钝而有小尖头，基部楔形，全缘。上表面黄绿色至棕绿色，下表面灰绿色至灰棕色，主脉黄褐色至红褐色，叶柄长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3～5mm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，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质脆，易碎。叶腋处偶有花簇或似鱼眼珠状的小果，多脱落。气微，味苦、微涩</w:t>
      </w:r>
      <w:r>
        <w:rPr>
          <w:rFonts w:hint="default" w:ascii="Times New Roman" w:hAnsi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bookmarkEnd w:id="0"/>
    <w:p w14:paraId="4C356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/>
          <w:color w:val="FF0000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【鉴别】</w:t>
      </w:r>
      <w:r>
        <w:rPr>
          <w:rFonts w:hint="default" w:ascii="Times New Roman" w:hAnsi="Times New Roman" w:cs="Times New Roman"/>
          <w:bCs/>
          <w:sz w:val="24"/>
          <w:highlight w:val="none"/>
        </w:rPr>
        <w:t>（1）</w:t>
      </w:r>
      <w:bookmarkStart w:id="1" w:name="_Hlk162424674"/>
      <w:r>
        <w:rPr>
          <w:rFonts w:hint="default" w:ascii="Times New Roman" w:hAnsi="Times New Roman"/>
          <w:bCs/>
          <w:sz w:val="24"/>
          <w:szCs w:val="24"/>
          <w:highlight w:val="none"/>
        </w:rPr>
        <w:t>本品粉末灰绿色至灰棕色。木栓细胞类方形或类多角形，壁微波状弯曲，深棕黄色。木纤维多成束，壁稍厚，纹孔及孔沟明显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直径18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~50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μm。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晶鞘纤维较多，周围薄壁细胞含大量成列排列的草酸钙簇晶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直径7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~15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。叶上表皮细胞多角形或类圆形，叶下表皮细胞类长方形或类圆形，壁稍厚，薄壁细胞中散在或聚集大量草酸钙簇晶，大小不等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~21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。导管主为螺纹导管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和具缘纹孔导管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气孔不定式。</w:t>
      </w:r>
      <w:bookmarkEnd w:id="1"/>
    </w:p>
    <w:p w14:paraId="5FE98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 w:themeColor="text1"/>
          <w:sz w:val="24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（2）</w:t>
      </w:r>
      <w:bookmarkStart w:id="2" w:name="_Hlk163553397"/>
      <w:r>
        <w:rPr>
          <w:rFonts w:hint="default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取本品粉末1.0g，加10%盐酸的50%甲醇溶液50ml，加热回流2小时，放冷，滤过，滤液用盐酸饱和的乙醚振摇提取2次，每次25ml，合并乙醚液，挥干，残渣加甲醇1ml使溶解，作为供试品溶液。另取白饭树对照药材</w:t>
      </w:r>
      <w:r>
        <w:rPr>
          <w:rFonts w:hint="eastAsia" w:ascii="Times New Roman" w:hAnsi="Times New Roman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1.0g，</w:t>
      </w:r>
      <w:r>
        <w:rPr>
          <w:rFonts w:hint="default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同法制成对照药材溶液。再取没食子酸对照品，加甲醇制成每1ml含0.5mg的溶液，作为对照品溶液。照薄层色谱法（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《中国药典》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2025年版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通则0502）试验，吸取上述三种溶液各5μl，分别点于同一硅胶G薄层板上，以甲苯（水饱和）-乙酸乙酯-甲酸（6:3:1）为展开剂，展开，取出，晾干</w:t>
      </w:r>
      <w:r>
        <w:rPr>
          <w:rFonts w:hint="eastAsia" w:ascii="Times New Roman" w:hAnsi="Times New Roman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喷以1%三氯化铁乙醇溶液</w:t>
      </w:r>
      <w:r>
        <w:rPr>
          <w:rFonts w:hint="eastAsia" w:ascii="Times New Roman" w:hAnsi="Times New Roman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置日光下检视</w:t>
      </w:r>
      <w:r>
        <w:rPr>
          <w:rFonts w:hint="default" w:ascii="Times New Roman" w:hAnsi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。供试品色谱中，在与对照药材和对照品色谱相应的位置上，显相同颜色的斑点。</w:t>
      </w:r>
    </w:p>
    <w:bookmarkEnd w:id="2"/>
    <w:p w14:paraId="286A5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 xml:space="preserve">【检查】水分 </w:t>
      </w:r>
      <w:bookmarkStart w:id="3" w:name="_Hlk163633223"/>
      <w:r>
        <w:rPr>
          <w:rFonts w:hint="default" w:ascii="Times New Roman" w:hAnsi="Times New Roman" w:cs="Times New Roman"/>
          <w:sz w:val="24"/>
          <w:szCs w:val="24"/>
          <w:highlight w:val="none"/>
        </w:rPr>
        <w:t>照水分测定法（《中国药典》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2025年版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通则0832）项下的烘干法测定</w:t>
      </w:r>
      <w:bookmarkEnd w:id="3"/>
      <w:r>
        <w:rPr>
          <w:rFonts w:hint="default" w:ascii="Times New Roman" w:hAnsi="Times New Roman" w:cs="Times New Roman"/>
          <w:sz w:val="24"/>
          <w:szCs w:val="24"/>
          <w:highlight w:val="none"/>
        </w:rPr>
        <w:t>，不得</w:t>
      </w:r>
      <w:r>
        <w:rPr>
          <w:rFonts w:hint="default" w:ascii="Times New Roman" w:hAnsi="Times New Roman" w:cs="Times New Roman"/>
          <w:sz w:val="24"/>
          <w:highlight w:val="none"/>
        </w:rPr>
        <w:t>过1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highlight w:val="none"/>
        </w:rPr>
        <w:t>.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highlight w:val="none"/>
        </w:rPr>
        <w:t>%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。</w:t>
      </w:r>
    </w:p>
    <w:p w14:paraId="54632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/>
          <w:sz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总灰分</w:t>
      </w:r>
      <w:bookmarkStart w:id="4" w:name="_Hlk163633484"/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照灰分测定法（《中国药典》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2025年版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通则2302）项下的总灰分测定法测定</w:t>
      </w:r>
      <w:bookmarkEnd w:id="4"/>
      <w:r>
        <w:rPr>
          <w:rFonts w:hint="default" w:ascii="Times New Roman" w:hAnsi="Times New Roman" w:cs="Times New Roman"/>
          <w:sz w:val="24"/>
          <w:szCs w:val="24"/>
          <w:highlight w:val="none"/>
        </w:rPr>
        <w:t>，不得过1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highlight w:val="none"/>
        </w:rPr>
        <w:t>.0%。</w:t>
      </w:r>
    </w:p>
    <w:p w14:paraId="7A0AF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eastAsia="zh-CN"/>
        </w:rPr>
        <w:t>【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浸出物</w:t>
      </w:r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eastAsia="zh-CN"/>
        </w:rPr>
        <w:t>】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 xml:space="preserve"> </w:t>
      </w:r>
      <w:bookmarkStart w:id="5" w:name="_Hlk163633622"/>
      <w:r>
        <w:rPr>
          <w:rFonts w:hint="default" w:ascii="Times New Roman" w:hAnsi="Times New Roman" w:cs="Times New Roman"/>
          <w:sz w:val="24"/>
          <w:szCs w:val="24"/>
          <w:highlight w:val="none"/>
        </w:rPr>
        <w:t>照浸出物测定法（《中国药典》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eastAsia="zh-CN"/>
        </w:rPr>
        <w:t>2025年版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四部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通则2201）项下的热浸法，用75%乙醇作溶剂</w:t>
      </w:r>
      <w:bookmarkEnd w:id="5"/>
      <w:r>
        <w:rPr>
          <w:rFonts w:hint="default" w:ascii="Times New Roman" w:hAnsi="Times New Roman" w:cs="Times New Roman"/>
          <w:sz w:val="24"/>
          <w:szCs w:val="24"/>
          <w:highlight w:val="none"/>
        </w:rPr>
        <w:t>，不得少于2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.0%。</w:t>
      </w:r>
    </w:p>
    <w:p w14:paraId="419B3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饮片</w:t>
      </w:r>
    </w:p>
    <w:p w14:paraId="50DEA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479" w:leftChars="228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【</w:t>
      </w:r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val="en-US" w:eastAsia="zh-CN"/>
        </w:rPr>
        <w:t>炮制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】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除去杂质，洗净，干燥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。</w:t>
      </w:r>
    </w:p>
    <w:p w14:paraId="023C4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479" w:leftChars="228"/>
        <w:textAlignment w:val="auto"/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eastAsia="zh-CN"/>
        </w:rPr>
        <w:t>【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性状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eastAsia="zh-CN"/>
        </w:rPr>
        <w:t>】【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鉴别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eastAsia="zh-CN"/>
        </w:rPr>
        <w:t>】【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检查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eastAsia="zh-CN"/>
        </w:rPr>
        <w:t>】【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浸出物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eastAsia="zh-CN"/>
        </w:rPr>
        <w:t>】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同药材。</w:t>
      </w:r>
    </w:p>
    <w:p w14:paraId="0E9FE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left="479" w:leftChars="228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【性味与归经】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苦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微涩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凉；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叶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有小毒。归脾、肺经。</w:t>
      </w:r>
    </w:p>
    <w:p w14:paraId="7A3C1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cs="Times New Roman" w:eastAsiaTheme="minorEastAsia"/>
          <w:bCs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【功能与主治】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清热解毒，消肿止痛，祛风止痒，止血。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外用治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湿疹，脓疱疮，皮肤瘙痒，疮疖，烧烫伤，外伤出血。</w:t>
      </w:r>
    </w:p>
    <w:p w14:paraId="0960C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【用法与用量】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10~30g</w:t>
      </w: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外用适量，煎水洗或调敷，或鲜品捣敷。</w:t>
      </w:r>
    </w:p>
    <w:p w14:paraId="360B1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2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【</w:t>
      </w:r>
      <w:r>
        <w:rPr>
          <w:rFonts w:hint="eastAsia" w:ascii="Times New Roman" w:hAnsi="Times New Roman" w:cs="Times New Roman"/>
          <w:b/>
          <w:sz w:val="24"/>
          <w:szCs w:val="24"/>
          <w:highlight w:val="none"/>
        </w:rPr>
        <w:t>贮藏</w:t>
      </w: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】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</w:rPr>
        <w:t>置干燥处。</w:t>
      </w:r>
    </w:p>
    <w:p w14:paraId="78EF5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2" w:firstLineChars="200"/>
        <w:textAlignment w:val="auto"/>
        <w:rPr>
          <w:rFonts w:hint="default" w:ascii="Times New Roman" w:hAnsi="Times New Roman" w:cs="Times New Roman" w:eastAsiaTheme="minorEastAsia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24"/>
          <w:szCs w:val="24"/>
          <w:highlight w:val="none"/>
          <w:lang w:eastAsia="zh-CN"/>
        </w:rPr>
        <w:t>【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highlight w:val="none"/>
          <w:lang w:val="en-US" w:eastAsia="zh-CN"/>
        </w:rPr>
        <w:t>注意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highlight w:val="none"/>
          <w:lang w:eastAsia="zh-CN"/>
        </w:rPr>
        <w:t>】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  <w:t>孕妇慎用。</w:t>
      </w:r>
    </w:p>
    <w:p w14:paraId="6AC5E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起草单位：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中国医学科学院药用植物研究所海南分所</w:t>
      </w:r>
    </w:p>
    <w:p w14:paraId="09291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firstLine="482" w:firstLineChars="200"/>
        <w:jc w:val="both"/>
        <w:textAlignment w:val="auto"/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复核单位：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海南省检验检测研究院</w:t>
      </w:r>
    </w:p>
    <w:p w14:paraId="791E1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cs="Times New Roman"/>
          <w:bCs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白饭树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药材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质量标准起草说明</w:t>
      </w:r>
    </w:p>
    <w:p w14:paraId="53B8F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一、来源</w:t>
      </w:r>
    </w:p>
    <w:p w14:paraId="2C715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白饭树来源于大戟科白饭树属植物白饭树的干燥枝叶。关于白饭树植物拉丁名的记载，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《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中国植物志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》（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1994年版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）、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《Flora of China》（2008年版）、《广东省中药材标准》（第三册）记载为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F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eastAsia="zh-CN"/>
        </w:rPr>
        <w:t>l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u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 xml:space="preserve">ggea virosa </w:t>
      </w:r>
      <w:r>
        <w:rPr>
          <w:rFonts w:hint="default" w:ascii="Times New Roman" w:hAnsi="Times New Roman" w:cs="Times New Roman"/>
          <w:bCs/>
          <w:sz w:val="24"/>
          <w:szCs w:val="24"/>
        </w:rPr>
        <w:t>(Roxb.ex Wi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ll</w:t>
      </w:r>
      <w:r>
        <w:rPr>
          <w:rFonts w:hint="default" w:ascii="Times New Roman" w:hAnsi="Times New Roman" w:cs="Times New Roman"/>
          <w:bCs/>
          <w:sz w:val="24"/>
          <w:szCs w:val="24"/>
        </w:rPr>
        <w:t>d.)Voigt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。《抗癌中药大全》（2000年版）、《植物智-中国植物物种信息系统》、《广东省中药材标准》（2025年版）记载为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F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eastAsia="zh-CN"/>
        </w:rPr>
        <w:t>l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u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 xml:space="preserve">ggea virosa </w:t>
      </w:r>
      <w:r>
        <w:rPr>
          <w:rFonts w:hint="default" w:ascii="Times New Roman" w:hAnsi="Times New Roman" w:cs="Times New Roman"/>
          <w:bCs/>
          <w:sz w:val="24"/>
          <w:szCs w:val="24"/>
        </w:rPr>
        <w:t>(Roxb.ex Wi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ll</w:t>
      </w:r>
      <w:r>
        <w:rPr>
          <w:rFonts w:hint="default" w:ascii="Times New Roman" w:hAnsi="Times New Roman" w:cs="Times New Roman"/>
          <w:bCs/>
          <w:sz w:val="24"/>
          <w:szCs w:val="24"/>
        </w:rPr>
        <w:t>d.)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Baill.。而《海南植物志》（1964年版）、《中华本草》（1999年版）、《全国中草药汇编》、《黎族药志》、《精编壮药学》等记载为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F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eastAsia="zh-CN"/>
        </w:rPr>
        <w:t>l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 xml:space="preserve">uggea virosa </w:t>
      </w:r>
      <w:r>
        <w:rPr>
          <w:rFonts w:hint="default" w:ascii="Times New Roman" w:hAnsi="Times New Roman" w:cs="Times New Roman"/>
          <w:bCs/>
          <w:sz w:val="24"/>
          <w:szCs w:val="24"/>
        </w:rPr>
        <w:t>(Roxb.ex Wi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ll</w:t>
      </w:r>
      <w:r>
        <w:rPr>
          <w:rFonts w:hint="default" w:ascii="Times New Roman" w:hAnsi="Times New Roman" w:cs="Times New Roman"/>
          <w:bCs/>
          <w:sz w:val="24"/>
          <w:szCs w:val="24"/>
        </w:rPr>
        <w:t>d.)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Baill.。因此，建议采用《中国植物志》和《Flora of China》记载的白饭树基原拉丁名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F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eastAsia="zh-CN"/>
        </w:rPr>
        <w:t>l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>u</w:t>
      </w:r>
      <w:r>
        <w:rPr>
          <w:rFonts w:hint="eastAsia" w:ascii="Times New Roman" w:hAnsi="Times New Roman" w:cs="Times New Roman"/>
          <w:bCs/>
          <w:i/>
          <w:i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</w:rPr>
        <w:t xml:space="preserve">ggea virosa </w:t>
      </w:r>
      <w:r>
        <w:rPr>
          <w:rFonts w:hint="default" w:ascii="Times New Roman" w:hAnsi="Times New Roman" w:cs="Times New Roman"/>
          <w:bCs/>
          <w:sz w:val="24"/>
          <w:szCs w:val="24"/>
        </w:rPr>
        <w:t>(Roxb.ex Wi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ll</w:t>
      </w:r>
      <w:r>
        <w:rPr>
          <w:rFonts w:hint="default" w:ascii="Times New Roman" w:hAnsi="Times New Roman" w:cs="Times New Roman"/>
          <w:bCs/>
          <w:sz w:val="24"/>
          <w:szCs w:val="24"/>
        </w:rPr>
        <w:t>d.)Voigt。</w:t>
      </w:r>
    </w:p>
    <w:p w14:paraId="50626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二、生境分布</w:t>
      </w:r>
    </w:p>
    <w:p w14:paraId="44BBB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生态环境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生于海拔100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2000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山地灌木丛中。</w:t>
      </w:r>
    </w:p>
    <w:p w14:paraId="2ED40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2" w:firstLineChars="200"/>
        <w:jc w:val="left"/>
        <w:textAlignment w:val="auto"/>
        <w:rPr>
          <w:rFonts w:hint="default" w:ascii="Times New Roman" w:hAnsi="Times New Roman" w:cs="Times New Roman" w:eastAsiaTheme="minorEastAsia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资源分布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分布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于华东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华南及西南各省区。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海南各地常见（《海南植物志》）。</w:t>
      </w:r>
    </w:p>
    <w:p w14:paraId="1B198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三、形态</w:t>
      </w:r>
    </w:p>
    <w:p w14:paraId="39B4A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灌木，高1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6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</w:t>
      </w:r>
      <w:r>
        <w:rPr>
          <w:rFonts w:hint="default" w:ascii="Times New Roman" w:hAnsi="Times New Roman" w:cs="Times New Roman"/>
          <w:bCs/>
          <w:sz w:val="24"/>
          <w:szCs w:val="24"/>
        </w:rPr>
        <w:t>；小枝具纵棱槽，有皮孔；全株无毛。叶片纸质，椭圆形、长圆形、倒卵形或近圆形，长2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cm</w:t>
      </w:r>
      <w:r>
        <w:rPr>
          <w:rFonts w:hint="default" w:ascii="Times New Roman" w:hAnsi="Times New Roman" w:cs="Times New Roman"/>
          <w:bCs/>
          <w:sz w:val="24"/>
          <w:szCs w:val="24"/>
        </w:rPr>
        <w:t>，宽1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cm</w:t>
      </w:r>
      <w:r>
        <w:rPr>
          <w:rFonts w:hint="default" w:ascii="Times New Roman" w:hAnsi="Times New Roman" w:cs="Times New Roman"/>
          <w:bCs/>
          <w:sz w:val="24"/>
          <w:szCs w:val="24"/>
        </w:rPr>
        <w:t>，顶端圆至急尖，有小尖头，基部钝至楔形，全缘，下面白绿色；侧脉每边5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8条；叶柄长2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9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；托叶披针形，长1.5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，边缘全缘或微撕裂。花小，淡黄色，雌雄异株，多朵簇生于叶腋；苞片鳞片状，长不及1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；雄花：花梗纤细，长3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6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；萼片5，卵形，长0.8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1.5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，宽0.6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1.2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，全缘或有不明显的细齿；雄蕊5，花丝长1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，花药椭圆形，长0.4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0.7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，伸出萼片之外；花盘腺体5，与雄蕊互生；退化雌蕊通常3深裂，高0.8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1.4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，顶端弯曲；雌花：3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10朵簇生，有时单生；花梗长1.5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12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；萼片与雄花的相同；花盘环状，顶端全缘，围绕子房基部；子房卵圆形，3室，花柱3，长0.7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1.1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，基部合生，顶部2裂，裂片外弯。蒴果浆果状，近圆球形，直径3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mm</w:t>
      </w:r>
      <w:r>
        <w:rPr>
          <w:rFonts w:hint="default" w:ascii="Times New Roman" w:hAnsi="Times New Roman" w:cs="Times New Roman"/>
          <w:bCs/>
          <w:sz w:val="24"/>
          <w:szCs w:val="24"/>
        </w:rPr>
        <w:t>，成熟时果皮淡白色，不开裂；种子栗褐色，具光泽，有小疣状凸起及网纹，种皮厚，种脐略圆形，腹部内陷。花期3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8月，果期7</w:t>
      </w:r>
      <w:r>
        <w:rPr>
          <w:rFonts w:hint="default" w:ascii="Times New Roman" w:hAnsi="Times New Roman" w:cs="Times New Roman"/>
          <w:bCs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bCs/>
          <w:sz w:val="24"/>
          <w:szCs w:val="24"/>
        </w:rPr>
        <w:t>12月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6D20E805">
      <w:pPr>
        <w:spacing w:line="360" w:lineRule="auto"/>
        <w:jc w:val="center"/>
        <w:rPr>
          <w:rFonts w:hint="default" w:ascii="Times New Roman" w:hAnsi="Times New Roman" w:cs="Times New Roman"/>
          <w:bCs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drawing>
          <wp:inline distT="0" distB="0" distL="114300" distR="114300">
            <wp:extent cx="1583690" cy="2700020"/>
            <wp:effectExtent l="0" t="0" r="16510" b="5080"/>
            <wp:docPr id="2" name="图片 2" descr="359-白饭树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59-白饭树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</w:rPr>
        <w:drawing>
          <wp:inline distT="0" distB="0" distL="114300" distR="114300">
            <wp:extent cx="3496945" cy="2700020"/>
            <wp:effectExtent l="0" t="0" r="825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9" r="650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49694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AF9A">
      <w:pPr>
        <w:pStyle w:val="4"/>
        <w:spacing w:line="360" w:lineRule="auto"/>
        <w:jc w:val="center"/>
        <w:rPr>
          <w:rFonts w:hint="default"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t xml:space="preserve">图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eastAsia="zh-CN"/>
        </w:rPr>
        <w:t xml:space="preserve"> 白饭树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val="en-US" w:eastAsia="zh-CN"/>
        </w:rPr>
        <w:t>植物</w:t>
      </w:r>
    </w:p>
    <w:p w14:paraId="28B4E63A">
      <w:pPr>
        <w:pStyle w:val="4"/>
        <w:jc w:val="center"/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eastAsia="zh-CN"/>
        </w:rPr>
      </w:pPr>
      <w:bookmarkStart w:id="6" w:name="_Hlk163554311"/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t xml:space="preserve">表 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instrText xml:space="preserve"> SEQ 表 \* ARABIC </w:instrTex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t>1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</w:rPr>
        <w:fldChar w:fldCharType="end"/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eastAsia="zh-CN"/>
        </w:rPr>
        <w:t xml:space="preserve"> 10批白饭树药材样品来源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5"/>
        <w:gridCol w:w="2461"/>
        <w:gridCol w:w="2294"/>
      </w:tblGrid>
      <w:tr w14:paraId="243F41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single" w:color="auto" w:sz="12" w:space="0"/>
              <w:bottom w:val="single" w:color="000000" w:sz="12" w:space="0"/>
            </w:tcBorders>
            <w:noWrap/>
            <w:vAlign w:val="center"/>
          </w:tcPr>
          <w:p w14:paraId="2C961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样品编号</w:t>
            </w:r>
          </w:p>
        </w:tc>
        <w:tc>
          <w:tcPr>
            <w:tcW w:w="2461" w:type="dxa"/>
            <w:tcBorders>
              <w:top w:val="single" w:color="auto" w:sz="12" w:space="0"/>
              <w:bottom w:val="single" w:color="000000" w:sz="12" w:space="0"/>
            </w:tcBorders>
            <w:noWrap/>
            <w:vAlign w:val="center"/>
          </w:tcPr>
          <w:p w14:paraId="529C5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 xml:space="preserve">采集地 </w:t>
            </w:r>
          </w:p>
        </w:tc>
        <w:tc>
          <w:tcPr>
            <w:tcW w:w="2294" w:type="dxa"/>
            <w:tcBorders>
              <w:top w:val="single" w:color="auto" w:sz="12" w:space="0"/>
              <w:bottom w:val="single" w:color="000000" w:sz="12" w:space="0"/>
            </w:tcBorders>
            <w:noWrap/>
            <w:vAlign w:val="center"/>
          </w:tcPr>
          <w:p w14:paraId="5D497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采集时间</w:t>
            </w:r>
          </w:p>
        </w:tc>
      </w:tr>
      <w:tr w14:paraId="1351A6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3495" w:type="dxa"/>
            <w:tcBorders>
              <w:top w:val="single" w:color="000000" w:sz="12" w:space="0"/>
              <w:bottom w:val="nil"/>
            </w:tcBorders>
            <w:noWrap/>
            <w:vAlign w:val="center"/>
          </w:tcPr>
          <w:p w14:paraId="764B312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BFS20230713001（对照药材）</w:t>
            </w:r>
          </w:p>
        </w:tc>
        <w:tc>
          <w:tcPr>
            <w:tcW w:w="2461" w:type="dxa"/>
            <w:tcBorders>
              <w:top w:val="single" w:color="000000" w:sz="12" w:space="0"/>
              <w:bottom w:val="nil"/>
            </w:tcBorders>
            <w:noWrap/>
            <w:vAlign w:val="center"/>
          </w:tcPr>
          <w:p w14:paraId="0F54A3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屯昌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县</w:t>
            </w:r>
          </w:p>
        </w:tc>
        <w:tc>
          <w:tcPr>
            <w:tcW w:w="2294" w:type="dxa"/>
            <w:tcBorders>
              <w:top w:val="single" w:color="000000" w:sz="12" w:space="0"/>
              <w:bottom w:val="nil"/>
            </w:tcBorders>
            <w:noWrap/>
            <w:vAlign w:val="center"/>
          </w:tcPr>
          <w:p w14:paraId="307EDD0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7.13</w:t>
            </w:r>
          </w:p>
        </w:tc>
      </w:tr>
      <w:tr w14:paraId="0AB59B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32E79A8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BFS20230713002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1F125A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定安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县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488AC78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7.13</w:t>
            </w:r>
          </w:p>
        </w:tc>
      </w:tr>
      <w:tr w14:paraId="6FAC6D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346914C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BFS20230713003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166AF53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海口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70C5F76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7.13</w:t>
            </w:r>
          </w:p>
        </w:tc>
      </w:tr>
      <w:tr w14:paraId="70F59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47001BF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BFS20230718004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752111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乐东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县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1009F7F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7.18</w:t>
            </w:r>
          </w:p>
        </w:tc>
      </w:tr>
      <w:tr w14:paraId="5C88AC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17E73C8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BFS20230915005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34D513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万宁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5926B74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9.15</w:t>
            </w:r>
          </w:p>
        </w:tc>
      </w:tr>
      <w:tr w14:paraId="3863ED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6615A92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BFS20230713006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1C84665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海口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东山镇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27EA691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7.13</w:t>
            </w:r>
          </w:p>
        </w:tc>
      </w:tr>
      <w:tr w14:paraId="4795E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4692A74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BFS20230901007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0C1604C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定安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县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361AC6B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9.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</w:tr>
      <w:tr w14:paraId="177427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686BDA2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BFS20230806008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51C22A6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琼海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5157C6F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8.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</w:tr>
      <w:tr w14:paraId="1CA0C0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nil"/>
            </w:tcBorders>
            <w:noWrap/>
            <w:vAlign w:val="center"/>
          </w:tcPr>
          <w:p w14:paraId="779B5FE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BFS20230915009</w:t>
            </w:r>
          </w:p>
        </w:tc>
        <w:tc>
          <w:tcPr>
            <w:tcW w:w="2461" w:type="dxa"/>
            <w:tcBorders>
              <w:top w:val="nil"/>
              <w:bottom w:val="nil"/>
            </w:tcBorders>
            <w:noWrap/>
            <w:vAlign w:val="center"/>
          </w:tcPr>
          <w:p w14:paraId="26B553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万宁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市</w:t>
            </w:r>
          </w:p>
        </w:tc>
        <w:tc>
          <w:tcPr>
            <w:tcW w:w="2294" w:type="dxa"/>
            <w:tcBorders>
              <w:top w:val="nil"/>
              <w:bottom w:val="nil"/>
            </w:tcBorders>
            <w:noWrap/>
            <w:vAlign w:val="center"/>
          </w:tcPr>
          <w:p w14:paraId="238050A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9.15</w:t>
            </w:r>
          </w:p>
        </w:tc>
      </w:tr>
      <w:tr w14:paraId="31D977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95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71F7D82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bidi="ar"/>
              </w:rPr>
              <w:t>BFS20230902010</w:t>
            </w:r>
          </w:p>
        </w:tc>
        <w:tc>
          <w:tcPr>
            <w:tcW w:w="2461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32015B1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海南省</w:t>
            </w:r>
            <w:r>
              <w:rPr>
                <w:rStyle w:val="10"/>
                <w:rFonts w:hint="default" w:ascii="Times New Roman" w:hAnsi="Times New Roman" w:cs="Times New Roman"/>
                <w:sz w:val="21"/>
                <w:szCs w:val="21"/>
                <w:lang w:bidi="ar"/>
              </w:rPr>
              <w:t>定安</w:t>
            </w:r>
            <w:r>
              <w:rPr>
                <w:rStyle w:val="10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县</w:t>
            </w:r>
          </w:p>
        </w:tc>
        <w:tc>
          <w:tcPr>
            <w:tcW w:w="2294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1342181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bidi="ar"/>
              </w:rPr>
              <w:t>2023.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bidi="ar"/>
              </w:rPr>
              <w:t>9.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bidi="ar"/>
              </w:rPr>
              <w:t>2</w:t>
            </w:r>
          </w:p>
        </w:tc>
      </w:tr>
      <w:bookmarkEnd w:id="6"/>
    </w:tbl>
    <w:p w14:paraId="333D3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四、性状</w:t>
      </w:r>
    </w:p>
    <w:p w14:paraId="5E5F6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（1）方法</w:t>
      </w:r>
    </w:p>
    <w:p w14:paraId="354FF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7" w:name="_Hlk163806883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参照《中国药典》202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年版第四部药材和饮片检定（通则0212），观察10批白饭树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药材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形状、大小、表面（色泽与特征）及气味等特征。</w:t>
      </w:r>
      <w:bookmarkEnd w:id="7"/>
    </w:p>
    <w:p w14:paraId="02956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（2）结果</w:t>
      </w:r>
    </w:p>
    <w:p w14:paraId="49F0A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10批白饭树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药材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的性状结果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拟规定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白饭树药材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性状项为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本品茎枝类圆形或类方形，具纵棱，茎表面红褐色，类圆形皮孔黄棕色，凹槽处尤多，棱上较少；质硬，可折断，断面黄白色，类白色髓部明显。单叶互生，多破碎脱落，完整者展平后呈长椭圆形或倒卵形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，长2～5cm，宽1～2.3cm，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先端钝而有小尖头，基部楔形，全缘。上表面黄绿色至棕绿色，下表面灰绿色至灰棕色，主脉黄褐色至红褐色，叶柄长</w:t>
      </w:r>
      <w:r>
        <w:rPr>
          <w:rFonts w:hint="default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3～5mm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，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质脆，易碎。叶腋处偶有花簇或似鱼眼珠状的小果，多脱落。气微，味苦、微涩</w:t>
      </w:r>
      <w:r>
        <w:rPr>
          <w:rFonts w:hint="default" w:ascii="Times New Roman" w:hAnsi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6025202">
      <w:pPr>
        <w:spacing w:before="156" w:beforeLines="50" w:line="360" w:lineRule="auto"/>
        <w:jc w:val="center"/>
        <w:rPr>
          <w:rFonts w:hint="default" w:ascii="Times New Roman" w:hAnsi="Times New Roman" w:cs="Times New Roman"/>
          <w:b/>
          <w:color w:val="FF0000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FF0000"/>
          <w:sz w:val="32"/>
          <w:szCs w:val="32"/>
        </w:rPr>
        <w:drawing>
          <wp:inline distT="0" distB="0" distL="114300" distR="114300">
            <wp:extent cx="3241675" cy="2164080"/>
            <wp:effectExtent l="0" t="0" r="1587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" r="50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241675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76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FF0000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48890" cy="1715770"/>
            <wp:effectExtent l="0" t="0" r="3810" b="17780"/>
            <wp:docPr id="3" name="图片 3" descr="白饭树-叶-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白饭树-叶-正面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8890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78735" cy="1727835"/>
            <wp:effectExtent l="0" t="0" r="12065" b="5715"/>
            <wp:docPr id="6" name="图片 6" descr="白饭树-叶-反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白饭树-叶-反面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873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63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叶片</w:t>
      </w:r>
    </w:p>
    <w:p w14:paraId="24710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3180080" cy="1754505"/>
            <wp:effectExtent l="0" t="0" r="1270" b="17145"/>
            <wp:docPr id="9" name="图片 9" descr="白饭树-茎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白饭树-茎(1)"/>
                    <pic:cNvPicPr>
                      <a:picLocks noChangeAspect="1"/>
                    </pic:cNvPicPr>
                  </pic:nvPicPr>
                  <pic:blipFill>
                    <a:blip r:embed="rId11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08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1915795" cy="1759585"/>
            <wp:effectExtent l="0" t="0" r="8255" b="12065"/>
            <wp:docPr id="8" name="图片 8" descr="白饭树-茎横切面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白饭树-茎横切面(1)"/>
                    <pic:cNvPicPr>
                      <a:picLocks noChangeAspect="1"/>
                    </pic:cNvPicPr>
                  </pic:nvPicPr>
                  <pic:blipFill>
                    <a:blip r:embed="rId12">
                      <a:lum brigh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3B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茎</w:t>
      </w:r>
    </w:p>
    <w:p w14:paraId="05C69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96515" cy="1967230"/>
            <wp:effectExtent l="0" t="0" r="13335" b="13970"/>
            <wp:docPr id="7" name="图片 7" descr="白饭树-果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白饭树-果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05075" cy="1970405"/>
            <wp:effectExtent l="0" t="0" r="9525" b="10795"/>
            <wp:docPr id="10" name="图片 10" descr="白饭树-果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白饭树-果-1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D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果及种子</w:t>
      </w:r>
    </w:p>
    <w:p w14:paraId="1159F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  <w:t xml:space="preserve">图 </w:t>
      </w: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2</w:t>
      </w:r>
      <w:r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  <w:t xml:space="preserve"> 白饭树药材性状</w:t>
      </w:r>
    </w:p>
    <w:p w14:paraId="54F67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五、化学成分</w:t>
      </w:r>
    </w:p>
    <w:p w14:paraId="117AE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left"/>
        <w:textAlignment w:val="auto"/>
        <w:rPr>
          <w:rFonts w:hint="default" w:ascii="Times New Roman" w:hAnsi="Times New Roman" w:cs="Times New Roman"/>
          <w:bCs/>
          <w:sz w:val="24"/>
        </w:rPr>
      </w:pP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白饭树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叶主要含二氧去甲一叶萩碱</w:t>
      </w:r>
      <w:r>
        <w:rPr>
          <w:rFonts w:hint="default" w:ascii="Times New Roman" w:hAnsi="Times New Roman" w:cs="Times New Roman"/>
          <w:bCs/>
          <w:sz w:val="24"/>
        </w:rPr>
        <w:t>。茎皮、根皮含生物碱、去甲一叶萩碱。从白饭树叶及嫩枝乙醇提取物的三氯甲烷部位中分离得到9个化合物，分别为11-O-乙酰岩白菜素、岩白菜素、右旋</w:t>
      </w:r>
      <w:r>
        <w:rPr>
          <w:rFonts w:hint="eastAsia" w:ascii="Times New Roman" w:hAnsi="Times New Roman" w:cs="Times New Roman"/>
          <w:bCs/>
          <w:sz w:val="24"/>
          <w:lang w:val="en-US" w:eastAsia="zh-CN"/>
        </w:rPr>
        <w:t>-</w:t>
      </w:r>
      <w:r>
        <w:rPr>
          <w:rFonts w:hint="default" w:ascii="Times New Roman" w:hAnsi="Times New Roman" w:cs="Times New Roman"/>
          <w:bCs/>
          <w:sz w:val="24"/>
        </w:rPr>
        <w:t>叶萩碱、山奈酚、槲皮素、没食子酸、胡萝卜苷和β-谷甾醇。</w:t>
      </w:r>
    </w:p>
    <w:p w14:paraId="43F0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六、鉴别</w:t>
      </w:r>
    </w:p>
    <w:p w14:paraId="27CEB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outlineLvl w:val="2"/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1、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粉末</w:t>
      </w:r>
      <w:r>
        <w:rPr>
          <w:rFonts w:hint="default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显微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鉴别</w:t>
      </w:r>
    </w:p>
    <w:p w14:paraId="0BC07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（1）方法</w:t>
      </w:r>
    </w:p>
    <w:p w14:paraId="27CD1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</w:rPr>
        <w:t>参照《中国药典》202</w:t>
      </w:r>
      <w:r>
        <w:rPr>
          <w:rFonts w:hint="eastAsia" w:ascii="Times New Roman" w:hAnsi="Times New Roman" w:cs="Times New Roman"/>
          <w:sz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</w:rPr>
        <w:t>年版四部显微鉴别法（通则2001）项下的方法制片，取10批白饭树</w:t>
      </w:r>
      <w:r>
        <w:rPr>
          <w:rFonts w:hint="eastAsia" w:ascii="Times New Roman" w:hAnsi="Times New Roman" w:cs="Times New Roman"/>
          <w:sz w:val="24"/>
          <w:lang w:val="en-US" w:eastAsia="zh-CN"/>
        </w:rPr>
        <w:t>药材</w:t>
      </w:r>
      <w:r>
        <w:rPr>
          <w:rFonts w:hint="default" w:ascii="Times New Roman" w:hAnsi="Times New Roman" w:cs="Times New Roman"/>
          <w:sz w:val="24"/>
        </w:rPr>
        <w:t>粉末，</w:t>
      </w:r>
      <w:r>
        <w:rPr>
          <w:rFonts w:hint="default" w:ascii="Times New Roman" w:hAnsi="Times New Roman" w:eastAsia="宋体" w:cs="Times New Roman"/>
          <w:sz w:val="24"/>
          <w:szCs w:val="24"/>
        </w:rPr>
        <w:t>过四号筛；挑取少许置载玻片上，滴加水合氯醛，盖上盖玻片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在生物显微镜下观察粉末显微结构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。 </w:t>
      </w:r>
    </w:p>
    <w:p w14:paraId="54147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（2）结果</w:t>
      </w:r>
    </w:p>
    <w:p w14:paraId="38254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jc w:val="both"/>
        <w:textAlignment w:val="auto"/>
        <w:rPr>
          <w:rFonts w:hint="default" w:ascii="Times New Roman" w:hAnsi="Times New Roman" w:cs="Times New Roman"/>
          <w:b/>
          <w:bCs/>
          <w:color w:val="FF0000"/>
          <w:szCs w:val="21"/>
        </w:rPr>
      </w:pP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根据10批白饭树药材粉末显微结构特征，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拟规定显微鉴别项为：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本品粉末灰绿色至灰棕色。木栓细胞类方形或类多角形，壁微波状弯曲，深棕黄色。木纤维多成束，壁稍厚，纹孔及孔沟明显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直径18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~50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μm。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晶鞘纤维较多，周围薄壁细胞含大量成列排列的草酸钙簇晶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直径7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~15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。叶上表皮细胞多角形或类圆形，叶下表皮细胞类长方形或类圆形，壁稍厚，薄壁细胞中散在或聚集大量草酸钙簇晶，大小不等</w:t>
      </w:r>
      <w:r>
        <w:rPr>
          <w:rFonts w:hint="eastAsia" w:ascii="Times New Roman" w:hAnsi="Times New Roman"/>
          <w:bCs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~21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。导管主为螺纹导管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和具缘纹孔导管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，</w:t>
      </w:r>
      <w:r>
        <w:rPr>
          <w:rFonts w:hint="eastAsia" w:ascii="Times New Roman" w:hAnsi="Times New Roman"/>
          <w:bCs/>
          <w:sz w:val="24"/>
          <w:szCs w:val="24"/>
          <w:highlight w:val="none"/>
          <w:lang w:val="en-US" w:eastAsia="zh-CN"/>
        </w:rPr>
        <w:t>直径5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~20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μm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/>
          <w:bCs/>
          <w:sz w:val="24"/>
          <w:szCs w:val="24"/>
          <w:highlight w:val="none"/>
        </w:rPr>
        <w:t>气孔不定式。</w:t>
      </w:r>
    </w:p>
    <w:p w14:paraId="44D63ACF">
      <w:pPr>
        <w:spacing w:line="360" w:lineRule="auto"/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Cs w:val="21"/>
        </w:rPr>
        <w:drawing>
          <wp:inline distT="0" distB="0" distL="0" distR="0">
            <wp:extent cx="3104515" cy="4573270"/>
            <wp:effectExtent l="0" t="0" r="17780" b="635"/>
            <wp:docPr id="7428178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17809" name="图片 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04515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41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684780" cy="1764030"/>
            <wp:effectExtent l="0" t="0" r="1270" b="7620"/>
            <wp:docPr id="11" name="图片 11" descr="茎木栓细胞-40x-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茎木栓细胞-40x-4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2416175" cy="1764030"/>
            <wp:effectExtent l="0" t="0" r="3175" b="7620"/>
            <wp:docPr id="12" name="图片 12" descr="茎木栓细胞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茎木栓细胞-40x-1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16175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A0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木栓细胞</w:t>
      </w:r>
    </w:p>
    <w:p w14:paraId="24663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FF0000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3609975" cy="2339975"/>
            <wp:effectExtent l="0" t="0" r="9525" b="3175"/>
            <wp:docPr id="13" name="图片 13" descr="茎木纤维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茎木纤维-40x-1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1472565" cy="2339975"/>
            <wp:effectExtent l="0" t="0" r="13335" b="3175"/>
            <wp:docPr id="14" name="图片 14" descr="茎具缘纹孔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茎具缘纹孔-40x-1(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7256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木纤维</w:t>
      </w:r>
    </w:p>
    <w:p w14:paraId="21B81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FF0000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3270885" cy="2700020"/>
            <wp:effectExtent l="0" t="0" r="5080" b="5715"/>
            <wp:docPr id="15" name="图片 15" descr="枝-晶鞘纤维-4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枝-晶鞘纤维-40X-2(1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7088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FF000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/>
          <w:color w:val="FF0000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390775" cy="3291205"/>
            <wp:effectExtent l="0" t="0" r="9525" b="4445"/>
            <wp:docPr id="16" name="图片 16" descr="枝-晶鞘纤维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枝-晶鞘纤维-40X-1(1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5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茎晶鞘纤维</w:t>
      </w:r>
    </w:p>
    <w:p w14:paraId="6C583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250180" cy="1769745"/>
            <wp:effectExtent l="0" t="0" r="7620" b="1905"/>
            <wp:docPr id="17" name="图片 17" descr="叶上表皮细胞-草酸钙簇晶-40X-7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叶上表皮细胞-草酸钙簇晶-40X-7-1(1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261610" cy="1883410"/>
            <wp:effectExtent l="0" t="0" r="15240" b="2540"/>
            <wp:docPr id="18" name="图片 18" descr="叶上表皮细胞-草酸钙簇晶-40X-7-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叶上表皮细胞-草酸钙簇晶-40X-7-4(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32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叶晶鞘纤维</w:t>
      </w:r>
    </w:p>
    <w:p w14:paraId="68BD9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250180" cy="3242945"/>
            <wp:effectExtent l="0" t="0" r="7620" b="14605"/>
            <wp:docPr id="23" name="图片 23" descr="叶上表皮细胞-4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叶上表皮细胞-40X-2(1)"/>
                    <pic:cNvPicPr>
                      <a:picLocks noChangeAspect="1"/>
                    </pic:cNvPicPr>
                  </pic:nvPicPr>
                  <pic:blipFill>
                    <a:blip r:embed="rId25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259705" cy="2846705"/>
            <wp:effectExtent l="0" t="0" r="17145" b="10795"/>
            <wp:docPr id="19" name="图片 19" descr="叶上表皮细胞-草酸钙簇晶-20X-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叶上表皮细胞-草酸钙簇晶-20X-8(1)"/>
                    <pic:cNvPicPr>
                      <a:picLocks noChangeAspect="1"/>
                    </pic:cNvPicPr>
                  </pic:nvPicPr>
                  <pic:blipFill>
                    <a:blip r:embed="rId26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4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F0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叶上表皮细胞</w:t>
      </w:r>
    </w:p>
    <w:p w14:paraId="304F0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08885" cy="2827020"/>
            <wp:effectExtent l="0" t="0" r="5715" b="11430"/>
            <wp:docPr id="29" name="图片 29" descr="叶下表皮细胞-2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叶下表皮细胞-20X-1(1)"/>
                    <pic:cNvPicPr>
                      <a:picLocks noChangeAspect="1"/>
                    </pic:cNvPicPr>
                  </pic:nvPicPr>
                  <pic:blipFill>
                    <a:blip r:embed="rId27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663825" cy="2842895"/>
            <wp:effectExtent l="0" t="0" r="3175" b="14605"/>
            <wp:docPr id="28" name="图片 28" descr="叶下表皮细胞-2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叶下表皮细胞-20X-2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CD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叶下表细胞</w:t>
      </w:r>
    </w:p>
    <w:p w14:paraId="0619A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2520950" cy="1550035"/>
            <wp:effectExtent l="0" t="0" r="12700" b="12065"/>
            <wp:docPr id="32" name="图片 32" descr="叶上表皮细胞-导管-40X-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叶上表皮细胞-导管-40X-4(1)"/>
                    <pic:cNvPicPr>
                      <a:picLocks noChangeAspect="1"/>
                    </pic:cNvPicPr>
                  </pic:nvPicPr>
                  <pic:blipFill>
                    <a:blip r:embed="rId29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drawing>
          <wp:inline distT="0" distB="0" distL="114300" distR="114300">
            <wp:extent cx="2512060" cy="1548130"/>
            <wp:effectExtent l="0" t="0" r="2540" b="1397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BF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导管</w:t>
      </w:r>
    </w:p>
    <w:p w14:paraId="768F0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178425" cy="3339465"/>
            <wp:effectExtent l="0" t="0" r="3175" b="13335"/>
            <wp:docPr id="30" name="图片 30" descr="叶下表皮细胞-气孔-40X-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叶下表皮细胞-气孔-40X-1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auto"/>
          <w:sz w:val="24"/>
          <w:szCs w:val="32"/>
          <w:highlight w:val="none"/>
          <w:lang w:val="en-US" w:eastAsia="zh-CN"/>
        </w:rPr>
        <w:drawing>
          <wp:inline distT="0" distB="0" distL="114300" distR="114300">
            <wp:extent cx="5151120" cy="3185795"/>
            <wp:effectExtent l="0" t="0" r="11430" b="14605"/>
            <wp:docPr id="31" name="图片 31" descr="叶上表皮细胞-气孔-40X-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叶上表皮细胞-气孔-40X-2(1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3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38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1"/>
          <w:szCs w:val="21"/>
          <w:highlight w:val="none"/>
          <w:lang w:val="en-US" w:eastAsia="zh-CN"/>
        </w:rPr>
        <w:t>气孔</w:t>
      </w:r>
    </w:p>
    <w:p w14:paraId="30335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  <w:t xml:space="preserve">图 </w:t>
      </w: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3</w:t>
      </w:r>
      <w:r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  <w:t xml:space="preserve"> 白饭树</w:t>
      </w: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药材</w:t>
      </w:r>
      <w:r>
        <w:rPr>
          <w:rFonts w:hint="default"/>
          <w:b/>
          <w:bCs/>
          <w:color w:val="auto"/>
          <w:sz w:val="21"/>
          <w:szCs w:val="24"/>
          <w:highlight w:val="none"/>
          <w:lang w:val="en-US" w:eastAsia="zh-CN"/>
        </w:rPr>
        <w:t>粉末显微</w:t>
      </w:r>
      <w:r>
        <w:rPr>
          <w:rFonts w:hint="eastAsia"/>
          <w:b/>
          <w:bCs/>
          <w:color w:val="auto"/>
          <w:sz w:val="21"/>
          <w:szCs w:val="24"/>
          <w:highlight w:val="none"/>
          <w:lang w:val="en-US" w:eastAsia="zh-CN"/>
        </w:rPr>
        <w:t>结构</w:t>
      </w:r>
    </w:p>
    <w:p w14:paraId="78D68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、薄层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色谱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鉴别</w:t>
      </w:r>
    </w:p>
    <w:p w14:paraId="291E0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（1）方法</w:t>
      </w:r>
    </w:p>
    <w:p w14:paraId="0D5FC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取本品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粉末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.0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g，加10%盐酸的50%甲醇溶液50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，加热回流2小时，放冷，滤过，滤液用盐酸饱和的乙醚振摇提取2次，每次25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，合并乙醚液，挥干，残渣加甲醇1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使溶解，作为供试品溶液。另取白饭树对照药材</w:t>
      </w:r>
      <w:r>
        <w:rPr>
          <w:rFonts w:hint="eastAsia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1.0g，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同法制成对照药材溶液。再取没食子酸对照品，加甲醇制成每1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含0.5mg的溶液，作为对照品溶液。照《中国药典》202</w:t>
      </w:r>
      <w:r>
        <w:rPr>
          <w:rFonts w:hint="eastAsia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年版薄层色谱法（通则0502）试验，吸取上述三种溶液各5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μ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，分别点于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同一硅胶G薄层板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上，以甲苯（水饱和）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乙酸乙酯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甲酸（6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1）为展开剂，展开，取出，晾干。喷以1%三氯化铁乙醇溶液</w:t>
      </w:r>
      <w:r>
        <w:rPr>
          <w:rFonts w:hint="eastAsia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置日光下检视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3B8EA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（2）结果</w:t>
      </w:r>
    </w:p>
    <w:p w14:paraId="4160A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供试品色谱中，在与对照品</w:t>
      </w:r>
      <w:r>
        <w:rPr>
          <w:rFonts w:hint="eastAsia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对照药材色谱相应的位置上，显相同颜色的斑点</w:t>
      </w:r>
      <w:r>
        <w:rPr>
          <w:rFonts w:hint="default" w:ascii="Times New Roman" w:hAnsi="Times New Roman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如图</w:t>
      </w:r>
      <w:r>
        <w:rPr>
          <w:rFonts w:hint="default" w:ascii="Times New Roman" w:hAnsi="Times New Roman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所示</w:t>
      </w:r>
      <w:r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033ECC2D">
      <w:pPr>
        <w:spacing w:line="360" w:lineRule="auto"/>
        <w:jc w:val="center"/>
        <w:rPr>
          <w:rFonts w:hint="default" w:ascii="Times New Roman" w:hAnsi="Times New Roman" w:cs="Times New Roman"/>
          <w:b/>
          <w:color w:val="FF0000"/>
          <w:szCs w:val="21"/>
        </w:rPr>
      </w:pPr>
      <w:r>
        <w:rPr>
          <w:rFonts w:hint="default" w:ascii="Times New Roman" w:hAnsi="Times New Roman" w:cs="Times New Roman"/>
          <w:b/>
          <w:color w:val="FF0000"/>
          <w:szCs w:val="21"/>
        </w:rPr>
        <w:drawing>
          <wp:inline distT="0" distB="0" distL="114300" distR="114300">
            <wp:extent cx="5261610" cy="2570480"/>
            <wp:effectExtent l="0" t="0" r="152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57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459F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</w:rPr>
        <w:t>图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  <w:t xml:space="preserve"> 白饭树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val="en-US" w:eastAsia="zh-CN"/>
        </w:rPr>
        <w:t>药材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  <w:t>薄层色谱图</w:t>
      </w:r>
      <w:bookmarkStart w:id="8" w:name="_Hlk163721535"/>
    </w:p>
    <w:p w14:paraId="1F0BB70A">
      <w:pPr>
        <w:jc w:val="center"/>
        <w:rPr>
          <w:rFonts w:hint="default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1为对照药材；8为没食子酸对照品；2-7、9-11为供试品药材</w:t>
      </w:r>
      <w:r>
        <w:rPr>
          <w:rFonts w:hint="eastAsia" w:ascii="Times New Roman" w:hAnsi="Times New Roman" w:cs="Times New Roman"/>
          <w:lang w:eastAsia="zh-CN"/>
        </w:rPr>
        <w:t>）</w:t>
      </w:r>
      <w:bookmarkEnd w:id="8"/>
    </w:p>
    <w:p w14:paraId="540BB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七、检查</w:t>
      </w:r>
    </w:p>
    <w:p w14:paraId="3F05B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1、水分</w:t>
      </w:r>
    </w:p>
    <w:p w14:paraId="0CC9A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照水分测定法（《中国药典》202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szCs w:val="24"/>
        </w:rPr>
        <w:t>年版四部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通则0832）项下的烘干法，测定10批白饭树药材水分为8.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83</w:t>
      </w:r>
      <w:r>
        <w:rPr>
          <w:rFonts w:hint="default" w:ascii="Times New Roman" w:hAnsi="Times New Roman" w:cs="Times New Roman"/>
          <w:sz w:val="24"/>
          <w:szCs w:val="24"/>
        </w:rPr>
        <w:t>%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sz w:val="24"/>
          <w:szCs w:val="24"/>
        </w:rPr>
        <w:t>12.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cs="Times New Roman"/>
          <w:sz w:val="24"/>
          <w:szCs w:val="24"/>
        </w:rPr>
        <w:t>%，根据10批白饭树水分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平均值上浮</w:t>
      </w:r>
      <w:r>
        <w:rPr>
          <w:rFonts w:hint="default" w:ascii="Times New Roman" w:hAnsi="Times New Roman" w:cs="Times New Roman"/>
          <w:sz w:val="24"/>
          <w:szCs w:val="24"/>
        </w:rPr>
        <w:t>20%，得到白饭树水分限定标准：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10.13</w:t>
      </w:r>
      <w:r>
        <w:rPr>
          <w:rFonts w:hint="default" w:ascii="Times New Roman" w:hAnsi="Times New Roman" w:cs="Times New Roman"/>
          <w:sz w:val="24"/>
          <w:szCs w:val="24"/>
        </w:rPr>
        <w:t>%×1.2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=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2.16</w:t>
      </w:r>
      <w:r>
        <w:rPr>
          <w:rFonts w:hint="default" w:ascii="Times New Roman" w:hAnsi="Times New Roman" w:cs="Times New Roman"/>
          <w:sz w:val="24"/>
          <w:szCs w:val="24"/>
        </w:rPr>
        <w:t>%，拟规定白饭树药材水分不得过1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.0%。</w:t>
      </w:r>
    </w:p>
    <w:p w14:paraId="3D2FC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2、总灰分</w:t>
      </w:r>
    </w:p>
    <w:p w14:paraId="595CC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照灰分测定法（《中国药典》2020年版四部通则2302）项下的总灰分测定法，测定10批白饭树总灰分为6.0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</w:rPr>
        <w:t>%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~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10.92</w:t>
      </w:r>
      <w:r>
        <w:rPr>
          <w:rFonts w:hint="default" w:ascii="Times New Roman" w:hAnsi="Times New Roman" w:cs="Times New Roman"/>
          <w:sz w:val="24"/>
          <w:szCs w:val="24"/>
        </w:rPr>
        <w:t>%，根据10批白饭树总灰分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平均值上浮</w:t>
      </w:r>
      <w:r>
        <w:rPr>
          <w:rFonts w:hint="default" w:ascii="Times New Roman" w:hAnsi="Times New Roman" w:cs="Times New Roman"/>
          <w:sz w:val="24"/>
          <w:szCs w:val="24"/>
        </w:rPr>
        <w:t>20%，得到白饭树总灰分限量标准：</w:t>
      </w:r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 w:bidi="ar"/>
        </w:rPr>
        <w:t>8.48</w:t>
      </w:r>
      <w:r>
        <w:rPr>
          <w:rFonts w:hint="default" w:ascii="Times New Roman" w:hAnsi="Times New Roman" w:cs="Times New Roman"/>
          <w:sz w:val="24"/>
          <w:szCs w:val="24"/>
        </w:rPr>
        <w:t>%×1.20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≈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0.18</w:t>
      </w:r>
      <w:r>
        <w:rPr>
          <w:rFonts w:hint="default" w:ascii="Times New Roman" w:hAnsi="Times New Roman" w:cs="Times New Roman"/>
          <w:sz w:val="24"/>
          <w:szCs w:val="24"/>
        </w:rPr>
        <w:t>%，拟规定白饭树总灰分不得过1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szCs w:val="24"/>
        </w:rPr>
        <w:t>.0%。</w:t>
      </w:r>
    </w:p>
    <w:p w14:paraId="73631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3、酸不溶性灰分</w:t>
      </w:r>
    </w:p>
    <w:p w14:paraId="48E41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照灰分测定法（《中国药典》2020年版四部通则2302）项下的酸不溶性灰分测定法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，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测定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批白饭树酸不溶性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灰分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为0.1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%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eastAsia="zh-CN"/>
        </w:rPr>
        <w:t>~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0.62%，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酸不溶性灰分低于1.0%，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故酸不溶性灰分不纳入此标准。</w:t>
      </w:r>
    </w:p>
    <w:p w14:paraId="6C509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4、浸出物</w:t>
      </w:r>
    </w:p>
    <w:p w14:paraId="2D07D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照浸出物测定法（《中国药典》2020年版四部通则2201）项下的热浸法，用75%乙醇作溶剂，测定10批白饭树药材浸出物为2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4.73</w:t>
      </w:r>
      <w:r>
        <w:rPr>
          <w:rFonts w:hint="default" w:ascii="Times New Roman" w:hAnsi="Times New Roman" w:cs="Times New Roman"/>
          <w:sz w:val="24"/>
          <w:szCs w:val="24"/>
        </w:rPr>
        <w:t>%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~</w:t>
      </w:r>
      <w:r>
        <w:rPr>
          <w:rFonts w:hint="default" w:ascii="Times New Roman" w:hAnsi="Times New Roman" w:cs="Times New Roman"/>
          <w:sz w:val="24"/>
          <w:szCs w:val="24"/>
        </w:rPr>
        <w:t>3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7.49</w:t>
      </w:r>
      <w:r>
        <w:rPr>
          <w:rFonts w:hint="default" w:ascii="Times New Roman" w:hAnsi="Times New Roman" w:cs="Times New Roman"/>
          <w:sz w:val="24"/>
          <w:szCs w:val="24"/>
        </w:rPr>
        <w:t>%，根据10批白饭树浸出物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平均值下浮2</w:t>
      </w:r>
      <w:r>
        <w:rPr>
          <w:rFonts w:hint="default" w:ascii="Times New Roman" w:hAnsi="Times New Roman" w:cs="Times New Roman"/>
          <w:sz w:val="24"/>
          <w:szCs w:val="24"/>
        </w:rPr>
        <w:t>0%，得到白饭树浸出物限量标准：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32.93</w:t>
      </w:r>
      <w:r>
        <w:rPr>
          <w:rFonts w:hint="default" w:ascii="Times New Roman" w:hAnsi="Times New Roman" w:cs="Times New Roman"/>
          <w:sz w:val="24"/>
          <w:szCs w:val="24"/>
        </w:rPr>
        <w:t>%×0.80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=26.34</w:t>
      </w:r>
      <w:r>
        <w:rPr>
          <w:rFonts w:hint="default" w:ascii="Times New Roman" w:hAnsi="Times New Roman" w:cs="Times New Roman"/>
          <w:sz w:val="24"/>
          <w:szCs w:val="24"/>
        </w:rPr>
        <w:t>%，拟规定白饭树药材浸出物不得少于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26.0</w:t>
      </w:r>
      <w:r>
        <w:rPr>
          <w:rFonts w:hint="default" w:ascii="Times New Roman" w:hAnsi="Times New Roman" w:cs="Times New Roman"/>
          <w:sz w:val="24"/>
          <w:szCs w:val="24"/>
        </w:rPr>
        <w:t>%。</w:t>
      </w:r>
    </w:p>
    <w:p w14:paraId="44947184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</w:rPr>
        <w:t xml:space="preserve">表 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8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  <w:t xml:space="preserve"> 10批白饭树药材水分、总灰分、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8"/>
          <w:lang w:val="en-US" w:eastAsia="zh-CN"/>
        </w:rPr>
        <w:t>酸不溶性灰分、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8"/>
          <w:lang w:eastAsia="zh-CN"/>
        </w:rPr>
        <w:t>浸出物测定结果（n=3）</w:t>
      </w:r>
    </w:p>
    <w:tbl>
      <w:tblPr>
        <w:tblStyle w:val="7"/>
        <w:tblW w:w="815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245"/>
        <w:gridCol w:w="1620"/>
        <w:gridCol w:w="2085"/>
        <w:gridCol w:w="1390"/>
      </w:tblGrid>
      <w:tr w14:paraId="51470B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810" w:type="dxa"/>
            <w:tcBorders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56759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样品编号</w:t>
            </w:r>
          </w:p>
        </w:tc>
        <w:tc>
          <w:tcPr>
            <w:tcW w:w="1245" w:type="dxa"/>
            <w:tcBorders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454F2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水分（%）</w:t>
            </w:r>
          </w:p>
        </w:tc>
        <w:tc>
          <w:tcPr>
            <w:tcW w:w="1620" w:type="dxa"/>
            <w:tcBorders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11B01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总灰分（%）</w:t>
            </w:r>
          </w:p>
        </w:tc>
        <w:tc>
          <w:tcPr>
            <w:tcW w:w="2085" w:type="dxa"/>
            <w:tcBorders>
              <w:bottom w:val="single" w:color="000000" w:sz="12" w:space="0"/>
              <w:tl2br w:val="nil"/>
              <w:tr2bl w:val="nil"/>
            </w:tcBorders>
            <w:noWrap/>
            <w:vAlign w:val="center"/>
          </w:tcPr>
          <w:p w14:paraId="454D4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  <w:t>酸不溶性灰分（%）</w:t>
            </w:r>
          </w:p>
        </w:tc>
        <w:tc>
          <w:tcPr>
            <w:tcW w:w="1390" w:type="dxa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17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浸出物（%）</w:t>
            </w:r>
          </w:p>
        </w:tc>
      </w:tr>
      <w:tr w14:paraId="3EEB14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810" w:type="dxa"/>
            <w:tcBorders>
              <w:top w:val="single" w:color="000000" w:sz="12" w:space="0"/>
              <w:tl2br w:val="nil"/>
              <w:tr2bl w:val="nil"/>
            </w:tcBorders>
            <w:noWrap/>
            <w:vAlign w:val="center"/>
          </w:tcPr>
          <w:p w14:paraId="42538EA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BFS20230713001</w:t>
            </w:r>
          </w:p>
        </w:tc>
        <w:tc>
          <w:tcPr>
            <w:tcW w:w="1245" w:type="dxa"/>
            <w:tcBorders>
              <w:top w:val="single" w:color="000000" w:sz="12" w:space="0"/>
              <w:tl2br w:val="nil"/>
              <w:tr2bl w:val="nil"/>
            </w:tcBorders>
            <w:noWrap/>
            <w:vAlign w:val="center"/>
          </w:tcPr>
          <w:p w14:paraId="00D8E5B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9.48</w:t>
            </w:r>
          </w:p>
        </w:tc>
        <w:tc>
          <w:tcPr>
            <w:tcW w:w="1620" w:type="dxa"/>
            <w:tcBorders>
              <w:top w:val="single" w:color="000000" w:sz="12" w:space="0"/>
              <w:tl2br w:val="nil"/>
              <w:tr2bl w:val="nil"/>
            </w:tcBorders>
            <w:noWrap/>
            <w:vAlign w:val="center"/>
          </w:tcPr>
          <w:p w14:paraId="126F0A8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9.4</w:t>
            </w:r>
          </w:p>
        </w:tc>
        <w:tc>
          <w:tcPr>
            <w:tcW w:w="2085" w:type="dxa"/>
            <w:tcBorders>
              <w:top w:val="single" w:color="000000" w:sz="12" w:space="0"/>
              <w:tl2br w:val="nil"/>
              <w:tr2bl w:val="nil"/>
            </w:tcBorders>
            <w:noWrap/>
            <w:vAlign w:val="center"/>
          </w:tcPr>
          <w:p w14:paraId="57AA41D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0.21</w:t>
            </w:r>
          </w:p>
        </w:tc>
        <w:tc>
          <w:tcPr>
            <w:tcW w:w="1390" w:type="dxa"/>
            <w:tcBorders>
              <w:top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D677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32.27</w:t>
            </w:r>
          </w:p>
        </w:tc>
      </w:tr>
      <w:tr w14:paraId="0945CF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3C1972D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0A64892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12.30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73C617E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7.72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69110E5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0.20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87DB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35.88</w:t>
            </w:r>
          </w:p>
        </w:tc>
      </w:tr>
      <w:tr w14:paraId="0A6A23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294201C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28E9097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9.48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2E93796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8.78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7EB09C3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0.15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B53D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34.79</w:t>
            </w:r>
          </w:p>
        </w:tc>
      </w:tr>
      <w:tr w14:paraId="66BAB3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3702302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BFS20230718004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7B813C2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10.08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25D032D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7.22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42F0130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0.19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A8BE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24.73</w:t>
            </w:r>
          </w:p>
        </w:tc>
      </w:tr>
      <w:tr w14:paraId="59EFFE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4D8A4E1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BFS20230915005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7AE8D7E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10.45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2C95F38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10.63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0BD346B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0.58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23FA9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31.76</w:t>
            </w:r>
          </w:p>
        </w:tc>
      </w:tr>
      <w:tr w14:paraId="43298C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61A97CB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BFS20230713006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2A5C46F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10.80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337F4130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9.72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14EA1F2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0.19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8F9F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36.74</w:t>
            </w:r>
          </w:p>
        </w:tc>
      </w:tr>
      <w:tr w14:paraId="1F878F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049A3401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BFS20230901007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323538C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10.25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172D580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7.87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2FA1CD8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0.16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0CFF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32.24</w:t>
            </w:r>
          </w:p>
        </w:tc>
      </w:tr>
      <w:tr w14:paraId="6A3D2F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645BDBA7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BFS20230806008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08DBC24E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9.82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24A643A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6.06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58B3724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0.16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4BDED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37.49</w:t>
            </w:r>
          </w:p>
        </w:tc>
      </w:tr>
      <w:tr w14:paraId="042B97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tl2br w:val="nil"/>
              <w:tr2bl w:val="nil"/>
            </w:tcBorders>
            <w:noWrap/>
            <w:vAlign w:val="center"/>
          </w:tcPr>
          <w:p w14:paraId="1ACE5B4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BFS20230915009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/>
            <w:vAlign w:val="center"/>
          </w:tcPr>
          <w:p w14:paraId="4E74400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8.83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/>
            <w:vAlign w:val="center"/>
          </w:tcPr>
          <w:p w14:paraId="12AC6E2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10.92</w:t>
            </w:r>
          </w:p>
        </w:tc>
        <w:tc>
          <w:tcPr>
            <w:tcW w:w="2085" w:type="dxa"/>
            <w:tcBorders>
              <w:tl2br w:val="nil"/>
              <w:tr2bl w:val="nil"/>
            </w:tcBorders>
            <w:noWrap/>
            <w:vAlign w:val="center"/>
          </w:tcPr>
          <w:p w14:paraId="1A915103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0.62</w:t>
            </w:r>
          </w:p>
        </w:tc>
        <w:tc>
          <w:tcPr>
            <w:tcW w:w="13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01DE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30.47</w:t>
            </w:r>
          </w:p>
        </w:tc>
      </w:tr>
      <w:tr w14:paraId="5E2C3F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810" w:type="dxa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46EE2B5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BFS20230902010</w:t>
            </w:r>
          </w:p>
        </w:tc>
        <w:tc>
          <w:tcPr>
            <w:tcW w:w="1245" w:type="dxa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015BDF7A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9.82</w:t>
            </w:r>
          </w:p>
        </w:tc>
        <w:tc>
          <w:tcPr>
            <w:tcW w:w="1620" w:type="dxa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479D0762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6.33</w:t>
            </w:r>
          </w:p>
        </w:tc>
        <w:tc>
          <w:tcPr>
            <w:tcW w:w="2085" w:type="dxa"/>
            <w:tcBorders>
              <w:bottom w:val="single" w:color="auto" w:sz="4" w:space="0"/>
              <w:tl2br w:val="nil"/>
              <w:tr2bl w:val="nil"/>
            </w:tcBorders>
            <w:noWrap/>
            <w:vAlign w:val="center"/>
          </w:tcPr>
          <w:p w14:paraId="29EC04D4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0.15</w:t>
            </w:r>
          </w:p>
        </w:tc>
        <w:tc>
          <w:tcPr>
            <w:tcW w:w="139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EB59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29.07</w:t>
            </w:r>
          </w:p>
        </w:tc>
      </w:tr>
      <w:tr w14:paraId="4B8025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810" w:type="dxa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2325BCEB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bidi="ar"/>
              </w:rPr>
              <w:t>平均值</w:t>
            </w:r>
          </w:p>
        </w:tc>
        <w:tc>
          <w:tcPr>
            <w:tcW w:w="1245" w:type="dxa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096A30C8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10.13</w:t>
            </w:r>
          </w:p>
        </w:tc>
        <w:tc>
          <w:tcPr>
            <w:tcW w:w="1620" w:type="dxa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0944E276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8.48</w:t>
            </w:r>
          </w:p>
        </w:tc>
        <w:tc>
          <w:tcPr>
            <w:tcW w:w="2085" w:type="dxa"/>
            <w:tcBorders>
              <w:top w:val="single" w:color="auto" w:sz="4" w:space="0"/>
              <w:tl2br w:val="nil"/>
              <w:tr2bl w:val="nil"/>
            </w:tcBorders>
            <w:noWrap/>
            <w:vAlign w:val="center"/>
          </w:tcPr>
          <w:p w14:paraId="5231743F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0.26</w:t>
            </w:r>
          </w:p>
        </w:tc>
        <w:tc>
          <w:tcPr>
            <w:tcW w:w="13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3A045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1"/>
                <w:szCs w:val="21"/>
                <w:lang w:bidi="ar"/>
              </w:rPr>
              <w:t>32.93</w:t>
            </w:r>
          </w:p>
        </w:tc>
      </w:tr>
    </w:tbl>
    <w:p w14:paraId="5CD11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九、药理作用</w:t>
      </w:r>
    </w:p>
    <w:p w14:paraId="190AC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1、抗炎、抗肿瘤作用</w:t>
      </w:r>
    </w:p>
    <w:p w14:paraId="4DA4F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Ezeonwume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  <w:t>l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>u等研究白饭树根水提取物可能具有抗炎和抗肿瘤的作用</w:t>
      </w:r>
      <w:r>
        <w:rPr>
          <w:rFonts w:hint="default" w:ascii="Times New Roman" w:hAnsi="Times New Roman" w:cs="Times New Roman"/>
          <w:sz w:val="24"/>
          <w:szCs w:val="24"/>
        </w:rPr>
        <w:t>。</w:t>
      </w:r>
    </w:p>
    <w:p w14:paraId="70AE3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2、镇痛</w:t>
      </w:r>
    </w:p>
    <w:p w14:paraId="7666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梁业飞等研究白饭树醇提物及水提物对二甲苯致小鼠耳廓肿胀、冰醋酸致小鼠扭体、小鼠棉球肉芽肿、热致痛具有抑制作用,高剂量的白饭树醇提物、水提物达到地塞</w:t>
      </w:r>
      <w:r>
        <w:rPr>
          <w:rFonts w:hint="default" w:ascii="Times New Roman" w:hAnsi="Times New Roman" w:eastAsia="宋体" w:cs="Times New Roman"/>
          <w:bCs/>
          <w:sz w:val="24"/>
          <w:szCs w:val="24"/>
          <w:lang w:val="en-US" w:eastAsia="zh-CN"/>
        </w:rPr>
        <w:t>米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>松、罗痛定的抗炎、镇痛水平</w:t>
      </w:r>
      <w:r>
        <w:rPr>
          <w:rFonts w:hint="default" w:ascii="Times New Roman" w:hAnsi="Times New Roman" w:cs="Times New Roman"/>
          <w:sz w:val="24"/>
          <w:szCs w:val="24"/>
        </w:rPr>
        <w:t>。</w:t>
      </w:r>
    </w:p>
    <w:p w14:paraId="30454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3、抗疟</w:t>
      </w:r>
    </w:p>
    <w:p w14:paraId="43367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SinghS V等通过体外细胞毒性和计算机ADME/T预测阐明的安全毒性特征明显表明岩白菜素具有类药物性质，岩白菜素具有抗疟活性</w:t>
      </w:r>
      <w:r>
        <w:rPr>
          <w:rFonts w:hint="default" w:ascii="Times New Roman" w:hAnsi="Times New Roman" w:eastAsia="宋体" w:cs="Times New Roman"/>
          <w:bCs/>
          <w:sz w:val="24"/>
          <w:szCs w:val="24"/>
          <w:lang w:eastAsia="zh-CN"/>
        </w:rPr>
        <w:t>。</w:t>
      </w:r>
    </w:p>
    <w:p w14:paraId="0B7F2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十、采收与加工</w:t>
      </w:r>
    </w:p>
    <w:p w14:paraId="1066B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中华本草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记载：全年可采，多维鲜用。</w:t>
      </w:r>
    </w:p>
    <w:p w14:paraId="5E37C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《全国中草药汇编》记载：随用随采，多鲜用。</w:t>
      </w:r>
    </w:p>
    <w:p w14:paraId="6C07A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《广东中药志》记载：夏、秋季采收。割取带叶幼枝，晒干。</w:t>
      </w:r>
    </w:p>
    <w:p w14:paraId="7419D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《黎族药志》记载：随用随采，多鲜用。</w:t>
      </w:r>
    </w:p>
    <w:p w14:paraId="346EC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广西中草药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记载：多鲜用，随用随采。</w:t>
      </w:r>
    </w:p>
    <w:p w14:paraId="6022F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《精编壮药学》记载：随时可采，洗净，鲜用或晒干。</w:t>
      </w:r>
    </w:p>
    <w:p w14:paraId="096A1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《广东中药材及饮片标准》记载：夏、秋二季采收，洗净，切段，干燥。</w:t>
      </w:r>
    </w:p>
    <w:p w14:paraId="21AE6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《云南民族药大辞典》记载：全年可采，随用随采，多鲜用。</w:t>
      </w:r>
    </w:p>
    <w:p w14:paraId="1E801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《海南岛天然抗癌本草图鉴》记载：随采随用，多鲜用。</w:t>
      </w:r>
    </w:p>
    <w:p w14:paraId="0DE47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拟规定白饭树采收与加工为：夏、秋季采收，洗净，切段，干燥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 w14:paraId="07D1E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十一、炮制</w:t>
      </w:r>
    </w:p>
    <w:p w14:paraId="093EC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取白饭树原药材，经简单加工炮制成饮片。拟规定白饭树饮片炮制方法为：除去杂质，洗净，干燥。</w:t>
      </w:r>
    </w:p>
    <w:p w14:paraId="591E2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、性味与归经</w:t>
      </w:r>
    </w:p>
    <w:p w14:paraId="1941C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中华本草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记载：白饭树叶，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味苦，微涩，性凉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叶有小毒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白饭树根，味苦，性凉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 w14:paraId="6F0A8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《全国中草药汇编》记载：苦、微涩，凉。有小毒。</w:t>
      </w:r>
    </w:p>
    <w:p w14:paraId="64459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《广东中药志》记载：苦、涩，微寒，有小毒。</w:t>
      </w:r>
    </w:p>
    <w:p w14:paraId="2619B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《黎族药志》记载：根味苦，果甘。</w:t>
      </w:r>
    </w:p>
    <w:p w14:paraId="77DE4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《黎医妇科概述》记载：苦、微涩，凉，有小毒。</w:t>
      </w:r>
    </w:p>
    <w:p w14:paraId="74B06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《海南岛天然抗癌本草图鉴》记载：味苦、微涩，性凉，有小毒。</w:t>
      </w:r>
    </w:p>
    <w:p w14:paraId="2AE5F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广西中草药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记载：味苦、微涩，性凉，有小毒。</w:t>
      </w:r>
    </w:p>
    <w:p w14:paraId="08DEB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《精编壮药学》记载：味苦，性凉。</w:t>
      </w:r>
    </w:p>
    <w:p w14:paraId="1EC76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《广东中药材及饮片标准》记载：苦、涩，微寒；有小毒。归肺、脾经。</w:t>
      </w:r>
    </w:p>
    <w:p w14:paraId="4E017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《云南民族药大辞典》记载：苦、微涩，凉，有小毒。</w:t>
      </w:r>
    </w:p>
    <w:p w14:paraId="7BDDB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《抗癌中药大全》记载：苦、微涩，凉，有小毒。</w:t>
      </w:r>
    </w:p>
    <w:p w14:paraId="2A221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拟规定白饭树药材性味与归经为：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苦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微涩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凉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叶有小毒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。归脾、肺经。</w:t>
      </w:r>
    </w:p>
    <w:p w14:paraId="117C4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、功能与主治</w:t>
      </w:r>
    </w:p>
    <w:p w14:paraId="4975B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中华本草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记载：祛风除湿，清热解毒，杀虫止痒。主治风湿痹痛，疮脓肿，湿疹瘙痒。</w:t>
      </w:r>
    </w:p>
    <w:p w14:paraId="38B5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《全国中草药汇编》记载：清热解毒，消肿止痛，止痒止血。外用治湿疹，脓疱疮，过敏性皮炎，疮疖，烧、烫伤。</w:t>
      </w:r>
    </w:p>
    <w:p w14:paraId="5EF00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《广东中药志》记载：清热解毒，消肿止痛，祛风止痒，止血。外用治湿疹，脓疱疮，皮肤瘙痒（包括过敏性皮炎），疮疖，烧、烫伤，外伤出血。</w:t>
      </w:r>
    </w:p>
    <w:p w14:paraId="33870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《黎族药志》记载：消炎止痛、祛风，宁神。</w:t>
      </w:r>
    </w:p>
    <w:p w14:paraId="7E126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《黎医妇科概述》记载：祛风止痛，清热，消肿散瘀。治疗胃病、风湿关节疼痛、目赤肿痛、血瘀经痛、跌打损伤、肿痛、恶疮、疥癣。</w:t>
      </w:r>
    </w:p>
    <w:p w14:paraId="3CA32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《海南岛天然抗癌本草图鉴》记载：清热解毒，消肿止痛，止痒止血。</w:t>
      </w:r>
    </w:p>
    <w:p w14:paraId="4BA41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广西中草药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记载：祛风除湿，清热解毒，杀虫止痛，拔脓敛疮。主治用法 风湿关节疼痛，湿疹，脓泡疮，疮疖溃烂痒痛。</w:t>
      </w:r>
    </w:p>
    <w:p w14:paraId="0BF9D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《精编壮药学》记载：祛风毒，除湿毒，清热毒，化瘀止痛。主治风湿痹痛，湿热带下，湿疹，跌打损伤。</w:t>
      </w:r>
    </w:p>
    <w:p w14:paraId="2B05F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《广东中药材及饮片标准》记载：清热解毒，消肿止痛，祛风止痒，止血。外用治湿疹，脓疱疮，皮肤瘙痒，疮疖，烧烫伤，外伤出血。</w:t>
      </w:r>
    </w:p>
    <w:p w14:paraId="470A3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《云南民族药大辞典》记载：清热解毒，消肿止痛，止痒止血。</w:t>
      </w:r>
    </w:p>
    <w:p w14:paraId="3F2DC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《抗癌中药大全》记载：清热解毒，消肿止痛，止痒止血。用于风湿痹痛，头疮，脓疱疮，湿疹。</w:t>
      </w:r>
    </w:p>
    <w:p w14:paraId="3C563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highlight w:val="none"/>
          <w:lang w:val="en-US" w:eastAsia="zh-CN"/>
        </w:rPr>
        <w:t>拟规定白饭树药材功能与主治为：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清热解毒，消肿止痛，祛风止痒，止血。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外用治</w:t>
      </w:r>
      <w:r>
        <w:rPr>
          <w:rFonts w:hint="default" w:ascii="Times New Roman" w:hAnsi="Times New Roman" w:cs="Times New Roman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湿疹，脓疱疮，皮肤瘙痒，疮疖，烧烫伤，外伤出血。</w:t>
      </w:r>
    </w:p>
    <w:p w14:paraId="7762C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、用法与用量</w:t>
      </w:r>
    </w:p>
    <w:p w14:paraId="36FF4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中华本草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记载：外用适量，鲜品捣敷；或煎水洗。</w:t>
      </w:r>
    </w:p>
    <w:p w14:paraId="3306E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《全国中草药汇编》记载：鲜品适量煎水洗，或用叶晒干研粉，茶油调敷患处。</w:t>
      </w:r>
    </w:p>
    <w:p w14:paraId="1E918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《广东中药志》记载：外用适量煎水洗，或用干叶研末以茶油调敷，或取鲜品捣烂敷患处。</w:t>
      </w:r>
    </w:p>
    <w:p w14:paraId="171E2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《黎医妇科概述》记载：叶子10~30g，水煮服用，或外用适量热敷患处。</w:t>
      </w:r>
    </w:p>
    <w:p w14:paraId="3DE18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《海南岛天然抗癌本草图鉴》记载：【抗癌应用】附方中使用的白饭树与其他中药配伍，水煎服。</w:t>
      </w:r>
    </w:p>
    <w:p w14:paraId="7CB62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广西中草药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记载：鲜品适量，水煎洗患处。</w:t>
      </w:r>
    </w:p>
    <w:p w14:paraId="48C60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《精编壮药学》记载：内服，煎汤，15~30g；或入酒剂。外用，煎水洗。</w:t>
      </w:r>
    </w:p>
    <w:p w14:paraId="26F21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《广东中药材及饮片标准》记载：外用适量，煎水洗患处；或用干叶研末以茶油调敷。</w:t>
      </w:r>
    </w:p>
    <w:p w14:paraId="241A2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《云南民族药大辞典》记载：内服，煎汤，10~15g。外用适量。</w:t>
      </w:r>
    </w:p>
    <w:p w14:paraId="660CF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《抗癌中药大全》记载：【抗癌应用】附方中使用的白饭树与其他中药配伍，水煎服。</w:t>
      </w:r>
    </w:p>
    <w:p w14:paraId="66195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拟规定白饭树药材用法与用量为：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10~30g</w:t>
      </w:r>
      <w:r>
        <w:rPr>
          <w:rFonts w:hint="eastAsia" w:ascii="Times New Roman" w:hAnsi="Times New Roman" w:eastAsia="宋体" w:cs="Times New Roman"/>
          <w:bCs/>
          <w:sz w:val="24"/>
          <w:szCs w:val="24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外用适量，煎水洗或调敷，或鲜品捣敷。</w:t>
      </w:r>
    </w:p>
    <w:p w14:paraId="6BB31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、贮</w:t>
      </w: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藏</w:t>
      </w:r>
    </w:p>
    <w:p w14:paraId="03948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置干燥处。</w:t>
      </w:r>
    </w:p>
    <w:p w14:paraId="6E79F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此外，经比对《中国药典》2020年版四部与《中国药典》2025年版四部中的药材和饮片检定（通则 0212）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显微鉴别法（通则2001）、薄层色谱法（通则0502）、水分测定法（通则0832）、灰分测定法（通则2302）、浸出物测定法（通则2201）的内容一致，仅为《中国药典》年号变更。</w:t>
      </w:r>
    </w:p>
    <w:p w14:paraId="7BB3F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起草人：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刘洋洋、冯剑、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谢岸珍、张梓杰、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蒋子肖、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王美然、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李榕涛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、郭鸿</w:t>
      </w:r>
    </w:p>
    <w:p w14:paraId="11BD76B7">
      <w:pPr>
        <w:spacing w:line="360" w:lineRule="auto"/>
        <w:rPr>
          <w:rFonts w:hint="default" w:ascii="Times New Roman" w:hAnsi="Times New Roman" w:cs="Times New Roman"/>
          <w:bCs/>
          <w:sz w:val="24"/>
          <w:szCs w:val="24"/>
        </w:rPr>
      </w:pPr>
    </w:p>
    <w:p w14:paraId="014E9E32">
      <w:pPr>
        <w:spacing w:line="360" w:lineRule="auto"/>
        <w:rPr>
          <w:rFonts w:hint="default" w:ascii="Times New Roman" w:hAnsi="Times New Roman" w:cs="Times New Roman"/>
          <w:bCs/>
          <w:sz w:val="24"/>
          <w:szCs w:val="24"/>
        </w:rPr>
      </w:pPr>
    </w:p>
    <w:p w14:paraId="4DD9877B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参考文献</w:t>
      </w:r>
    </w:p>
    <w:p w14:paraId="2F9D2F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bookmarkStart w:id="9" w:name="_Hlk160787880"/>
      <w:bookmarkStart w:id="10" w:name="_Ref161150696"/>
      <w:r>
        <w:rPr>
          <w:rFonts w:hint="default" w:asciiTheme="minorAscii" w:hAnsiTheme="minorAscii"/>
          <w:b w:val="0"/>
          <w:bCs w:val="0"/>
          <w:sz w:val="21"/>
          <w:szCs w:val="21"/>
          <w:lang w:val="en-US" w:eastAsia="zh-CN"/>
        </w:rPr>
        <w:t>中国科学院本书编委会编. 中国植物志 第26卷[M]. 北京：科学出版社, 1990:70-73.</w:t>
      </w:r>
    </w:p>
    <w:p w14:paraId="1D5B3D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国家中医药管理局《中华本草》编委会.中华本草(第4卷)[M].上海:上海科学技术出版社,1999: 859.</w:t>
      </w:r>
    </w:p>
    <w:p w14:paraId="053DED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cs="Times New Roman" w:asciiTheme="minorAscii" w:hAnsiTheme="minorAscii"/>
          <w:bCs/>
          <w:sz w:val="21"/>
          <w:szCs w:val="21"/>
        </w:rPr>
        <w:t>《全国中草药汇编》编写组编. 全国中草药汇编 下册[M].北京：人民卫生出版社，1978</w:t>
      </w: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 xml:space="preserve">: </w:t>
      </w:r>
      <w:r>
        <w:rPr>
          <w:rFonts w:hint="default" w:cs="Times New Roman" w:asciiTheme="minorAscii" w:hAnsiTheme="minorAscii"/>
          <w:bCs/>
          <w:sz w:val="21"/>
          <w:szCs w:val="21"/>
        </w:rPr>
        <w:t>206.</w:t>
      </w:r>
    </w:p>
    <w:p w14:paraId="07F4AEB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《广东中药志》编辑委员会编著.广东中药志[M].广州：广东科技出版社，1994:581.</w:t>
      </w:r>
    </w:p>
    <w:p w14:paraId="50C5E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戴好富，梅文莉主编. 黎族药志（第一册）[M].北京：中国科学技术出版社，2008: 104.</w:t>
      </w:r>
    </w:p>
    <w:p w14:paraId="1AD2F6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sz w:val="21"/>
          <w:szCs w:val="21"/>
          <w:lang w:val="en-US" w:eastAsia="zh-CN"/>
        </w:rPr>
        <w:t>戴海青，孙立楠主编. 黎医妇科概述[M]. 上海：上海科学技术出版社, 2024:109.</w:t>
      </w:r>
    </w:p>
    <w:p w14:paraId="317862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庞玉新，王祝年.海南岛天然抗癌本草图鉴[M].北京:</w:t>
      </w:r>
      <w:r>
        <w:rPr>
          <w:rFonts w:hint="default" w:eastAsia="Helvetica" w:cs="Helvetica" w:asciiTheme="minorAscii" w:hAnsiTheme="minorAscii"/>
          <w:i w:val="0"/>
          <w:iCs w:val="0"/>
          <w:caps w:val="0"/>
          <w:color w:val="333333"/>
          <w:spacing w:val="0"/>
          <w:sz w:val="19"/>
          <w:szCs w:val="19"/>
          <w:shd w:val="clear" w:fill="FFFFFF"/>
        </w:rPr>
        <w:t>中医古籍出版社</w:t>
      </w: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,2009:83.</w:t>
      </w:r>
    </w:p>
    <w:p w14:paraId="7891D1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广西壮族自治区革命委员会卫生管理服务站编. 广西中草药 第二册[M]. 广西：广西人民出版社，1970:377.</w:t>
      </w:r>
    </w:p>
    <w:p w14:paraId="634B0C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庞宇舟，方刚.精编解毒壮药[M]. 北京:中国中医药出版社,2020:71.</w:t>
      </w:r>
    </w:p>
    <w:p w14:paraId="2CE05E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cs="Times New Roman" w:asciiTheme="minorAscii" w:hAnsiTheme="minorAscii"/>
          <w:bCs/>
          <w:sz w:val="21"/>
          <w:szCs w:val="21"/>
        </w:rPr>
        <w:t>广东省食品药品监督管理局.广东省中药材标准 第3册[M]. 广州：广东科技出版社, 2018</w:t>
      </w: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 xml:space="preserve">: </w:t>
      </w:r>
      <w:r>
        <w:rPr>
          <w:rFonts w:hint="default" w:cs="Times New Roman" w:asciiTheme="minorAscii" w:hAnsiTheme="minorAscii"/>
          <w:bCs/>
          <w:sz w:val="21"/>
          <w:szCs w:val="21"/>
        </w:rPr>
        <w:t>181.</w:t>
      </w:r>
    </w:p>
    <w:p w14:paraId="2CE557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郑进，张超，钱子刚.云南民族药大辞典上[M].上海：上海科学技术出版社 ,2019: 926.</w:t>
      </w:r>
    </w:p>
    <w:p w14:paraId="6B4EF0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cs="Times New Roman" w:asciiTheme="minorAscii" w:hAnsiTheme="minorAscii"/>
          <w:bCs/>
          <w:sz w:val="21"/>
          <w:szCs w:val="21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章永红.抗癌中药大全[M].南京：江苏科学技术出版社，2000：164.</w:t>
      </w:r>
    </w:p>
    <w:p w14:paraId="06D318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梁业飞,周有旺.白饭树提取物抗炎镇痛作用研究[J].内科,2015,10(06):845-847.</w:t>
      </w:r>
    </w:p>
    <w:p w14:paraId="481C32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Ezeonwumelu J O C,</w:t>
      </w:r>
      <w:bookmarkEnd w:id="9"/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 xml:space="preserve"> Omar A N, Ajayi A M, et al. Phytochemical screening, acute toxicity, anti-inflammatory and antipyretic studies of aqueous extract of the root of Flueggea virosa (Roxb. ex Willd.) in rats[J]. International Journal of Pharmacy and Biomedical Sciences, 2012, 3(3): 128-135.</w:t>
      </w:r>
      <w:bookmarkEnd w:id="10"/>
    </w:p>
    <w:p w14:paraId="6E643F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</w:pPr>
      <w:bookmarkStart w:id="11" w:name="_Ref161150720"/>
      <w:r>
        <w:rPr>
          <w:rFonts w:hint="default" w:asciiTheme="minorAscii" w:hAnsiTheme="minorAscii"/>
          <w:b w:val="0"/>
          <w:bCs w:val="0"/>
          <w:color w:val="auto"/>
          <w:sz w:val="21"/>
          <w:szCs w:val="24"/>
          <w:highlight w:val="none"/>
          <w:lang w:val="en-US" w:eastAsia="zh-CN"/>
        </w:rPr>
        <w:t>Singh S V, Manhas A, Kumar Y, et al. Antimalarial activity and safety assessment of Flueggea virosa leaves and its major constituent with special emphasis on their mode of action[J]. Biomedicine &amp; Pharmacotherapy, 2017, 89: 761-771.</w:t>
      </w:r>
      <w:bookmarkEnd w:id="11"/>
    </w:p>
    <w:p w14:paraId="7967D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480" w:firstLineChars="200"/>
        <w:textAlignment w:val="auto"/>
        <w:rPr>
          <w:rFonts w:hint="default" w:ascii="Times New Roman" w:hAnsi="Times New Roman" w:cs="Times New Roman"/>
          <w:bCs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D164CC-F3B5-4AD3-AB22-520336A7BA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4147384-2211-4DA9-83FC-BF5E5DDF20C9}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A051A1E-34D3-42CE-9071-B86737D2B794}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72D04F4D-8C6D-4D93-BDDE-D8AD4FA6E35A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5EDAA99E-4B5C-4634-8A36-6945D4105129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21F36875-70DB-4069-A67B-CA0551C4B27B}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11652064"/>
    </w:sdtPr>
    <w:sdtContent>
      <w:sdt>
        <w:sdtPr>
          <w:id w:val="1041640605"/>
          <w:showingPlcHdr/>
        </w:sdtPr>
        <w:sdtContent>
          <w:p w14:paraId="5963DCCA">
            <w:pPr>
              <w:pStyle w:val="5"/>
              <w:jc w:val="center"/>
            </w:pPr>
            <w:r>
              <w:rPr>
                <w:rFonts w:hint="eastAsia"/>
                <w:lang w:eastAsia="zh-CN"/>
              </w:rPr>
              <w:t xml:space="preserve">     </w:t>
            </w:r>
          </w:p>
        </w:sdtContent>
      </w:sdt>
    </w:sdtContent>
  </w:sdt>
  <w:p w14:paraId="3EBAE58E">
    <w:pPr>
      <w:pStyle w:val="5"/>
      <w:tabs>
        <w:tab w:val="left" w:pos="3059"/>
        <w:tab w:val="clear" w:pos="8306"/>
      </w:tabs>
      <w:rPr>
        <w:rFonts w:ascii="宋体" w:hAnsi="宋体" w:eastAsia="宋体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0FB07"/>
    <w:multiLevelType w:val="singleLevel"/>
    <w:tmpl w:val="1520FB07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D6844"/>
    <w:rsid w:val="002C1A1A"/>
    <w:rsid w:val="00475A42"/>
    <w:rsid w:val="0F6F0AD3"/>
    <w:rsid w:val="19401B4D"/>
    <w:rsid w:val="194C42DE"/>
    <w:rsid w:val="256D6844"/>
    <w:rsid w:val="2B3E268E"/>
    <w:rsid w:val="3BEF1864"/>
    <w:rsid w:val="3DE815CE"/>
    <w:rsid w:val="497026BB"/>
    <w:rsid w:val="4B0C0886"/>
    <w:rsid w:val="52794D83"/>
    <w:rsid w:val="56C63E25"/>
    <w:rsid w:val="609D5E7E"/>
    <w:rsid w:val="7A1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140" w:after="140" w:line="360" w:lineRule="auto"/>
      <w:outlineLvl w:val="2"/>
    </w:pPr>
    <w:rPr>
      <w:rFonts w:ascii="Calibri" w:hAnsi="Calibri" w:eastAsia="宋体" w:cs="Times New Roman"/>
      <w:b/>
      <w:bCs/>
      <w:sz w:val="24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107" w:beforeAutospacing="1" w:after="120" w:afterAutospacing="1"/>
      <w:jc w:val="left"/>
      <w:outlineLvl w:val="3"/>
    </w:pPr>
    <w:rPr>
      <w:rFonts w:hint="eastAsia" w:ascii="宋体" w:hAnsi="宋体" w:eastAsia="宋体" w:cs="Angsana New"/>
      <w:b/>
      <w:bCs/>
      <w:kern w:val="0"/>
      <w:sz w:val="21"/>
      <w:szCs w:val="24"/>
      <w:lang w:bidi="th-TH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字符"/>
    <w:basedOn w:val="8"/>
    <w:link w:val="2"/>
    <w:semiHidden/>
    <w:qFormat/>
    <w:uiPriority w:val="9"/>
    <w:rPr>
      <w:rFonts w:ascii="Calibri" w:hAnsi="Calibri" w:eastAsia="宋体" w:cs="Times New Roman"/>
      <w:b/>
      <w:bCs/>
      <w:sz w:val="24"/>
      <w:szCs w:val="32"/>
    </w:rPr>
  </w:style>
  <w:style w:type="character" w:customStyle="1" w:styleId="10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microsoft.com/office/2007/relationships/hdphoto" Target="media/image4.wdp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microsoft.com/office/2007/relationships/hdphoto" Target="media/image12.wdp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5263</Words>
  <Characters>6422</Characters>
  <Lines>0</Lines>
  <Paragraphs>0</Paragraphs>
  <TotalTime>24</TotalTime>
  <ScaleCrop>false</ScaleCrop>
  <LinksUpToDate>false</LinksUpToDate>
  <CharactersWithSpaces>6479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2026-09-03T15:49:00Z</dcterms:created>
  <dc:creator>冯剑</dc:creator>
  <cp:lastModifiedBy>冯剑</cp:lastModifiedBy>
  <dcterms:modified xsi:type="dcterms:W3CDTF">2026-09-14T13:54:22Z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6D487081BF744234937815FFE9D683CA_11</vt:lpwstr>
  </property>
  <property fmtid="{D5CDD505-2E9C-101B-9397-08002B2CF9AE}" pid="4" name="KSOTemplateDocerSaveRecord">
    <vt:lpwstr>eyJoZGlkIjoiMzEwNTM5NzYwMDRjMzkwZTVkZjY2ODkwMGIxNGU0OTUiLCJ1c2VySWQiOiIxODI4MDk1OTE1In0=</vt:lpwstr>
  </property>
</Properties>
</file>