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编号：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琼ZP2021--00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kern w:val="2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kern w:val="2"/>
          <w:sz w:val="36"/>
          <w:szCs w:val="36"/>
          <w:lang w:eastAsia="zh-CN"/>
        </w:rPr>
        <w:t>灵芝粉（紫芝）</w:t>
      </w:r>
    </w:p>
    <w:p>
      <w:pPr>
        <w:pStyle w:val="14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Lingzhifen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  <w:t>chizhi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eastAsia="zh-CN"/>
        </w:rPr>
        <w:t>【来源】</w:t>
      </w:r>
      <w:r>
        <w:rPr>
          <w:rFonts w:hint="default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>本品为多孔菌科真菌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紫芝 </w:t>
      </w:r>
      <w:r>
        <w:rPr>
          <w:rStyle w:val="20"/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Ganoderma sinense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Zhao，Xu et Zhang 的干燥子实体</w:t>
      </w:r>
      <w:r>
        <w:rPr>
          <w:rFonts w:hint="default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 xml:space="preserve">的炮制加工品。 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eastAsia="zh-CN"/>
        </w:rPr>
        <w:t>【炮制】</w:t>
      </w: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2"/>
          <w:sz w:val="24"/>
          <w:szCs w:val="24"/>
          <w:lang w:val="en-US" w:eastAsia="zh-CN"/>
        </w:rPr>
        <w:t xml:space="preserve"> 取原药材，除去杂质和附着的朽木，洗净，粉碎成极细粉。</w:t>
      </w:r>
    </w:p>
    <w:p>
      <w:pPr>
        <w:spacing w:line="360" w:lineRule="auto"/>
        <w:ind w:firstLine="481" w:firstLineChars="20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eastAsia="zh-CN"/>
        </w:rPr>
        <w:t>【成品性状】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eastAsia="zh-CN"/>
        </w:rPr>
        <w:t>本品为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eastAsia="zh-CN"/>
        </w:rPr>
        <w:t>棕褐色至紫褐色的粉末；</w:t>
      </w:r>
      <w:r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/>
        </w:rPr>
        <w:t xml:space="preserve"> 气微香，味苦、涩。</w:t>
      </w:r>
    </w:p>
    <w:p>
      <w:pPr>
        <w:spacing w:line="360" w:lineRule="auto"/>
        <w:ind w:firstLine="481" w:firstLineChars="200"/>
        <w:jc w:val="both"/>
        <w:outlineLvl w:val="0"/>
        <w:rPr>
          <w:rFonts w:hint="default" w:ascii="Times New Roman" w:hAnsi="Times New Roman" w:eastAsia="宋体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kern w:val="2"/>
          <w:sz w:val="24"/>
          <w:szCs w:val="24"/>
          <w:lang w:eastAsia="zh-CN"/>
        </w:rPr>
        <w:t>【鉴别】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"/>
        </w:rPr>
        <w:t>（1）本品粉末棕褐</w:t>
      </w: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eastAsia="zh-CN"/>
        </w:rPr>
        <w:t>色至紫褐色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"/>
        </w:rPr>
        <w:t>。菌丝散在或粘结成团，无色或淡棕色，细长，稍弯曲，有分枝，直径2.5～6.5μm。孢子褐色，卵形，顶端平截，外壁无色，内壁有疣状突起，长6～12μm，宽4～8μm。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（2）取本品粉末2g，加乙醇30ml，加热回流30分钟，滤过，滤液蒸干，残渣加甲醇2m1使溶解，作为供试品溶液。另取灵芝对照药材2g，同法制成对照药材溶液。照薄层色谱法（通则0502）试验，吸取上述两种溶液各4μl，分别点于同一硅胶G薄层板上，以石油醚（60～90℃）-甲酸乙酯-甲酸（15：5：1）的上层溶液为展开剂，展开，取出，晾干，置紫外光灯 （365nm）下检视。供试品色谱中，在与对照药材色谱相应的位置上，显相同颜色的荧光斑点。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（3）取本品粉末1g，加水50ml，加热回流1小时，趁热滤过，滤液置蒸发皿中，用少量水分次洗涤容器，合并洗液并入蒸发皿中，置水浴上蒸干，残渣用水5ml溶解，置50ml离心管中，缓缓加入乙醇25ml，不断搅拌，静置1小时，离心（转速为每分钟4000转），取沉淀物，用乙醇10ml洗涤，离心，取沉淀物，烘干，放冷，加4mol/L三氟乙酸溶液2ml，置10ml安瓿瓶或顶空瓶中，封口，混匀，在120℃水解3小时，放冷，水解液转移至50ml烧瓶中，用2ml水洗涤容器，洗涤液并入烧瓶中，60℃减压蒸干，用70%乙醇2ml溶解，置离心管中，离心，取上清液作为供试品溶液。另取半乳糖对照品、葡萄糖对照品、甘露糖对照品和木糖对照品适量，精密称定，加70%乙醇制成每1ml各含0.1mg的混合溶液，作为对照品溶液。照薄层色谱法（通则0502）试验，吸取上述两种溶液各3μl，分别点于同一高效硅胶G薄层板上，以正丁醇-丙酮-水（5：1：1）为展开剂，展开，取出，晾干，喷以对氨基苯甲酸溶液（取4-氨基苯甲酸0.5g，溶于冰醋酸9ml中，加水10ml和85%磷酸溶液0.5ml，混匀），在105℃加热约10分钟，在紫外光灯（365nm）下检视。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【检查】 水分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 不得过13.0%（通则0832第二法）。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总灰分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 不得过3.2%（通则2302）。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【浸出物】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照水溶性浸出物测定法（通则2201）项下的热浸法测定，不得少于3.0%。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81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/>
        </w:rPr>
        <w:t>微生物限度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  应符合直接口服饮片的微生物限度标准（《中国药典》2015年版通则1107）。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【含量测定】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多糖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 对照品溶液的制备  取无水葡萄糖对照品适量，精密称定，加水制成每1m1含0.12mg的溶液，即得。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标准曲线的制备  精密量取对照品溶液0.2、0.4、0.6、0.8、1.0、1.2ml，分别置10ml具塞试管中，各加水至2.0ml，迅速精密加入硫酸蒽酮溶液（精密称取蒽酮0.1g，加硫酸100ml使溶解，摇匀）6ml，立即摇匀，放置15分钟后，立即置冰浴中冷却15分钟，取出，以相应的试剂为空白，照紫外-可见分光光度法（通则0401），在625nm波长处测定吸光度，以吸光度为纵坐标，浓度为横坐标，绘制标准曲线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供试品溶液的制备  取本品粉末约2g，精密称定，置圆底烧瓶中，加水60m1静置1小时，加热固流4小时，趁热滤过，用少量热水洗涤滤器和滤渣，将滤渣及滤纸置烧瓶中，加水60ml，加热回流3小时，趁热滤过，合并滤液，置水浴上蒸干，残渣用水5ml溶解，边搅拌边缓慢滴加乙醇75ml，摇匀，在4℃放置12小时，离心，弃去上清液，沉淀物用热水溶解并转移至50ml量瓶中，放冷，加水至刻度，摇匀，取溶液适量，离心，精密量取上清液2ml，置50ml量瓶中，加水至刻度，摇匀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测定法  精密量取供试品溶液2ml，置10ml具塞试管中，照标准曲线制备项下的方法，自“迅速精密加入硫酸蒽酮溶液6ml”起，同法操作，测定吸光度，从标准曲线上读出供试品溶液中无水葡萄糖的含量，计算，即得。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本品按干燥品计算，含灵芝多糖以无水葡萄糖（C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vertAlign w:val="subscript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vertAlign w:val="subscript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vertAlign w:val="subscript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）计，不得少于0.90%。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三萜及甾醇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 对照品溶液的制备  取齐墩果酸对照品适量，精密称定，加甲醇制成每1ml含0.2mg的溶液，即得。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标准曲线的制备  精密量取对照品溶液0.1、0.2、0.3、0.4、0.5ml，分别置15ml具塞试管中，挥干，放冷，精密加入新配制的香草醛冰醋酸溶液（精密称取香草醛0.5g，加冰醋酸使溶解成10ml，即得）0.2ml，高氯酸0.8ml，摇匀，在70℃水浴中加热15分钟，立即置冰浴中冷却5分钟，取出，精密加入乙酸乙酯4ml，摇匀，以相应试剂为空白，照紫外-可见分光光度法（通则0401），在546nm波长处测定吸光度，以吸光度为纵坐标、浓度为横坐标绘制标准曲线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供试品溶液的制备  取本品粉末约2g，精密称定，置具塞锥形瓶中，加乙醇50ml，超声处理（功率140W，频率42kHz）45分钟，滤过，滤液置100ml量瓶中，用适量乙醇，分次洗涤滤器和滤渣，洗液并入同一量瓶中，加乙醇至刻度，摇匀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测定法  精密量取供试品溶液0.2ml，置15ml具塞试管中，照标准曲线制备项下的方法，自“挥干”起，同法操作，测定吸光度，从标准曲线上读出供试品溶液中齐墩果酸的含量，计算，即得。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本品按干燥品计算，含三萜及甾醇以齐墩果酸（C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vertAlign w:val="subscript"/>
          <w:lang w:val="en-US" w:eastAsia="zh-CN" w:bidi="ar"/>
        </w:rPr>
        <w:t>48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）计，不得少于0.50%。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【性味与归经】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甘，平。归心、肺、肝、肾经。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kern w:val="0"/>
          <w:sz w:val="24"/>
          <w:szCs w:val="24"/>
          <w:lang w:val="en-US" w:eastAsia="zh-CN" w:bidi="ar"/>
        </w:rPr>
        <w:t>【功能与主治】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补气安神，止咳平喘。用于心神不宁，失眠心悸，肺虚咳喘，虚劳短气，不思饮食。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【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用法用量</w:t>
      </w:r>
      <w:r>
        <w:rPr>
          <w:rFonts w:hint="default" w:ascii="Times New Roman" w:hAnsi="Times New Roman" w:eastAsia="宋体" w:cs="Times New Roman"/>
          <w:sz w:val="24"/>
          <w:szCs w:val="24"/>
        </w:rPr>
        <w:t>】 6～12g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；口服，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1-3g。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【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贮藏</w:t>
      </w:r>
      <w:r>
        <w:rPr>
          <w:rFonts w:hint="default" w:ascii="Times New Roman" w:hAnsi="Times New Roman" w:eastAsia="宋体" w:cs="Times New Roman"/>
          <w:sz w:val="24"/>
          <w:szCs w:val="24"/>
        </w:rPr>
        <w:t>】 密封。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  <w:bookmarkStart w:id="14" w:name="_GoBack"/>
      <w:bookmarkEnd w:id="14"/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炮制规范起草单位：</w:t>
      </w:r>
      <w:r>
        <w:rPr>
          <w:rFonts w:hint="eastAsia" w:ascii="宋体" w:hAnsi="宋体"/>
          <w:bCs/>
          <w:spacing w:val="20"/>
          <w:sz w:val="30"/>
          <w:szCs w:val="30"/>
        </w:rPr>
        <w:t>海南</w:t>
      </w:r>
      <w:r>
        <w:rPr>
          <w:rFonts w:hint="eastAsia" w:ascii="宋体" w:hAnsi="宋体"/>
          <w:bCs/>
          <w:spacing w:val="20"/>
          <w:sz w:val="30"/>
          <w:szCs w:val="30"/>
          <w:lang w:eastAsia="zh-CN"/>
        </w:rPr>
        <w:t>康农堂</w:t>
      </w:r>
      <w:r>
        <w:rPr>
          <w:rFonts w:hint="eastAsia" w:ascii="宋体" w:hAnsi="宋体"/>
          <w:bCs/>
          <w:spacing w:val="20"/>
          <w:sz w:val="30"/>
          <w:szCs w:val="30"/>
        </w:rPr>
        <w:t>中药</w:t>
      </w:r>
      <w:r>
        <w:rPr>
          <w:rFonts w:hint="eastAsia" w:ascii="宋体" w:hAnsi="宋体"/>
          <w:spacing w:val="20"/>
          <w:sz w:val="30"/>
          <w:szCs w:val="30"/>
        </w:rPr>
        <w:t>有限公司</w:t>
      </w:r>
    </w:p>
    <w:p>
      <w:pPr>
        <w:spacing w:line="360" w:lineRule="auto"/>
        <w:rPr>
          <w:rFonts w:hint="eastAsia" w:ascii="宋体" w:hAnsi="宋体"/>
          <w:spacing w:val="20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pacing w:val="20"/>
          <w:sz w:val="30"/>
          <w:szCs w:val="30"/>
          <w:lang w:eastAsia="zh-CN"/>
        </w:rPr>
        <w:t>标准复核单位：</w:t>
      </w:r>
      <w:r>
        <w:rPr>
          <w:rFonts w:hint="eastAsia" w:ascii="宋体" w:hAnsi="宋体"/>
          <w:spacing w:val="20"/>
          <w:sz w:val="30"/>
          <w:szCs w:val="30"/>
          <w:lang w:eastAsia="zh-CN"/>
        </w:rPr>
        <w:t>海南省药品检验所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ind w:firstLine="1766" w:firstLineChars="550"/>
        <w:jc w:val="both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中药饮片灵芝粉（紫芝）炮制规范起草说明</w:t>
      </w:r>
    </w:p>
    <w:p>
      <w:pPr>
        <w:spacing w:line="360" w:lineRule="auto"/>
        <w:jc w:val="both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  <w:lang w:eastAsia="zh-CN"/>
        </w:rPr>
        <w:t>【处方用名】</w:t>
      </w:r>
      <w:r>
        <w:rPr>
          <w:rFonts w:hint="eastAsia"/>
          <w:b w:val="0"/>
          <w:bCs/>
          <w:sz w:val="24"/>
          <w:szCs w:val="24"/>
          <w:lang w:eastAsia="zh-CN"/>
        </w:rPr>
        <w:t>处方用名：灵芝粉、紫芝粉</w:t>
      </w:r>
    </w:p>
    <w:p>
      <w:pPr>
        <w:spacing w:line="360" w:lineRule="auto"/>
        <w:jc w:val="both"/>
        <w:rPr>
          <w:rFonts w:hint="default" w:ascii="Calibri" w:hAnsi="Calibri" w:eastAsia="宋体" w:cs="Times New Roman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2【药材来源】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>本品为多孔菌科真菌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紫芝 </w:t>
      </w:r>
      <w:r>
        <w:rPr>
          <w:rStyle w:val="20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Ganoderma sinense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Zhao，Xu et Zhang 的干燥子实体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 xml:space="preserve">的炮制加工品。 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vertAlign w:val="superscript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3【原植物】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原植物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多孔菌科真菌紫芝，别名玄芝，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为腐生真菌。子实体有柄，</w:t>
      </w:r>
      <w:r>
        <w:rPr>
          <w:rFonts w:hint="eastAsia" w:cs="Times New Roman"/>
          <w:b w:val="0"/>
          <w:bCs/>
          <w:kern w:val="2"/>
          <w:sz w:val="24"/>
          <w:szCs w:val="24"/>
          <w:lang w:val="en-US" w:eastAsia="zh-CN"/>
        </w:rPr>
        <w:t>菌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盖半圆形至近</w:t>
      </w:r>
      <w:r>
        <w:rPr>
          <w:rFonts w:hint="eastAsia" w:cs="Times New Roman"/>
          <w:b w:val="0"/>
          <w:bCs/>
          <w:kern w:val="2"/>
          <w:sz w:val="24"/>
          <w:szCs w:val="24"/>
          <w:lang w:val="en-US" w:eastAsia="zh-CN"/>
        </w:rPr>
        <w:t>匙形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， 长2.5~9.5cm，宽2.2~8cm， 木栓质，皮壳质坚硬表面紫黑色至近黑色，或呈紫褐色。表面具漆样光泽，具同心环沟和纵皱，边缘薄或钝。 菌柄常侧生，长7~19cm，粗0.5~1cm，圆柱形或略扁平，皮壳坚硬，与菌盖同色或具更深的色泽和光泽。菌肉褐色至深褐色，厚1~3cm。 孢子淡褐色，卵形， 长9.5-13.8μm，宽6.9~8.7μm，顶端平截，双层壁、外壁光滑内壁有小刺。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vertAlign w:val="superscript"/>
          <w:lang w:val="en-US" w:eastAsia="zh-CN"/>
        </w:rPr>
        <w:t>[1]</w:t>
      </w:r>
    </w:p>
    <w:p>
      <w:pPr>
        <w:spacing w:line="360" w:lineRule="auto"/>
        <w:jc w:val="center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5" o:spt="75" alt="1592273160(1)" type="#_x0000_t75" style="height:179.25pt;width:249.75pt;" filled="f" o:preferrelative="t" stroked="f" coordsize="21600,21600">
            <v:path/>
            <v:fill on="f" focussize="0,0"/>
            <v:stroke on="f"/>
            <v:imagedata r:id="rId7" o:title="1592273160(1)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图1：原植物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4【产地】腐生于 阔叶树的枯干货腐朽的木桩上。分布于河北 、山东、浙江、江西、福建、台湾、广东、 广西 等省区。现很多地区已人工培养。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vertAlign w:val="superscript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5【采收与加工】子实体开始释放孢子前可套袋收集孢子，待菌盖外</w:t>
      </w:r>
      <w:r>
        <w:rPr>
          <w:rFonts w:hint="eastAsia" w:cs="Times New Roman"/>
          <w:b w:val="0"/>
          <w:bCs/>
          <w:kern w:val="2"/>
          <w:sz w:val="24"/>
          <w:szCs w:val="24"/>
          <w:lang w:val="en-US" w:eastAsia="zh-CN"/>
        </w:rPr>
        <w:t>缘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不再生长，菌盖下面管孔开始向外喷射担孢子，表示已经成熟，即可采收，从菌柄下端拧下整个子实体，晾干或低温烘干（温度不超过55℃）收藏，并要通风，放置霉变。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vertAlign w:val="superscript"/>
          <w:lang w:val="en-US" w:eastAsia="zh-CN"/>
        </w:rPr>
        <w:t>[2]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kern w:val="2"/>
          <w:sz w:val="24"/>
          <w:szCs w:val="24"/>
          <w:lang w:val="en-US" w:eastAsia="zh-CN"/>
        </w:rPr>
        <w:t>6【炮制方法】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6.1炮制方法   取原药材，除去杂质，洗净，干燥，粉碎成极细粉，即得。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6.1.2参考依据   参考《四川省中药饮片炮制规范》2015年版灵芝粉项下的炮制方法  “除去杂质， 阴干或40~50℃烘干，粉碎成细粉” ，结合我公司的生产设备，将炮制方法制定为：原药材，除去杂质，洗净，干燥，粉碎成极细粉，采用超微粉碎机粉碎，过200目筛。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0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kern w:val="2"/>
          <w:sz w:val="24"/>
          <w:szCs w:val="24"/>
          <w:lang w:val="en-US" w:eastAsia="zh-CN"/>
        </w:rPr>
        <w:t>7【成分】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灵芝 主要含有的活性成分有灵芝多糖、多肽、三萜类、氨基酸、核苷酸和其他有机无机化合物、生物碱、酶类、蛋白质、微量元素等。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vertAlign w:val="superscript"/>
          <w:lang w:val="en-US" w:eastAsia="zh-CN"/>
        </w:rPr>
        <w:t>[3]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0"/>
        <w:jc w:val="both"/>
        <w:rPr>
          <w:rFonts w:hint="default" w:ascii="Calibri" w:hAnsi="Calibri" w:eastAsia="宋体" w:cs="Times New Roman"/>
          <w:b w:val="0"/>
          <w:bCs w:val="0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 w:val="0"/>
          <w:kern w:val="2"/>
          <w:sz w:val="24"/>
          <w:szCs w:val="24"/>
          <w:lang w:val="en-US" w:eastAsia="zh-CN"/>
        </w:rPr>
        <w:t>8【成品性状】</w:t>
      </w:r>
      <w:bookmarkStart w:id="0" w:name="_Toc472587955"/>
      <w:r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  <w:lang w:val="en-US" w:eastAsia="zh-CN"/>
        </w:rPr>
        <w:t>根据13批样品的观察结果，将灵芝粉的性状制定为：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本品为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棕褐色至紫褐色的粉末；</w:t>
      </w:r>
      <w:r>
        <w:rPr>
          <w:rFonts w:hint="eastAsia" w:ascii="Calibri" w:hAnsi="Calibri" w:eastAsia="宋体" w:cs="Times New Roman"/>
          <w:b/>
          <w:bCs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  <w:lang w:val="en-US" w:eastAsia="zh-CN"/>
        </w:rPr>
        <w:t xml:space="preserve"> 气微香，味苦、涩。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Calibri" w:hAnsi="Calibri" w:eastAsia="宋体" w:cs="Times New Roman"/>
          <w:b w:val="0"/>
          <w:bCs w:val="0"/>
          <w:kern w:val="2"/>
          <w:sz w:val="24"/>
          <w:szCs w:val="24"/>
          <w:lang w:val="en-US" w:eastAsia="zh-CN"/>
        </w:rPr>
      </w:pPr>
    </w:p>
    <w:p>
      <w:pPr>
        <w:ind w:firstLine="1920" w:firstLineChars="800"/>
        <w:jc w:val="both"/>
        <w:rPr>
          <w:rFonts w:cs="Calibri"/>
          <w:color w:val="auto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表1：13批</w:t>
      </w:r>
      <w:r>
        <w:rPr>
          <w:rFonts w:hint="eastAsia" w:cs="Times New Roman"/>
          <w:kern w:val="2"/>
          <w:sz w:val="24"/>
          <w:szCs w:val="24"/>
          <w:lang w:val="en-US" w:eastAsia="zh-CN"/>
        </w:rPr>
        <w:t>灵芝粉（紫芝）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性状检验结果</w:t>
      </w:r>
      <w:r>
        <w:rPr>
          <w:rFonts w:hint="eastAsia" w:cs="Calibri"/>
          <w:color w:val="auto"/>
        </w:rPr>
        <w:t>表</w:t>
      </w:r>
    </w:p>
    <w:tbl>
      <w:tblPr>
        <w:tblStyle w:val="16"/>
        <w:tblW w:w="855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1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330" w:firstLineChars="150"/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61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 w:cs="Calibri"/>
                <w:color w:val="auto"/>
                <w:lang w:eastAsia="zh-CN"/>
              </w:rPr>
            </w:pPr>
            <w:r>
              <w:rPr>
                <w:rFonts w:hint="eastAsia" w:cs="Calibri"/>
                <w:color w:val="auto"/>
                <w:lang w:eastAsia="zh-CN"/>
              </w:rPr>
              <w:t>性状描述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61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6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6125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612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612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200603</w:t>
            </w:r>
          </w:p>
        </w:tc>
        <w:tc>
          <w:tcPr>
            <w:tcW w:w="6125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棕褐色至紫褐色的粉末；</w:t>
            </w: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气微香，味苦、涩。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pict>
          <v:shape id="_x0000_i1026" o:spt="75" alt="f8da807177408a2bd69334e0ea93a13" type="#_x0000_t75" style="height:137.75pt;width:183.65pt;" filled="f" o:preferrelative="t" stroked="f" coordsize="21600,21600">
            <v:path/>
            <v:fill on="f" focussize="0,0"/>
            <v:stroke on="f"/>
            <v:imagedata r:id="rId8" o:title="f8da807177408a2bd69334e0ea93a13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灵芝粉（紫芝）</w:t>
      </w:r>
    </w:p>
    <w:p>
      <w:pPr>
        <w:spacing w:line="360" w:lineRule="auto"/>
        <w:jc w:val="both"/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9【鉴别】9.1粉末显微鉴别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4"/>
        <w:jc w:val="both"/>
        <w:rPr>
          <w:rFonts w:hint="eastAsia" w:ascii="Calibri" w:hAnsi="Calibri" w:eastAsia="宋体" w:cs="Times New Roman"/>
          <w:color w:val="auto"/>
          <w:kern w:val="2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b w:val="0"/>
          <w:bCs/>
          <w:color w:val="auto"/>
          <w:kern w:val="2"/>
          <w:sz w:val="24"/>
          <w:szCs w:val="24"/>
          <w:lang w:val="en-US" w:eastAsia="zh-CN"/>
        </w:rPr>
        <w:t xml:space="preserve"> 参考《中国药典》2015年版“灵芝”的</w:t>
      </w:r>
      <w:r>
        <w:rPr>
          <w:rFonts w:hint="eastAsia"/>
          <w:b w:val="0"/>
          <w:bCs/>
          <w:color w:val="auto"/>
          <w:sz w:val="24"/>
          <w:szCs w:val="24"/>
          <w:vertAlign w:val="baseline"/>
          <w:lang w:val="en-US" w:eastAsia="zh-CN"/>
        </w:rPr>
        <w:t>显微特征</w:t>
      </w:r>
      <w:r>
        <w:rPr>
          <w:rFonts w:hint="eastAsia" w:ascii="Calibri" w:hAnsi="Calibri" w:eastAsia="宋体" w:cs="Times New Roman"/>
          <w:b w:val="0"/>
          <w:bCs/>
          <w:color w:val="auto"/>
          <w:kern w:val="2"/>
          <w:sz w:val="24"/>
          <w:szCs w:val="24"/>
          <w:lang w:val="en-US" w:eastAsia="zh-CN"/>
        </w:rPr>
        <w:t>，结合13批样品的检验结果， 将孢子和菌丝进行描述，制定为：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本品粉末</w:t>
      </w: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lang w:eastAsia="zh-CN"/>
        </w:rPr>
        <w:t>棕褐色至紫褐色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。菌丝散在或粘结成团，无色或淡棕色，细长，稍弯曲，有分枝，直径2.5～6.5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m。孢子褐色，卵形，顶端平截，外壁无色，内壁有疣状突起，长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～12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m，宽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～8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lang w:val="en-US" w:eastAsia="zh-CN" w:bidi="ar"/>
        </w:rPr>
        <w:t>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m。</w:t>
      </w: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lang w:val="en-US" w:eastAsia="zh-CN"/>
        </w:rPr>
        <w:t>（见图3 、表2）</w:t>
      </w:r>
    </w:p>
    <w:p>
      <w:pPr>
        <w:spacing w:line="360" w:lineRule="auto"/>
        <w:jc w:val="center"/>
        <w:rPr>
          <w:rFonts w:cs="Calibri"/>
          <w:color w:val="auto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表2：13批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灵芝粉（紫芝）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显微鉴别结果</w:t>
      </w:r>
    </w:p>
    <w:tbl>
      <w:tblPr>
        <w:tblStyle w:val="16"/>
        <w:tblW w:w="921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727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72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eastAsia="zh-CN"/>
              </w:rPr>
            </w:pPr>
            <w:r>
              <w:rPr>
                <w:rFonts w:hint="eastAsia" w:cs="Calibri"/>
                <w:color w:val="auto"/>
                <w:lang w:eastAsia="zh-CN"/>
              </w:rPr>
              <w:t>显微特征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727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粉末棕褐色至紫褐色。孢子褐色，卵形，长8.70μm，宽5.28μm，菌丝散在，淡棕色，细长，稍弯曲，有分枝，直径2.59μm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粉末棕褐色至紫褐色。孢子褐色，卵形，长9.14μm，宽7.41μm，菌丝散在，淡棕色，细长，稍弯曲，直径4.98μm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粉末棕褐色至紫褐色。孢子褐色，卵形，长8.08μm，宽7.39μm，菌丝散在，淡棕色，细长，稍弯曲，有分枝，直径4.85μm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粉末棕褐色至紫褐色。孢子褐色，卵形，长9.53μm，宽6.80μm，菌丝散在，淡棕色，细长，稍弯曲，直径3.35μm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粉末棕褐色至紫褐色。孢子褐色，卵形，长8.63μm，宽5.24μm，菌丝散在，淡棕色，细长，稍弯曲，有分枝，直径3.16μm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粉末棕褐色至紫褐色。孢子褐色，卵形，长8.10μm，宽5.60μm，菌丝散在，淡棕色，细长，稍弯曲，直径3.17μm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粉末棕褐色至紫褐色。孢子褐色，卵形，长6.37μm，宽5.95μm，菌丝散在，淡棕色，细长，稍弯曲，有分枝，直径2.80μm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粉末棕褐色至紫褐色。孢子褐色，卵形，长10.69μm，宽5.49μm，菌丝散在，淡棕色，细长，稍弯曲，直径2.16μm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72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粉末棕褐色至紫褐色。孢子褐色，卵形，长9.98μm，宽5.82μm，菌丝散在，淡棕色，细长，稍弯曲，直径4.56μm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7277" w:type="dxa"/>
            <w:tcBorders>
              <w:bottom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粉末棕褐色至紫褐色。孢子褐色，卵形，长6.49μm，宽5.66μm，菌丝散在，淡棕色，细长，稍弯曲，直径2.89μm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4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727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粉末棕褐色至棕褐色，菌丝散在，浅棕色，细长，稍弯曲，有分枝，直径6.50μm孢子褐色，卵形，长8.13μm宽4.56μm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727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粉末棕褐色至棕褐色，菌丝散在，浅棕色，细长，稍弯曲，有分枝，直径4.35μm孢子褐色，卵形，长9.5μm宽5.85μm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200603</w:t>
            </w:r>
          </w:p>
        </w:tc>
        <w:tc>
          <w:tcPr>
            <w:tcW w:w="7277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粉末棕褐色至棕褐色，菌丝散在，浅棕色，细长，稍弯曲，有分枝，直径5.59μm孢子褐色，卵形，长6.11μm宽7.90μm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jc w:val="center"/>
        <w:outlineLvl w:val="2"/>
        <w:rPr>
          <w:rFonts w:hint="eastAsia"/>
          <w:b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jc w:val="center"/>
        <w:outlineLvl w:val="2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jc w:val="center"/>
        <w:outlineLvl w:val="2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jc w:val="center"/>
        <w:outlineLvl w:val="2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pict>
          <v:shape id="_x0000_i1027" o:spt="75" alt="孢子" type="#_x0000_t75" style="height:131.6pt;width:174.75pt;" filled="f" o:preferrelative="t" stroked="f" coordsize="21600,21600">
            <v:path/>
            <v:fill on="f" focussize="0,0"/>
            <v:stroke on="f"/>
            <v:imagedata r:id="rId9" o:title="孢子"/>
            <o:lock v:ext="edit" aspectratio="t"/>
            <w10:wrap type="none"/>
            <w10:anchorlock/>
          </v:shape>
        </w:pict>
      </w:r>
      <w:r>
        <w:rPr>
          <w:rFonts w:hint="eastAsia"/>
          <w:b w:val="0"/>
          <w:bCs/>
          <w:sz w:val="24"/>
          <w:szCs w:val="24"/>
          <w:lang w:eastAsia="zh-CN"/>
        </w:rPr>
        <w:pict>
          <v:shape id="_x0000_i1028" o:spt="75" alt="菌丝" type="#_x0000_t75" style="height:131.85pt;width:175pt;" filled="f" o:preferrelative="t" stroked="f" coordsize="21600,21600">
            <v:path/>
            <v:fill on="f" focussize="0,0"/>
            <v:stroke on="f"/>
            <v:imagedata r:id="rId10" o:title="菌丝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ind w:leftChars="0" w:firstLine="1920" w:firstLineChars="800"/>
        <w:jc w:val="both"/>
        <w:outlineLvl w:val="2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A：孢子                                                          B：菌丝</w:t>
      </w:r>
    </w:p>
    <w:p>
      <w:pPr>
        <w:pStyle w:val="24"/>
        <w:numPr>
          <w:ilvl w:val="0"/>
          <w:numId w:val="0"/>
        </w:numPr>
        <w:spacing w:line="360" w:lineRule="auto"/>
        <w:ind w:firstLine="2880" w:firstLineChars="1200"/>
        <w:jc w:val="both"/>
        <w:outlineLvl w:val="2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图</w:t>
      </w:r>
      <w:r>
        <w:rPr>
          <w:rFonts w:hint="eastAsia"/>
          <w:b w:val="0"/>
          <w:bCs/>
          <w:sz w:val="24"/>
          <w:szCs w:val="24"/>
          <w:lang w:val="en-US" w:eastAsia="zh-CN"/>
        </w:rPr>
        <w:t>3：灵芝粉显微特征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9.2鉴别2（薄层鉴别1）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/>
          <w:b w:val="0"/>
          <w:bCs/>
          <w:sz w:val="24"/>
          <w:szCs w:val="24"/>
          <w:lang w:val="en-US" w:eastAsia="zh-CN"/>
        </w:rPr>
        <w:t>参考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《中国药典》2015年版灵芝项下的鉴别，</w:t>
      </w:r>
      <w:r>
        <w:rPr>
          <w:rFonts w:hint="eastAsia"/>
          <w:b w:val="0"/>
          <w:bCs/>
          <w:sz w:val="24"/>
          <w:szCs w:val="24"/>
          <w:lang w:val="en-US" w:eastAsia="zh-CN"/>
        </w:rPr>
        <w:t>将薄层鉴别定为：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取本品粉末2g，加乙醇30ml，加热回流30分钟，滤过，滤液蒸干，残渣加甲醇2m1使溶解，作为供试品溶液。另取灵芝对照药材2g，同法制成对照药材溶液。照薄层色谱法（通则0502）试验，吸取上述两种溶液各4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l，分别点于同一硅胶G薄层板上，以石油醚（60～90℃）-甲酸乙酯-甲酸（15：5：1）的上层溶液为展开剂，展开，取出，晾干，置紫外光灯 （365nm）下检视。供试品色谱中，在与对照药材色谱相应的位置上，显相同颜色的荧光斑点。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hint="eastAsia" w:ascii="Calibri" w:hAnsi="Calibri" w:eastAsia="宋体" w:cs="Calibri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kern w:val="2"/>
          <w:sz w:val="24"/>
          <w:szCs w:val="24"/>
          <w:lang w:val="en-US" w:eastAsia="zh-CN"/>
        </w:rPr>
        <w:t xml:space="preserve">13批样品检验结果如下：（表3，图4）  </w:t>
      </w:r>
    </w:p>
    <w:p>
      <w:pPr>
        <w:ind w:firstLine="1920" w:firstLineChars="800"/>
        <w:jc w:val="both"/>
        <w:rPr>
          <w:rFonts w:cs="Calibri"/>
          <w:color w:val="auto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表3：13批</w:t>
      </w:r>
      <w:r>
        <w:rPr>
          <w:rFonts w:hint="eastAsia" w:cs="Times New Roman"/>
          <w:kern w:val="2"/>
          <w:sz w:val="24"/>
          <w:szCs w:val="24"/>
          <w:lang w:val="en-US" w:eastAsia="zh-CN"/>
        </w:rPr>
        <w:t>灵芝粉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薄层检验结果</w:t>
      </w:r>
    </w:p>
    <w:tbl>
      <w:tblPr>
        <w:tblStyle w:val="16"/>
        <w:tblW w:w="92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683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jc w:val="center"/>
              <w:rPr>
                <w:rFonts w:cs="Calibri"/>
              </w:rPr>
            </w:pPr>
            <w:r>
              <w:rPr>
                <w:rFonts w:hint="eastAsia" w:cs="Calibri"/>
              </w:rPr>
              <w:t>样品批号</w:t>
            </w:r>
          </w:p>
        </w:tc>
        <w:tc>
          <w:tcPr>
            <w:tcW w:w="6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cs="Calibri"/>
                <w:lang w:eastAsia="zh-CN"/>
              </w:rPr>
            </w:pPr>
            <w:r>
              <w:rPr>
                <w:rFonts w:hint="eastAsia" w:cs="Calibri"/>
                <w:lang w:eastAsia="zh-CN"/>
              </w:rPr>
              <w:t>紫外灯下检视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/>
                <w:lang w:val="en-US" w:eastAsia="zh-CN"/>
              </w:rPr>
            </w:pPr>
            <w:r>
              <w:rPr>
                <w:rFonts w:hint="eastAsia" w:eastAsia="宋体" w:cs="Calibri"/>
                <w:lang w:val="en-US" w:eastAsia="zh-CN"/>
              </w:rPr>
              <w:t>X200</w:t>
            </w:r>
            <w:r>
              <w:rPr>
                <w:rFonts w:hint="eastAsia" w:cs="Calibri"/>
                <w:lang w:val="en-US" w:eastAsia="zh-CN"/>
              </w:rPr>
              <w:t>407</w:t>
            </w:r>
          </w:p>
        </w:tc>
        <w:tc>
          <w:tcPr>
            <w:tcW w:w="6838" w:type="dxa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/>
                <w:lang w:val="en-US" w:eastAsia="zh-CN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08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/>
                <w:lang w:val="en-US" w:eastAsia="zh-CN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09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lang w:val="en-US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10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lang w:val="en-US"/>
              </w:rPr>
            </w:pPr>
            <w:r>
              <w:rPr>
                <w:rFonts w:hint="eastAsia" w:eastAsia="宋体" w:cs="Calibri"/>
                <w:lang w:val="en-US" w:eastAsia="zh-CN"/>
              </w:rPr>
              <w:t>X200</w:t>
            </w:r>
            <w:r>
              <w:rPr>
                <w:rFonts w:hint="eastAsia" w:cs="Calibri"/>
                <w:lang w:val="en-US" w:eastAsia="zh-CN"/>
              </w:rPr>
              <w:t>411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lang w:val="en-US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13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lang w:val="en-US"/>
              </w:rPr>
            </w:pPr>
            <w:r>
              <w:rPr>
                <w:rFonts w:hint="eastAsia" w:eastAsia="宋体" w:cs="Calibri"/>
                <w:lang w:val="en-US" w:eastAsia="zh-CN"/>
              </w:rPr>
              <w:t>X200</w:t>
            </w:r>
            <w:r>
              <w:rPr>
                <w:rFonts w:hint="eastAsia" w:cs="Calibri"/>
                <w:lang w:val="en-US" w:eastAsia="zh-CN"/>
              </w:rPr>
              <w:t>414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lang w:val="en-US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15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lang w:val="en-US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16</w:t>
            </w:r>
          </w:p>
        </w:tc>
        <w:tc>
          <w:tcPr>
            <w:tcW w:w="6838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Calibri"/>
                <w:lang w:val="en-US" w:eastAsia="zh-CN"/>
              </w:rPr>
            </w:pPr>
            <w:r>
              <w:rPr>
                <w:rFonts w:hint="eastAsia" w:eastAsia="宋体" w:cs="Calibri"/>
                <w:lang w:val="en-US" w:eastAsia="zh-CN"/>
              </w:rPr>
              <w:t>X2004</w:t>
            </w:r>
            <w:r>
              <w:rPr>
                <w:rFonts w:hint="eastAsia" w:cs="Calibri"/>
                <w:lang w:val="en-US" w:eastAsia="zh-CN"/>
              </w:rPr>
              <w:t>17</w:t>
            </w:r>
          </w:p>
        </w:tc>
        <w:tc>
          <w:tcPr>
            <w:tcW w:w="6838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lang w:val="en-US" w:eastAsia="zh-CN"/>
              </w:rPr>
            </w:pPr>
            <w:r>
              <w:rPr>
                <w:rFonts w:hint="eastAsia" w:eastAsia="宋体" w:cs="Calibri"/>
                <w:lang w:val="en-US" w:eastAsia="zh-CN"/>
              </w:rPr>
              <w:t>200</w:t>
            </w:r>
            <w:r>
              <w:rPr>
                <w:rFonts w:hint="eastAsia" w:cs="Calibri"/>
                <w:lang w:val="en-US" w:eastAsia="zh-CN"/>
              </w:rPr>
              <w:t>6</w:t>
            </w:r>
            <w:r>
              <w:rPr>
                <w:rFonts w:hint="eastAsia" w:eastAsia="宋体" w:cs="Calibri"/>
                <w:lang w:val="en-US" w:eastAsia="zh-CN"/>
              </w:rPr>
              <w:t>01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lang w:val="en-US" w:eastAsia="zh-CN"/>
              </w:rPr>
            </w:pPr>
            <w:r>
              <w:rPr>
                <w:rFonts w:hint="eastAsia" w:eastAsia="宋体" w:cs="Calibri"/>
                <w:lang w:val="en-US" w:eastAsia="zh-CN"/>
              </w:rPr>
              <w:t>200</w:t>
            </w:r>
            <w:r>
              <w:rPr>
                <w:rFonts w:hint="eastAsia" w:cs="Calibri"/>
                <w:lang w:val="en-US" w:eastAsia="zh-CN"/>
              </w:rPr>
              <w:t>6</w:t>
            </w:r>
            <w:r>
              <w:rPr>
                <w:rFonts w:hint="eastAsia" w:eastAsia="宋体" w:cs="Calibri"/>
                <w:lang w:val="en-US" w:eastAsia="zh-CN"/>
              </w:rPr>
              <w:t>02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</w:rPr>
            </w:pPr>
            <w:r>
              <w:rPr>
                <w:rFonts w:hint="eastAsia" w:cs="Calibri"/>
                <w:lang w:val="en-US" w:eastAsia="zh-CN"/>
              </w:rPr>
              <w:t>200603</w:t>
            </w:r>
          </w:p>
        </w:tc>
        <w:tc>
          <w:tcPr>
            <w:tcW w:w="683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在与对照药材色谱相应的位置上，显相同颜色的荧光斑点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jc w:val="both"/>
        <w:outlineLvl w:val="2"/>
        <w:rPr>
          <w:rFonts w:hint="eastAsia"/>
          <w:b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jc w:val="both"/>
        <w:outlineLvl w:val="2"/>
        <w:rPr>
          <w:rFonts w:hint="eastAsia"/>
          <w:b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left"/>
        <w:outlineLvl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9" o:spt="75" alt="灵芝粉（赤芝）X200420，X200421，X200422，X200423，X200424鉴别2" type="#_x0000_t75" style="height:201.3pt;width:268.35pt;" filled="f" o:preferrelative="t" stroked="f" coordsize="21600,21600">
            <v:path/>
            <v:fill on="f" focussize="0,0"/>
            <v:stroke on="f"/>
            <v:imagedata r:id="rId11" o:title="灵芝粉（赤芝）X200420，X200421，X200422，X200423，X200424鉴别2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jc w:val="both"/>
        <w:outlineLvl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1          2             3          4            5          6     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left"/>
        <w:outlineLvl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0" o:spt="75" alt="灵芝粉（赤芝）X200425，X200427，X200428，X200429，X200430鉴别2" type="#_x0000_t75" style="height:197.75pt;width:263.65pt;" filled="f" o:preferrelative="t" stroked="f" coordsize="21600,21600">
            <v:path/>
            <v:fill on="f" focussize="0,0"/>
            <v:stroke on="f"/>
            <v:imagedata r:id="rId12" o:title="灵芝粉（赤芝）X200425，X200427，X200428，X200429，X200430鉴别2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jc w:val="both"/>
        <w:outlineLvl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1                7          8       9           10     11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both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pict>
          <v:shape id="_x0000_i1031" o:spt="75" alt="灵芝粉（紫芝）200601，200602，200603鉴别2" type="#_x0000_t75" style="height:212.5pt;width:159.35pt;" filled="f" o:preferrelative="t" stroked="f" coordsize="21600,21600">
            <v:path/>
            <v:fill on="f" focussize="0,0"/>
            <v:stroke on="f"/>
            <v:imagedata r:id="rId13" o:title="灵芝粉（紫芝）200601，200602，200603鉴别2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both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1       12     13     14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2409" w:firstLineChars="1000"/>
        <w:jc w:val="both"/>
        <w:outlineLvl w:val="2"/>
        <w:rPr>
          <w:rFonts w:hint="default"/>
          <w:b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eastAsia="zh-CN"/>
        </w:rPr>
        <w:t>图</w:t>
      </w:r>
      <w:r>
        <w:rPr>
          <w:rFonts w:hint="eastAsia"/>
          <w:b/>
          <w:color w:val="auto"/>
          <w:sz w:val="24"/>
          <w:szCs w:val="24"/>
          <w:lang w:val="en-US" w:eastAsia="zh-CN"/>
        </w:rPr>
        <w:t>4：灵芝粉（紫芝）薄层鉴别1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jc w:val="left"/>
        <w:outlineLvl w:val="2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灵芝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对照药材、2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x2000407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，3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x200408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，4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x200409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，5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x200410，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x200411，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x200413，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x20014，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x200415，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x200416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,11.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x200417，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200601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，1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200602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，1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200603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）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9.2鉴别3（薄层鉴别2）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/>
          <w:b w:val="0"/>
          <w:bCs/>
          <w:sz w:val="24"/>
          <w:szCs w:val="24"/>
          <w:lang w:val="en-US" w:eastAsia="zh-CN"/>
        </w:rPr>
        <w:t>参考</w:t>
      </w:r>
      <w:r>
        <w:rPr>
          <w:rFonts w:hint="eastAsia" w:ascii="Calibri" w:hAnsi="Calibri" w:eastAsia="宋体" w:cs="Times New Roman"/>
          <w:b w:val="0"/>
          <w:bCs/>
          <w:kern w:val="2"/>
          <w:sz w:val="24"/>
          <w:szCs w:val="24"/>
          <w:lang w:val="en-US" w:eastAsia="zh-CN"/>
        </w:rPr>
        <w:t>《中国药典》2015年版灵芝项下的鉴别3，</w:t>
      </w:r>
      <w:r>
        <w:rPr>
          <w:rFonts w:hint="eastAsia"/>
          <w:b w:val="0"/>
          <w:bCs/>
          <w:sz w:val="24"/>
          <w:szCs w:val="24"/>
          <w:lang w:val="en-US" w:eastAsia="zh-CN"/>
        </w:rPr>
        <w:t>将鉴别3定为：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取本品粉末1g，加水50ml，加热回流1小时，趁热滤过，滤液置蒸发皿中，用少量水分次洗涤容器，合并洗液并入蒸发皿中，置水浴上蒸干，残渣用水5ml溶解，置50ml离心管中，缓缓加入乙醇25ml，不断搅拌，静置1小时，离心（转速为每分钟4000转），取沉淀物，用乙醇10ml洗涤，离心，取沉淀物，烘干，放冷，加4mol/L三氟乙酸溶液2ml，置10ml安瓿瓶或顶空瓶中，封口，混匀，在120℃水解3小时，放冷，水解液转移至50ml烧瓶中，用2ml水洗涤容器，洗涤液并入烧瓶中，60℃减压蒸干，用70%乙醇2ml溶解，置离心管中，离心，取上清液作为供试品溶液。另取半乳糖对照品、葡萄糖对照品、甘露糖对照品和木糖对照品适量，精密称定，加70%乙醇制成每1ml各含0.1mg的混合溶液，作为对照品溶液。照薄层色谱法（通则0502）试验，吸取上述两种溶液各3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l，分别点于同一高效硅胶G薄层板上，以正丁醇-丙酮-水（5：1：1）为展开剂，展开，取出，晾干，喷以对氨基苯甲酸溶液（取4-氨基苯甲酸0.5g，溶于冰醋酸9ml中，加水10ml和85%磷酸溶液0.5ml，混匀），在105℃加热约10分钟，在紫外光灯（365nm）下检视。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both"/>
        <w:rPr>
          <w:rFonts w:hint="eastAsia" w:ascii="Calibri" w:hAnsi="Calibri" w:eastAsia="宋体" w:cs="Calibri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kern w:val="2"/>
          <w:sz w:val="24"/>
          <w:szCs w:val="24"/>
          <w:lang w:val="en-US" w:eastAsia="zh-CN"/>
        </w:rPr>
        <w:t xml:space="preserve">13批样品检验结果如下：（表4，图5）  </w:t>
      </w:r>
    </w:p>
    <w:p>
      <w:pPr>
        <w:ind w:firstLine="1920" w:firstLineChars="800"/>
        <w:jc w:val="both"/>
        <w:rPr>
          <w:rFonts w:cs="Calibri"/>
          <w:color w:val="auto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表4：13批</w:t>
      </w:r>
      <w:r>
        <w:rPr>
          <w:rFonts w:hint="eastAsia" w:cs="Times New Roman"/>
          <w:kern w:val="2"/>
          <w:sz w:val="24"/>
          <w:szCs w:val="24"/>
          <w:lang w:val="en-US" w:eastAsia="zh-CN"/>
        </w:rPr>
        <w:t>灵芝粉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薄层鉴别2检验结果</w:t>
      </w:r>
    </w:p>
    <w:tbl>
      <w:tblPr>
        <w:tblStyle w:val="16"/>
        <w:tblW w:w="92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73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73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cs="Calibri"/>
                <w:color w:val="auto"/>
                <w:lang w:eastAsia="zh-CN"/>
              </w:rPr>
            </w:pPr>
            <w:r>
              <w:rPr>
                <w:rFonts w:hint="eastAsia" w:cs="Calibri"/>
                <w:color w:val="auto"/>
                <w:lang w:eastAsia="zh-CN"/>
              </w:rPr>
              <w:t>紫外灯下检视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7363" w:type="dxa"/>
            <w:tcBorders>
              <w:top w:val="single" w:color="auto" w:sz="4" w:space="0"/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0" w:right="0" w:firstLine="432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7363" w:type="dxa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7363" w:type="dxa"/>
            <w:tcBorders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200603</w:t>
            </w:r>
          </w:p>
        </w:tc>
        <w:tc>
          <w:tcPr>
            <w:tcW w:w="7363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供试品色谱中，在与对照品色谱相应的位置上，显相同颜色的荧光斑点。其中最强荧光斑点为葡萄糖，甘露糖和半乳糖荧光斑点强度相近，位于葡萄糖斑点上、下两侧，木糖斑点在甘露糖上，荧光斑点强度最弱。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jc w:val="both"/>
        <w:outlineLvl w:val="2"/>
        <w:rPr>
          <w:rFonts w:hint="eastAsia"/>
          <w:b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jc w:val="center"/>
        <w:outlineLvl w:val="2"/>
        <w:rPr>
          <w:rFonts w:hint="eastAsia" w:eastAsia="宋体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pict>
          <v:shape id="_x0000_i1032" o:spt="75" alt="灵芝粉（赤芝）X200420，X200421，X200422，X200423，X200424鉴别3" type="#_x0000_t75" style="height:184.6pt;width:246.1pt;" filled="f" o:preferrelative="t" stroked="f" coordsize="21600,21600">
            <v:path/>
            <v:fill on="f" focussize="0,0"/>
            <v:stroke on="f"/>
            <v:imagedata r:id="rId14" o:title="灵芝粉（赤芝）X200420，X200421，X200422，X200423，X200424鉴别3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jc w:val="both"/>
        <w:outlineLvl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1      2        3       4       5       6     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both"/>
        <w:outlineLvl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33" o:spt="75" alt="灵芝粉（赤芝）X200425，X200427，X200428，X200429，X200430鉴别3" type="#_x0000_t75" style="height:187.85pt;width:250.45pt;" filled="f" o:preferrelative="t" stroked="f" coordsize="21600,21600">
            <v:path/>
            <v:fill on="f" focussize="0,0"/>
            <v:stroke on="f"/>
            <v:imagedata r:id="rId15" o:title="灵芝粉（赤芝）X200425，X200427，X200428，X200429，X200430鉴别3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jc w:val="both"/>
        <w:outlineLvl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1       7        8     9     10  11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both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pict>
          <v:shape id="_x0000_i1034" o:spt="75" alt="灵芝粉（赤芝）200501，200502，200503鉴别3" type="#_x0000_t75" style="height:180.4pt;width:240.55pt;" filled="f" o:preferrelative="t" stroked="f" coordsize="21600,21600">
            <v:path/>
            <v:fill on="f" focussize="0,0"/>
            <v:stroke on="f"/>
            <v:imagedata r:id="rId16" o:title="灵芝粉（赤芝）200501，200502，200503鉴别3"/>
            <o:lock v:ext="edit" aspectratio="t"/>
            <w10:wrap type="none"/>
            <w10:anchorlock/>
          </v:shape>
        </w:pict>
      </w:r>
    </w:p>
    <w:p>
      <w:pPr>
        <w:pStyle w:val="24"/>
        <w:numPr>
          <w:ilvl w:val="0"/>
          <w:numId w:val="0"/>
        </w:numPr>
        <w:spacing w:line="360" w:lineRule="auto"/>
        <w:ind w:leftChars="0" w:firstLine="2200" w:firstLineChars="1000"/>
        <w:jc w:val="both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1          12         13       14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2409" w:firstLineChars="1000"/>
        <w:jc w:val="both"/>
        <w:outlineLvl w:val="2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图</w:t>
      </w:r>
      <w:r>
        <w:rPr>
          <w:rFonts w:hint="eastAsia"/>
          <w:b/>
          <w:sz w:val="24"/>
          <w:szCs w:val="24"/>
          <w:lang w:val="en-US" w:eastAsia="zh-CN"/>
        </w:rPr>
        <w:t>5：灵芝粉（紫芝）薄层鉴别2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jc w:val="left"/>
        <w:outlineLvl w:val="2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混合对照溶液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x2000407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，3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x200408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，4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x200409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，5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x200410，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x200411，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x200413，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x20014，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x200415，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x200416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,11.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x200417，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200601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，1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200602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，1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/>
        </w:rPr>
        <w:t>200603）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jc w:val="left"/>
        <w:outlineLvl w:val="2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  <w:lang w:eastAsia="zh-CN"/>
        </w:rPr>
        <w:t>【检查】</w:t>
      </w:r>
    </w:p>
    <w:bookmarkEnd w:id="0"/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sz w:val="24"/>
          <w:szCs w:val="24"/>
          <w:lang w:eastAsia="zh-CN"/>
        </w:rPr>
      </w:pPr>
      <w:bookmarkStart w:id="1" w:name="_Toc472587960"/>
      <w:r>
        <w:rPr>
          <w:rFonts w:hint="eastAsia"/>
          <w:b/>
          <w:sz w:val="24"/>
          <w:szCs w:val="24"/>
          <w:lang w:val="en-US" w:eastAsia="zh-CN"/>
        </w:rPr>
        <w:t>10.2</w:t>
      </w:r>
      <w:r>
        <w:rPr>
          <w:rFonts w:hint="eastAsia"/>
          <w:b/>
          <w:sz w:val="24"/>
          <w:szCs w:val="24"/>
          <w:lang w:eastAsia="zh-CN"/>
        </w:rPr>
        <w:t>水分</w:t>
      </w:r>
      <w:bookmarkEnd w:id="1"/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10.2.1烘干法及样品检验结果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0" w:firstLineChars="200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照</w:t>
      </w:r>
      <w:r>
        <w:rPr>
          <w:rFonts w:hint="eastAsia"/>
          <w:b w:val="0"/>
          <w:bCs/>
          <w:sz w:val="24"/>
          <w:szCs w:val="24"/>
          <w:lang w:val="en-US" w:eastAsia="zh-CN"/>
        </w:rPr>
        <w:t>《</w:t>
      </w:r>
      <w:r>
        <w:rPr>
          <w:rFonts w:hint="eastAsia"/>
          <w:b w:val="0"/>
          <w:bCs/>
          <w:sz w:val="24"/>
          <w:szCs w:val="24"/>
          <w:lang w:eastAsia="zh-CN"/>
        </w:rPr>
        <w:t>中国药典》2</w:t>
      </w:r>
      <w:r>
        <w:rPr>
          <w:rFonts w:hint="eastAsia"/>
          <w:sz w:val="24"/>
          <w:szCs w:val="24"/>
          <w:lang w:eastAsia="zh-CN"/>
        </w:rPr>
        <w:t>015年版四部通则0832水分测定法）中的第二法烘干法，取本品细粉约2</w:t>
      </w:r>
      <w:r>
        <w:rPr>
          <w:rFonts w:hint="eastAsia"/>
          <w:sz w:val="24"/>
          <w:szCs w:val="24"/>
          <w:lang w:val="en-US" w:eastAsia="zh-CN"/>
        </w:rPr>
        <w:t>~4</w:t>
      </w:r>
      <w:r>
        <w:rPr>
          <w:rFonts w:hint="eastAsia"/>
          <w:sz w:val="24"/>
          <w:szCs w:val="24"/>
          <w:lang w:eastAsia="zh-CN"/>
        </w:rPr>
        <w:t>g，平铺于干燥至恒重的扁形称量瓶中，厚度不超过5mm，精密称定，开启瓶盖在105℃干燥5小时，将瓶盖盖好，移至干燥器中，放冷30分钟，精密称定，再在上述温度干燥1小时，放冷，称重，至连续两次称重的差异不超过5mg为止。根据减失的重量，计算供试品中含水量（%）。</w:t>
      </w:r>
    </w:p>
    <w:p>
      <w:pPr>
        <w:pStyle w:val="24"/>
        <w:numPr>
          <w:ilvl w:val="0"/>
          <w:numId w:val="0"/>
        </w:numPr>
        <w:spacing w:line="360" w:lineRule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13批灵芝粉水分结果见表5</w:t>
      </w:r>
    </w:p>
    <w:p>
      <w:pPr>
        <w:ind w:firstLine="1760" w:firstLineChars="800"/>
        <w:jc w:val="both"/>
        <w:rPr>
          <w:rFonts w:cs="Calibri"/>
          <w:color w:val="auto"/>
        </w:rPr>
      </w:pPr>
      <w:r>
        <w:rPr>
          <w:rFonts w:hint="eastAsia" w:cs="Calibri"/>
          <w:color w:val="auto"/>
        </w:rPr>
        <w:t>表</w:t>
      </w:r>
      <w:r>
        <w:rPr>
          <w:rFonts w:hint="eastAsia" w:cs="Calibri"/>
          <w:color w:val="auto"/>
          <w:lang w:val="en-US" w:eastAsia="zh-CN"/>
        </w:rPr>
        <w:t>5</w:t>
      </w:r>
      <w:r>
        <w:rPr>
          <w:rFonts w:cs="Calibri"/>
          <w:color w:val="auto"/>
        </w:rPr>
        <w:t xml:space="preserve"> </w:t>
      </w:r>
      <w:r>
        <w:rPr>
          <w:rFonts w:hint="eastAsia" w:cs="Calibri"/>
          <w:color w:val="auto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highlight w:val="none"/>
          <w:lang w:val="en-US" w:eastAsia="zh-CN"/>
        </w:rPr>
        <w:t>13批灵芝粉（紫芝）水分测定结果</w:t>
      </w:r>
    </w:p>
    <w:tbl>
      <w:tblPr>
        <w:tblStyle w:val="16"/>
        <w:tblW w:w="905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55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5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水分</w:t>
            </w:r>
            <w:r>
              <w:rPr>
                <w:rFonts w:hint="eastAsia" w:cs="Calibri"/>
                <w:color w:val="auto"/>
              </w:rPr>
              <w:t>（</w:t>
            </w:r>
            <w:r>
              <w:rPr>
                <w:rFonts w:cs="Calibri"/>
                <w:color w:val="auto"/>
              </w:rPr>
              <w:t>%</w:t>
            </w:r>
            <w:r>
              <w:rPr>
                <w:rFonts w:hint="eastAsia" w:cs="Calibri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55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8.9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8.6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8.7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9.0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9.1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8.5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558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8.7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5582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9.0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55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5.6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55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5.9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200603</w:t>
            </w:r>
          </w:p>
        </w:tc>
        <w:tc>
          <w:tcPr>
            <w:tcW w:w="558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5.8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440" w:firstLineChars="20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X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cs="Calibri"/>
                <w:color w:val="auto"/>
              </w:rPr>
              <w:t>sd</w:t>
            </w:r>
          </w:p>
        </w:tc>
        <w:tc>
          <w:tcPr>
            <w:tcW w:w="5582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8.1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hint="eastAsia" w:cs="Calibri"/>
                <w:color w:val="auto"/>
                <w:lang w:val="en-US" w:eastAsia="zh-CN"/>
              </w:rPr>
              <w:t xml:space="preserve"> 1.4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sz w:val="24"/>
          <w:szCs w:val="24"/>
          <w:lang w:val="en-US"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10.2.2水分测定结果分析及检验方法确认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从</w:t>
      </w:r>
      <w:r>
        <w:rPr>
          <w:rFonts w:hint="eastAsia"/>
          <w:sz w:val="24"/>
          <w:szCs w:val="24"/>
          <w:lang w:eastAsia="zh-CN"/>
        </w:rPr>
        <w:t>上表数据</w:t>
      </w:r>
      <w:r>
        <w:rPr>
          <w:sz w:val="24"/>
          <w:szCs w:val="24"/>
          <w:lang w:eastAsia="zh-CN"/>
        </w:rPr>
        <w:t xml:space="preserve"> 可以看出，中药饮片</w:t>
      </w:r>
      <w:r>
        <w:rPr>
          <w:rFonts w:hint="eastAsia"/>
          <w:sz w:val="24"/>
          <w:szCs w:val="24"/>
          <w:lang w:eastAsia="zh-CN"/>
        </w:rPr>
        <w:t>灵芝粉（紫芝）的水</w:t>
      </w:r>
      <w:r>
        <w:rPr>
          <w:sz w:val="24"/>
          <w:szCs w:val="24"/>
          <w:lang w:eastAsia="zh-CN"/>
        </w:rPr>
        <w:t>分幅度</w:t>
      </w:r>
      <w:r>
        <w:rPr>
          <w:rFonts w:hint="eastAsia"/>
          <w:sz w:val="24"/>
          <w:szCs w:val="24"/>
          <w:lang w:eastAsia="zh-CN"/>
        </w:rPr>
        <w:t>范围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为：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5.6%~ 9.1% ， 平均值为8.1 %；根据13批结果的平均值乘以120%，得出灵芝粉的水分限度为:不得过 9.72%。参考中国药典2015年版四部通则中对药材和饮片水分的限度要求，并结合13批样品的结果， </w:t>
      </w:r>
      <w:r>
        <w:rPr>
          <w:rFonts w:hint="eastAsia"/>
          <w:sz w:val="24"/>
          <w:szCs w:val="24"/>
          <w:highlight w:val="none"/>
          <w:lang w:eastAsia="zh-CN"/>
        </w:rPr>
        <w:t>最终将灵芝粉（紫芝）的水分测定方法定和限度拟定为：照水分测定法《</w:t>
      </w:r>
      <w:r>
        <w:rPr>
          <w:rFonts w:hint="eastAsia"/>
          <w:sz w:val="24"/>
          <w:szCs w:val="24"/>
          <w:lang w:eastAsia="zh-CN"/>
        </w:rPr>
        <w:t>中国药典》（2015年版四部通则0832）中的第二法测定，含水分不得</w:t>
      </w:r>
      <w:r>
        <w:rPr>
          <w:rFonts w:hint="eastAsia"/>
          <w:color w:val="auto"/>
          <w:sz w:val="24"/>
          <w:szCs w:val="24"/>
          <w:lang w:eastAsia="zh-CN"/>
        </w:rPr>
        <w:t>过</w:t>
      </w:r>
      <w:r>
        <w:rPr>
          <w:rFonts w:hint="eastAsia"/>
          <w:color w:val="auto"/>
          <w:sz w:val="24"/>
          <w:szCs w:val="24"/>
          <w:lang w:val="en-US" w:eastAsia="zh-CN"/>
        </w:rPr>
        <w:t>13.0%。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bookmarkStart w:id="2" w:name="_Toc472587963"/>
      <w:r>
        <w:rPr>
          <w:rFonts w:hint="eastAsia"/>
          <w:b/>
          <w:bCs/>
          <w:sz w:val="24"/>
          <w:szCs w:val="24"/>
          <w:lang w:val="en-US" w:eastAsia="zh-CN"/>
        </w:rPr>
        <w:t>10.3总灰分</w:t>
      </w:r>
    </w:p>
    <w:p>
      <w:pPr>
        <w:spacing w:line="360" w:lineRule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10.3.1总灰分测定方法和结果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/>
          <w:color w:val="auto"/>
          <w:sz w:val="24"/>
          <w:szCs w:val="24"/>
          <w:lang w:eastAsia="zh-CN"/>
        </w:rPr>
        <w:t>照《中国药典》2015年版四部（通则2302 灰分测定法）中的总灰分测定法，取供试品粉末</w:t>
      </w:r>
      <w:r>
        <w:rPr>
          <w:rFonts w:hint="eastAsia"/>
          <w:color w:val="auto"/>
          <w:sz w:val="24"/>
          <w:szCs w:val="24"/>
          <w:lang w:val="en-US" w:eastAsia="zh-CN"/>
        </w:rPr>
        <w:t>3-5</w:t>
      </w:r>
      <w:r>
        <w:rPr>
          <w:rFonts w:hint="eastAsia"/>
          <w:color w:val="auto"/>
          <w:sz w:val="24"/>
          <w:szCs w:val="24"/>
          <w:lang w:eastAsia="zh-CN"/>
        </w:rPr>
        <w:t>g，置炽灼至恒重的坩埚中，称定重量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，缓缓炽热，注意避免燃烧，至完全炭化时，逐渐升高温度至550℃，使完全灰化并至恒重。根据残渣重量，计算供试品中总灰分的含量（%）。</w:t>
      </w:r>
      <w:r>
        <w:rPr>
          <w:rFonts w:hint="eastAsia"/>
          <w:color w:val="auto"/>
          <w:sz w:val="24"/>
          <w:szCs w:val="24"/>
          <w:lang w:val="en-US" w:eastAsia="zh-CN"/>
        </w:rPr>
        <w:t>13批灵芝粉（紫芝）灰分</w:t>
      </w:r>
      <w:r>
        <w:rPr>
          <w:rFonts w:hint="eastAsia"/>
          <w:color w:val="auto"/>
          <w:sz w:val="24"/>
          <w:szCs w:val="24"/>
          <w:lang w:eastAsia="zh-CN"/>
        </w:rPr>
        <w:t>结果见表</w:t>
      </w:r>
      <w:r>
        <w:rPr>
          <w:rFonts w:hint="eastAsia"/>
          <w:color w:val="auto"/>
          <w:sz w:val="24"/>
          <w:szCs w:val="24"/>
          <w:lang w:val="en-US" w:eastAsia="zh-CN"/>
        </w:rPr>
        <w:t>5。</w:t>
      </w:r>
    </w:p>
    <w:p>
      <w:pPr>
        <w:ind w:firstLine="440" w:firstLineChars="200"/>
        <w:jc w:val="center"/>
        <w:rPr>
          <w:rFonts w:cs="Calibri"/>
          <w:color w:val="auto"/>
        </w:rPr>
      </w:pPr>
      <w:r>
        <w:rPr>
          <w:rFonts w:hint="eastAsia" w:cs="Calibri"/>
          <w:color w:val="auto"/>
        </w:rPr>
        <w:t>表</w:t>
      </w:r>
      <w:r>
        <w:rPr>
          <w:rFonts w:hint="eastAsia" w:cs="Calibri"/>
          <w:color w:val="auto"/>
          <w:lang w:val="en-US" w:eastAsia="zh-CN"/>
        </w:rPr>
        <w:t>6灵芝粉（紫芝）</w:t>
      </w: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highlight w:val="none"/>
          <w:lang w:val="en-US" w:eastAsia="zh-CN"/>
        </w:rPr>
        <w:t>总灰分测定结果</w:t>
      </w:r>
    </w:p>
    <w:tbl>
      <w:tblPr>
        <w:tblStyle w:val="16"/>
        <w:tblW w:w="891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54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54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灰分</w:t>
            </w:r>
            <w:r>
              <w:rPr>
                <w:rFonts w:hint="eastAsia" w:cs="Calibri"/>
                <w:color w:val="auto"/>
              </w:rPr>
              <w:t>（</w:t>
            </w:r>
            <w:r>
              <w:rPr>
                <w:rFonts w:cs="Calibri"/>
                <w:color w:val="auto"/>
              </w:rPr>
              <w:t>%</w:t>
            </w:r>
            <w:r>
              <w:rPr>
                <w:rFonts w:hint="eastAsia" w:cs="Calibri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543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1.7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1.9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54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348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5437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54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54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1.8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200603</w:t>
            </w:r>
          </w:p>
        </w:tc>
        <w:tc>
          <w:tcPr>
            <w:tcW w:w="543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1.9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440" w:firstLineChars="200"/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X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cs="Calibri"/>
                <w:color w:val="auto"/>
              </w:rPr>
              <w:t>sd</w:t>
            </w:r>
          </w:p>
        </w:tc>
        <w:tc>
          <w:tcPr>
            <w:tcW w:w="5437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 xml:space="preserve">1.8 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hint="eastAsia" w:cs="Calibri"/>
                <w:color w:val="auto"/>
                <w:lang w:val="en-US" w:eastAsia="zh-CN"/>
              </w:rPr>
              <w:t xml:space="preserve"> 0.1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jc w:val="center"/>
        <w:outlineLvl w:val="2"/>
        <w:rPr>
          <w:rFonts w:hint="eastAsia"/>
          <w:sz w:val="24"/>
          <w:szCs w:val="24"/>
          <w:lang w:val="en-US"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10.3.2结果分析及限度确认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  <w:lang w:eastAsia="zh-CN"/>
        </w:rPr>
        <w:t>从</w:t>
      </w:r>
      <w:r>
        <w:rPr>
          <w:rFonts w:hint="eastAsia"/>
          <w:sz w:val="24"/>
          <w:szCs w:val="24"/>
          <w:lang w:eastAsia="zh-CN"/>
        </w:rPr>
        <w:t>表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数据</w:t>
      </w:r>
      <w:r>
        <w:rPr>
          <w:sz w:val="24"/>
          <w:szCs w:val="24"/>
          <w:lang w:eastAsia="zh-CN"/>
        </w:rPr>
        <w:t xml:space="preserve"> 可以看出，</w:t>
      </w:r>
      <w:r>
        <w:rPr>
          <w:rFonts w:hint="eastAsia"/>
          <w:sz w:val="24"/>
          <w:szCs w:val="24"/>
          <w:lang w:val="en-US" w:eastAsia="zh-CN"/>
        </w:rPr>
        <w:t>13批</w:t>
      </w:r>
      <w:r>
        <w:rPr>
          <w:rFonts w:hint="eastAsia"/>
          <w:sz w:val="24"/>
          <w:szCs w:val="24"/>
          <w:lang w:eastAsia="zh-CN"/>
        </w:rPr>
        <w:t>灵芝粉（紫芝）总灰分在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1.7 %~ 1.9%之间， 平均值为 1.8 %。根据平均值乘以120%，得到灵芝粉的总灰分限度为 2.16%，参考中国药典2015年版灵芝的的灰分限度，并结合13批样品的结果，最终拟将灵芝粉（紫芝）总灰分测定方法及限度定为：照《中国药典》2015年版四部（通则2302 灰分测定法）中的总灰分测定法，不得过  3.2 %；</w:t>
      </w:r>
    </w:p>
    <w:bookmarkEnd w:id="2"/>
    <w:p>
      <w:pPr>
        <w:spacing w:line="360" w:lineRule="auto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bookmarkStart w:id="3" w:name="_Toc472587970"/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10.4微生物限度</w:t>
      </w:r>
    </w:p>
    <w:p>
      <w:pPr>
        <w:spacing w:line="360" w:lineRule="auto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10.4.1检验方法及限度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取供试品粉末10g，照微生物限度检查法《中国药典》2015年版通则1105、1106、1107检查，结果应不得检出沙门菌，耐胆盐革兰氏阴性菌应小于10</w:t>
      </w:r>
      <w:r>
        <w:rPr>
          <w:rFonts w:hint="eastAsia"/>
          <w:sz w:val="24"/>
          <w:szCs w:val="24"/>
          <w:highlight w:val="none"/>
          <w:vertAlign w:val="superscript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  <w:lang w:val="en-US" w:eastAsia="zh-CN"/>
        </w:rPr>
        <w:t>cfu/g。</w:t>
      </w:r>
    </w:p>
    <w:p>
      <w:pPr>
        <w:spacing w:line="360" w:lineRule="auto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10.4.2三批验证批次产品检验结果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小试样品由于在实验室普通环境下生产，故不进行微生物限度检验。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0"/>
        <w:jc w:val="center"/>
        <w:rPr>
          <w:rFonts w:hint="eastAsia" w:ascii="Calibri" w:hAnsi="Calibri" w:eastAsia="宋体" w:cs="Times New Roman"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highlight w:val="none"/>
          <w:lang w:val="en-US" w:eastAsia="zh-CN"/>
        </w:rPr>
        <w:t>表7：3批</w:t>
      </w:r>
      <w:r>
        <w:rPr>
          <w:rFonts w:hint="eastAsia" w:cs="Times New Roman"/>
          <w:color w:val="auto"/>
          <w:kern w:val="2"/>
          <w:sz w:val="24"/>
          <w:szCs w:val="24"/>
          <w:highlight w:val="none"/>
          <w:lang w:val="en-US" w:eastAsia="zh-CN"/>
        </w:rPr>
        <w:t>灵芝粉（紫芝）</w:t>
      </w: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highlight w:val="none"/>
          <w:lang w:val="en-US" w:eastAsia="zh-CN"/>
        </w:rPr>
        <w:t>（验证批次）微生物限度检验结果</w:t>
      </w:r>
    </w:p>
    <w:tbl>
      <w:tblPr>
        <w:tblStyle w:val="17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866"/>
        <w:gridCol w:w="2693"/>
        <w:gridCol w:w="2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批号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200601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200602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200603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结果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沙门菌，耐胆盐革兰氏阴性菌均未检出</w:t>
            </w:r>
            <w:r>
              <w:rPr>
                <w:rFonts w:hint="eastAsia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沙门菌，耐胆盐革兰氏阴性菌均未检出</w:t>
            </w:r>
            <w:r>
              <w:rPr>
                <w:rFonts w:hint="eastAsia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沙门菌，耐胆盐革兰氏阴性菌均未检出</w:t>
            </w:r>
            <w:r>
              <w:rPr>
                <w:rFonts w:hint="eastAsia" w:ascii="Calibri" w:hAnsi="Calibri" w:eastAsia="宋体" w:cs="Calibri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1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10.5粒度 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1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10.5.1检验方法及限度</w:t>
      </w:r>
    </w:p>
    <w:p>
      <w:pPr>
        <w:spacing w:line="360" w:lineRule="auto"/>
        <w:ind w:firstLine="480" w:firstLineChars="200"/>
        <w:jc w:val="both"/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kern w:val="2"/>
          <w:sz w:val="24"/>
          <w:szCs w:val="24"/>
          <w:lang w:val="en-US" w:eastAsia="zh-CN"/>
        </w:rPr>
        <w:t>照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粒度与粒度分布测定法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《中国药典》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2015年四部（通则0982）测定，应符合</w:t>
      </w:r>
      <w:r>
        <w:rPr>
          <w:rFonts w:hint="eastAsia" w:cs="Times New Roman"/>
          <w:kern w:val="2"/>
          <w:sz w:val="24"/>
          <w:szCs w:val="24"/>
          <w:lang w:val="en-US" w:eastAsia="zh-CN"/>
        </w:rPr>
        <w:t>极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细粉的规定。</w:t>
      </w:r>
    </w:p>
    <w:p>
      <w:pPr>
        <w:spacing w:line="360" w:lineRule="auto"/>
        <w:ind w:firstLine="480" w:firstLineChars="200"/>
        <w:jc w:val="both"/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直接口服中药饮片的粒度作为炮制工艺指标，是产品的通用指标，故该指标在炮制项下规定，并在公司半成品及成品的内控质量标准中对该指标进行控制，不单独列出。</w:t>
      </w:r>
    </w:p>
    <w:p>
      <w:pPr>
        <w:pStyle w:val="24"/>
        <w:numPr>
          <w:ilvl w:val="0"/>
          <w:numId w:val="0"/>
        </w:numPr>
        <w:spacing w:line="360" w:lineRule="auto"/>
        <w:outlineLvl w:val="1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10.5.2检验结果（见表8）</w:t>
      </w:r>
    </w:p>
    <w:p>
      <w:pPr>
        <w:ind w:firstLine="2400" w:firstLineChars="1000"/>
        <w:jc w:val="both"/>
        <w:rPr>
          <w:rFonts w:cs="Calibri"/>
          <w:color w:val="auto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表8：13批</w:t>
      </w:r>
      <w:r>
        <w:rPr>
          <w:rFonts w:hint="eastAsia" w:cs="Times New Roman"/>
          <w:kern w:val="2"/>
          <w:sz w:val="24"/>
          <w:szCs w:val="24"/>
          <w:lang w:val="en-US" w:eastAsia="zh-CN"/>
        </w:rPr>
        <w:t>灵芝粉（紫芝）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粒度检查结果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762"/>
        <w:gridCol w:w="12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37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粒度检查结果</w:t>
            </w:r>
          </w:p>
        </w:tc>
        <w:tc>
          <w:tcPr>
            <w:tcW w:w="12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cs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3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376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3762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37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376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200603</w:t>
            </w:r>
          </w:p>
        </w:tc>
        <w:tc>
          <w:tcPr>
            <w:tcW w:w="3762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符合规定</w:t>
            </w:r>
          </w:p>
        </w:tc>
        <w:tc>
          <w:tcPr>
            <w:tcW w:w="1287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Calibri"/>
                <w:color w:val="auto"/>
                <w:lang w:val="en-US" w:eastAsia="zh-CN"/>
              </w:rPr>
            </w:pP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sz w:val="24"/>
          <w:szCs w:val="24"/>
          <w:lang w:val="en-US"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11 </w:t>
      </w:r>
      <w:r>
        <w:rPr>
          <w:rFonts w:hint="eastAsia"/>
          <w:b/>
          <w:sz w:val="24"/>
          <w:szCs w:val="24"/>
          <w:lang w:eastAsia="zh-CN"/>
        </w:rPr>
        <w:t>浸出物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11.1水溶性浸出物（热浸法）测定方法</w:t>
      </w:r>
      <w:r>
        <w:rPr>
          <w:rFonts w:hint="eastAsia"/>
          <w:b/>
          <w:sz w:val="24"/>
          <w:szCs w:val="24"/>
          <w:lang w:eastAsia="zh-CN"/>
        </w:rPr>
        <w:t>及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lang w:eastAsia="zh-CN"/>
        </w:rPr>
        <w:t>结果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1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照《中国药典》2015年版四部通则2201 水溶性浸出物测定法）中的热浸法，取供试品约2</w:t>
      </w:r>
      <w:r>
        <w:rPr>
          <w:rFonts w:hint="eastAsia"/>
          <w:sz w:val="24"/>
          <w:szCs w:val="24"/>
          <w:lang w:val="en-US" w:eastAsia="zh-CN"/>
        </w:rPr>
        <w:t>-4</w:t>
      </w:r>
      <w:r>
        <w:rPr>
          <w:rFonts w:hint="eastAsia"/>
          <w:sz w:val="24"/>
          <w:szCs w:val="24"/>
          <w:lang w:eastAsia="zh-CN"/>
        </w:rPr>
        <w:t>g，精密称定，至250ml的锥形瓶中，精密加水100ml，密塞，称定重量，静置1小时后，连接回流冷凝管，加热至沸腾，并保持微沸1小时。放冷后，取下锥形瓶，密塞，再称定重量，用水补足减失的重量，摇匀，用干燥滤器滤过，精密量取滤液25ml，置已干燥至恒重的蒸发皿中，在水浴上蒸干后，于105℃干燥3小时，置干燥器中冷却30分钟，迅速精密称定重量。以干燥品计算供试品中水溶性浸出物的含量（%）。</w:t>
      </w:r>
    </w:p>
    <w:p>
      <w:pPr>
        <w:pStyle w:val="24"/>
        <w:numPr>
          <w:ilvl w:val="0"/>
          <w:numId w:val="0"/>
        </w:numPr>
        <w:spacing w:line="360" w:lineRule="auto"/>
        <w:ind w:firstLine="480" w:firstLineChars="20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浸出物结果见表</w:t>
      </w:r>
      <w:r>
        <w:rPr>
          <w:rFonts w:hint="eastAsia"/>
          <w:b w:val="0"/>
          <w:bCs/>
          <w:sz w:val="24"/>
          <w:szCs w:val="24"/>
          <w:lang w:val="en-US" w:eastAsia="zh-CN"/>
        </w:rPr>
        <w:t>7</w:t>
      </w:r>
    </w:p>
    <w:p>
      <w:pPr>
        <w:ind w:firstLine="440" w:firstLineChars="200"/>
        <w:jc w:val="center"/>
        <w:rPr>
          <w:rFonts w:cs="Calibri"/>
          <w:color w:val="auto"/>
        </w:rPr>
      </w:pPr>
      <w:r>
        <w:rPr>
          <w:rFonts w:hint="eastAsia" w:cs="Calibri"/>
          <w:color w:val="auto"/>
        </w:rPr>
        <w:t>表</w:t>
      </w:r>
      <w:r>
        <w:rPr>
          <w:rFonts w:hint="eastAsia" w:cs="Calibri"/>
          <w:color w:val="auto"/>
          <w:lang w:val="en-US" w:eastAsia="zh-CN"/>
        </w:rPr>
        <w:t>11 灵芝粉（紫芝）</w:t>
      </w:r>
      <w:r>
        <w:rPr>
          <w:rFonts w:hint="eastAsia" w:ascii="Calibri" w:hAnsi="Calibri" w:eastAsia="宋体" w:cs="Times New Roman"/>
          <w:color w:val="auto"/>
          <w:kern w:val="2"/>
          <w:sz w:val="24"/>
          <w:szCs w:val="24"/>
          <w:highlight w:val="none"/>
          <w:lang w:val="en-US" w:eastAsia="zh-CN"/>
        </w:rPr>
        <w:t>浸出物结果</w:t>
      </w:r>
    </w:p>
    <w:tbl>
      <w:tblPr>
        <w:tblStyle w:val="16"/>
        <w:tblW w:w="894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1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330" w:firstLineChars="150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</w:rPr>
              <w:t>样品批号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cs="Calibri"/>
                <w:color w:val="auto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浸出物</w:t>
            </w:r>
            <w:r>
              <w:rPr>
                <w:rFonts w:hint="eastAsia" w:cs="Calibri"/>
                <w:color w:val="auto"/>
              </w:rPr>
              <w:t>（</w:t>
            </w:r>
            <w:r>
              <w:rPr>
                <w:rFonts w:cs="Calibri"/>
                <w:color w:val="auto"/>
              </w:rPr>
              <w:t>%</w:t>
            </w:r>
            <w:r>
              <w:rPr>
                <w:rFonts w:hint="eastAsia" w:cs="Calibri"/>
                <w:color w:val="auto"/>
              </w:rPr>
              <w:t>）</w:t>
            </w:r>
            <w:r>
              <w:rPr>
                <w:rFonts w:hint="eastAsia" w:cs="Calibri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610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7.5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7.6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7.7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7.1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7.2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6.2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7.7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7.5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6102" w:type="dxa"/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7.4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6102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7.3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610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6.9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Calibri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610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7.2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200603</w:t>
            </w:r>
          </w:p>
        </w:tc>
        <w:tc>
          <w:tcPr>
            <w:tcW w:w="610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7.0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100" w:firstLineChars="50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X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cs="Calibri"/>
                <w:color w:val="auto"/>
              </w:rPr>
              <w:t>sd</w:t>
            </w:r>
          </w:p>
        </w:tc>
        <w:tc>
          <w:tcPr>
            <w:tcW w:w="6102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 w:cs="Calibri"/>
                <w:color w:val="auto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 xml:space="preserve">7.3 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hint="eastAsia" w:cs="Calibri"/>
                <w:color w:val="auto"/>
                <w:lang w:val="en-US" w:eastAsia="zh-CN"/>
              </w:rPr>
              <w:t xml:space="preserve"> 0.5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11.2结果分析及方法限度确认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sz w:val="24"/>
          <w:szCs w:val="24"/>
          <w:highlight w:val="none"/>
          <w:lang w:eastAsia="zh-CN"/>
        </w:rPr>
        <w:t>从</w:t>
      </w:r>
      <w:r>
        <w:rPr>
          <w:rFonts w:hint="eastAsia"/>
          <w:sz w:val="24"/>
          <w:szCs w:val="24"/>
          <w:highlight w:val="none"/>
          <w:lang w:eastAsia="zh-CN"/>
        </w:rPr>
        <w:t>上表数据</w:t>
      </w:r>
      <w:r>
        <w:rPr>
          <w:sz w:val="24"/>
          <w:szCs w:val="24"/>
          <w:highlight w:val="none"/>
          <w:lang w:eastAsia="zh-CN"/>
        </w:rPr>
        <w:t xml:space="preserve"> 可以看出，中药饮片</w:t>
      </w:r>
      <w:r>
        <w:rPr>
          <w:rFonts w:hint="eastAsia"/>
          <w:sz w:val="24"/>
          <w:szCs w:val="24"/>
          <w:highlight w:val="none"/>
          <w:lang w:eastAsia="zh-CN"/>
        </w:rPr>
        <w:t>灵芝粉的水溶性浸出物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, 结果</w:t>
      </w:r>
      <w:r>
        <w:rPr>
          <w:rFonts w:hint="eastAsia"/>
          <w:sz w:val="24"/>
          <w:szCs w:val="24"/>
          <w:highlight w:val="none"/>
          <w:lang w:eastAsia="zh-CN"/>
        </w:rPr>
        <w:t>幅度范围分别为：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6.2%~ 7.7%，平均值为： 7.3%； 根据平均值乘以80%，得浸出物限度结果为：5.84%； </w:t>
      </w:r>
      <w:r>
        <w:rPr>
          <w:rFonts w:hint="eastAsia"/>
          <w:sz w:val="24"/>
          <w:szCs w:val="24"/>
          <w:highlight w:val="none"/>
          <w:lang w:eastAsia="zh-CN"/>
        </w:rPr>
        <w:t>综合考虑</w:t>
      </w:r>
      <w:r>
        <w:rPr>
          <w:rFonts w:hint="eastAsia"/>
          <w:sz w:val="24"/>
          <w:szCs w:val="24"/>
          <w:highlight w:val="none"/>
          <w:lang w:val="en-US" w:eastAsia="zh-CN"/>
        </w:rPr>
        <w:t>13批结果样品</w:t>
      </w:r>
      <w:r>
        <w:rPr>
          <w:rFonts w:hint="eastAsia"/>
          <w:sz w:val="24"/>
          <w:szCs w:val="24"/>
          <w:highlight w:val="none"/>
          <w:lang w:eastAsia="zh-CN"/>
        </w:rPr>
        <w:t>的结果，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拟将灵芝粉（紫芝）浸出物测定方法和限度定为 </w:t>
      </w:r>
      <w:r>
        <w:rPr>
          <w:rFonts w:hint="eastAsia"/>
          <w:sz w:val="24"/>
          <w:szCs w:val="24"/>
          <w:highlight w:val="none"/>
          <w:lang w:eastAsia="zh-CN"/>
        </w:rPr>
        <w:t>：照《中国药典》（2015年版四部通则2201 浸出物测定法）中的水溶性浸出物热浸法，不少于</w:t>
      </w:r>
      <w:r>
        <w:rPr>
          <w:rFonts w:hint="eastAsia"/>
          <w:sz w:val="24"/>
          <w:szCs w:val="24"/>
          <w:highlight w:val="none"/>
          <w:lang w:val="en-US" w:eastAsia="zh-CN"/>
        </w:rPr>
        <w:t>3.0%。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outlineLvl w:val="1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</w:t>
      </w:r>
      <w:r>
        <w:rPr>
          <w:rFonts w:hint="eastAsia"/>
          <w:b/>
          <w:sz w:val="24"/>
          <w:szCs w:val="24"/>
          <w:lang w:eastAsia="zh-CN"/>
        </w:rPr>
        <w:t>【含量测定】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多糖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12.1</w:t>
      </w:r>
      <w:r>
        <w:rPr>
          <w:rFonts w:hint="eastAsia"/>
          <w:b/>
          <w:sz w:val="24"/>
          <w:szCs w:val="24"/>
          <w:lang w:eastAsia="zh-CN"/>
        </w:rPr>
        <w:t>检测</w:t>
      </w:r>
      <w:r>
        <w:rPr>
          <w:b/>
          <w:sz w:val="24"/>
          <w:szCs w:val="24"/>
          <w:lang w:eastAsia="zh-CN"/>
        </w:rPr>
        <w:t>方法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left"/>
        <w:textAlignment w:val="auto"/>
        <w:rPr>
          <w:b w:val="0"/>
          <w:bCs/>
          <w:color w:val="000000"/>
          <w:sz w:val="24"/>
          <w:szCs w:val="24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参考中国药典2015年版一部“灵芝”含量测定项下的“多糖”检验方法，制定如下检验：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1" w:firstLineChars="200"/>
        <w:jc w:val="left"/>
        <w:textAlignment w:val="auto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对照品溶液的制备</w:t>
      </w:r>
      <w:r>
        <w:rPr>
          <w:b w:val="0"/>
          <w:bCs/>
          <w:color w:val="000000"/>
          <w:sz w:val="24"/>
          <w:szCs w:val="24"/>
        </w:rPr>
        <w:t>取无水葡萄糖对照品适量，精密称定，加水使溶解，加水制成每 1ml 含 0.1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</w:t>
      </w:r>
      <w:r>
        <w:rPr>
          <w:b w:val="0"/>
          <w:bCs/>
          <w:color w:val="000000"/>
          <w:sz w:val="24"/>
          <w:szCs w:val="24"/>
        </w:rPr>
        <w:t>mg 的溶液，即得。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1" w:firstLineChars="200"/>
        <w:jc w:val="left"/>
        <w:textAlignment w:val="auto"/>
        <w:rPr>
          <w:b w:val="0"/>
          <w:bCs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标准曲线的制备</w:t>
      </w:r>
      <w:r>
        <w:rPr>
          <w:b w:val="0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精密量取对照品溶液0.2、0.4、0.6、0.8、1.0、1.2ml，分别置10ml具塞试管中，各加水至2.0ml，迅速精密加入硫酸蒽酮溶液（精密称取蒽酮0.1g，加硫酸100ml使溶解，摇匀）6ml，立即摇匀，放置15分钟后，立即置冰浴中冷却15分钟，取出，以相应的试剂为空白，照紫外-可见分光光度法（通则0401），在625nm波长处测定吸光度，以吸光度为纵坐标，浓度为横坐标，绘制标准曲线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1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b/>
          <w:bCs w:val="0"/>
          <w:color w:val="000000"/>
          <w:sz w:val="24"/>
          <w:szCs w:val="24"/>
        </w:rPr>
        <w:t>供试品溶液的制备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取本品粉末约2g，精密称定，置圆底烧瓶中，加水60m1静置1小时，加热固流4小时，趁热滤过，用少量热水洗涤滤器和滤渣，将滤渣及滤纸置烧瓶中，加水60ml，加热回流3小时，趁热滤过，合并滤液，置水浴上蒸干，残渣用水5ml溶解，边搅拌边缓慢滴加乙醇75ml，摇匀，在4℃放置12小时，离心，弃去上清液，沉淀物用热水溶解并转移至50ml量瓶中，放冷，加水至刻度，摇匀，取溶液适量，离心，精密量取上清液2ml，置50ml量瓶中，加水至刻度，摇匀，即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空白溶液的制备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取试验用水2ml，置10ml具塞试管中，迅速精密加入硫酸蒽酮溶液（精密称取蒽酮0.1g，加硫酸100ml使溶解，摇匀）6ml，立即摇匀，放置15分钟后，立即置冰浴中冷却15分钟，取出，以相应的试剂为空白作为空白溶液。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 w:firstLineChars="200"/>
        <w:textAlignment w:val="auto"/>
        <w:rPr>
          <w:b w:val="0"/>
          <w:bCs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测定法 </w:t>
      </w:r>
      <w:r>
        <w:rPr>
          <w:rFonts w:hint="eastAsia" w:cs="Times New Roman"/>
          <w:b/>
          <w:bCs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精密量取供试品溶液2ml，置10ml具塞试管中，照标准曲线制备项下的方法，自“迅速精密加入硫酸蒽酮溶液6ml”起，同法操作，测定吸光度，从标准曲线上读出供试品溶液中无水葡萄糖的含量，计算，即得。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12.2</w:t>
      </w:r>
      <w:r>
        <w:rPr>
          <w:rFonts w:hint="eastAsia"/>
          <w:b/>
          <w:sz w:val="24"/>
          <w:szCs w:val="24"/>
          <w:lang w:eastAsia="zh-CN"/>
        </w:rPr>
        <w:t>计算公式：</w:t>
      </w:r>
    </w:p>
    <w:p>
      <w:pPr>
        <w:spacing w:line="350" w:lineRule="exact"/>
      </w:pPr>
      <w:r>
        <w:t xml:space="preserve">     </w:t>
      </w:r>
      <w:r>
        <w:rPr>
          <w:rFonts w:hint="eastAsia"/>
          <w:lang w:eastAsia="zh-CN"/>
        </w:rPr>
        <w:t>通过线性回归方程计算出样品浓度</w:t>
      </w:r>
      <w:r>
        <w:rPr>
          <w:rFonts w:hint="eastAsia"/>
          <w:lang w:val="en-US" w:eastAsia="zh-CN"/>
        </w:rPr>
        <w:t>C，再通过下列公式计算：</w:t>
      </w:r>
    </w:p>
    <w:p>
      <w:pPr>
        <w:spacing w:line="350" w:lineRule="exact"/>
        <w:ind w:firstLine="3960" w:firstLineChars="1650"/>
        <w:rPr>
          <w:rFonts w:hint="eastAsia"/>
          <w:sz w:val="24"/>
          <w:szCs w:val="24"/>
          <w:lang w:val="en-US" w:eastAsia="zh-CN"/>
        </w:rPr>
      </w:pPr>
    </w:p>
    <w:p>
      <w:pPr>
        <w:spacing w:line="350" w:lineRule="exact"/>
        <w:ind w:firstLine="3960" w:firstLineChars="1650"/>
        <w:rPr>
          <w:rFonts w:hint="eastAsia" w:eastAsia="宋体"/>
          <w:szCs w:val="21"/>
          <w:vertAlign w:val="superscrip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vertAlign w:val="subscript"/>
          <w:lang w:val="en-US" w:eastAsia="zh-CN"/>
        </w:rPr>
        <w:t>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×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样品稀释倍数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×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  <w:vertAlign w:val="superscript"/>
          <w:lang w:val="en-US" w:eastAsia="zh-CN"/>
        </w:rPr>
        <w:t>-3</w:t>
      </w:r>
    </w:p>
    <w:p>
      <w:pPr>
        <w:spacing w:line="350" w:lineRule="exact"/>
        <w:ind w:firstLine="431" w:firstLineChars="196"/>
        <w:rPr>
          <w:szCs w:val="21"/>
        </w:rPr>
      </w:pPr>
      <w:r>
        <w:pict>
          <v:line id="Line 22" o:spid="_x0000_s1028" o:spt="20" style="position:absolute;left:0pt;flip:y;margin-left:172.3pt;margin-top:9.65pt;height:0.45pt;width:181.95pt;z-index:251658240;mso-width-relative:page;mso-height-relative:page;" filled="f" stroked="t" coordsize="21600,21600" o:gfxdata="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cAhNcAAAAJAQAADwAAAAAAAAABACAAAAAiAAAAZHJzL2Rv&#10;d25yZXYueG1sUEsBAhQAFAAAAAgAh07iQObvHi7JAQAAmQMAAA4AAAAAAAAAAQAgAAAAJgEAAGRy&#10;cy9lMm9Eb2MueG1sUEsFBgAAAAAGAAYAWQEAAGEFAAAAAA=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/>
          <w:lang w:eastAsia="zh-CN"/>
        </w:rPr>
        <w:t>多糖</w:t>
      </w:r>
      <w:r>
        <w:rPr>
          <w:rFonts w:hint="eastAsia"/>
          <w:szCs w:val="21"/>
        </w:rPr>
        <w:t>含量（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=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      </w:t>
      </w:r>
      <w:r>
        <w:rPr>
          <w:szCs w:val="21"/>
        </w:rPr>
        <w:t xml:space="preserve">      </w:t>
      </w:r>
      <w:r>
        <w:rPr>
          <w:rFonts w:hint="eastAsia"/>
          <w:szCs w:val="21"/>
          <w:lang w:val="en-US" w:eastAsia="zh-CN"/>
        </w:rPr>
        <w:t xml:space="preserve">                                                 </w:t>
      </w:r>
      <w:r>
        <w:rPr>
          <w:rFonts w:hint="eastAsia"/>
          <w:szCs w:val="21"/>
        </w:rPr>
        <w:t>×</w:t>
      </w:r>
      <w:r>
        <w:rPr>
          <w:szCs w:val="21"/>
        </w:rPr>
        <w:t xml:space="preserve"> 100%</w:t>
      </w:r>
    </w:p>
    <w:p>
      <w:pPr>
        <w:spacing w:line="360" w:lineRule="atLeast"/>
        <w:ind w:firstLine="550" w:firstLineChars="250"/>
        <w:rPr>
          <w:rFonts w:hint="eastAsia"/>
          <w:szCs w:val="21"/>
        </w:rPr>
      </w:pPr>
      <w:r>
        <w:rPr>
          <w:szCs w:val="21"/>
        </w:rPr>
        <w:t xml:space="preserve">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     </w:t>
      </w:r>
      <w:r>
        <w:rPr>
          <w:szCs w:val="21"/>
        </w:rPr>
        <w:t>W</w:t>
      </w:r>
      <w:r>
        <w:rPr>
          <w:rFonts w:hint="eastAsia"/>
          <w:szCs w:val="21"/>
          <w:vertAlign w:val="subscript"/>
        </w:rPr>
        <w:t>样</w:t>
      </w:r>
      <w:r>
        <w:rPr>
          <w:rFonts w:hint="eastAsia"/>
          <w:szCs w:val="21"/>
        </w:rPr>
        <w:t>×（</w:t>
      </w:r>
      <w:r>
        <w:rPr>
          <w:szCs w:val="21"/>
        </w:rPr>
        <w:t>1-</w:t>
      </w:r>
      <w:r>
        <w:rPr>
          <w:rFonts w:hint="eastAsia"/>
          <w:szCs w:val="21"/>
        </w:rPr>
        <w:t>水分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12.3</w:t>
      </w:r>
      <w:r>
        <w:rPr>
          <w:rFonts w:hint="eastAsia"/>
          <w:b/>
          <w:sz w:val="24"/>
          <w:szCs w:val="24"/>
          <w:lang w:eastAsia="zh-CN"/>
        </w:rPr>
        <w:t>含量测定方法确认：</w:t>
      </w:r>
    </w:p>
    <w:p>
      <w:pPr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采用我公司生产的灵芝粉（赤芝）</w:t>
      </w:r>
      <w:r>
        <w:rPr>
          <w:rFonts w:hint="eastAsia"/>
          <w:sz w:val="24"/>
          <w:szCs w:val="24"/>
          <w:lang w:val="en-US" w:eastAsia="zh-CN"/>
        </w:rPr>
        <w:t>200501</w:t>
      </w:r>
      <w:r>
        <w:rPr>
          <w:rFonts w:hint="eastAsia"/>
          <w:sz w:val="24"/>
          <w:szCs w:val="24"/>
          <w:lang w:eastAsia="zh-CN"/>
        </w:rPr>
        <w:t>批对上述方法进行确认，由于该检验方法为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中国药典2015年版“灵芝”含量测定的法定检验方法 ，</w:t>
      </w:r>
      <w:r>
        <w:rPr>
          <w:rFonts w:hint="eastAsia"/>
          <w:sz w:val="24"/>
          <w:szCs w:val="24"/>
          <w:lang w:val="en-US" w:eastAsia="zh-CN"/>
        </w:rPr>
        <w:t xml:space="preserve">参考《gmp2010年版指南》（质量控制与物料系统），仅对以下 </w:t>
      </w:r>
      <w:r>
        <w:rPr>
          <w:rFonts w:hint="eastAsia"/>
          <w:sz w:val="24"/>
          <w:szCs w:val="24"/>
          <w:lang w:eastAsia="zh-CN"/>
        </w:rPr>
        <w:t>项目进行确认：</w:t>
      </w:r>
    </w:p>
    <w:p>
      <w:p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确认项目包括：</w:t>
      </w:r>
    </w:p>
    <w:p>
      <w:pPr>
        <w:pStyle w:val="24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系统适用性</w:t>
      </w:r>
    </w:p>
    <w:p>
      <w:pPr>
        <w:pStyle w:val="24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精密度-重复性</w:t>
      </w:r>
    </w:p>
    <w:p>
      <w:pPr>
        <w:pStyle w:val="24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精密度</w:t>
      </w:r>
      <w:r>
        <w:rPr>
          <w:rFonts w:hint="eastAsia"/>
          <w:sz w:val="24"/>
          <w:szCs w:val="24"/>
          <w:lang w:val="en-US" w:eastAsia="zh-CN"/>
        </w:rPr>
        <w:t>-中间精密度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bookmarkStart w:id="4" w:name="_Toc472587972"/>
      <w:r>
        <w:rPr>
          <w:rFonts w:hint="eastAsia"/>
          <w:b/>
          <w:sz w:val="24"/>
          <w:szCs w:val="24"/>
          <w:lang w:val="en-US" w:eastAsia="zh-CN"/>
        </w:rPr>
        <w:t>12.3.1</w:t>
      </w:r>
      <w:r>
        <w:rPr>
          <w:rFonts w:hint="eastAsia"/>
          <w:b/>
          <w:sz w:val="24"/>
          <w:szCs w:val="24"/>
          <w:lang w:eastAsia="zh-CN"/>
        </w:rPr>
        <w:t>系统适用性试验</w:t>
      </w:r>
      <w:bookmarkEnd w:id="4"/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1" w:firstLineChars="200"/>
        <w:jc w:val="left"/>
        <w:textAlignment w:val="auto"/>
        <w:rPr>
          <w:b w:val="0"/>
          <w:bCs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对照品溶液的制备</w:t>
      </w:r>
      <w:r>
        <w:rPr>
          <w:b w:val="0"/>
          <w:bCs/>
          <w:color w:val="000000"/>
          <w:sz w:val="24"/>
          <w:szCs w:val="24"/>
        </w:rPr>
        <w:t xml:space="preserve"> 取无水葡萄糖对照品适量，精密称定，加水使溶解，加水制成每 1ml 含 0.1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2</w:t>
      </w:r>
      <w:r>
        <w:rPr>
          <w:b w:val="0"/>
          <w:bCs/>
          <w:color w:val="000000"/>
          <w:sz w:val="24"/>
          <w:szCs w:val="24"/>
        </w:rPr>
        <w:t>mg 的溶液，即得。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1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b/>
          <w:bCs w:val="0"/>
          <w:color w:val="000000"/>
          <w:sz w:val="24"/>
          <w:szCs w:val="24"/>
        </w:rPr>
        <w:t>标准曲线的制备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精密量取对照品溶液0.2、0.4、0.6、0.8、1.0、1.2ml，分别置10ml具塞试管中，各加水至2.0ml，迅速精密加入硫酸蒽酮溶液（精密称取蒽酮0.1g，加硫酸100ml使溶解，摇匀）6ml，立即摇匀，放置15分钟后，立即置冰浴中冷却15分钟，取出，以相应的试剂为空白，照紫外-可见分光光度法（通则0401），在625nm波长处测定吸光度，以吸光度为纵坐标，浓度为横坐标，绘制标准曲线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1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b/>
          <w:bCs w:val="0"/>
          <w:color w:val="000000"/>
          <w:sz w:val="24"/>
          <w:szCs w:val="24"/>
        </w:rPr>
        <w:t>供试品溶液的制备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取本品粉末约2g，精密称定，置圆底烧瓶中，加水60m1静置1小时，加热固流4小时，趁热滤过，用少量热水洗涤滤器和滤渣，将滤渣及滤纸置烧瓶中，加水60ml，加热回流3小时，趁热滤过，合并滤液，置水浴上蒸干，残渣用水5ml溶解，边搅拌边缓慢滴加乙醇75ml，摇匀，在4℃放置12小时，离心，弃去上清液，沉淀物用热水溶解并转移至50ml量瓶中，放冷，加水至刻度，摇匀，取溶液适量，离心，精密量取上清液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ml，置50ml量瓶中，加水至刻度，摇匀，即得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spacing w:line="360" w:lineRule="auto"/>
        <w:ind w:firstLine="481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空白溶液的制备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取试验用水2ml，置10ml具塞试管中，迅速精密加入硫酸蒽酮溶液（精密称取蒽酮0.1g，加硫酸100ml使溶解，摇匀）6ml，立即摇匀，放置15分钟后，立即置冰浴中冷却15分钟，取出，以相应的试剂为空白作为空白溶液。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1" w:firstLineChars="200"/>
        <w:outlineLvl w:val="4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测定方法</w:t>
      </w:r>
    </w:p>
    <w:p>
      <w:pPr>
        <w:numPr>
          <w:ilvl w:val="0"/>
          <w:numId w:val="3"/>
        </w:numPr>
        <w:tabs>
          <w:tab w:val="left" w:pos="1137"/>
        </w:tabs>
        <w:spacing w:line="360" w:lineRule="auto"/>
        <w:ind w:left="220" w:left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Cs/>
          <w:sz w:val="24"/>
          <w:lang w:val="en-US" w:eastAsia="zh-CN"/>
        </w:rPr>
        <w:t>以空气为空白，以空白溶液为作为样品，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照紫外-可见分光光度法（通则0401），在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625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nm波长处测定吸光度</w:t>
      </w:r>
    </w:p>
    <w:p>
      <w:pPr>
        <w:numPr>
          <w:ilvl w:val="0"/>
          <w:numId w:val="3"/>
        </w:numPr>
        <w:tabs>
          <w:tab w:val="left" w:pos="1137"/>
        </w:tabs>
        <w:spacing w:line="360" w:lineRule="auto"/>
        <w:ind w:left="220" w:left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Cs/>
          <w:sz w:val="24"/>
          <w:lang w:val="en-US" w:eastAsia="zh-CN"/>
        </w:rPr>
        <w:t>以空白溶液为为空白，以标准溶液1为样品，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625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nm波长处测定吸光度</w:t>
      </w:r>
    </w:p>
    <w:p>
      <w:pPr>
        <w:numPr>
          <w:ilvl w:val="0"/>
          <w:numId w:val="0"/>
        </w:numPr>
        <w:tabs>
          <w:tab w:val="left" w:pos="1137"/>
        </w:tabs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连续测试6次，计算6次吸光度的RSD。</w:t>
      </w:r>
    </w:p>
    <w:p>
      <w:pPr>
        <w:numPr>
          <w:ilvl w:val="0"/>
          <w:numId w:val="0"/>
        </w:numPr>
        <w:tabs>
          <w:tab w:val="left" w:pos="1137"/>
        </w:tabs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</w:t>
      </w:r>
      <w:r>
        <w:rPr>
          <w:rFonts w:hint="eastAsia"/>
          <w:bCs/>
          <w:sz w:val="24"/>
          <w:lang w:val="en-US" w:eastAsia="zh-CN"/>
        </w:rPr>
        <w:t>以空白溶液为空白，以标准溶液1~6为样品，在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625</w:t>
      </w:r>
      <w:r>
        <w:rPr>
          <w:rFonts w:hint="eastAsia"/>
          <w:bCs/>
          <w:sz w:val="24"/>
          <w:lang w:val="en-US" w:eastAsia="zh-CN"/>
        </w:rPr>
        <w:t>nm波长处测定吸光度，以样品浓度为横坐标（X），吸光度为纵坐标 (Y），绘制标准曲线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1" w:firstLineChars="200"/>
        <w:outlineLvl w:val="4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4"/>
        </w:numPr>
        <w:spacing w:line="360" w:lineRule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eastAsia="zh-CN"/>
        </w:rPr>
        <w:t>空白溶液的吸光度应不得过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  <w:t>0.01</w:t>
      </w:r>
    </w:p>
    <w:p>
      <w:pPr>
        <w:numPr>
          <w:ilvl w:val="0"/>
          <w:numId w:val="4"/>
        </w:numPr>
        <w:spacing w:line="360" w:lineRule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  <w:t>标准溶液1吸光度的RSD不得过2.0%</w:t>
      </w:r>
    </w:p>
    <w:p>
      <w:pPr>
        <w:numPr>
          <w:ilvl w:val="0"/>
          <w:numId w:val="4"/>
        </w:numPr>
        <w:spacing w:line="360" w:lineRule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回归系数</w:t>
      </w:r>
      <w:r>
        <w:rPr>
          <w:rFonts w:hint="eastAsia"/>
          <w:b w:val="0"/>
          <w:bCs/>
          <w:sz w:val="21"/>
          <w:szCs w:val="21"/>
          <w:lang w:val="en-US" w:eastAsia="zh-CN"/>
        </w:rPr>
        <w:t>R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≧</w:t>
      </w:r>
      <w:r>
        <w:rPr>
          <w:rFonts w:hint="eastAsia" w:eastAsia="宋体" w:cs="Calibri"/>
          <w:b w:val="0"/>
          <w:bCs/>
          <w:sz w:val="21"/>
          <w:szCs w:val="21"/>
          <w:lang w:val="en-US" w:eastAsia="zh-CN"/>
        </w:rPr>
        <w:t>0.99</w:t>
      </w:r>
    </w:p>
    <w:p>
      <w:pPr>
        <w:pStyle w:val="24"/>
        <w:numPr>
          <w:ilvl w:val="0"/>
          <w:numId w:val="0"/>
        </w:numPr>
        <w:spacing w:line="360" w:lineRule="auto"/>
        <w:outlineLvl w:val="4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测试结果和结论</w:t>
      </w:r>
    </w:p>
    <w:tbl>
      <w:tblPr>
        <w:tblStyle w:val="16"/>
        <w:tblpPr w:leftFromText="180" w:rightFromText="180" w:vertAnchor="text" w:horzAnchor="page" w:tblpX="1649" w:tblpY="278"/>
        <w:tblOverlap w:val="never"/>
        <w:tblW w:w="86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9"/>
        <w:gridCol w:w="2605"/>
        <w:gridCol w:w="777"/>
        <w:gridCol w:w="1623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空白溶液吸光度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吸光度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吸光度</w:t>
            </w:r>
            <w:r>
              <w:rPr>
                <w:sz w:val="21"/>
                <w:szCs w:val="21"/>
              </w:rPr>
              <w:t>RSD（%）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0.096</w:t>
            </w:r>
          </w:p>
        </w:tc>
        <w:tc>
          <w:tcPr>
            <w:tcW w:w="4418" w:type="dxa"/>
            <w:gridSpan w:val="3"/>
            <w:vMerge w:val="restart"/>
            <w:noWrap w:val="0"/>
            <w:vAlign w:val="center"/>
          </w:tcPr>
          <w:p>
            <w:pPr>
              <w:ind w:left="142"/>
              <w:jc w:val="center"/>
              <w:rPr>
                <w:rFonts w:hint="eastAsia" w:ascii="Calibri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left="142"/>
              <w:jc w:val="center"/>
              <w:rPr>
                <w:rFonts w:hint="eastAsia" w:ascii="Calibri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left="142"/>
              <w:jc w:val="center"/>
              <w:rPr>
                <w:rFonts w:hint="eastAsia" w:ascii="Calibri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left="142"/>
              <w:jc w:val="center"/>
              <w:rPr>
                <w:rFonts w:hint="eastAsia" w:ascii="Calibri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left="142"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0.098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567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0.098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426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0.098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0.098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0.098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3" w:type="dxa"/>
            <w:gridSpan w:val="6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标准曲线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浓度(C）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ind w:left="851" w:firstLine="632" w:firstLineChars="300"/>
              <w:jc w:val="both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吸光度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0.000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0.800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1.000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1.200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0.698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线性回归方程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Y=0.5698 x-0.0185</w:t>
            </w:r>
          </w:p>
        </w:tc>
        <w:tc>
          <w:tcPr>
            <w:tcW w:w="16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R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0.9942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可接收标准</w:t>
            </w:r>
          </w:p>
        </w:tc>
        <w:tc>
          <w:tcPr>
            <w:tcW w:w="70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空白溶液的吸光度应不得过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0.01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标准溶液1吸光度的RSD不得过2.0%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eastAsia="宋体" w:cs="Calibri"/>
                <w:b w:val="0"/>
                <w:bCs/>
                <w:sz w:val="21"/>
                <w:szCs w:val="21"/>
                <w:lang w:val="en-US" w:eastAsia="zh-CN"/>
              </w:rPr>
              <w:t>0.99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结论</w:t>
            </w:r>
          </w:p>
        </w:tc>
        <w:tc>
          <w:tcPr>
            <w:tcW w:w="7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■符合可接受标准       □不符合可接受标准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outlineLvl w:val="4"/>
        <w:rPr>
          <w:rFonts w:hint="eastAsia"/>
          <w:b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bookmarkStart w:id="5" w:name="_Toc472587977"/>
      <w:bookmarkStart w:id="6" w:name="_Toc452543439"/>
      <w:r>
        <w:rPr>
          <w:rFonts w:hint="eastAsia"/>
          <w:b/>
          <w:sz w:val="24"/>
          <w:szCs w:val="24"/>
          <w:lang w:val="en-US" w:eastAsia="zh-CN"/>
        </w:rPr>
        <w:t>12.4</w:t>
      </w:r>
      <w:r>
        <w:rPr>
          <w:b/>
          <w:sz w:val="24"/>
          <w:szCs w:val="24"/>
          <w:lang w:eastAsia="zh-CN"/>
        </w:rPr>
        <w:t>重复性</w:t>
      </w:r>
      <w:bookmarkEnd w:id="5"/>
      <w:bookmarkEnd w:id="6"/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1" w:firstLineChars="200"/>
        <w:jc w:val="left"/>
        <w:textAlignment w:val="auto"/>
        <w:rPr>
          <w:color w:val="auto"/>
          <w:sz w:val="24"/>
          <w:lang w:eastAsia="zh-CN"/>
        </w:rPr>
      </w:pPr>
      <w:bookmarkStart w:id="7" w:name="_Toc452543440"/>
      <w:r>
        <w:rPr>
          <w:b/>
          <w:color w:val="auto"/>
          <w:sz w:val="24"/>
          <w:szCs w:val="24"/>
          <w:lang w:eastAsia="zh-CN"/>
        </w:rPr>
        <w:t>重复性溶液的制备</w:t>
      </w:r>
      <w:bookmarkEnd w:id="7"/>
      <w:r>
        <w:rPr>
          <w:rFonts w:hint="eastAsia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取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混合均匀的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本品粉末约2g，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一共准备6份，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精密称定，置圆底烧瓶中，加水60m1静置1小时，加热固流4小时，趁热滤过，用少量热水洗涤滤器和滤渣，将滤渣及滤纸置烧瓶中，加水60ml，加热回流3小时，趁热滤过，合并滤液，置水浴上蒸干，残渣用水5ml溶解，边搅拌边缓慢滴加乙醇75ml，摇匀，在4℃放置12小时，离心，弃去上清液，沉淀物用热水溶解并转移至50ml量瓶中，放冷，加水至刻度，摇匀，取溶液适量，离心，精密量取上清液2ml，置50ml量瓶中，加水至刻度，摇匀，即得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bookmarkStart w:id="8" w:name="_Toc452543443"/>
      <w:r>
        <w:rPr>
          <w:b/>
          <w:sz w:val="24"/>
          <w:szCs w:val="24"/>
          <w:lang w:eastAsia="zh-CN"/>
        </w:rPr>
        <w:t>可接受标准</w:t>
      </w:r>
      <w:bookmarkEnd w:id="8"/>
    </w:p>
    <w:p>
      <w:pPr>
        <w:tabs>
          <w:tab w:val="left" w:pos="1137"/>
        </w:tabs>
        <w:spacing w:line="360" w:lineRule="auto"/>
        <w:ind w:firstLine="360" w:firstLineChars="150"/>
        <w:rPr>
          <w:bCs/>
          <w:sz w:val="24"/>
          <w:lang w:eastAsia="zh-CN"/>
        </w:rPr>
      </w:pP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bCs/>
          <w:sz w:val="24"/>
          <w:lang w:eastAsia="zh-CN"/>
        </w:rPr>
        <w:t>6份供试品溶液含量的RSD应不得过2.0%</w:t>
      </w:r>
      <w:r>
        <w:rPr>
          <w:rFonts w:hint="eastAsia"/>
          <w:bCs/>
          <w:sz w:val="24"/>
          <w:lang w:eastAsia="zh-CN"/>
        </w:rPr>
        <w:t>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bookmarkStart w:id="9" w:name="_Toc452543444"/>
      <w:r>
        <w:rPr>
          <w:rFonts w:hint="eastAsia"/>
          <w:b/>
          <w:sz w:val="24"/>
          <w:szCs w:val="24"/>
          <w:lang w:val="en-US" w:eastAsia="zh-CN"/>
        </w:rPr>
        <w:t>重复性</w:t>
      </w:r>
      <w:r>
        <w:rPr>
          <w:b/>
          <w:sz w:val="24"/>
          <w:szCs w:val="24"/>
          <w:lang w:eastAsia="zh-CN"/>
        </w:rPr>
        <w:t>结果和结论</w:t>
      </w:r>
      <w:bookmarkEnd w:id="9"/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样品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称样量</w:t>
            </w:r>
            <w:r>
              <w:rPr>
                <w:rFonts w:hint="eastAsia"/>
                <w:b/>
                <w:sz w:val="21"/>
                <w:szCs w:val="21"/>
              </w:rPr>
              <w:t>（g）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含量</w:t>
            </w: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RSD</w:t>
            </w: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供试品1-1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2.07902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0.486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3.711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3.69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C0504D"/>
                <w:sz w:val="21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供试品1-2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2.03864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0.483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3.762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供试品1-3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2.04631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0.485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3.763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供试品1-4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2.12589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0.486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3.629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供试品1-5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2.07624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0.480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3.672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供试品1-6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2.08328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0.473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3.608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标准规定</w:t>
            </w:r>
          </w:p>
        </w:tc>
        <w:tc>
          <w:tcPr>
            <w:tcW w:w="597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RSD </w:t>
            </w:r>
            <w:r>
              <w:rPr>
                <w:sz w:val="21"/>
                <w:szCs w:val="21"/>
              </w:rPr>
              <w:t>不得过2.0%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试验结论</w:t>
            </w:r>
          </w:p>
        </w:tc>
        <w:tc>
          <w:tcPr>
            <w:tcW w:w="5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符合可接受标准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bookmarkStart w:id="10" w:name="_Toc472587978"/>
      <w:bookmarkStart w:id="11" w:name="_Toc452543445"/>
      <w:r>
        <w:rPr>
          <w:rFonts w:hint="eastAsia"/>
          <w:b/>
          <w:sz w:val="24"/>
          <w:szCs w:val="24"/>
          <w:lang w:val="en-US" w:eastAsia="zh-CN"/>
        </w:rPr>
        <w:t>12.5中间精密度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精密度---</w:t>
      </w:r>
      <w:r>
        <w:rPr>
          <w:rFonts w:hint="eastAsia"/>
          <w:b/>
          <w:sz w:val="24"/>
          <w:szCs w:val="24"/>
          <w:lang w:eastAsia="zh-CN"/>
        </w:rPr>
        <w:t>中间精密度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/>
          <w:bCs w:val="0"/>
          <w:sz w:val="24"/>
          <w:lang w:val="en-US" w:eastAsia="zh-CN"/>
        </w:rPr>
        <w:t xml:space="preserve"> 试验方法：</w:t>
      </w:r>
      <w:r>
        <w:rPr>
          <w:rFonts w:hint="eastAsia"/>
          <w:b w:val="0"/>
          <w:bCs/>
          <w:sz w:val="24"/>
          <w:lang w:val="en-US" w:eastAsia="zh-CN"/>
        </w:rPr>
        <w:t>由另外一名试验者，采用另外一台同型号的设备，按照上述重复性试验方法重新试验一次。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hint="eastAsia"/>
          <w:bCs/>
          <w:sz w:val="24"/>
          <w:lang w:eastAsia="zh-CN"/>
        </w:rPr>
      </w:pPr>
      <w:r>
        <w:rPr>
          <w:bCs/>
          <w:sz w:val="24"/>
          <w:lang w:eastAsia="zh-CN"/>
        </w:rPr>
        <w:t>6份供试品溶液含量的RSD应不得过</w:t>
      </w:r>
      <w:r>
        <w:rPr>
          <w:rFonts w:hint="eastAsia"/>
          <w:bCs/>
          <w:sz w:val="24"/>
          <w:lang w:val="en-US" w:eastAsia="zh-CN"/>
        </w:rPr>
        <w:t>2.0</w:t>
      </w:r>
      <w:r>
        <w:rPr>
          <w:bCs/>
          <w:sz w:val="24"/>
          <w:lang w:eastAsia="zh-CN"/>
        </w:rPr>
        <w:t>%</w:t>
      </w:r>
      <w:r>
        <w:rPr>
          <w:rFonts w:hint="eastAsia"/>
          <w:bCs/>
          <w:sz w:val="24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hint="eastAsia"/>
          <w:bCs/>
          <w:sz w:val="24"/>
          <w:lang w:eastAsia="zh-CN"/>
        </w:rPr>
      </w:pPr>
      <w:r>
        <w:rPr>
          <w:rFonts w:hint="eastAsia"/>
          <w:bCs/>
          <w:sz w:val="24"/>
          <w:lang w:val="en-US" w:eastAsia="zh-CN"/>
        </w:rPr>
        <w:t>12份供试品溶液含量的</w:t>
      </w:r>
      <w:r>
        <w:rPr>
          <w:bCs/>
          <w:sz w:val="24"/>
          <w:lang w:eastAsia="zh-CN"/>
        </w:rPr>
        <w:t>RSD应不得过</w:t>
      </w:r>
      <w:r>
        <w:rPr>
          <w:rFonts w:hint="eastAsia"/>
          <w:bCs/>
          <w:sz w:val="24"/>
          <w:lang w:val="en-US" w:eastAsia="zh-CN"/>
        </w:rPr>
        <w:t>2.0</w:t>
      </w:r>
      <w:r>
        <w:rPr>
          <w:bCs/>
          <w:sz w:val="24"/>
          <w:lang w:eastAsia="zh-CN"/>
        </w:rPr>
        <w:t>%</w:t>
      </w:r>
      <w:r>
        <w:rPr>
          <w:rFonts w:hint="eastAsia"/>
          <w:bCs/>
          <w:sz w:val="24"/>
          <w:lang w:eastAsia="zh-CN"/>
        </w:rPr>
        <w:t>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中间精密度试验</w:t>
      </w:r>
      <w:r>
        <w:rPr>
          <w:b/>
          <w:sz w:val="24"/>
          <w:szCs w:val="24"/>
          <w:lang w:eastAsia="zh-CN"/>
        </w:rPr>
        <w:t>结果和结论</w:t>
      </w:r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样品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称样量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（g）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含量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RSD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</w:rPr>
              <w:t>-1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2.15526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0.487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3.741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3.81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</w:rPr>
              <w:t>-2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2.04689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0.499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3.846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</w:rPr>
              <w:t>-3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2.12541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0.485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3.778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</w:rPr>
              <w:t>-4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2.13288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0.484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3.758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</w:rPr>
              <w:t>-5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2.05620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0.484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3.898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color w:val="auto"/>
                <w:sz w:val="21"/>
                <w:szCs w:val="21"/>
              </w:rPr>
              <w:t>-6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2.09152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0.484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3.832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bookmarkEnd w:id="10"/>
      <w:bookmarkEnd w:id="11"/>
    </w:tbl>
    <w:p>
      <w:pPr>
        <w:pStyle w:val="24"/>
        <w:spacing w:line="360" w:lineRule="auto"/>
        <w:ind w:left="567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12份样品含量RSD（%）</w:t>
      </w:r>
    </w:p>
    <w:tbl>
      <w:tblPr>
        <w:tblStyle w:val="16"/>
        <w:tblpPr w:leftFromText="180" w:rightFromText="180" w:vertAnchor="text" w:horzAnchor="page" w:tblpX="2310" w:tblpY="214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795"/>
        <w:gridCol w:w="175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配制液编号</w:t>
            </w:r>
          </w:p>
        </w:tc>
        <w:tc>
          <w:tcPr>
            <w:tcW w:w="1795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百分含量</w:t>
            </w:r>
          </w:p>
        </w:tc>
        <w:tc>
          <w:tcPr>
            <w:tcW w:w="1755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含量均值</w:t>
            </w:r>
          </w:p>
        </w:tc>
        <w:tc>
          <w:tcPr>
            <w:tcW w:w="1837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百分含量的RSD%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供试品1</w:t>
            </w:r>
            <w:r>
              <w:rPr>
                <w:rFonts w:ascii="Arial" w:hAnsi="Arial"/>
              </w:rPr>
              <w:t>-1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3.711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3.75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供试品1</w:t>
            </w:r>
            <w:r>
              <w:rPr>
                <w:rFonts w:ascii="Arial" w:hAnsi="Arial"/>
              </w:rPr>
              <w:t>-2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3.762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供试品1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3.763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供试品1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4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3.629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供试品1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5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3.672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供试品1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3.608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供试品2</w:t>
            </w:r>
            <w:r>
              <w:rPr>
                <w:rFonts w:ascii="Arial" w:hAnsi="Arial"/>
              </w:rPr>
              <w:t>-1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3.741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供试品2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3.846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供试品2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3.778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供试品2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4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3.758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供试品2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5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3.898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供试品2</w:t>
            </w:r>
            <w:r>
              <w:rPr>
                <w:rFonts w:ascii="Arial" w:hAnsi="Arial"/>
              </w:rPr>
              <w:t>-</w:t>
            </w:r>
            <w:r>
              <w:rPr>
                <w:rFonts w:hint="eastAsia" w:ascii="Arial" w:hAnsi="Arial"/>
              </w:rPr>
              <w:t>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3.832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 xml:space="preserve"> 标准规定</w:t>
            </w:r>
          </w:p>
        </w:tc>
        <w:tc>
          <w:tcPr>
            <w:tcW w:w="3592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  <w:b w:val="0"/>
                <w:bCs/>
                <w:szCs w:val="21"/>
              </w:rPr>
              <w:t>RSD</w:t>
            </w:r>
            <w:r>
              <w:rPr>
                <w:rFonts w:hint="eastAsia" w:ascii="Arial" w:hAnsi="Arial"/>
                <w:szCs w:val="21"/>
              </w:rPr>
              <w:t>≤</w:t>
            </w:r>
            <w:r>
              <w:rPr>
                <w:rFonts w:hint="eastAsia" w:ascii="Arial" w:hAnsi="Arial"/>
                <w:szCs w:val="21"/>
                <w:lang w:val="en-US" w:eastAsia="zh-CN"/>
              </w:rPr>
              <w:t>2</w:t>
            </w:r>
            <w:r>
              <w:rPr>
                <w:rFonts w:hint="eastAsia" w:ascii="Arial" w:hAnsi="Arial"/>
                <w:szCs w:val="21"/>
              </w:rPr>
              <w:t>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试验结论</w:t>
            </w:r>
          </w:p>
        </w:tc>
        <w:tc>
          <w:tcPr>
            <w:tcW w:w="3592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  <w:szCs w:val="21"/>
                <w:lang w:eastAsia="zh-CN"/>
              </w:rPr>
              <w:t>符合可接受标准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12.6</w:t>
      </w:r>
      <w:r>
        <w:rPr>
          <w:rFonts w:hint="eastAsia"/>
          <w:b/>
          <w:sz w:val="24"/>
          <w:szCs w:val="24"/>
          <w:lang w:eastAsia="zh-CN"/>
        </w:rPr>
        <w:t>不同批次灵芝粉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lang w:eastAsia="zh-CN"/>
        </w:rPr>
        <w:t>含量测定结果</w:t>
      </w:r>
    </w:p>
    <w:bookmarkEnd w:id="3"/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照以上方法，测定</w:t>
      </w:r>
      <w:r>
        <w:rPr>
          <w:rFonts w:hint="eastAsia"/>
          <w:sz w:val="24"/>
          <w:szCs w:val="24"/>
          <w:lang w:val="en-US" w:eastAsia="zh-CN"/>
        </w:rPr>
        <w:t>13批灵芝粉（紫芝）的含量，</w:t>
      </w:r>
      <w:r>
        <w:rPr>
          <w:sz w:val="24"/>
          <w:szCs w:val="24"/>
          <w:lang w:eastAsia="zh-CN"/>
        </w:rPr>
        <w:t xml:space="preserve"> 结果</w:t>
      </w:r>
      <w:r>
        <w:rPr>
          <w:rFonts w:hint="eastAsia"/>
          <w:sz w:val="24"/>
          <w:szCs w:val="24"/>
          <w:lang w:eastAsia="zh-CN"/>
        </w:rPr>
        <w:t>如下表（表</w:t>
      </w:r>
      <w:r>
        <w:rPr>
          <w:rFonts w:hint="eastAsia"/>
          <w:sz w:val="24"/>
          <w:szCs w:val="24"/>
          <w:lang w:val="en-US" w:eastAsia="zh-CN"/>
        </w:rPr>
        <w:t>9）。</w:t>
      </w:r>
    </w:p>
    <w:p>
      <w:pPr>
        <w:spacing w:line="360" w:lineRule="auto"/>
        <w:jc w:val="center"/>
        <w:rPr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表</w:t>
      </w:r>
      <w:r>
        <w:rPr>
          <w:rFonts w:hint="eastAsia"/>
          <w:color w:val="auto"/>
          <w:sz w:val="24"/>
          <w:szCs w:val="24"/>
          <w:lang w:val="en-US" w:eastAsia="zh-CN"/>
        </w:rPr>
        <w:t>17灵芝粉（紫芝）多糖含量测定结果</w:t>
      </w:r>
    </w:p>
    <w:tbl>
      <w:tblPr>
        <w:tblStyle w:val="23"/>
        <w:tblW w:w="9092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2"/>
        <w:gridCol w:w="481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批次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多糖含量（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1.98%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3.02%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2.89%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2.63%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2.52%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1.89%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2.63%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2.86%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2.76%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2.92%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2.73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2.80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200603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3.18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cs="Calibri"/>
                <w:color w:val="auto"/>
              </w:rPr>
              <w:t>X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cs="Calibri"/>
                <w:color w:val="auto"/>
              </w:rPr>
              <w:t>sd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2.68%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hint="eastAsia" w:cs="Calibri"/>
                <w:color w:val="auto"/>
                <w:lang w:val="en-US" w:eastAsia="zh-CN"/>
              </w:rPr>
              <w:t xml:space="preserve"> 0.38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color w:val="auto"/>
          <w:sz w:val="24"/>
          <w:szCs w:val="24"/>
          <w:lang w:val="en-US" w:eastAsia="zh-CN"/>
        </w:rPr>
      </w:pPr>
      <w:bookmarkStart w:id="12" w:name="_Toc472587982"/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color w:val="auto"/>
          <w:sz w:val="24"/>
          <w:szCs w:val="24"/>
          <w:lang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>12.7</w:t>
      </w:r>
      <w:r>
        <w:rPr>
          <w:rFonts w:hint="eastAsia"/>
          <w:b/>
          <w:color w:val="auto"/>
          <w:sz w:val="24"/>
          <w:szCs w:val="24"/>
          <w:lang w:eastAsia="zh-CN"/>
        </w:rPr>
        <w:t>结果分析</w:t>
      </w:r>
      <w:bookmarkEnd w:id="12"/>
      <w:r>
        <w:rPr>
          <w:rFonts w:hint="eastAsia"/>
          <w:b/>
          <w:color w:val="auto"/>
          <w:sz w:val="24"/>
          <w:szCs w:val="24"/>
          <w:lang w:eastAsia="zh-CN"/>
        </w:rPr>
        <w:t>及限度确认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0" w:firstLineChars="200"/>
        <w:outlineLvl w:val="2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从上表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结果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可以看出，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参考中国药典2015年版一部“灵芝” 含量测定项下的“多糖”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检验方法制定的灵芝粉（紫芝）的含量测定方法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已通过方法学确认，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13批样品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的检验结果范围为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1.89  - 3.18 %，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均值为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2.68 %，采用平均值乘以80%，得到多糖的限度为:2.14 %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参考《中国药典》2015年版“灵芝”的含量，并结合13批样品的检验结果，最终拟将灵芝粉（紫芝）含量测定的限度定为：按干燥品计，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含多糖以无水葡萄糖（C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vertAlign w:val="subscript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H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vertAlign w:val="subscript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O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vertAlign w:val="subscript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）计，不得少于0.9%。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1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</w:t>
      </w:r>
      <w:r>
        <w:rPr>
          <w:rFonts w:hint="eastAsia"/>
          <w:b/>
          <w:sz w:val="24"/>
          <w:szCs w:val="24"/>
          <w:lang w:eastAsia="zh-CN"/>
        </w:rPr>
        <w:t>【含量测定】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三萜与甾醇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13.1</w:t>
      </w:r>
      <w:r>
        <w:rPr>
          <w:rFonts w:hint="eastAsia"/>
          <w:b/>
          <w:sz w:val="24"/>
          <w:szCs w:val="24"/>
          <w:lang w:eastAsia="zh-CN"/>
        </w:rPr>
        <w:t>检测</w:t>
      </w:r>
      <w:r>
        <w:rPr>
          <w:b/>
          <w:sz w:val="24"/>
          <w:szCs w:val="24"/>
          <w:lang w:eastAsia="zh-CN"/>
        </w:rPr>
        <w:t>方法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b w:val="0"/>
          <w:bCs/>
          <w:color w:val="000000"/>
          <w:sz w:val="24"/>
          <w:szCs w:val="24"/>
        </w:rPr>
      </w:pP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参考中国药典2015年版一部“灵芝”含量测定项下的“三萜与甾醇”检验方法，制定如下检验：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对照品溶液的制备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取齐墩果酸对照品适量，精密称定，加甲醇制成每1ml含0.2mg的溶液，即得。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标准曲线的制备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 精密量取对照品溶液0.1、0.2、0.3、0.4、0.5ml，分别置15ml具塞试管中，挥干，放冷，精密加入新配制的香草醛冰醋酸溶液（精密称取香草醛0.5g，加冰醋酸使溶解成10ml，即得）0.2ml，高氯酸0.8ml，摇匀，在70℃水浴中加热15分钟，立即置冰浴中冷却5分钟，取出，精密加入乙酸乙酯4ml，摇匀，以相应试剂为空白，照紫外-可见分光光度法（通则0401），在546nm波长处测定吸光度，以吸光度为纵坐标、浓度为横坐标绘制标准曲线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供试品溶液的制备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 取本品粉末约2g，精密称定，置具塞锥形瓶中，加乙醇50ml，超声处理（功率140W，频率42kHz）45分钟，滤过，滤液置100ml量瓶中，用适量乙醇，分次洗涤滤器和滤渣，洗液并入同一量瓶中，加乙醇至刻度，摇匀，即得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空白溶液的制备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精密量取新配制的香草醛冰醋酸溶液（精密称取香草醛0.5g，加冰醋酸使溶解成10ml，即得）0.2ml置15ml的具塞试管中，加入高氯酸0.8ml，摇匀，在70℃水浴中加热15分钟，立即置冰浴中冷却5分钟，取出，精密加入乙酸乙酯4ml，作为空白溶液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测定法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精密量取供试品溶液0.2ml，置15ml具塞试管中，照标准曲线制备项下的方法，自“挥干”起，同法操作，测定吸光度，从标准曲线上读出供试品溶液中齐墩果酸的含量，计算，即得。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13.2</w:t>
      </w:r>
      <w:r>
        <w:rPr>
          <w:rFonts w:hint="eastAsia"/>
          <w:b/>
          <w:sz w:val="24"/>
          <w:szCs w:val="24"/>
          <w:lang w:eastAsia="zh-CN"/>
        </w:rPr>
        <w:t>计算公式：</w:t>
      </w:r>
    </w:p>
    <w:p>
      <w:pPr>
        <w:spacing w:line="350" w:lineRule="exact"/>
      </w:pPr>
      <w:r>
        <w:t xml:space="preserve">     </w:t>
      </w:r>
      <w:r>
        <w:rPr>
          <w:rFonts w:hint="eastAsia"/>
          <w:lang w:eastAsia="zh-CN"/>
        </w:rPr>
        <w:t>通过线性回归方程计算出样品浓度</w:t>
      </w:r>
      <w:r>
        <w:rPr>
          <w:rFonts w:hint="eastAsia"/>
          <w:lang w:val="en-US" w:eastAsia="zh-CN"/>
        </w:rPr>
        <w:t>C，再通过下列公式计算：</w:t>
      </w:r>
    </w:p>
    <w:p>
      <w:pPr>
        <w:spacing w:line="350" w:lineRule="exact"/>
        <w:ind w:firstLine="3960" w:firstLineChars="1650"/>
        <w:rPr>
          <w:rFonts w:hint="eastAsia"/>
          <w:sz w:val="24"/>
          <w:szCs w:val="24"/>
          <w:lang w:val="en-US" w:eastAsia="zh-CN"/>
        </w:rPr>
      </w:pPr>
    </w:p>
    <w:p>
      <w:pPr>
        <w:spacing w:line="350" w:lineRule="exact"/>
        <w:ind w:firstLine="3960" w:firstLineChars="1650"/>
        <w:rPr>
          <w:rFonts w:hint="eastAsia" w:eastAsia="宋体"/>
          <w:szCs w:val="21"/>
          <w:vertAlign w:val="superscrip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vertAlign w:val="subscript"/>
          <w:lang w:val="en-US" w:eastAsia="zh-CN"/>
        </w:rPr>
        <w:t>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×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样品稀释倍数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×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  <w:vertAlign w:val="superscript"/>
          <w:lang w:val="en-US" w:eastAsia="zh-CN"/>
        </w:rPr>
        <w:t>-3</w:t>
      </w:r>
    </w:p>
    <w:p>
      <w:pPr>
        <w:spacing w:line="350" w:lineRule="exact"/>
        <w:ind w:firstLine="431" w:firstLineChars="196"/>
        <w:rPr>
          <w:szCs w:val="21"/>
        </w:rPr>
      </w:pPr>
      <w:r>
        <w:pict>
          <v:line id="直线 4" o:spid="_x0000_s1029" o:spt="20" style="position:absolute;left:0pt;flip:y;margin-left:172.3pt;margin-top:9.65pt;height:0.45pt;width:181.95pt;z-index:251659264;mso-width-relative:page;mso-height-relative:page;" filled="f" stroked="t" coordsize="21600,21600" o:gfxdata="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WcAhNcAAAAJAQAADwAAAAAAAAABACAAAAAiAAAAZHJzL2Rv&#10;d25yZXYueG1sUEsBAhQAFAAAAAgAh07iQObvHi7JAQAAmQMAAA4AAAAAAAAAAQAgAAAAJgEAAGRy&#10;cy9lMm9Eb2MueG1sUEsFBgAAAAAGAAYAWQEAAGEFAAAAAA=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/>
          <w:lang w:eastAsia="zh-CN"/>
        </w:rPr>
        <w:t>多糖</w:t>
      </w:r>
      <w:r>
        <w:rPr>
          <w:rFonts w:hint="eastAsia"/>
          <w:szCs w:val="21"/>
        </w:rPr>
        <w:t>含量（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=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  <w:lang w:val="en-US" w:eastAsia="zh-CN"/>
        </w:rPr>
        <w:t xml:space="preserve">           </w:t>
      </w:r>
      <w:r>
        <w:rPr>
          <w:szCs w:val="21"/>
        </w:rPr>
        <w:t xml:space="preserve">             </w:t>
      </w:r>
      <w:r>
        <w:rPr>
          <w:rFonts w:hint="eastAsia"/>
          <w:szCs w:val="21"/>
          <w:lang w:val="en-US" w:eastAsia="zh-CN"/>
        </w:rPr>
        <w:t xml:space="preserve">                                            </w:t>
      </w:r>
      <w:r>
        <w:rPr>
          <w:rFonts w:hint="eastAsia"/>
          <w:szCs w:val="21"/>
        </w:rPr>
        <w:t>×</w:t>
      </w:r>
      <w:r>
        <w:rPr>
          <w:szCs w:val="21"/>
        </w:rPr>
        <w:t xml:space="preserve"> 100%</w:t>
      </w:r>
    </w:p>
    <w:p>
      <w:pPr>
        <w:spacing w:line="360" w:lineRule="atLeast"/>
        <w:ind w:firstLine="550" w:firstLineChars="250"/>
        <w:rPr>
          <w:rFonts w:hint="eastAsia"/>
          <w:szCs w:val="21"/>
        </w:rPr>
      </w:pPr>
      <w:r>
        <w:rPr>
          <w:szCs w:val="21"/>
        </w:rPr>
        <w:t xml:space="preserve">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</w:t>
      </w:r>
      <w:r>
        <w:rPr>
          <w:szCs w:val="21"/>
        </w:rPr>
        <w:t>W</w:t>
      </w:r>
      <w:r>
        <w:rPr>
          <w:rFonts w:hint="eastAsia"/>
          <w:szCs w:val="21"/>
          <w:vertAlign w:val="subscript"/>
        </w:rPr>
        <w:t>样</w:t>
      </w:r>
      <w:r>
        <w:rPr>
          <w:rFonts w:hint="eastAsia"/>
          <w:szCs w:val="21"/>
        </w:rPr>
        <w:t>×（</w:t>
      </w:r>
      <w:r>
        <w:rPr>
          <w:szCs w:val="21"/>
        </w:rPr>
        <w:t>1-</w:t>
      </w:r>
      <w:r>
        <w:rPr>
          <w:rFonts w:hint="eastAsia"/>
          <w:szCs w:val="21"/>
        </w:rPr>
        <w:t>水分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</w:p>
    <w:p>
      <w:pPr>
        <w:pStyle w:val="24"/>
        <w:spacing w:line="360" w:lineRule="auto"/>
        <w:ind w:left="709"/>
        <w:rPr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13.3</w:t>
      </w:r>
      <w:r>
        <w:rPr>
          <w:rFonts w:hint="eastAsia"/>
          <w:b/>
          <w:sz w:val="24"/>
          <w:szCs w:val="24"/>
          <w:lang w:eastAsia="zh-CN"/>
        </w:rPr>
        <w:t>含量测定方法确认：</w:t>
      </w:r>
    </w:p>
    <w:p>
      <w:pPr>
        <w:spacing w:line="360" w:lineRule="auto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采用我公司生产的灵芝粉（赤芝）</w:t>
      </w:r>
      <w:r>
        <w:rPr>
          <w:rFonts w:hint="eastAsia"/>
          <w:sz w:val="24"/>
          <w:szCs w:val="24"/>
          <w:lang w:val="en-US" w:eastAsia="zh-CN"/>
        </w:rPr>
        <w:t>200501</w:t>
      </w:r>
      <w:r>
        <w:rPr>
          <w:rFonts w:hint="eastAsia"/>
          <w:sz w:val="24"/>
          <w:szCs w:val="24"/>
          <w:lang w:eastAsia="zh-CN"/>
        </w:rPr>
        <w:t>批对上述方法进行确认，由于该检验方法为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中国药典2015年版“灵芝”含量测定的法定检验方法 ，</w:t>
      </w:r>
      <w:r>
        <w:rPr>
          <w:rFonts w:hint="eastAsia"/>
          <w:sz w:val="24"/>
          <w:szCs w:val="24"/>
          <w:lang w:val="en-US" w:eastAsia="zh-CN"/>
        </w:rPr>
        <w:t xml:space="preserve">参考《gmp2010年版指南》（质量控制与物料系统），仅对以下 </w:t>
      </w:r>
      <w:r>
        <w:rPr>
          <w:rFonts w:hint="eastAsia"/>
          <w:sz w:val="24"/>
          <w:szCs w:val="24"/>
          <w:lang w:eastAsia="zh-CN"/>
        </w:rPr>
        <w:t>项目进行确认：</w:t>
      </w:r>
    </w:p>
    <w:p>
      <w:p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确认项目包括：</w:t>
      </w:r>
    </w:p>
    <w:p>
      <w:pPr>
        <w:pStyle w:val="24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系统适用性</w:t>
      </w:r>
    </w:p>
    <w:p>
      <w:pPr>
        <w:pStyle w:val="24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精密度-重复性</w:t>
      </w:r>
    </w:p>
    <w:p>
      <w:pPr>
        <w:pStyle w:val="24"/>
        <w:numPr>
          <w:ilvl w:val="0"/>
          <w:numId w:val="2"/>
        </w:num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精密度</w:t>
      </w:r>
      <w:r>
        <w:rPr>
          <w:rFonts w:hint="eastAsia"/>
          <w:sz w:val="24"/>
          <w:szCs w:val="24"/>
          <w:lang w:val="en-US" w:eastAsia="zh-CN"/>
        </w:rPr>
        <w:t>-中间精密度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13.4</w:t>
      </w:r>
      <w:r>
        <w:rPr>
          <w:rFonts w:hint="eastAsia"/>
          <w:b/>
          <w:sz w:val="24"/>
          <w:szCs w:val="24"/>
          <w:lang w:eastAsia="zh-CN"/>
        </w:rPr>
        <w:t>系统适用性试验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b/>
          <w:bCs w:val="0"/>
          <w:color w:val="000000"/>
          <w:sz w:val="24"/>
          <w:szCs w:val="24"/>
        </w:rPr>
        <w:t>对照品溶液的制备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取齐墩果酸对照品适量，精密称定，加甲醇制成每1ml含0.2mg的溶液，即得。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1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标准曲线的制备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 精密量取对照品溶液0.1、0.2、0.3、0.4、0.5ml，分别置15ml具塞试管中，挥干，放冷，精密加入新配制的香草醛冰醋酸溶液（精密称取香草醛0.5g，加冰醋酸使溶解成10ml，即得）0.2ml，高氯酸0.8ml，摇匀，在70℃水浴中加热15分钟，立即置冰浴中冷却5分钟，取出，精密加入乙酸乙酯4ml，摇匀，以相应试剂为空白，照紫外-可见分光光度法（通则0401），在546nm波长处测定吸光度，以吸光度为纵坐标、浓度为横坐标绘制标准曲线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right="0" w:firstLine="432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供试品溶液的制备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 取本品粉末约2g，精密称定，置具塞锥形瓶中，加乙醇50ml，超声处理（功率140W，频率42kHz）45分钟，滤过，滤液置100ml量瓶中，用适量乙醇，分次洗涤滤器和滤渣，洗液并入同一量瓶中，加乙醇至刻度，摇匀，即得。</w:t>
      </w:r>
    </w:p>
    <w:p>
      <w:pPr>
        <w:spacing w:line="360" w:lineRule="auto"/>
        <w:ind w:firstLine="481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空白溶液的制备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精密量取新配制的香草醛冰醋酸溶液（精密称取香草醛0.5g，加冰醋酸使溶解成10ml，即得）0.2ml置15ml的具塞试管中，加入高氯酸0.8ml，摇匀，在70℃水浴中加热15分钟，立即置冰浴中冷却5分钟，取出，精密加入乙酸乙酯4ml，作为空白溶液。</w:t>
      </w:r>
    </w:p>
    <w:p>
      <w:pPr>
        <w:spacing w:line="360" w:lineRule="auto"/>
        <w:ind w:firstLine="481" w:firstLineChars="20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测定方法</w:t>
      </w:r>
    </w:p>
    <w:p>
      <w:pPr>
        <w:numPr>
          <w:ilvl w:val="0"/>
          <w:numId w:val="0"/>
        </w:numPr>
        <w:tabs>
          <w:tab w:val="left" w:pos="1137"/>
        </w:tabs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Cs/>
          <w:sz w:val="24"/>
          <w:lang w:val="en-US" w:eastAsia="zh-CN"/>
        </w:rPr>
        <w:t>1、以空气为空白，以空白溶液为作为样品，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照紫外-可见分光光度法（通则0401），在546nm波长处测定吸光度</w:t>
      </w:r>
    </w:p>
    <w:p>
      <w:pPr>
        <w:numPr>
          <w:ilvl w:val="0"/>
          <w:numId w:val="0"/>
        </w:numPr>
        <w:tabs>
          <w:tab w:val="left" w:pos="1137"/>
        </w:tabs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Cs/>
          <w:sz w:val="24"/>
          <w:lang w:val="en-US" w:eastAsia="zh-CN"/>
        </w:rPr>
        <w:t>2以空白溶液为为空白，以标准溶液1为样品，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在546nm波长处测定吸光度</w:t>
      </w:r>
    </w:p>
    <w:p>
      <w:pPr>
        <w:numPr>
          <w:ilvl w:val="0"/>
          <w:numId w:val="0"/>
        </w:numPr>
        <w:tabs>
          <w:tab w:val="left" w:pos="1137"/>
        </w:tabs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连续测试6次，计算6次吸光度的RSD。</w:t>
      </w:r>
    </w:p>
    <w:p>
      <w:pPr>
        <w:numPr>
          <w:ilvl w:val="0"/>
          <w:numId w:val="0"/>
        </w:numPr>
        <w:tabs>
          <w:tab w:val="left" w:pos="1137"/>
        </w:tabs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Cs/>
          <w:sz w:val="24"/>
          <w:lang w:val="en-US" w:eastAsia="zh-CN"/>
        </w:rPr>
        <w:t>3、以空白溶液为为空白，以标准溶液1~6为样品，在546nm波长处测定吸光度，以样品浓度为横坐标（X），吸光度为纵坐标 (Y），绘制标准曲线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1" w:firstLineChars="200"/>
        <w:outlineLvl w:val="4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4"/>
        </w:numPr>
        <w:spacing w:line="360" w:lineRule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eastAsia="zh-CN"/>
        </w:rPr>
        <w:t>空白溶液的吸光度应不得过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  <w:t>0.01</w:t>
      </w:r>
    </w:p>
    <w:p>
      <w:pPr>
        <w:numPr>
          <w:ilvl w:val="0"/>
          <w:numId w:val="4"/>
        </w:numPr>
        <w:spacing w:line="360" w:lineRule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  <w:t>标准溶液1吸光度的RSD不得过2.0%</w:t>
      </w:r>
    </w:p>
    <w:p>
      <w:pPr>
        <w:numPr>
          <w:ilvl w:val="0"/>
          <w:numId w:val="4"/>
        </w:numPr>
        <w:spacing w:line="360" w:lineRule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回归系数</w:t>
      </w:r>
      <w:r>
        <w:rPr>
          <w:rFonts w:hint="eastAsia"/>
          <w:b w:val="0"/>
          <w:bCs/>
          <w:sz w:val="21"/>
          <w:szCs w:val="21"/>
          <w:lang w:val="en-US" w:eastAsia="zh-CN"/>
        </w:rPr>
        <w:t>R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≧</w:t>
      </w:r>
      <w:r>
        <w:rPr>
          <w:rFonts w:hint="eastAsia" w:eastAsia="宋体" w:cs="Calibri"/>
          <w:b w:val="0"/>
          <w:bCs/>
          <w:sz w:val="21"/>
          <w:szCs w:val="21"/>
          <w:lang w:val="en-US" w:eastAsia="zh-CN"/>
        </w:rPr>
        <w:t>0.99</w:t>
      </w:r>
    </w:p>
    <w:p>
      <w:pPr>
        <w:pStyle w:val="24"/>
        <w:numPr>
          <w:ilvl w:val="0"/>
          <w:numId w:val="0"/>
        </w:numPr>
        <w:spacing w:line="360" w:lineRule="auto"/>
        <w:outlineLvl w:val="4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测试结果和结论</w:t>
      </w:r>
    </w:p>
    <w:tbl>
      <w:tblPr>
        <w:tblStyle w:val="16"/>
        <w:tblpPr w:leftFromText="180" w:rightFromText="180" w:vertAnchor="text" w:horzAnchor="page" w:tblpX="1649" w:tblpY="278"/>
        <w:tblOverlap w:val="never"/>
        <w:tblW w:w="86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59"/>
        <w:gridCol w:w="2605"/>
        <w:gridCol w:w="777"/>
        <w:gridCol w:w="1623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265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空白溶液吸光度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-0.001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吸光度</w:t>
            </w:r>
          </w:p>
        </w:tc>
        <w:tc>
          <w:tcPr>
            <w:tcW w:w="4418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吸光度</w:t>
            </w:r>
            <w:r>
              <w:rPr>
                <w:sz w:val="21"/>
                <w:szCs w:val="21"/>
              </w:rPr>
              <w:t>RSD（%）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0.193</w:t>
            </w:r>
          </w:p>
        </w:tc>
        <w:tc>
          <w:tcPr>
            <w:tcW w:w="4418" w:type="dxa"/>
            <w:gridSpan w:val="3"/>
            <w:vMerge w:val="restart"/>
            <w:noWrap w:val="0"/>
            <w:vAlign w:val="center"/>
          </w:tcPr>
          <w:p>
            <w:pPr>
              <w:ind w:left="142"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0.193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567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0.189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426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0.189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0.189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0.187</w:t>
            </w:r>
          </w:p>
        </w:tc>
        <w:tc>
          <w:tcPr>
            <w:tcW w:w="4418" w:type="dxa"/>
            <w:gridSpan w:val="3"/>
            <w:vMerge w:val="continue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83" w:type="dxa"/>
            <w:gridSpan w:val="6"/>
            <w:noWrap w:val="0"/>
            <w:vAlign w:val="center"/>
          </w:tcPr>
          <w:p>
            <w:pPr>
              <w:ind w:left="851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/>
                <w:b/>
                <w:sz w:val="21"/>
                <w:szCs w:val="21"/>
                <w:lang w:eastAsia="zh-CN"/>
              </w:rPr>
              <w:t>标准曲线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浓度(C）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ind w:left="851" w:firstLine="630" w:firstLineChars="300"/>
              <w:jc w:val="both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ascii="Calibri" w:hAnsi="宋体" w:eastAsia="宋体" w:cs="宋体"/>
                <w:b w:val="0"/>
                <w:bCs/>
                <w:sz w:val="21"/>
                <w:szCs w:val="21"/>
                <w:lang w:eastAsia="zh-CN"/>
              </w:rPr>
              <w:t>吸光度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0.000 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0.000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0.861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标准溶液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0.500</w:t>
            </w:r>
          </w:p>
        </w:tc>
        <w:tc>
          <w:tcPr>
            <w:tcW w:w="364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线性回归方程</w:t>
            </w:r>
          </w:p>
        </w:tc>
        <w:tc>
          <w:tcPr>
            <w:tcW w:w="33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Y=2.2206 x- 0.0321</w:t>
            </w:r>
          </w:p>
        </w:tc>
        <w:tc>
          <w:tcPr>
            <w:tcW w:w="16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R</w:t>
            </w:r>
          </w:p>
        </w:tc>
        <w:tc>
          <w:tcPr>
            <w:tcW w:w="20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0.9969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可接收标准</w:t>
            </w:r>
          </w:p>
        </w:tc>
        <w:tc>
          <w:tcPr>
            <w:tcW w:w="70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空白溶液的吸光度应不得过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0.01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标准溶液1吸光度的RSD不得过2.0%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回归系数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eastAsia="宋体" w:cs="Calibri"/>
                <w:b w:val="0"/>
                <w:bCs/>
                <w:sz w:val="21"/>
                <w:szCs w:val="21"/>
                <w:lang w:val="en-US" w:eastAsia="zh-CN"/>
              </w:rPr>
              <w:t>0.99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结论</w:t>
            </w:r>
          </w:p>
        </w:tc>
        <w:tc>
          <w:tcPr>
            <w:tcW w:w="70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■符合可接受标准       □不符合可接受标准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outlineLvl w:val="4"/>
        <w:rPr>
          <w:rFonts w:hint="eastAsia"/>
          <w:b/>
          <w:sz w:val="24"/>
          <w:szCs w:val="24"/>
          <w:lang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13.5</w:t>
      </w:r>
      <w:r>
        <w:rPr>
          <w:b/>
          <w:sz w:val="24"/>
          <w:szCs w:val="24"/>
          <w:lang w:eastAsia="zh-CN"/>
        </w:rPr>
        <w:t>重复性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0" w:firstLineChars="200"/>
        <w:outlineLvl w:val="3"/>
        <w:rPr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取混合均匀的本品粉末约2.0g，一共准备6份， 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密称定， 置具塞锥形瓶中，加乙醇50ml，超声处理（功率140W，频率42kHz）45分钟，滤过，滤液置100ml量瓶中，用适量乙醇，分次洗涤滤器和滤渣，洗液并入同一量瓶中，加乙醇至刻度，摇匀。 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即得，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测定吸光度，从标准曲线上读出供试品溶液中齐墩果酸的含量。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可接受标准</w:t>
      </w:r>
    </w:p>
    <w:p>
      <w:pPr>
        <w:tabs>
          <w:tab w:val="left" w:pos="1137"/>
        </w:tabs>
        <w:spacing w:line="360" w:lineRule="auto"/>
        <w:ind w:firstLine="360" w:firstLineChars="150"/>
        <w:rPr>
          <w:bCs/>
          <w:sz w:val="24"/>
          <w:lang w:eastAsia="zh-CN"/>
        </w:rPr>
      </w:pP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bCs/>
          <w:sz w:val="24"/>
          <w:lang w:eastAsia="zh-CN"/>
        </w:rPr>
        <w:t>6份供试品溶液含量的RSD应不得过</w:t>
      </w:r>
      <w:r>
        <w:rPr>
          <w:rFonts w:hint="eastAsia"/>
          <w:bCs/>
          <w:sz w:val="24"/>
          <w:lang w:val="en-US" w:eastAsia="zh-CN"/>
        </w:rPr>
        <w:t>2</w:t>
      </w:r>
      <w:r>
        <w:rPr>
          <w:bCs/>
          <w:sz w:val="24"/>
          <w:lang w:eastAsia="zh-CN"/>
        </w:rPr>
        <w:t>.0%</w:t>
      </w:r>
      <w:r>
        <w:rPr>
          <w:rFonts w:hint="eastAsia"/>
          <w:bCs/>
          <w:sz w:val="24"/>
          <w:lang w:eastAsia="zh-CN"/>
        </w:rPr>
        <w:t>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重复性</w:t>
      </w:r>
      <w:r>
        <w:rPr>
          <w:b/>
          <w:sz w:val="24"/>
          <w:szCs w:val="24"/>
          <w:lang w:eastAsia="zh-CN"/>
        </w:rPr>
        <w:t>结果和结论</w:t>
      </w:r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样品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称样量</w:t>
            </w:r>
            <w:r>
              <w:rPr>
                <w:rFonts w:hint="eastAsia"/>
                <w:b/>
                <w:sz w:val="21"/>
                <w:szCs w:val="21"/>
              </w:rPr>
              <w:t>（g）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含量</w:t>
            </w: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RSD</w:t>
            </w:r>
            <w:r>
              <w:rPr>
                <w:rFonts w:hint="eastAsia"/>
                <w:b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供试品1-1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2.04123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0.245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0.630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供试品1-2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2.05482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0.247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0.630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供试品1-3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2.01281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0.247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tabs>
                <w:tab w:val="left" w:pos="506"/>
              </w:tabs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0.643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供试品1-4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2.06634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0.250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0.633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供试品1-5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2.01245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0.253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0.657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供试品1-6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2.02351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0.245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0.635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标准规定</w:t>
            </w:r>
          </w:p>
        </w:tc>
        <w:tc>
          <w:tcPr>
            <w:tcW w:w="597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RSD </w:t>
            </w:r>
            <w:r>
              <w:rPr>
                <w:sz w:val="21"/>
                <w:szCs w:val="21"/>
              </w:rPr>
              <w:t>不得过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2.</w:t>
            </w:r>
            <w:r>
              <w:rPr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14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试验结论</w:t>
            </w:r>
          </w:p>
        </w:tc>
        <w:tc>
          <w:tcPr>
            <w:tcW w:w="5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符合可接受标准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13.6中间精密度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精密度---</w:t>
      </w:r>
      <w:r>
        <w:rPr>
          <w:rFonts w:hint="eastAsia"/>
          <w:b/>
          <w:sz w:val="24"/>
          <w:szCs w:val="24"/>
          <w:lang w:eastAsia="zh-CN"/>
        </w:rPr>
        <w:t>中间精密度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/>
          <w:bCs w:val="0"/>
          <w:sz w:val="24"/>
          <w:lang w:val="en-US" w:eastAsia="zh-CN"/>
        </w:rPr>
        <w:t xml:space="preserve"> 试验方法：</w:t>
      </w:r>
      <w:r>
        <w:rPr>
          <w:rFonts w:hint="eastAsia"/>
          <w:b w:val="0"/>
          <w:bCs/>
          <w:sz w:val="24"/>
          <w:lang w:val="en-US" w:eastAsia="zh-CN"/>
        </w:rPr>
        <w:t>由另外一名试验者，采用另外一台同型号的设备，按照上述重复性试验方法重新试验一次。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可接受标准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hint="eastAsia"/>
          <w:bCs/>
          <w:sz w:val="24"/>
          <w:lang w:eastAsia="zh-CN"/>
        </w:rPr>
      </w:pPr>
      <w:r>
        <w:rPr>
          <w:bCs/>
          <w:sz w:val="24"/>
          <w:lang w:eastAsia="zh-CN"/>
        </w:rPr>
        <w:t>6份供试品溶液含量的RSD应不得过</w:t>
      </w:r>
      <w:r>
        <w:rPr>
          <w:rFonts w:hint="eastAsia"/>
          <w:bCs/>
          <w:sz w:val="24"/>
          <w:lang w:val="en-US" w:eastAsia="zh-CN"/>
        </w:rPr>
        <w:t>2.0</w:t>
      </w:r>
      <w:r>
        <w:rPr>
          <w:bCs/>
          <w:sz w:val="24"/>
          <w:lang w:eastAsia="zh-CN"/>
        </w:rPr>
        <w:t>%</w:t>
      </w:r>
      <w:r>
        <w:rPr>
          <w:rFonts w:hint="eastAsia"/>
          <w:bCs/>
          <w:sz w:val="24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1137"/>
        </w:tabs>
        <w:spacing w:line="360" w:lineRule="auto"/>
        <w:ind w:firstLine="360" w:firstLineChars="150"/>
        <w:rPr>
          <w:rFonts w:hint="eastAsia"/>
          <w:bCs/>
          <w:sz w:val="24"/>
          <w:lang w:eastAsia="zh-CN"/>
        </w:rPr>
      </w:pPr>
      <w:r>
        <w:rPr>
          <w:rFonts w:hint="eastAsia"/>
          <w:bCs/>
          <w:sz w:val="24"/>
          <w:lang w:val="en-US" w:eastAsia="zh-CN"/>
        </w:rPr>
        <w:t>12份供试品溶液含量的</w:t>
      </w:r>
      <w:r>
        <w:rPr>
          <w:bCs/>
          <w:sz w:val="24"/>
          <w:lang w:eastAsia="zh-CN"/>
        </w:rPr>
        <w:t>RSD应不得过</w:t>
      </w:r>
      <w:r>
        <w:rPr>
          <w:rFonts w:hint="eastAsia"/>
          <w:bCs/>
          <w:sz w:val="24"/>
          <w:lang w:val="en-US" w:eastAsia="zh-CN"/>
        </w:rPr>
        <w:t>2.0</w:t>
      </w:r>
      <w:r>
        <w:rPr>
          <w:bCs/>
          <w:sz w:val="24"/>
          <w:lang w:eastAsia="zh-CN"/>
        </w:rPr>
        <w:t>%</w:t>
      </w:r>
      <w:r>
        <w:rPr>
          <w:rFonts w:hint="eastAsia"/>
          <w:bCs/>
          <w:sz w:val="24"/>
          <w:lang w:eastAsia="zh-CN"/>
        </w:rPr>
        <w:t>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3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中间精密度试验</w:t>
      </w:r>
      <w:r>
        <w:rPr>
          <w:b/>
          <w:sz w:val="24"/>
          <w:szCs w:val="24"/>
          <w:lang w:eastAsia="zh-CN"/>
        </w:rPr>
        <w:t>结果和结论</w:t>
      </w:r>
    </w:p>
    <w:tbl>
      <w:tblPr>
        <w:tblStyle w:val="1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880"/>
        <w:gridCol w:w="1807"/>
        <w:gridCol w:w="1480"/>
        <w:gridCol w:w="129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样品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称样量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（g）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eastAsia="zh-CN"/>
              </w:rPr>
              <w:t>吸光度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含量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含量均值</w:t>
            </w:r>
          </w:p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RSD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color w:val="auto"/>
                <w:sz w:val="21"/>
                <w:szCs w:val="21"/>
              </w:rPr>
              <w:t>-1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2.03258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0.249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0.637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color w:val="auto"/>
                <w:sz w:val="21"/>
                <w:szCs w:val="21"/>
              </w:rPr>
              <w:t>-2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2.02542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0.245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color w:val="auto"/>
                <w:sz w:val="21"/>
                <w:szCs w:val="21"/>
              </w:rPr>
              <w:t>-3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2.00329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0.640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color w:val="auto"/>
                <w:sz w:val="21"/>
                <w:szCs w:val="21"/>
              </w:rPr>
              <w:t>-4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2.04526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0.255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0.647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color w:val="auto"/>
                <w:sz w:val="21"/>
                <w:szCs w:val="21"/>
              </w:rPr>
              <w:t>-5</w:t>
            </w: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2.01542 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0.240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0.622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供试品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color w:val="auto"/>
                <w:sz w:val="21"/>
                <w:szCs w:val="21"/>
              </w:rPr>
              <w:t>-6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2.04172 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0.253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0.644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pStyle w:val="24"/>
        <w:spacing w:line="360" w:lineRule="auto"/>
        <w:ind w:left="567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12份样品含量RSD（%）</w:t>
      </w:r>
    </w:p>
    <w:tbl>
      <w:tblPr>
        <w:tblStyle w:val="16"/>
        <w:tblpPr w:leftFromText="180" w:rightFromText="180" w:vertAnchor="text" w:horzAnchor="page" w:tblpX="2310" w:tblpY="214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795"/>
        <w:gridCol w:w="175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  <w:b/>
                <w:color w:val="auto"/>
                <w:szCs w:val="21"/>
              </w:rPr>
            </w:pPr>
            <w:r>
              <w:rPr>
                <w:rFonts w:ascii="Arial" w:hAnsi="Arial"/>
                <w:b/>
                <w:color w:val="auto"/>
                <w:szCs w:val="21"/>
              </w:rPr>
              <w:t>配制液编号</w:t>
            </w:r>
          </w:p>
        </w:tc>
        <w:tc>
          <w:tcPr>
            <w:tcW w:w="1795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  <w:b/>
                <w:color w:val="auto"/>
                <w:szCs w:val="21"/>
              </w:rPr>
            </w:pPr>
            <w:r>
              <w:rPr>
                <w:rFonts w:hint="eastAsia" w:ascii="Arial" w:hAnsi="Arial"/>
                <w:b/>
                <w:color w:val="auto"/>
                <w:szCs w:val="21"/>
              </w:rPr>
              <w:t>百分含量</w:t>
            </w:r>
          </w:p>
        </w:tc>
        <w:tc>
          <w:tcPr>
            <w:tcW w:w="1755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b/>
                <w:color w:val="auto"/>
                <w:szCs w:val="21"/>
              </w:rPr>
            </w:pPr>
            <w:r>
              <w:rPr>
                <w:rFonts w:hint="eastAsia" w:ascii="Arial" w:hAnsi="Arial"/>
                <w:b/>
                <w:color w:val="auto"/>
                <w:szCs w:val="21"/>
              </w:rPr>
              <w:t>含量均值</w:t>
            </w:r>
          </w:p>
        </w:tc>
        <w:tc>
          <w:tcPr>
            <w:tcW w:w="1837" w:type="dxa"/>
            <w:shd w:val="pct10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b/>
                <w:color w:val="auto"/>
                <w:szCs w:val="21"/>
              </w:rPr>
            </w:pPr>
            <w:r>
              <w:rPr>
                <w:rFonts w:hint="eastAsia" w:ascii="Arial" w:hAnsi="Arial"/>
                <w:b/>
                <w:color w:val="auto"/>
                <w:szCs w:val="21"/>
              </w:rPr>
              <w:t>百分含量的RSD%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供试品1</w:t>
            </w:r>
            <w:r>
              <w:rPr>
                <w:rFonts w:ascii="Arial" w:hAnsi="Arial"/>
                <w:color w:val="auto"/>
              </w:rPr>
              <w:t>-1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0.630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 w:ascii="Arial" w:hAnsi="Arial"/>
                <w:color w:val="auto"/>
                <w:lang w:val="en-US" w:eastAsia="zh-CN"/>
              </w:rPr>
              <w:t>0.64</w:t>
            </w: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 w:ascii="Arial" w:hAnsi="Arial"/>
                <w:color w:val="auto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供试品1</w:t>
            </w:r>
            <w:r>
              <w:rPr>
                <w:rFonts w:ascii="Arial" w:hAnsi="Arial"/>
                <w:color w:val="auto"/>
              </w:rPr>
              <w:t>-2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0.630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供试品1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tabs>
                <w:tab w:val="left" w:pos="506"/>
              </w:tabs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0.643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供试品1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4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0.633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供试品1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5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0.657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供试品1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0.635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供试品2</w:t>
            </w:r>
            <w:r>
              <w:rPr>
                <w:rFonts w:ascii="Arial" w:hAnsi="Arial"/>
                <w:color w:val="auto"/>
              </w:rPr>
              <w:t>-1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0.637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供试品2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0.630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供试品2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0.640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供试品2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4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0.647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供试品2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5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0.622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供试品2</w:t>
            </w:r>
            <w:r>
              <w:rPr>
                <w:rFonts w:ascii="Arial" w:hAnsi="Arial"/>
                <w:color w:val="auto"/>
              </w:rPr>
              <w:t>-</w:t>
            </w:r>
            <w:r>
              <w:rPr>
                <w:rFonts w:hint="eastAsia" w:ascii="Arial" w:hAnsi="Arial"/>
                <w:color w:val="auto"/>
              </w:rPr>
              <w:t>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0.644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 xml:space="preserve"> 标准规定</w:t>
            </w:r>
          </w:p>
        </w:tc>
        <w:tc>
          <w:tcPr>
            <w:tcW w:w="3592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b w:val="0"/>
                <w:bCs/>
                <w:color w:val="auto"/>
                <w:szCs w:val="21"/>
              </w:rPr>
              <w:t>RSD</w:t>
            </w:r>
            <w:r>
              <w:rPr>
                <w:rFonts w:hint="eastAsia" w:ascii="Arial" w:hAnsi="Arial"/>
                <w:color w:val="auto"/>
                <w:szCs w:val="21"/>
              </w:rPr>
              <w:t>≤</w:t>
            </w:r>
            <w:r>
              <w:rPr>
                <w:rFonts w:hint="eastAsia" w:ascii="Arial" w:hAnsi="Arial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Arial" w:hAnsi="Arial"/>
                <w:color w:val="auto"/>
                <w:szCs w:val="21"/>
              </w:rPr>
              <w:t>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试验结论</w:t>
            </w:r>
          </w:p>
        </w:tc>
        <w:tc>
          <w:tcPr>
            <w:tcW w:w="3592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  <w:szCs w:val="21"/>
                <w:lang w:eastAsia="zh-CN"/>
              </w:rPr>
              <w:t>符合可接受标准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13.7</w:t>
      </w:r>
      <w:r>
        <w:rPr>
          <w:rFonts w:hint="eastAsia"/>
          <w:b/>
          <w:sz w:val="24"/>
          <w:szCs w:val="24"/>
          <w:lang w:eastAsia="zh-CN"/>
        </w:rPr>
        <w:t>不同批次灵芝粉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lang w:eastAsia="zh-CN"/>
        </w:rPr>
        <w:t>含量测定结果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照以上方法，测定</w:t>
      </w:r>
      <w:r>
        <w:rPr>
          <w:rFonts w:hint="eastAsia"/>
          <w:sz w:val="24"/>
          <w:szCs w:val="24"/>
          <w:lang w:val="en-US" w:eastAsia="zh-CN"/>
        </w:rPr>
        <w:t>13批灵芝粉（紫芝）的“三萜与甾醇”含量，</w:t>
      </w:r>
      <w:r>
        <w:rPr>
          <w:sz w:val="24"/>
          <w:szCs w:val="24"/>
          <w:lang w:eastAsia="zh-CN"/>
        </w:rPr>
        <w:t xml:space="preserve"> 结果</w:t>
      </w:r>
      <w:r>
        <w:rPr>
          <w:rFonts w:hint="eastAsia"/>
          <w:sz w:val="24"/>
          <w:szCs w:val="24"/>
          <w:lang w:eastAsia="zh-CN"/>
        </w:rPr>
        <w:t>如下表（表</w:t>
      </w:r>
      <w:r>
        <w:rPr>
          <w:rFonts w:hint="eastAsia"/>
          <w:sz w:val="24"/>
          <w:szCs w:val="24"/>
          <w:lang w:val="en-US" w:eastAsia="zh-CN"/>
        </w:rPr>
        <w:t>9）。</w:t>
      </w:r>
    </w:p>
    <w:p>
      <w:pPr>
        <w:spacing w:line="360" w:lineRule="auto"/>
        <w:jc w:val="center"/>
        <w:rPr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表</w:t>
      </w:r>
      <w:r>
        <w:rPr>
          <w:rFonts w:hint="eastAsia"/>
          <w:color w:val="auto"/>
          <w:sz w:val="24"/>
          <w:szCs w:val="24"/>
          <w:lang w:val="en-US" w:eastAsia="zh-CN"/>
        </w:rPr>
        <w:t>17灵芝粉（紫芝）三萜与甾醇含量测定结果</w:t>
      </w:r>
    </w:p>
    <w:tbl>
      <w:tblPr>
        <w:tblStyle w:val="23"/>
        <w:tblW w:w="9092" w:type="dxa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2"/>
        <w:gridCol w:w="481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批次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三萜与甾醇含量含量（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x200407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1.13%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x200408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1.12%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x200409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1.01%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x200410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0.95%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x200411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1.13%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x200413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1.15%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x200414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1.13%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x200415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1.14%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x200416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1.08%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x200417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1.15%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200601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0.84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200602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0.90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Calibri"/>
                <w:color w:val="auto"/>
                <w:lang w:val="en-US" w:eastAsia="zh-CN"/>
              </w:rPr>
              <w:t>200603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0.84</w:t>
            </w:r>
            <w:r>
              <w:rPr>
                <w:rFonts w:cs="Calibri"/>
                <w:color w:val="auto"/>
              </w:rPr>
              <w:t>%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28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cs="Calibri"/>
                <w:color w:val="auto"/>
              </w:rPr>
              <w:t>X</w:t>
            </w:r>
            <w:r>
              <w:rPr>
                <w:rFonts w:hint="eastAsia" w:cs="Calibri"/>
                <w:color w:val="auto"/>
              </w:rPr>
              <w:t>±</w:t>
            </w:r>
            <w:r>
              <w:rPr>
                <w:rFonts w:cs="Calibri"/>
                <w:color w:val="auto"/>
              </w:rPr>
              <w:t>sd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81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highlight w:val="none"/>
                <w:lang w:val="en-US" w:eastAsia="zh-CN"/>
              </w:rPr>
              <w:t>1.04</w:t>
            </w:r>
            <w:r>
              <w:rPr>
                <w:rFonts w:hint="eastAsia" w:cs="Calibri"/>
                <w:color w:val="auto"/>
                <w:highlight w:val="none"/>
              </w:rPr>
              <w:t>±</w:t>
            </w:r>
            <w:r>
              <w:rPr>
                <w:rFonts w:hint="eastAsia" w:cs="Calibri"/>
                <w:color w:val="auto"/>
                <w:highlight w:val="none"/>
                <w:lang w:val="en-US" w:eastAsia="zh-CN"/>
              </w:rPr>
              <w:t xml:space="preserve"> 0.13</w:t>
            </w:r>
          </w:p>
        </w:tc>
      </w:tr>
    </w:tbl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color w:val="auto"/>
          <w:sz w:val="24"/>
          <w:szCs w:val="24"/>
          <w:lang w:val="en-US" w:eastAsia="zh-CN"/>
        </w:rPr>
      </w:pP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2"/>
        <w:rPr>
          <w:rFonts w:hint="eastAsia"/>
          <w:b/>
          <w:color w:val="auto"/>
          <w:sz w:val="24"/>
          <w:szCs w:val="24"/>
          <w:lang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 xml:space="preserve"> 13.8</w:t>
      </w:r>
      <w:r>
        <w:rPr>
          <w:rFonts w:hint="eastAsia"/>
          <w:b/>
          <w:color w:val="auto"/>
          <w:sz w:val="24"/>
          <w:szCs w:val="24"/>
          <w:lang w:eastAsia="zh-CN"/>
        </w:rPr>
        <w:t>结果分析及限度确认</w:t>
      </w:r>
    </w:p>
    <w:p>
      <w:pPr>
        <w:pStyle w:val="24"/>
        <w:numPr>
          <w:ilvl w:val="0"/>
          <w:numId w:val="0"/>
        </w:numPr>
        <w:spacing w:line="360" w:lineRule="auto"/>
        <w:ind w:leftChars="0" w:firstLine="480" w:firstLineChars="200"/>
        <w:outlineLvl w:val="2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/>
          <w:color w:val="auto"/>
          <w:sz w:val="24"/>
          <w:szCs w:val="24"/>
          <w:highlight w:val="none"/>
          <w:lang w:eastAsia="zh-CN"/>
        </w:rPr>
        <w:t>从上表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结果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可以看出，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参考中国药典2015年版一部“灵芝” 含量测定项下的“三萜与甾醇”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检验方法制定的灵芝粉的含量测定方法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已通过方法学确认，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13批样品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的检验结果范围为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 0.84-  1.15%，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均值为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%，采用平均值乘以80%，得到多糖的限度为: 0.80%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 xml:space="preserve"> 参考《中国药典》2015年版“灵芝”项下的含量，并结合13批样品的检验结果，最终拟将灵芝粉（紫芝）含量测定的限度定为：按干燥品计，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含三萜及甾醇以齐墩果酸（C</w:t>
      </w:r>
      <w:r>
        <w:rPr>
          <w:rFonts w:hint="eastAsia" w:ascii="宋体" w:hAnsi="宋体" w:eastAsia="宋体" w:cs="宋体"/>
          <w:kern w:val="0"/>
          <w:sz w:val="24"/>
          <w:szCs w:val="24"/>
          <w:vertAlign w:val="subscript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H</w:t>
      </w:r>
      <w:r>
        <w:rPr>
          <w:rFonts w:hint="eastAsia" w:ascii="宋体" w:hAnsi="宋体" w:eastAsia="宋体" w:cs="宋体"/>
          <w:kern w:val="0"/>
          <w:sz w:val="24"/>
          <w:szCs w:val="24"/>
          <w:vertAlign w:val="subscript"/>
          <w:lang w:val="en-US" w:eastAsia="zh-CN" w:bidi="ar"/>
        </w:rPr>
        <w:t>48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O</w:t>
      </w:r>
      <w:r>
        <w:rPr>
          <w:rFonts w:hint="eastAsia" w:ascii="宋体" w:hAnsi="宋体" w:eastAsia="宋体" w:cs="宋体"/>
          <w:kern w:val="0"/>
          <w:sz w:val="24"/>
          <w:szCs w:val="24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）计，不得少于0.50%。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0"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14【性味与归经】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参考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《中国药典》2015年版一部“灵芝”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，制定为：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甘，平。归心、肺、肝、肾经。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0"/>
        <w:jc w:val="both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15【功能与主治】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参考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《中国药典》2015年版一部“灵芝”，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制定为：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补气安神，止咳平喘。用于心神不宁，失眠心悸，肺虚咳喘，虚劳短气，不思饮食。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0"/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16【用法与用量】</w:t>
      </w:r>
      <w:r>
        <w:rPr>
          <w:rFonts w:eastAsia="宋体"/>
          <w:sz w:val="24"/>
          <w:szCs w:val="24"/>
        </w:rPr>
        <w:t>6</w:t>
      </w:r>
      <w:r>
        <w:rPr>
          <w:rFonts w:hint="eastAsia" w:ascii="方正书宋_GBK" w:hAnsi="方正书宋_GBK" w:eastAsia="方正书宋_GBK" w:cs="方正书宋_GBK"/>
          <w:sz w:val="24"/>
          <w:szCs w:val="24"/>
        </w:rPr>
        <w:t>~</w:t>
      </w:r>
      <w:r>
        <w:rPr>
          <w:rFonts w:eastAsia="宋体" w:cs="Times New Roman"/>
          <w:sz w:val="24"/>
          <w:szCs w:val="24"/>
        </w:rPr>
        <w:t>12</w:t>
      </w:r>
      <w:r>
        <w:rPr>
          <w:rFonts w:eastAsia="宋体"/>
          <w:sz w:val="24"/>
          <w:szCs w:val="24"/>
        </w:rPr>
        <w:t>g。</w:t>
      </w:r>
      <w:r>
        <w:rPr>
          <w:rFonts w:hint="eastAsia" w:eastAsia="宋体"/>
          <w:sz w:val="24"/>
          <w:szCs w:val="24"/>
          <w:lang w:eastAsia="zh-CN"/>
        </w:rPr>
        <w:t>口服</w:t>
      </w:r>
      <w:r>
        <w:rPr>
          <w:rFonts w:hint="eastAsia" w:eastAsia="宋体"/>
          <w:sz w:val="24"/>
          <w:szCs w:val="24"/>
          <w:lang w:val="en-US" w:eastAsia="zh-CN"/>
        </w:rPr>
        <w:t xml:space="preserve">1~3g。参考《蕈菌医方集成》 </w:t>
      </w:r>
      <w:r>
        <w:rPr>
          <w:rFonts w:hint="eastAsia" w:eastAsia="宋体"/>
          <w:sz w:val="24"/>
          <w:szCs w:val="24"/>
          <w:vertAlign w:val="superscript"/>
          <w:lang w:val="en-US" w:eastAsia="zh-CN"/>
        </w:rPr>
        <w:t>[2]</w:t>
      </w:r>
      <w:r>
        <w:rPr>
          <w:rFonts w:hint="eastAsia" w:eastAsia="宋体"/>
          <w:sz w:val="24"/>
          <w:szCs w:val="24"/>
          <w:lang w:val="en-US" w:eastAsia="zh-CN"/>
        </w:rPr>
        <w:t>（陈士瑜、陈海英编著）中收集的验方、单方、偏方制定。如来自《1950~1985年全国医药期刊验方精选》的“灵芝糖浆”，计算出灵芝粉的每次服用量为1g，日服量为3g；《补品补药与补益良方》收载“灵芝、丹参各30g，三七15g。共研细末，每服3g，日服两次......”计算灵芝一次的服用量是1.4g，日服量为2.8g。《秘传奇方》记载“玄胡索、当归、乳香、没药、灵芝、良姜各15g。共为细末，每服9g，酒送下。治胃气痛”，计算，每次服用量为1.5g。综合多种经方验方，拟制定灵芝粉（紫芝）的用法用量为：</w:t>
      </w:r>
      <w:r>
        <w:rPr>
          <w:rFonts w:eastAsia="宋体"/>
          <w:sz w:val="24"/>
          <w:szCs w:val="24"/>
        </w:rPr>
        <w:t xml:space="preserve"> 6</w:t>
      </w:r>
      <w:r>
        <w:rPr>
          <w:rFonts w:hint="eastAsia" w:ascii="方正书宋_GBK" w:hAnsi="方正书宋_GBK" w:eastAsia="方正书宋_GBK" w:cs="方正书宋_GBK"/>
          <w:sz w:val="24"/>
          <w:szCs w:val="24"/>
        </w:rPr>
        <w:t>~</w:t>
      </w:r>
      <w:r>
        <w:rPr>
          <w:rFonts w:eastAsia="宋体" w:cs="Times New Roman"/>
          <w:sz w:val="24"/>
          <w:szCs w:val="24"/>
        </w:rPr>
        <w:t>12</w:t>
      </w:r>
      <w:r>
        <w:rPr>
          <w:rFonts w:eastAsia="宋体"/>
          <w:sz w:val="24"/>
          <w:szCs w:val="24"/>
        </w:rPr>
        <w:t>g。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口服</w:t>
      </w:r>
      <w:r>
        <w:rPr>
          <w:rFonts w:hint="eastAsia" w:eastAsia="宋体"/>
          <w:sz w:val="24"/>
          <w:szCs w:val="24"/>
          <w:lang w:val="en-US" w:eastAsia="zh-CN"/>
        </w:rPr>
        <w:t>1~3g。</w:t>
      </w:r>
    </w:p>
    <w:p>
      <w:pPr>
        <w:pStyle w:val="24"/>
        <w:numPr>
          <w:ilvl w:val="0"/>
          <w:numId w:val="0"/>
        </w:numPr>
        <w:spacing w:line="360" w:lineRule="auto"/>
        <w:outlineLvl w:val="0"/>
        <w:rPr>
          <w:rFonts w:eastAsia="宋体"/>
          <w:sz w:val="24"/>
          <w:szCs w:val="24"/>
        </w:rPr>
      </w:pPr>
      <w:r>
        <w:rPr>
          <w:rFonts w:hint="eastAsia" w:ascii="Calibri" w:hAnsi="Calibri" w:eastAsia="宋体" w:cs="Times New Roman"/>
          <w:b/>
          <w:kern w:val="2"/>
          <w:sz w:val="24"/>
          <w:szCs w:val="24"/>
          <w:lang w:val="en-US" w:eastAsia="zh-CN"/>
        </w:rPr>
        <w:t>17</w:t>
      </w:r>
      <w:r>
        <w:rPr>
          <w:rFonts w:hint="eastAsia" w:ascii="Calibri" w:hAnsi="Calibri" w:eastAsia="宋体" w:cs="Times New Roman"/>
          <w:b/>
          <w:kern w:val="2"/>
          <w:sz w:val="24"/>
          <w:szCs w:val="24"/>
          <w:lang w:eastAsia="zh-CN"/>
        </w:rPr>
        <w:t xml:space="preserve">【贮藏】  </w:t>
      </w:r>
      <w:bookmarkStart w:id="13" w:name="_Toc472588005"/>
      <w:r>
        <w:rPr>
          <w:rFonts w:eastAsia="宋体"/>
          <w:sz w:val="24"/>
          <w:szCs w:val="24"/>
        </w:rPr>
        <w:t>密封。</w:t>
      </w:r>
    </w:p>
    <w:p>
      <w:pPr>
        <w:pStyle w:val="24"/>
        <w:numPr>
          <w:ilvl w:val="0"/>
          <w:numId w:val="0"/>
        </w:numPr>
        <w:spacing w:line="360" w:lineRule="auto"/>
        <w:ind w:leftChars="0"/>
        <w:outlineLvl w:val="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参考文献</w:t>
      </w:r>
      <w:bookmarkEnd w:id="13"/>
    </w:p>
    <w:p>
      <w:pPr>
        <w:pStyle w:val="24"/>
        <w:numPr>
          <w:ilvl w:val="0"/>
          <w:numId w:val="6"/>
        </w:numPr>
        <w:spacing w:line="360" w:lineRule="auto"/>
        <w:ind w:left="425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中华人民共和国药典.中药材及原植物彩色图鉴[M]</w:t>
      </w:r>
      <w:r>
        <w:rPr>
          <w:rFonts w:hint="eastAsia"/>
          <w:color w:val="auto"/>
          <w:sz w:val="24"/>
          <w:szCs w:val="24"/>
          <w:lang w:eastAsia="zh-CN"/>
        </w:rPr>
        <w:t>国家药典委员会编.—北京：中国医药科技出版社，2015.6</w:t>
      </w:r>
      <w:r>
        <w:rPr>
          <w:rFonts w:hint="eastAsia"/>
          <w:color w:val="auto"/>
          <w:sz w:val="24"/>
          <w:szCs w:val="24"/>
          <w:lang w:val="en-US" w:eastAsia="zh-CN"/>
        </w:rPr>
        <w:t>:583-586</w:t>
      </w:r>
    </w:p>
    <w:p>
      <w:pPr>
        <w:pStyle w:val="24"/>
        <w:numPr>
          <w:ilvl w:val="0"/>
          <w:numId w:val="6"/>
        </w:numPr>
        <w:spacing w:line="360" w:lineRule="auto"/>
        <w:ind w:left="425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陈士瑜，陈海英.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蕈菌医方集成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 .上海科学技术文献出版社.2000.1：372-377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sz w:val="24"/>
          <w:szCs w:val="24"/>
          <w:lang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/>
          <w:b w:val="0"/>
          <w:bCs/>
          <w:color w:val="000000"/>
          <w:sz w:val="24"/>
          <w:szCs w:val="24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7" w:h="16840"/>
      <w:pgMar w:top="1418" w:right="1134" w:bottom="1418" w:left="1134" w:header="851" w:footer="992" w:gutter="567"/>
      <w:pgNumType w:fmt="decimal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lang w:eastAsia="zh-CN"/>
      </w:rPr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color w:val="000000"/>
        <w:sz w:val="28"/>
        <w:szCs w:val="28"/>
        <w:lang w:eastAsia="zh-CN"/>
      </w:rPr>
      <w:t>海南省药品监督管理局中药饮片炮制规范草案征求意见稿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color w:val="000000"/>
        <w:sz w:val="28"/>
        <w:szCs w:val="28"/>
        <w:lang w:eastAsia="zh-CN"/>
      </w:rPr>
      <w:t>海南省药品监督管理局中药饮片炮制规范草案征求意见稿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F93A5"/>
    <w:multiLevelType w:val="singleLevel"/>
    <w:tmpl w:val="C89F93A5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00794C60"/>
    <w:multiLevelType w:val="multilevel"/>
    <w:tmpl w:val="00794C6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BC01BB4"/>
    <w:multiLevelType w:val="singleLevel"/>
    <w:tmpl w:val="5BC01BB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BF3CB0D"/>
    <w:multiLevelType w:val="singleLevel"/>
    <w:tmpl w:val="5BF3CB0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BF3CBCB"/>
    <w:multiLevelType w:val="singleLevel"/>
    <w:tmpl w:val="5BF3CB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6"/>
    <w:rsid w:val="00000467"/>
    <w:rsid w:val="00002514"/>
    <w:rsid w:val="00006744"/>
    <w:rsid w:val="000075DA"/>
    <w:rsid w:val="000144DA"/>
    <w:rsid w:val="000151D4"/>
    <w:rsid w:val="00033BAA"/>
    <w:rsid w:val="00037AAF"/>
    <w:rsid w:val="00047B2A"/>
    <w:rsid w:val="00051AE6"/>
    <w:rsid w:val="00053C81"/>
    <w:rsid w:val="00054555"/>
    <w:rsid w:val="00054794"/>
    <w:rsid w:val="0005479C"/>
    <w:rsid w:val="00065997"/>
    <w:rsid w:val="00066ECB"/>
    <w:rsid w:val="0007135A"/>
    <w:rsid w:val="000716D1"/>
    <w:rsid w:val="0007316E"/>
    <w:rsid w:val="00074775"/>
    <w:rsid w:val="00084E84"/>
    <w:rsid w:val="00091677"/>
    <w:rsid w:val="00097033"/>
    <w:rsid w:val="000A32A5"/>
    <w:rsid w:val="000A42D0"/>
    <w:rsid w:val="000A4882"/>
    <w:rsid w:val="000B22BD"/>
    <w:rsid w:val="000B29A9"/>
    <w:rsid w:val="000B2B0A"/>
    <w:rsid w:val="000B3BA4"/>
    <w:rsid w:val="000C0570"/>
    <w:rsid w:val="000C30A1"/>
    <w:rsid w:val="000C31D1"/>
    <w:rsid w:val="000C65CD"/>
    <w:rsid w:val="000E0053"/>
    <w:rsid w:val="000E34E1"/>
    <w:rsid w:val="000F47AF"/>
    <w:rsid w:val="000F5907"/>
    <w:rsid w:val="00101489"/>
    <w:rsid w:val="00102154"/>
    <w:rsid w:val="00102ECD"/>
    <w:rsid w:val="00121678"/>
    <w:rsid w:val="0012513D"/>
    <w:rsid w:val="0012659B"/>
    <w:rsid w:val="00130D53"/>
    <w:rsid w:val="00134CA7"/>
    <w:rsid w:val="00137A52"/>
    <w:rsid w:val="001456F4"/>
    <w:rsid w:val="00147F55"/>
    <w:rsid w:val="001501C2"/>
    <w:rsid w:val="00156202"/>
    <w:rsid w:val="00160858"/>
    <w:rsid w:val="00163D40"/>
    <w:rsid w:val="00173892"/>
    <w:rsid w:val="00173DFF"/>
    <w:rsid w:val="00182077"/>
    <w:rsid w:val="001833A9"/>
    <w:rsid w:val="001839AC"/>
    <w:rsid w:val="00185562"/>
    <w:rsid w:val="00185860"/>
    <w:rsid w:val="001A5ACB"/>
    <w:rsid w:val="001A6E37"/>
    <w:rsid w:val="001A7EBA"/>
    <w:rsid w:val="001B161E"/>
    <w:rsid w:val="001B1C83"/>
    <w:rsid w:val="001B39AF"/>
    <w:rsid w:val="001B5487"/>
    <w:rsid w:val="001C0E28"/>
    <w:rsid w:val="001D017E"/>
    <w:rsid w:val="001D1AFE"/>
    <w:rsid w:val="001D20F7"/>
    <w:rsid w:val="001D68CF"/>
    <w:rsid w:val="001D6D24"/>
    <w:rsid w:val="001E49AB"/>
    <w:rsid w:val="001E5E67"/>
    <w:rsid w:val="001E7FE6"/>
    <w:rsid w:val="001F2562"/>
    <w:rsid w:val="001F3194"/>
    <w:rsid w:val="001F5152"/>
    <w:rsid w:val="001F5B00"/>
    <w:rsid w:val="002038F0"/>
    <w:rsid w:val="00203A39"/>
    <w:rsid w:val="002070D9"/>
    <w:rsid w:val="00213B6B"/>
    <w:rsid w:val="00215C64"/>
    <w:rsid w:val="00220A49"/>
    <w:rsid w:val="00220B97"/>
    <w:rsid w:val="00224401"/>
    <w:rsid w:val="00230654"/>
    <w:rsid w:val="00235EFA"/>
    <w:rsid w:val="00237362"/>
    <w:rsid w:val="0023749E"/>
    <w:rsid w:val="00247768"/>
    <w:rsid w:val="00254588"/>
    <w:rsid w:val="00261883"/>
    <w:rsid w:val="00264047"/>
    <w:rsid w:val="00265FDE"/>
    <w:rsid w:val="002720A5"/>
    <w:rsid w:val="00276D04"/>
    <w:rsid w:val="00281DC4"/>
    <w:rsid w:val="002908E0"/>
    <w:rsid w:val="002977F1"/>
    <w:rsid w:val="002A3CA6"/>
    <w:rsid w:val="002B28A1"/>
    <w:rsid w:val="002B2BA4"/>
    <w:rsid w:val="002B3B4C"/>
    <w:rsid w:val="002C624C"/>
    <w:rsid w:val="002C62C1"/>
    <w:rsid w:val="002C6325"/>
    <w:rsid w:val="002D4D54"/>
    <w:rsid w:val="002E24C2"/>
    <w:rsid w:val="002E519B"/>
    <w:rsid w:val="002F0123"/>
    <w:rsid w:val="002F39A9"/>
    <w:rsid w:val="002F4C51"/>
    <w:rsid w:val="00303FF0"/>
    <w:rsid w:val="003118DC"/>
    <w:rsid w:val="00313A04"/>
    <w:rsid w:val="003158D7"/>
    <w:rsid w:val="00315D92"/>
    <w:rsid w:val="00322365"/>
    <w:rsid w:val="0032312D"/>
    <w:rsid w:val="0032538B"/>
    <w:rsid w:val="003303AA"/>
    <w:rsid w:val="0035000A"/>
    <w:rsid w:val="00353D34"/>
    <w:rsid w:val="003568F2"/>
    <w:rsid w:val="00361A70"/>
    <w:rsid w:val="003644AB"/>
    <w:rsid w:val="00376456"/>
    <w:rsid w:val="00376765"/>
    <w:rsid w:val="0037769E"/>
    <w:rsid w:val="003842AE"/>
    <w:rsid w:val="0038550C"/>
    <w:rsid w:val="00387437"/>
    <w:rsid w:val="00391DC6"/>
    <w:rsid w:val="003935F0"/>
    <w:rsid w:val="003A30DF"/>
    <w:rsid w:val="003A3CC7"/>
    <w:rsid w:val="003A7F5F"/>
    <w:rsid w:val="003B0265"/>
    <w:rsid w:val="003B060A"/>
    <w:rsid w:val="003B7EF0"/>
    <w:rsid w:val="003C7102"/>
    <w:rsid w:val="003D7698"/>
    <w:rsid w:val="003D79BD"/>
    <w:rsid w:val="003D7D95"/>
    <w:rsid w:val="003E52EE"/>
    <w:rsid w:val="003E76B0"/>
    <w:rsid w:val="003F1E10"/>
    <w:rsid w:val="003F2D1E"/>
    <w:rsid w:val="00402296"/>
    <w:rsid w:val="004102F1"/>
    <w:rsid w:val="004160B8"/>
    <w:rsid w:val="004173ED"/>
    <w:rsid w:val="004318D2"/>
    <w:rsid w:val="00432E91"/>
    <w:rsid w:val="00435412"/>
    <w:rsid w:val="00444B8E"/>
    <w:rsid w:val="00447FB5"/>
    <w:rsid w:val="00451246"/>
    <w:rsid w:val="00452566"/>
    <w:rsid w:val="00457146"/>
    <w:rsid w:val="00464552"/>
    <w:rsid w:val="00464770"/>
    <w:rsid w:val="004802D9"/>
    <w:rsid w:val="0048379E"/>
    <w:rsid w:val="0048602B"/>
    <w:rsid w:val="00487B8D"/>
    <w:rsid w:val="004909E5"/>
    <w:rsid w:val="004A07CF"/>
    <w:rsid w:val="004A07FB"/>
    <w:rsid w:val="004A434A"/>
    <w:rsid w:val="004A7114"/>
    <w:rsid w:val="004B15AD"/>
    <w:rsid w:val="004B3E5A"/>
    <w:rsid w:val="004B3FE0"/>
    <w:rsid w:val="004B4329"/>
    <w:rsid w:val="004B4FBA"/>
    <w:rsid w:val="004B7959"/>
    <w:rsid w:val="004C3F5E"/>
    <w:rsid w:val="004C4364"/>
    <w:rsid w:val="004D0370"/>
    <w:rsid w:val="004D1089"/>
    <w:rsid w:val="004D12E9"/>
    <w:rsid w:val="004D688D"/>
    <w:rsid w:val="004E3EC5"/>
    <w:rsid w:val="004F2C00"/>
    <w:rsid w:val="004F3B60"/>
    <w:rsid w:val="004F6938"/>
    <w:rsid w:val="004F7153"/>
    <w:rsid w:val="004F7351"/>
    <w:rsid w:val="00507A65"/>
    <w:rsid w:val="00511B64"/>
    <w:rsid w:val="00520528"/>
    <w:rsid w:val="0052233F"/>
    <w:rsid w:val="00524596"/>
    <w:rsid w:val="005272FC"/>
    <w:rsid w:val="005318B2"/>
    <w:rsid w:val="00533A2A"/>
    <w:rsid w:val="005364FF"/>
    <w:rsid w:val="00537DE9"/>
    <w:rsid w:val="00541DF7"/>
    <w:rsid w:val="0054316F"/>
    <w:rsid w:val="005445F6"/>
    <w:rsid w:val="00545CCA"/>
    <w:rsid w:val="00553559"/>
    <w:rsid w:val="005565CA"/>
    <w:rsid w:val="005702B2"/>
    <w:rsid w:val="00574B65"/>
    <w:rsid w:val="005754B8"/>
    <w:rsid w:val="00581C66"/>
    <w:rsid w:val="00586C9B"/>
    <w:rsid w:val="00590DC3"/>
    <w:rsid w:val="005A18FF"/>
    <w:rsid w:val="005A1A83"/>
    <w:rsid w:val="005A23A0"/>
    <w:rsid w:val="005A74F1"/>
    <w:rsid w:val="005B4825"/>
    <w:rsid w:val="005B77A3"/>
    <w:rsid w:val="005C4F6E"/>
    <w:rsid w:val="005D0948"/>
    <w:rsid w:val="005E43B7"/>
    <w:rsid w:val="005E5E94"/>
    <w:rsid w:val="005E6B5B"/>
    <w:rsid w:val="005E7373"/>
    <w:rsid w:val="00601503"/>
    <w:rsid w:val="00602F6A"/>
    <w:rsid w:val="00604DC9"/>
    <w:rsid w:val="00612FDB"/>
    <w:rsid w:val="006138B8"/>
    <w:rsid w:val="006202BE"/>
    <w:rsid w:val="00620F91"/>
    <w:rsid w:val="006210FD"/>
    <w:rsid w:val="00625A6E"/>
    <w:rsid w:val="00625BB0"/>
    <w:rsid w:val="0064027F"/>
    <w:rsid w:val="006508A0"/>
    <w:rsid w:val="00651906"/>
    <w:rsid w:val="00651FDC"/>
    <w:rsid w:val="00653DDB"/>
    <w:rsid w:val="00654F9E"/>
    <w:rsid w:val="00663246"/>
    <w:rsid w:val="00663885"/>
    <w:rsid w:val="00677C34"/>
    <w:rsid w:val="006811D4"/>
    <w:rsid w:val="00684047"/>
    <w:rsid w:val="00687B88"/>
    <w:rsid w:val="006953F4"/>
    <w:rsid w:val="00696D49"/>
    <w:rsid w:val="006A06CE"/>
    <w:rsid w:val="006A3757"/>
    <w:rsid w:val="006A47D1"/>
    <w:rsid w:val="006A63AD"/>
    <w:rsid w:val="006A66DC"/>
    <w:rsid w:val="006B2200"/>
    <w:rsid w:val="006B2B83"/>
    <w:rsid w:val="006B52E4"/>
    <w:rsid w:val="006C06B5"/>
    <w:rsid w:val="006C5A8C"/>
    <w:rsid w:val="006C6FD5"/>
    <w:rsid w:val="006C78C1"/>
    <w:rsid w:val="006D19BE"/>
    <w:rsid w:val="006D28E5"/>
    <w:rsid w:val="006D665E"/>
    <w:rsid w:val="006F7DB4"/>
    <w:rsid w:val="007069EA"/>
    <w:rsid w:val="0071178E"/>
    <w:rsid w:val="0072105D"/>
    <w:rsid w:val="00723292"/>
    <w:rsid w:val="0072354B"/>
    <w:rsid w:val="00733756"/>
    <w:rsid w:val="00747AF3"/>
    <w:rsid w:val="007539BF"/>
    <w:rsid w:val="0075601A"/>
    <w:rsid w:val="007755D0"/>
    <w:rsid w:val="007768B2"/>
    <w:rsid w:val="00785275"/>
    <w:rsid w:val="0079616F"/>
    <w:rsid w:val="00797AC9"/>
    <w:rsid w:val="007A1937"/>
    <w:rsid w:val="007A1D76"/>
    <w:rsid w:val="007A6903"/>
    <w:rsid w:val="007B1F24"/>
    <w:rsid w:val="007B27BC"/>
    <w:rsid w:val="007B2D59"/>
    <w:rsid w:val="007B3D3C"/>
    <w:rsid w:val="007B6B71"/>
    <w:rsid w:val="007C0BF0"/>
    <w:rsid w:val="007C4C49"/>
    <w:rsid w:val="007D1DE3"/>
    <w:rsid w:val="007D6987"/>
    <w:rsid w:val="007E51BD"/>
    <w:rsid w:val="007F3E41"/>
    <w:rsid w:val="007F7C03"/>
    <w:rsid w:val="008016E7"/>
    <w:rsid w:val="0080380D"/>
    <w:rsid w:val="0080629E"/>
    <w:rsid w:val="00806311"/>
    <w:rsid w:val="00821301"/>
    <w:rsid w:val="00824341"/>
    <w:rsid w:val="00825524"/>
    <w:rsid w:val="00830927"/>
    <w:rsid w:val="008353DE"/>
    <w:rsid w:val="00835785"/>
    <w:rsid w:val="00842153"/>
    <w:rsid w:val="0084490D"/>
    <w:rsid w:val="0085119C"/>
    <w:rsid w:val="008557DC"/>
    <w:rsid w:val="00863B4A"/>
    <w:rsid w:val="00872641"/>
    <w:rsid w:val="00873C07"/>
    <w:rsid w:val="00877237"/>
    <w:rsid w:val="00881FED"/>
    <w:rsid w:val="008826CD"/>
    <w:rsid w:val="008870C0"/>
    <w:rsid w:val="00891B8E"/>
    <w:rsid w:val="008922C0"/>
    <w:rsid w:val="008942BA"/>
    <w:rsid w:val="00894D5D"/>
    <w:rsid w:val="00897D9E"/>
    <w:rsid w:val="008A06DB"/>
    <w:rsid w:val="008B10EC"/>
    <w:rsid w:val="008B2226"/>
    <w:rsid w:val="008B4218"/>
    <w:rsid w:val="008B4CB1"/>
    <w:rsid w:val="008C0959"/>
    <w:rsid w:val="008C3979"/>
    <w:rsid w:val="008C65FB"/>
    <w:rsid w:val="008D1BDF"/>
    <w:rsid w:val="008D1E40"/>
    <w:rsid w:val="008E59EA"/>
    <w:rsid w:val="008E6927"/>
    <w:rsid w:val="009024D0"/>
    <w:rsid w:val="00904B30"/>
    <w:rsid w:val="009054E1"/>
    <w:rsid w:val="00906B24"/>
    <w:rsid w:val="00911F9E"/>
    <w:rsid w:val="009163C2"/>
    <w:rsid w:val="009167FE"/>
    <w:rsid w:val="00923F2C"/>
    <w:rsid w:val="0093106F"/>
    <w:rsid w:val="00933756"/>
    <w:rsid w:val="00935ED2"/>
    <w:rsid w:val="009449A3"/>
    <w:rsid w:val="009507E8"/>
    <w:rsid w:val="009516B2"/>
    <w:rsid w:val="00957A9A"/>
    <w:rsid w:val="00960475"/>
    <w:rsid w:val="00962029"/>
    <w:rsid w:val="00962AE2"/>
    <w:rsid w:val="009743A3"/>
    <w:rsid w:val="00975AAC"/>
    <w:rsid w:val="00981F0B"/>
    <w:rsid w:val="00987B7D"/>
    <w:rsid w:val="00992666"/>
    <w:rsid w:val="009A316C"/>
    <w:rsid w:val="009A5756"/>
    <w:rsid w:val="009A62E4"/>
    <w:rsid w:val="009A6545"/>
    <w:rsid w:val="009C0B80"/>
    <w:rsid w:val="009C34B5"/>
    <w:rsid w:val="009C4E4C"/>
    <w:rsid w:val="009C530C"/>
    <w:rsid w:val="009C7EAE"/>
    <w:rsid w:val="009E102A"/>
    <w:rsid w:val="009F18A1"/>
    <w:rsid w:val="009F5950"/>
    <w:rsid w:val="00A02760"/>
    <w:rsid w:val="00A057B2"/>
    <w:rsid w:val="00A142A1"/>
    <w:rsid w:val="00A21D62"/>
    <w:rsid w:val="00A2294B"/>
    <w:rsid w:val="00A30C2E"/>
    <w:rsid w:val="00A319F9"/>
    <w:rsid w:val="00A4013D"/>
    <w:rsid w:val="00A44B45"/>
    <w:rsid w:val="00A503F5"/>
    <w:rsid w:val="00A611AD"/>
    <w:rsid w:val="00A618CF"/>
    <w:rsid w:val="00A63014"/>
    <w:rsid w:val="00A67EFF"/>
    <w:rsid w:val="00A70225"/>
    <w:rsid w:val="00A71B59"/>
    <w:rsid w:val="00A755B0"/>
    <w:rsid w:val="00A758C0"/>
    <w:rsid w:val="00A7631B"/>
    <w:rsid w:val="00A76522"/>
    <w:rsid w:val="00A76557"/>
    <w:rsid w:val="00A76A49"/>
    <w:rsid w:val="00A8314C"/>
    <w:rsid w:val="00A85D1E"/>
    <w:rsid w:val="00AA08F0"/>
    <w:rsid w:val="00AA5553"/>
    <w:rsid w:val="00AB7AF5"/>
    <w:rsid w:val="00AD2491"/>
    <w:rsid w:val="00AD486C"/>
    <w:rsid w:val="00AE6934"/>
    <w:rsid w:val="00AE768B"/>
    <w:rsid w:val="00AF04FC"/>
    <w:rsid w:val="00B03D02"/>
    <w:rsid w:val="00B03F71"/>
    <w:rsid w:val="00B07361"/>
    <w:rsid w:val="00B206CF"/>
    <w:rsid w:val="00B20EE3"/>
    <w:rsid w:val="00B2161F"/>
    <w:rsid w:val="00B23671"/>
    <w:rsid w:val="00B31DAF"/>
    <w:rsid w:val="00B31DDC"/>
    <w:rsid w:val="00B32CA7"/>
    <w:rsid w:val="00B335ED"/>
    <w:rsid w:val="00B33A5A"/>
    <w:rsid w:val="00B33BD3"/>
    <w:rsid w:val="00B41C3A"/>
    <w:rsid w:val="00B46DBC"/>
    <w:rsid w:val="00B6552A"/>
    <w:rsid w:val="00B72581"/>
    <w:rsid w:val="00B74915"/>
    <w:rsid w:val="00B76812"/>
    <w:rsid w:val="00B76AC1"/>
    <w:rsid w:val="00B81D3C"/>
    <w:rsid w:val="00B84A03"/>
    <w:rsid w:val="00B8667D"/>
    <w:rsid w:val="00B911D6"/>
    <w:rsid w:val="00B913C8"/>
    <w:rsid w:val="00BA4D4F"/>
    <w:rsid w:val="00BB0E33"/>
    <w:rsid w:val="00BB412D"/>
    <w:rsid w:val="00BC064B"/>
    <w:rsid w:val="00BD5811"/>
    <w:rsid w:val="00BD5C1A"/>
    <w:rsid w:val="00BD6324"/>
    <w:rsid w:val="00BE2171"/>
    <w:rsid w:val="00BF3F89"/>
    <w:rsid w:val="00BF4726"/>
    <w:rsid w:val="00BF4C4E"/>
    <w:rsid w:val="00C10454"/>
    <w:rsid w:val="00C10C37"/>
    <w:rsid w:val="00C20C34"/>
    <w:rsid w:val="00C23C19"/>
    <w:rsid w:val="00C25AC8"/>
    <w:rsid w:val="00C25E54"/>
    <w:rsid w:val="00C46281"/>
    <w:rsid w:val="00C46773"/>
    <w:rsid w:val="00C5066E"/>
    <w:rsid w:val="00C570B1"/>
    <w:rsid w:val="00C5773A"/>
    <w:rsid w:val="00C57A99"/>
    <w:rsid w:val="00C67EAA"/>
    <w:rsid w:val="00C714C9"/>
    <w:rsid w:val="00C80C80"/>
    <w:rsid w:val="00C819BE"/>
    <w:rsid w:val="00C825B9"/>
    <w:rsid w:val="00C8506A"/>
    <w:rsid w:val="00C93009"/>
    <w:rsid w:val="00C947EA"/>
    <w:rsid w:val="00C96F78"/>
    <w:rsid w:val="00CA1D72"/>
    <w:rsid w:val="00CA3701"/>
    <w:rsid w:val="00CA7F69"/>
    <w:rsid w:val="00CB117D"/>
    <w:rsid w:val="00CC11AD"/>
    <w:rsid w:val="00CC4CD1"/>
    <w:rsid w:val="00CE21CA"/>
    <w:rsid w:val="00CE3DEB"/>
    <w:rsid w:val="00CE4EB7"/>
    <w:rsid w:val="00CF2B80"/>
    <w:rsid w:val="00CF6DF3"/>
    <w:rsid w:val="00CF78BE"/>
    <w:rsid w:val="00D0397D"/>
    <w:rsid w:val="00D04C61"/>
    <w:rsid w:val="00D0639F"/>
    <w:rsid w:val="00D0789C"/>
    <w:rsid w:val="00D14D91"/>
    <w:rsid w:val="00D15B7A"/>
    <w:rsid w:val="00D21F03"/>
    <w:rsid w:val="00D35E4C"/>
    <w:rsid w:val="00D47E1C"/>
    <w:rsid w:val="00D547BB"/>
    <w:rsid w:val="00D55B23"/>
    <w:rsid w:val="00D55DE1"/>
    <w:rsid w:val="00D5755C"/>
    <w:rsid w:val="00D72311"/>
    <w:rsid w:val="00D85527"/>
    <w:rsid w:val="00D8675F"/>
    <w:rsid w:val="00D91B2B"/>
    <w:rsid w:val="00D936EE"/>
    <w:rsid w:val="00D9497A"/>
    <w:rsid w:val="00D95580"/>
    <w:rsid w:val="00D95983"/>
    <w:rsid w:val="00DA07A9"/>
    <w:rsid w:val="00DB5DBA"/>
    <w:rsid w:val="00DB5EC2"/>
    <w:rsid w:val="00DB76F9"/>
    <w:rsid w:val="00DC2DD0"/>
    <w:rsid w:val="00DD620E"/>
    <w:rsid w:val="00DE54E5"/>
    <w:rsid w:val="00DE6542"/>
    <w:rsid w:val="00DF04F3"/>
    <w:rsid w:val="00DF267D"/>
    <w:rsid w:val="00DF34D7"/>
    <w:rsid w:val="00E00D34"/>
    <w:rsid w:val="00E0499B"/>
    <w:rsid w:val="00E10E3F"/>
    <w:rsid w:val="00E134C0"/>
    <w:rsid w:val="00E15AC7"/>
    <w:rsid w:val="00E3136E"/>
    <w:rsid w:val="00E3307A"/>
    <w:rsid w:val="00E35E81"/>
    <w:rsid w:val="00E46D8C"/>
    <w:rsid w:val="00E50449"/>
    <w:rsid w:val="00E50F54"/>
    <w:rsid w:val="00E915B4"/>
    <w:rsid w:val="00E93CE4"/>
    <w:rsid w:val="00E96337"/>
    <w:rsid w:val="00EA622B"/>
    <w:rsid w:val="00EC71FB"/>
    <w:rsid w:val="00EE0567"/>
    <w:rsid w:val="00EE3CDE"/>
    <w:rsid w:val="00EE4907"/>
    <w:rsid w:val="00EF10C8"/>
    <w:rsid w:val="00EF7400"/>
    <w:rsid w:val="00F026AB"/>
    <w:rsid w:val="00F03D8D"/>
    <w:rsid w:val="00F045C0"/>
    <w:rsid w:val="00F04DCA"/>
    <w:rsid w:val="00F04FCF"/>
    <w:rsid w:val="00F143E8"/>
    <w:rsid w:val="00F16167"/>
    <w:rsid w:val="00F1706D"/>
    <w:rsid w:val="00F24AC6"/>
    <w:rsid w:val="00F25243"/>
    <w:rsid w:val="00F31B0E"/>
    <w:rsid w:val="00F32C29"/>
    <w:rsid w:val="00F37E21"/>
    <w:rsid w:val="00F40B21"/>
    <w:rsid w:val="00F57B44"/>
    <w:rsid w:val="00F57CD4"/>
    <w:rsid w:val="00F66E68"/>
    <w:rsid w:val="00F72B79"/>
    <w:rsid w:val="00F72CD9"/>
    <w:rsid w:val="00F75C7D"/>
    <w:rsid w:val="00F77E36"/>
    <w:rsid w:val="00F8090C"/>
    <w:rsid w:val="00F829D7"/>
    <w:rsid w:val="00F905E4"/>
    <w:rsid w:val="00F928E7"/>
    <w:rsid w:val="00FA4D9E"/>
    <w:rsid w:val="00FB0506"/>
    <w:rsid w:val="00FB1104"/>
    <w:rsid w:val="00FB5BD8"/>
    <w:rsid w:val="00FC72AB"/>
    <w:rsid w:val="00FD6C56"/>
    <w:rsid w:val="00FD7719"/>
    <w:rsid w:val="00FF5067"/>
    <w:rsid w:val="0109381E"/>
    <w:rsid w:val="01253FC7"/>
    <w:rsid w:val="01B96600"/>
    <w:rsid w:val="02CD656E"/>
    <w:rsid w:val="02D95595"/>
    <w:rsid w:val="03223642"/>
    <w:rsid w:val="034C034D"/>
    <w:rsid w:val="03843ED9"/>
    <w:rsid w:val="04744140"/>
    <w:rsid w:val="04C91DDD"/>
    <w:rsid w:val="05016971"/>
    <w:rsid w:val="051B4445"/>
    <w:rsid w:val="068C019A"/>
    <w:rsid w:val="07130CA8"/>
    <w:rsid w:val="073A49ED"/>
    <w:rsid w:val="074B3828"/>
    <w:rsid w:val="07C23330"/>
    <w:rsid w:val="07E43F77"/>
    <w:rsid w:val="089C78EE"/>
    <w:rsid w:val="08C42EE2"/>
    <w:rsid w:val="08CE6EE4"/>
    <w:rsid w:val="09D34FCD"/>
    <w:rsid w:val="0A214A81"/>
    <w:rsid w:val="0A36738D"/>
    <w:rsid w:val="0AB1342B"/>
    <w:rsid w:val="0AF33904"/>
    <w:rsid w:val="0B10528D"/>
    <w:rsid w:val="0B624EAC"/>
    <w:rsid w:val="0C21317F"/>
    <w:rsid w:val="0CA43268"/>
    <w:rsid w:val="0CF730C0"/>
    <w:rsid w:val="0D03351E"/>
    <w:rsid w:val="0D2A1250"/>
    <w:rsid w:val="0E4A0E75"/>
    <w:rsid w:val="0E9F258A"/>
    <w:rsid w:val="0F087A93"/>
    <w:rsid w:val="0FD676F2"/>
    <w:rsid w:val="10B64FD5"/>
    <w:rsid w:val="10C13C1A"/>
    <w:rsid w:val="11FD34B9"/>
    <w:rsid w:val="126A1ED3"/>
    <w:rsid w:val="12905AD0"/>
    <w:rsid w:val="129309E5"/>
    <w:rsid w:val="12E43EE4"/>
    <w:rsid w:val="131320C1"/>
    <w:rsid w:val="13153343"/>
    <w:rsid w:val="13167347"/>
    <w:rsid w:val="131F6CFA"/>
    <w:rsid w:val="15031953"/>
    <w:rsid w:val="15D16D7F"/>
    <w:rsid w:val="15D2253D"/>
    <w:rsid w:val="168458A3"/>
    <w:rsid w:val="16DB3D04"/>
    <w:rsid w:val="171A7F5F"/>
    <w:rsid w:val="173B475C"/>
    <w:rsid w:val="17417BD5"/>
    <w:rsid w:val="178B35AC"/>
    <w:rsid w:val="17CE6F14"/>
    <w:rsid w:val="17E55A4A"/>
    <w:rsid w:val="18586077"/>
    <w:rsid w:val="18D04166"/>
    <w:rsid w:val="19191D36"/>
    <w:rsid w:val="191D3032"/>
    <w:rsid w:val="1921490B"/>
    <w:rsid w:val="1A222FA6"/>
    <w:rsid w:val="1A41067F"/>
    <w:rsid w:val="1AD36C90"/>
    <w:rsid w:val="1AE012DA"/>
    <w:rsid w:val="1B7620DF"/>
    <w:rsid w:val="1B8354CA"/>
    <w:rsid w:val="1B90541A"/>
    <w:rsid w:val="1C1B0961"/>
    <w:rsid w:val="1C362A50"/>
    <w:rsid w:val="1C5E4210"/>
    <w:rsid w:val="1CF667B7"/>
    <w:rsid w:val="1EB25109"/>
    <w:rsid w:val="1ED80095"/>
    <w:rsid w:val="1F1A7894"/>
    <w:rsid w:val="1F3B16D9"/>
    <w:rsid w:val="1FA2513B"/>
    <w:rsid w:val="1FB71F6B"/>
    <w:rsid w:val="1FCA0104"/>
    <w:rsid w:val="1FEF058E"/>
    <w:rsid w:val="1FF70995"/>
    <w:rsid w:val="20B125CC"/>
    <w:rsid w:val="22E557E4"/>
    <w:rsid w:val="231340EA"/>
    <w:rsid w:val="2371324D"/>
    <w:rsid w:val="240E24D8"/>
    <w:rsid w:val="24251003"/>
    <w:rsid w:val="24A72412"/>
    <w:rsid w:val="25141FED"/>
    <w:rsid w:val="25704084"/>
    <w:rsid w:val="25FA1975"/>
    <w:rsid w:val="26C64E1B"/>
    <w:rsid w:val="26EF607B"/>
    <w:rsid w:val="270F29E8"/>
    <w:rsid w:val="271C3E35"/>
    <w:rsid w:val="27A5799C"/>
    <w:rsid w:val="287C51B8"/>
    <w:rsid w:val="28964574"/>
    <w:rsid w:val="28D90CC3"/>
    <w:rsid w:val="29B40B91"/>
    <w:rsid w:val="29FE45F1"/>
    <w:rsid w:val="2A554C65"/>
    <w:rsid w:val="2BBA2297"/>
    <w:rsid w:val="2C5B378D"/>
    <w:rsid w:val="2CBF48A5"/>
    <w:rsid w:val="2D8257CA"/>
    <w:rsid w:val="2E181663"/>
    <w:rsid w:val="2E583E1E"/>
    <w:rsid w:val="2EBB333A"/>
    <w:rsid w:val="2EF44154"/>
    <w:rsid w:val="304E1668"/>
    <w:rsid w:val="30AD1927"/>
    <w:rsid w:val="30C542F2"/>
    <w:rsid w:val="30DF5E28"/>
    <w:rsid w:val="320A17BF"/>
    <w:rsid w:val="322E5BD9"/>
    <w:rsid w:val="326F2395"/>
    <w:rsid w:val="327825C7"/>
    <w:rsid w:val="32BE5DE8"/>
    <w:rsid w:val="33B345B1"/>
    <w:rsid w:val="345E7A4D"/>
    <w:rsid w:val="3461237B"/>
    <w:rsid w:val="347E5C7F"/>
    <w:rsid w:val="34A5345A"/>
    <w:rsid w:val="34A9237B"/>
    <w:rsid w:val="34B025D7"/>
    <w:rsid w:val="34DF35CF"/>
    <w:rsid w:val="35C276EF"/>
    <w:rsid w:val="368D203E"/>
    <w:rsid w:val="36B36DC0"/>
    <w:rsid w:val="36C416D3"/>
    <w:rsid w:val="37581136"/>
    <w:rsid w:val="37FF2253"/>
    <w:rsid w:val="380E4F05"/>
    <w:rsid w:val="38913CCA"/>
    <w:rsid w:val="397D4972"/>
    <w:rsid w:val="39AE0B5D"/>
    <w:rsid w:val="3AD46AAA"/>
    <w:rsid w:val="3AD935DF"/>
    <w:rsid w:val="3B265083"/>
    <w:rsid w:val="3BFB6720"/>
    <w:rsid w:val="3BFC5960"/>
    <w:rsid w:val="3C9127DD"/>
    <w:rsid w:val="3C935704"/>
    <w:rsid w:val="40013A78"/>
    <w:rsid w:val="403C5CD1"/>
    <w:rsid w:val="409C3E9F"/>
    <w:rsid w:val="418A518D"/>
    <w:rsid w:val="41D5215E"/>
    <w:rsid w:val="41ED0454"/>
    <w:rsid w:val="426132A5"/>
    <w:rsid w:val="434C2090"/>
    <w:rsid w:val="434E5663"/>
    <w:rsid w:val="44387D44"/>
    <w:rsid w:val="447E7433"/>
    <w:rsid w:val="451D3EDE"/>
    <w:rsid w:val="45634165"/>
    <w:rsid w:val="45B06306"/>
    <w:rsid w:val="45DE2827"/>
    <w:rsid w:val="46941BE4"/>
    <w:rsid w:val="471D064E"/>
    <w:rsid w:val="47B157B2"/>
    <w:rsid w:val="48180C41"/>
    <w:rsid w:val="48C56315"/>
    <w:rsid w:val="48D62022"/>
    <w:rsid w:val="498143B1"/>
    <w:rsid w:val="49B35C1B"/>
    <w:rsid w:val="4A502C22"/>
    <w:rsid w:val="4B0975D4"/>
    <w:rsid w:val="4B2D69D9"/>
    <w:rsid w:val="4CC5453B"/>
    <w:rsid w:val="4D2575E0"/>
    <w:rsid w:val="4D9A0388"/>
    <w:rsid w:val="4DA97348"/>
    <w:rsid w:val="4DB74C4E"/>
    <w:rsid w:val="4E2B3858"/>
    <w:rsid w:val="4E991B3B"/>
    <w:rsid w:val="4F1A5CB3"/>
    <w:rsid w:val="4F555CC9"/>
    <w:rsid w:val="4F746901"/>
    <w:rsid w:val="4FD23D02"/>
    <w:rsid w:val="51630881"/>
    <w:rsid w:val="51BD1560"/>
    <w:rsid w:val="51C4558C"/>
    <w:rsid w:val="51EB6DEA"/>
    <w:rsid w:val="523E42AA"/>
    <w:rsid w:val="52452D24"/>
    <w:rsid w:val="52503BFB"/>
    <w:rsid w:val="52EB4F1D"/>
    <w:rsid w:val="53710136"/>
    <w:rsid w:val="53E53E73"/>
    <w:rsid w:val="544B03BF"/>
    <w:rsid w:val="55897D2B"/>
    <w:rsid w:val="570C1A28"/>
    <w:rsid w:val="5745585F"/>
    <w:rsid w:val="577D368C"/>
    <w:rsid w:val="57935E77"/>
    <w:rsid w:val="57C11BB3"/>
    <w:rsid w:val="58356410"/>
    <w:rsid w:val="585732EC"/>
    <w:rsid w:val="58902502"/>
    <w:rsid w:val="58A20593"/>
    <w:rsid w:val="59427A68"/>
    <w:rsid w:val="596D5A6D"/>
    <w:rsid w:val="5A20202E"/>
    <w:rsid w:val="5A5B57D2"/>
    <w:rsid w:val="5A9A092F"/>
    <w:rsid w:val="5A9E68E3"/>
    <w:rsid w:val="5AE737EA"/>
    <w:rsid w:val="5B072ABB"/>
    <w:rsid w:val="5B7A795A"/>
    <w:rsid w:val="5B9C1952"/>
    <w:rsid w:val="5C330F96"/>
    <w:rsid w:val="5CE34F23"/>
    <w:rsid w:val="5D2707E1"/>
    <w:rsid w:val="5D84475B"/>
    <w:rsid w:val="5D8F0077"/>
    <w:rsid w:val="5DD95C91"/>
    <w:rsid w:val="5DF27CBC"/>
    <w:rsid w:val="5E236089"/>
    <w:rsid w:val="5E872F9F"/>
    <w:rsid w:val="5F0A57B6"/>
    <w:rsid w:val="5FC40327"/>
    <w:rsid w:val="5FD13BBC"/>
    <w:rsid w:val="5FE250D9"/>
    <w:rsid w:val="5FF3303E"/>
    <w:rsid w:val="601805DA"/>
    <w:rsid w:val="605A257C"/>
    <w:rsid w:val="610A4247"/>
    <w:rsid w:val="61196C3C"/>
    <w:rsid w:val="61701D35"/>
    <w:rsid w:val="62681D1A"/>
    <w:rsid w:val="64226735"/>
    <w:rsid w:val="64D42BBC"/>
    <w:rsid w:val="66C678F9"/>
    <w:rsid w:val="66EB5ED1"/>
    <w:rsid w:val="67E773C5"/>
    <w:rsid w:val="68AC22B7"/>
    <w:rsid w:val="68AC5EC6"/>
    <w:rsid w:val="694A1FC1"/>
    <w:rsid w:val="69550F5F"/>
    <w:rsid w:val="696823DA"/>
    <w:rsid w:val="696A4484"/>
    <w:rsid w:val="696D1619"/>
    <w:rsid w:val="69862733"/>
    <w:rsid w:val="6A9576A6"/>
    <w:rsid w:val="6AA231F4"/>
    <w:rsid w:val="6B064A37"/>
    <w:rsid w:val="6B0763B5"/>
    <w:rsid w:val="6BBB1595"/>
    <w:rsid w:val="6BBE2C7E"/>
    <w:rsid w:val="6BDD169C"/>
    <w:rsid w:val="6C0A18FE"/>
    <w:rsid w:val="6C5029E4"/>
    <w:rsid w:val="6EA573C9"/>
    <w:rsid w:val="6F6111D8"/>
    <w:rsid w:val="70231CC6"/>
    <w:rsid w:val="7038189F"/>
    <w:rsid w:val="704B6E68"/>
    <w:rsid w:val="70517081"/>
    <w:rsid w:val="707767D8"/>
    <w:rsid w:val="708C3B9B"/>
    <w:rsid w:val="71CD3246"/>
    <w:rsid w:val="72576569"/>
    <w:rsid w:val="72837C9D"/>
    <w:rsid w:val="732F11CC"/>
    <w:rsid w:val="73526E33"/>
    <w:rsid w:val="736B50AF"/>
    <w:rsid w:val="748B68BA"/>
    <w:rsid w:val="753A03D8"/>
    <w:rsid w:val="75F23AA3"/>
    <w:rsid w:val="77343598"/>
    <w:rsid w:val="77A8287B"/>
    <w:rsid w:val="77E96FDE"/>
    <w:rsid w:val="78292A07"/>
    <w:rsid w:val="782B5720"/>
    <w:rsid w:val="789404EA"/>
    <w:rsid w:val="78B77629"/>
    <w:rsid w:val="78D105FB"/>
    <w:rsid w:val="794D42B8"/>
    <w:rsid w:val="79835A84"/>
    <w:rsid w:val="7A442BA0"/>
    <w:rsid w:val="7A8C0F38"/>
    <w:rsid w:val="7AC62EF3"/>
    <w:rsid w:val="7B932418"/>
    <w:rsid w:val="7BD84B6A"/>
    <w:rsid w:val="7D392AE4"/>
    <w:rsid w:val="7D863AF7"/>
    <w:rsid w:val="7E033863"/>
    <w:rsid w:val="7EA7629D"/>
    <w:rsid w:val="7F177C84"/>
    <w:rsid w:val="7F237C8B"/>
    <w:rsid w:val="7F8A6904"/>
    <w:rsid w:val="7F92620C"/>
    <w:rsid w:val="7FC03315"/>
    <w:rsid w:val="7FEE835D"/>
    <w:rsid w:val="EB1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2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hAnsi="Times New Roman" w:eastAsia="宋体" w:cs="Times New Roman"/>
      <w:b/>
      <w:sz w:val="32"/>
      <w:szCs w:val="20"/>
      <w:lang w:eastAsia="zh-CN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6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29"/>
    <w:unhideWhenUsed/>
    <w:qFormat/>
    <w:uiPriority w:val="99"/>
  </w:style>
  <w:style w:type="paragraph" w:styleId="7">
    <w:name w:val="Body Text"/>
    <w:basedOn w:val="1"/>
    <w:qFormat/>
    <w:uiPriority w:val="1"/>
    <w:pPr>
      <w:spacing w:before="27"/>
      <w:ind w:left="212"/>
    </w:pPr>
    <w:rPr>
      <w:rFonts w:ascii="宋体" w:hAnsi="宋体" w:eastAsia="宋体"/>
      <w:sz w:val="21"/>
      <w:szCs w:val="21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annotation subject"/>
    <w:basedOn w:val="6"/>
    <w:next w:val="6"/>
    <w:link w:val="30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0"/>
    <w:rPr>
      <w:color w:val="800080"/>
      <w:u w:val="single"/>
    </w:rPr>
  </w:style>
  <w:style w:type="character" w:styleId="20">
    <w:name w:val="Emphasis"/>
    <w:basedOn w:val="18"/>
    <w:qFormat/>
    <w:uiPriority w:val="20"/>
    <w:rPr>
      <w:i/>
    </w:rPr>
  </w:style>
  <w:style w:type="character" w:styleId="21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2">
    <w:name w:val="annotation reference"/>
    <w:basedOn w:val="18"/>
    <w:unhideWhenUsed/>
    <w:qFormat/>
    <w:uiPriority w:val="99"/>
    <w:rPr>
      <w:sz w:val="21"/>
      <w:szCs w:val="21"/>
    </w:rPr>
  </w:style>
  <w:style w:type="table" w:customStyle="1" w:styleId="2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List Paragraph"/>
    <w:basedOn w:val="1"/>
    <w:qFormat/>
    <w:uiPriority w:val="1"/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页眉 Char"/>
    <w:basedOn w:val="18"/>
    <w:link w:val="11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8">
    <w:name w:val="批注框文本 Char"/>
    <w:basedOn w:val="18"/>
    <w:link w:val="9"/>
    <w:semiHidden/>
    <w:qFormat/>
    <w:uiPriority w:val="99"/>
    <w:rPr>
      <w:sz w:val="18"/>
      <w:szCs w:val="18"/>
    </w:rPr>
  </w:style>
  <w:style w:type="character" w:customStyle="1" w:styleId="29">
    <w:name w:val="批注文字 Char"/>
    <w:basedOn w:val="18"/>
    <w:link w:val="6"/>
    <w:semiHidden/>
    <w:qFormat/>
    <w:uiPriority w:val="99"/>
  </w:style>
  <w:style w:type="character" w:customStyle="1" w:styleId="30">
    <w:name w:val="批注主题 Char"/>
    <w:basedOn w:val="29"/>
    <w:link w:val="15"/>
    <w:semiHidden/>
    <w:qFormat/>
    <w:uiPriority w:val="99"/>
    <w:rPr>
      <w:b/>
      <w:bCs/>
    </w:rPr>
  </w:style>
  <w:style w:type="character" w:styleId="31">
    <w:name w:val="Placeholder Text"/>
    <w:basedOn w:val="18"/>
    <w:semiHidden/>
    <w:qFormat/>
    <w:uiPriority w:val="99"/>
    <w:rPr>
      <w:color w:val="808080"/>
    </w:rPr>
  </w:style>
  <w:style w:type="character" w:customStyle="1" w:styleId="32">
    <w:name w:val="标题 3 Char"/>
    <w:basedOn w:val="18"/>
    <w:link w:val="4"/>
    <w:qFormat/>
    <w:uiPriority w:val="0"/>
    <w:rPr>
      <w:rFonts w:ascii="Times New Roman" w:hAnsi="Times New Roman" w:eastAsia="宋体" w:cs="Times New Roman"/>
      <w:b/>
      <w:sz w:val="32"/>
      <w:szCs w:val="20"/>
      <w:lang w:eastAsia="zh-CN"/>
    </w:rPr>
  </w:style>
  <w:style w:type="paragraph" w:customStyle="1" w:styleId="33">
    <w:name w:val="列出段落1"/>
    <w:basedOn w:val="1"/>
    <w:qFormat/>
    <w:uiPriority w:val="0"/>
    <w:pPr>
      <w:widowControl/>
      <w:ind w:left="72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34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5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  <w:lang w:eastAsia="zh-CN"/>
    </w:rPr>
  </w:style>
  <w:style w:type="character" w:customStyle="1" w:styleId="36">
    <w:name w:val="文档结构图 Char"/>
    <w:basedOn w:val="1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37">
    <w:name w:val="正文文本 （2） + 粗体2"/>
    <w:basedOn w:val="18"/>
    <w:qFormat/>
    <w:uiPriority w:val="0"/>
    <w:rPr>
      <w:rFonts w:hint="eastAsia" w:ascii="宋体" w:hAnsi="宋体" w:eastAsia="宋体" w:cs="宋体"/>
      <w:b/>
      <w:spacing w:val="10"/>
    </w:rPr>
  </w:style>
  <w:style w:type="paragraph" w:customStyle="1" w:styleId="38">
    <w:name w:val="正文文本 （2）1"/>
    <w:basedOn w:val="1"/>
    <w:link w:val="40"/>
    <w:qFormat/>
    <w:uiPriority w:val="0"/>
    <w:pPr>
      <w:keepNext w:val="0"/>
      <w:keepLines w:val="0"/>
      <w:widowControl/>
      <w:suppressLineNumbers w:val="0"/>
      <w:shd w:val="clear" w:fill="FFFFFF"/>
      <w:spacing w:before="0" w:beforeAutospacing="0" w:after="0" w:afterAutospacing="0" w:line="309" w:lineRule="atLeast"/>
      <w:ind w:left="0" w:right="0" w:hanging="160"/>
      <w:jc w:val="distribute"/>
    </w:pPr>
    <w:rPr>
      <w:rFonts w:hint="eastAsia" w:ascii="宋体" w:hAnsi="宋体" w:eastAsia="宋体" w:cs="宋体"/>
      <w:spacing w:val="10"/>
      <w:kern w:val="0"/>
      <w:sz w:val="16"/>
      <w:szCs w:val="16"/>
      <w:lang w:val="en-US" w:eastAsia="zh-CN" w:bidi="ar"/>
    </w:rPr>
  </w:style>
  <w:style w:type="character" w:customStyle="1" w:styleId="39">
    <w:name w:val="正文文本 （2） + 宋体18"/>
    <w:basedOn w:val="18"/>
    <w:qFormat/>
    <w:uiPriority w:val="0"/>
    <w:rPr>
      <w:rFonts w:hint="eastAsia" w:ascii="宋体" w:hAnsi="宋体" w:eastAsia="宋体" w:cs="宋体"/>
      <w:spacing w:val="40"/>
    </w:rPr>
  </w:style>
  <w:style w:type="character" w:customStyle="1" w:styleId="40">
    <w:name w:val="正文文本 （2）_"/>
    <w:basedOn w:val="18"/>
    <w:link w:val="38"/>
    <w:qFormat/>
    <w:uiPriority w:val="0"/>
    <w:rPr>
      <w:rFonts w:hint="eastAsia" w:ascii="宋体" w:hAnsi="宋体" w:eastAsia="宋体" w:cs="宋体"/>
      <w:spacing w:val="10"/>
    </w:rPr>
  </w:style>
  <w:style w:type="character" w:customStyle="1" w:styleId="41">
    <w:name w:val="正文文本 （2） + 粗体"/>
    <w:basedOn w:val="18"/>
    <w:qFormat/>
    <w:uiPriority w:val="0"/>
    <w:rPr>
      <w:rFonts w:hint="eastAsia" w:ascii="宋体" w:hAnsi="宋体" w:eastAsia="宋体" w:cs="宋体"/>
      <w:b/>
      <w:spacing w:val="20"/>
    </w:rPr>
  </w:style>
  <w:style w:type="character" w:customStyle="1" w:styleId="42">
    <w:name w:val="正文文本 （2） + Times New Roman"/>
    <w:basedOn w:val="18"/>
    <w:qFormat/>
    <w:uiPriority w:val="0"/>
    <w:rPr>
      <w:rFonts w:hint="default" w:ascii="Times New Roman" w:hAnsi="Times New Roman" w:cs="Times New Roman"/>
      <w:spacing w:val="0"/>
    </w:rPr>
  </w:style>
  <w:style w:type="character" w:customStyle="1" w:styleId="43">
    <w:name w:val="正文文本 （2） + 粗体1"/>
    <w:basedOn w:val="18"/>
    <w:qFormat/>
    <w:uiPriority w:val="0"/>
    <w:rPr>
      <w:rFonts w:hint="eastAsia" w:ascii="宋体" w:hAnsi="宋体" w:eastAsia="宋体" w:cs="宋体"/>
      <w:b/>
      <w:spacing w:val="40"/>
    </w:rPr>
  </w:style>
  <w:style w:type="character" w:customStyle="1" w:styleId="44">
    <w:name w:val="正文文本 （2） + 间距 2 pt"/>
    <w:basedOn w:val="18"/>
    <w:qFormat/>
    <w:uiPriority w:val="0"/>
    <w:rPr>
      <w:rFonts w:hint="eastAsia" w:ascii="宋体" w:hAnsi="宋体" w:eastAsia="宋体" w:cs="宋体"/>
      <w:spacing w:val="40"/>
    </w:rPr>
  </w:style>
  <w:style w:type="character" w:customStyle="1" w:styleId="45">
    <w:name w:val="正文文本 （2） + 宋体"/>
    <w:basedOn w:val="18"/>
    <w:qFormat/>
    <w:uiPriority w:val="0"/>
    <w:rPr>
      <w:rFonts w:hint="eastAsia" w:ascii="宋体" w:hAnsi="宋体" w:eastAsia="宋体" w:cs="宋体"/>
      <w:spacing w:val="10"/>
    </w:rPr>
  </w:style>
  <w:style w:type="character" w:customStyle="1" w:styleId="46">
    <w:name w:val="正文文本 （2） + 间距 1 pt"/>
    <w:basedOn w:val="18"/>
    <w:qFormat/>
    <w:uiPriority w:val="0"/>
    <w:rPr>
      <w:rFonts w:hint="eastAsia" w:ascii="宋体" w:hAnsi="宋体" w:eastAsia="宋体" w:cs="宋体"/>
      <w:spacing w:val="20"/>
    </w:rPr>
  </w:style>
  <w:style w:type="character" w:customStyle="1" w:styleId="47">
    <w:name w:val="标题 2 Char"/>
    <w:basedOn w:val="18"/>
    <w:link w:val="3"/>
    <w:qFormat/>
    <w:uiPriority w:val="0"/>
    <w:rPr>
      <w:rFonts w:ascii="Calibri Light" w:hAnsi="Calibri Light" w:eastAsia="宋体" w:cs="Times New Roman"/>
      <w:b/>
      <w:sz w:val="32"/>
      <w:szCs w:val="32"/>
    </w:rPr>
  </w:style>
  <w:style w:type="character" w:customStyle="1" w:styleId="48">
    <w:name w:val="正文文本 （2）"/>
    <w:basedOn w:val="18"/>
    <w:qFormat/>
    <w:uiPriority w:val="0"/>
    <w:rPr>
      <w:rFonts w:hint="eastAsia" w:ascii="宋体" w:hAnsi="宋体" w:eastAsia="宋体" w:cs="宋体"/>
      <w:spacing w:val="10"/>
    </w:rPr>
  </w:style>
  <w:style w:type="character" w:customStyle="1" w:styleId="49">
    <w:name w:val="正文文本 （57） + 宋体"/>
    <w:basedOn w:val="18"/>
    <w:qFormat/>
    <w:uiPriority w:val="0"/>
    <w:rPr>
      <w:rFonts w:hint="eastAsia" w:ascii="宋体" w:hAnsi="宋体" w:eastAsia="宋体" w:cs="宋体"/>
      <w:spacing w:val="0"/>
    </w:rPr>
  </w:style>
  <w:style w:type="character" w:customStyle="1" w:styleId="50">
    <w:name w:val="正文文本 （8）_"/>
    <w:basedOn w:val="18"/>
    <w:qFormat/>
    <w:uiPriority w:val="0"/>
    <w:rPr>
      <w:rFonts w:hint="eastAsia" w:ascii="宋体" w:hAnsi="宋体" w:eastAsia="宋体" w:cs="宋体"/>
      <w:b/>
      <w:spacing w:val="20"/>
    </w:rPr>
  </w:style>
  <w:style w:type="character" w:customStyle="1" w:styleId="51">
    <w:name w:val="正文文本 （57）_"/>
    <w:basedOn w:val="18"/>
    <w:link w:val="52"/>
    <w:qFormat/>
    <w:uiPriority w:val="0"/>
    <w:rPr>
      <w:rFonts w:hint="eastAsia" w:ascii="宋体" w:hAnsi="宋体" w:eastAsia="宋体" w:cs="宋体"/>
      <w:spacing w:val="20"/>
      <w:kern w:val="0"/>
      <w:sz w:val="19"/>
      <w:szCs w:val="19"/>
      <w:lang w:val="en-US" w:eastAsia="zh-CN" w:bidi="ar"/>
    </w:rPr>
  </w:style>
  <w:style w:type="paragraph" w:customStyle="1" w:styleId="52">
    <w:name w:val="正文文本 （57）"/>
    <w:basedOn w:val="1"/>
    <w:link w:val="51"/>
    <w:qFormat/>
    <w:uiPriority w:val="0"/>
    <w:pPr>
      <w:keepNext w:val="0"/>
      <w:keepLines w:val="0"/>
      <w:widowControl/>
      <w:suppressLineNumbers w:val="0"/>
      <w:shd w:val="clear" w:color="auto" w:fill="FFFFFF"/>
      <w:spacing w:before="0" w:beforeAutospacing="0" w:after="0" w:afterAutospacing="0" w:line="304" w:lineRule="atLeast"/>
      <w:ind w:left="0" w:right="0" w:firstLine="400"/>
      <w:jc w:val="both"/>
    </w:pPr>
    <w:rPr>
      <w:rFonts w:hint="eastAsia" w:ascii="宋体" w:hAnsi="宋体" w:eastAsia="宋体" w:cs="宋体"/>
      <w:spacing w:val="20"/>
      <w:kern w:val="0"/>
      <w:sz w:val="19"/>
      <w:szCs w:val="19"/>
      <w:lang w:val="en-US" w:eastAsia="zh-CN" w:bidi="ar"/>
    </w:rPr>
  </w:style>
  <w:style w:type="character" w:customStyle="1" w:styleId="53">
    <w:name w:val="正文文本 （57） + 8 pt20"/>
    <w:basedOn w:val="18"/>
    <w:qFormat/>
    <w:uiPriority w:val="0"/>
    <w:rPr>
      <w:rFonts w:hint="eastAsia" w:ascii="宋体" w:hAnsi="宋体" w:eastAsia="宋体" w:cs="宋体"/>
      <w:spacing w:val="0"/>
    </w:rPr>
  </w:style>
  <w:style w:type="character" w:customStyle="1" w:styleId="54">
    <w:name w:val="正文文本 （57） + 8 pt"/>
    <w:basedOn w:val="18"/>
    <w:qFormat/>
    <w:uiPriority w:val="0"/>
    <w:rPr>
      <w:rFonts w:hint="eastAsia" w:ascii="宋体" w:hAnsi="宋体" w:eastAsia="宋体" w:cs="宋体"/>
      <w:b/>
      <w:spacing w:val="20"/>
    </w:rPr>
  </w:style>
  <w:style w:type="character" w:customStyle="1" w:styleId="55">
    <w:name w:val="正文文本 （57） + 8 pt19"/>
    <w:basedOn w:val="18"/>
    <w:qFormat/>
    <w:uiPriority w:val="0"/>
    <w:rPr>
      <w:rFonts w:hint="eastAsia" w:ascii="宋体" w:hAnsi="宋体" w:eastAsia="宋体" w:cs="宋体"/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34</Pages>
  <Words>4131</Words>
  <Characters>23550</Characters>
  <Lines>196</Lines>
  <Paragraphs>55</Paragraphs>
  <TotalTime>1</TotalTime>
  <ScaleCrop>false</ScaleCrop>
  <LinksUpToDate>false</LinksUpToDate>
  <CharactersWithSpaces>27626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2017-02-09T17:38:00Z</dcterms:created>
  <dc:creator>雷帆</dc:creator>
  <cp:lastModifiedBy>uos</cp:lastModifiedBy>
  <cp:lastPrinted>2020-06-23T00:19:00Z</cp:lastPrinted>
  <dcterms:modified xsi:type="dcterms:W3CDTF">2021-12-08T15:23:02Z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2015-10-27T00:00:00Z</vt:filetime>
  </property>
  <property fmtid="{D5CDD505-2E9C-101B-9397-08002B2CF9AE}" pid="4" name="KSOProductBuildVer">
    <vt:lpwstr>2052-11.8.2.10125</vt:lpwstr>
  </property>
  <property fmtid="{D5CDD505-2E9C-101B-9397-08002B2CF9AE}" pid="5" name="KSORubyTemplateID" linkTarget="0">
    <vt:lpwstr>6</vt:lpwstr>
  </property>
</Properties>
</file>