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firstLine="0" w:firstLineChars="0"/>
        <w:jc w:val="left"/>
        <w:textAlignment w:val="auto"/>
        <w:rPr>
          <w:rFonts w:hint="eastAsia" w:ascii="方正黑体_GBK" w:hAnsi="方正黑体_GBK" w:eastAsia="方正黑体_GBK" w:cs="方正黑体_GBK"/>
          <w:b w:val="0"/>
          <w:bCs w:val="0"/>
          <w:sz w:val="32"/>
          <w:szCs w:val="32"/>
          <w:lang w:val="en-US" w:eastAsia="zh-CN"/>
        </w:rPr>
      </w:pPr>
      <w:bookmarkStart w:id="2" w:name="_GoBack"/>
      <w:bookmarkEnd w:id="2"/>
      <w:r>
        <w:rPr>
          <w:rFonts w:hint="eastAsia" w:ascii="方正黑体_GBK" w:hAnsi="方正黑体_GBK" w:eastAsia="方正黑体_GBK" w:cs="方正黑体_GBK"/>
          <w:b w:val="0"/>
          <w:bCs w:val="0"/>
          <w:sz w:val="32"/>
          <w:szCs w:val="32"/>
          <w:lang w:eastAsia="zh-CN"/>
        </w:rPr>
        <w:t>附件</w:t>
      </w:r>
      <w:r>
        <w:rPr>
          <w:rFonts w:hint="eastAsia" w:ascii="方正黑体_GBK" w:hAnsi="方正黑体_GBK" w:eastAsia="方正黑体_GBK" w:cs="方正黑体_GBK"/>
          <w:b w:val="0"/>
          <w:bCs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firstLine="0" w:firstLineChars="0"/>
        <w:jc w:val="both"/>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firstLine="440" w:firstLineChars="1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rPr>
        <w:t>海南</w:t>
      </w:r>
      <w:r>
        <w:rPr>
          <w:rFonts w:hint="eastAsia" w:ascii="方正小标宋简体" w:hAnsi="方正小标宋简体" w:eastAsia="方正小标宋简体" w:cs="方正小标宋简体"/>
          <w:b w:val="0"/>
          <w:bCs w:val="0"/>
          <w:sz w:val="44"/>
          <w:szCs w:val="44"/>
          <w:lang w:val="en-US" w:eastAsia="zh-CN"/>
        </w:rPr>
        <w:t>省</w:t>
      </w:r>
      <w:r>
        <w:rPr>
          <w:rFonts w:hint="eastAsia" w:ascii="方正小标宋简体" w:hAnsi="方正小标宋简体" w:eastAsia="方正小标宋简体" w:cs="方正小标宋简体"/>
          <w:b w:val="0"/>
          <w:bCs w:val="0"/>
          <w:sz w:val="44"/>
          <w:szCs w:val="44"/>
        </w:rPr>
        <w:t>药品零售企业国际</w:t>
      </w:r>
      <w:r>
        <w:rPr>
          <w:rFonts w:hint="eastAsia" w:ascii="方正小标宋简体" w:hAnsi="方正小标宋简体" w:eastAsia="方正小标宋简体" w:cs="方正小标宋简体"/>
          <w:b w:val="0"/>
          <w:bCs w:val="0"/>
          <w:sz w:val="44"/>
          <w:szCs w:val="44"/>
          <w:lang w:val="en-US" w:eastAsia="zh-CN"/>
        </w:rPr>
        <w:t>化</w:t>
      </w:r>
      <w:r>
        <w:rPr>
          <w:rFonts w:hint="eastAsia" w:ascii="方正小标宋简体" w:hAnsi="方正小标宋简体" w:eastAsia="方正小标宋简体" w:cs="方正小标宋简体"/>
          <w:b w:val="0"/>
          <w:bCs w:val="0"/>
          <w:sz w:val="44"/>
          <w:szCs w:val="44"/>
        </w:rPr>
        <w:t>药学服务指南</w:t>
      </w:r>
    </w:p>
    <w:p>
      <w:pPr>
        <w:pStyle w:val="2"/>
        <w:keepNext w:val="0"/>
        <w:keepLines w:val="0"/>
        <w:bidi w:val="0"/>
        <w:spacing w:after="0" w:afterAutospacing="0" w:line="560" w:lineRule="exact"/>
        <w:ind w:firstLine="643" w:firstLineChars="200"/>
        <w:rPr>
          <w:rFonts w:hint="eastAsia"/>
          <w:lang w:val="en-US" w:eastAsia="zh-CN"/>
        </w:rPr>
      </w:pPr>
    </w:p>
    <w:p>
      <w:pPr>
        <w:pStyle w:val="2"/>
        <w:keepNext w:val="0"/>
        <w:keepLines w:val="0"/>
        <w:bidi w:val="0"/>
        <w:spacing w:after="0" w:afterAutospacing="0" w:line="560" w:lineRule="exact"/>
        <w:ind w:firstLine="640" w:firstLineChars="200"/>
        <w:rPr>
          <w:rFonts w:hint="eastAsia" w:ascii="方正黑体_GBK" w:hAnsi="方正黑体_GBK" w:eastAsia="方正黑体_GBK" w:cs="方正黑体_GBK"/>
          <w:b w:val="0"/>
          <w:bCs/>
        </w:rPr>
      </w:pPr>
      <w:r>
        <w:rPr>
          <w:rFonts w:hint="eastAsia" w:ascii="方正黑体_GBK" w:hAnsi="方正黑体_GBK" w:eastAsia="方正黑体_GBK" w:cs="方正黑体_GBK"/>
          <w:b w:val="0"/>
          <w:bCs/>
          <w:lang w:val="en-US" w:eastAsia="zh-CN"/>
        </w:rPr>
        <w:t xml:space="preserve">1. </w:t>
      </w:r>
      <w:r>
        <w:rPr>
          <w:rFonts w:hint="eastAsia" w:ascii="方正黑体_GBK" w:hAnsi="方正黑体_GBK" w:eastAsia="方正黑体_GBK" w:cs="方正黑体_GBK"/>
          <w:b w:val="0"/>
          <w:bCs/>
        </w:rPr>
        <w:t>总则</w:t>
      </w:r>
    </w:p>
    <w:p>
      <w:pPr>
        <w:pStyle w:val="3"/>
        <w:keepNext w:val="0"/>
        <w:keepLines w:val="0"/>
        <w:bidi w:val="0"/>
        <w:spacing w:after="0" w:afterAutospacing="0" w:line="560" w:lineRule="exact"/>
        <w:ind w:firstLine="643" w:firstLineChars="200"/>
        <w:rPr>
          <w:rFonts w:hint="eastAsia"/>
          <w:lang w:val="en-US" w:eastAsia="zh-CN"/>
        </w:rPr>
      </w:pPr>
      <w:r>
        <w:rPr>
          <w:rFonts w:hint="eastAsia"/>
          <w:lang w:val="en-US" w:eastAsia="zh-CN"/>
        </w:rPr>
        <w:t xml:space="preserve">1.1 </w:t>
      </w:r>
      <w:r>
        <w:rPr>
          <w:rFonts w:hint="eastAsia"/>
        </w:rPr>
        <w:t>编制目的</w:t>
      </w:r>
      <w:r>
        <w:rPr>
          <w:rFonts w:hint="eastAsia"/>
          <w:lang w:val="en-US" w:eastAsia="zh-CN"/>
        </w:rPr>
        <w:t xml:space="preserve"> </w:t>
      </w:r>
    </w:p>
    <w:p>
      <w:pPr>
        <w:bidi w:val="0"/>
        <w:spacing w:beforeLines="0" w:after="0" w:afterLines="0" w:afterAutospacing="0" w:line="560" w:lineRule="exact"/>
        <w:ind w:firstLine="640"/>
        <w:rPr>
          <w:rFonts w:hint="eastAsia" w:eastAsia="仿宋_GB2312"/>
          <w:lang w:eastAsia="zh-CN"/>
        </w:rPr>
      </w:pPr>
      <w:r>
        <w:rPr>
          <w:rFonts w:hint="eastAsia"/>
        </w:rPr>
        <w:t>为提升海南自由贸易港药品零售企业药学服务的国际化水平，促进与国际优良药房工作规范（GPP）接轨，依据商务部等9部委《关于促进药品零售行业高质量发展的意见》（商消费函〔2026〕第12号）要求，推动药品零售企业从传统药品销售终端向综合性健康驿站转型，强化药学服务、慢病管理、疾病预防、健康促进等专业功能，打造贴近社区、服务百姓的健康服务节点</w:t>
      </w:r>
      <w:r>
        <w:rPr>
          <w:rFonts w:hint="eastAsia"/>
          <w:lang w:eastAsia="zh"/>
        </w:rPr>
        <w:t>，</w:t>
      </w:r>
      <w:r>
        <w:rPr>
          <w:rFonts w:hint="eastAsia"/>
          <w:lang w:eastAsia="zh-CN"/>
        </w:rPr>
        <w:t>为</w:t>
      </w:r>
      <w:r>
        <w:rPr>
          <w:rFonts w:hint="eastAsia"/>
        </w:rPr>
        <w:t>药品零售企业</w:t>
      </w:r>
      <w:r>
        <w:rPr>
          <w:rFonts w:hint="eastAsia"/>
          <w:lang w:eastAsia="zh-CN"/>
        </w:rPr>
        <w:t>规范开展国际化药学服务提供技术参考，进一步</w:t>
      </w:r>
      <w:r>
        <w:rPr>
          <w:rFonts w:hint="eastAsia"/>
        </w:rPr>
        <w:t>保障公众用药安全、有效、便捷，服务海南自由贸易港建设，制定本指南</w:t>
      </w:r>
      <w:r>
        <w:rPr>
          <w:rFonts w:hint="eastAsia"/>
          <w:lang w:eastAsia="zh-CN"/>
        </w:rPr>
        <w:t>，供提供药学服务人员参考。</w:t>
      </w:r>
    </w:p>
    <w:p>
      <w:pPr>
        <w:pStyle w:val="3"/>
        <w:keepNext w:val="0"/>
        <w:keepLines w:val="0"/>
        <w:bidi w:val="0"/>
        <w:spacing w:after="0" w:afterAutospacing="0" w:line="560" w:lineRule="exact"/>
        <w:ind w:firstLine="643" w:firstLineChars="200"/>
        <w:rPr>
          <w:rFonts w:hint="eastAsia"/>
        </w:rPr>
      </w:pPr>
      <w:r>
        <w:rPr>
          <w:rFonts w:hint="eastAsia"/>
          <w:lang w:val="en-US" w:eastAsia="zh-CN"/>
        </w:rPr>
        <w:t xml:space="preserve">1.2 </w:t>
      </w:r>
      <w:r>
        <w:rPr>
          <w:rFonts w:hint="eastAsia"/>
        </w:rPr>
        <w:t>编制依据</w:t>
      </w:r>
    </w:p>
    <w:p>
      <w:pPr>
        <w:bidi w:val="0"/>
        <w:spacing w:beforeLines="0" w:after="0" w:afterLines="0" w:afterAutospacing="0" w:line="560" w:lineRule="exact"/>
        <w:rPr>
          <w:rFonts w:hint="eastAsia"/>
        </w:rPr>
      </w:pPr>
      <w:r>
        <w:rPr>
          <w:rFonts w:hint="eastAsia"/>
        </w:rPr>
        <w:t>本指南依据国家及海南省相关药品管理法律法规、部门规章、政策文件，参考国际药学服务标准及临床指南制定。具体文件清单详见附录《编制依据文件清单》。</w:t>
      </w:r>
    </w:p>
    <w:p>
      <w:pPr>
        <w:pStyle w:val="3"/>
        <w:keepNext w:val="0"/>
        <w:keepLines w:val="0"/>
        <w:bidi w:val="0"/>
        <w:spacing w:after="0" w:afterAutospacing="0" w:line="560" w:lineRule="exact"/>
        <w:ind w:firstLine="643" w:firstLineChars="200"/>
        <w:rPr>
          <w:rFonts w:hint="eastAsia"/>
        </w:rPr>
      </w:pPr>
      <w:r>
        <w:rPr>
          <w:rFonts w:hint="eastAsia"/>
          <w:lang w:val="en-US" w:eastAsia="zh-CN"/>
        </w:rPr>
        <w:t xml:space="preserve">1.3 </w:t>
      </w:r>
      <w:r>
        <w:rPr>
          <w:rFonts w:hint="eastAsia"/>
        </w:rPr>
        <w:t>适用范围</w:t>
      </w:r>
    </w:p>
    <w:p>
      <w:pPr>
        <w:bidi w:val="0"/>
        <w:spacing w:beforeLines="0" w:after="0" w:afterLines="0" w:afterAutospacing="0" w:line="560" w:lineRule="exact"/>
        <w:ind w:firstLine="640"/>
        <w:rPr>
          <w:rFonts w:hint="eastAsia"/>
        </w:rPr>
      </w:pPr>
      <w:r>
        <w:rPr>
          <w:rFonts w:hint="eastAsia" w:ascii="仿宋_GB2312" w:hAnsi="仿宋_GB2312" w:eastAsia="仿宋_GB2312"/>
          <w:color w:val="auto"/>
        </w:rPr>
        <w:t>本指南适用于海南省行政区域内自愿开展国际化药学服务的药品零售</w:t>
      </w:r>
      <w:r>
        <w:rPr>
          <w:rFonts w:hint="eastAsia"/>
          <w:color w:val="auto"/>
          <w:lang w:val="en-US" w:eastAsia="zh-CN"/>
        </w:rPr>
        <w:t>经营</w:t>
      </w:r>
      <w:r>
        <w:rPr>
          <w:rFonts w:hint="eastAsia" w:ascii="仿宋_GB2312" w:hAnsi="仿宋_GB2312" w:eastAsia="仿宋_GB2312"/>
          <w:color w:val="auto"/>
        </w:rPr>
        <w:t>企业（包含单体药店、零售连锁药店</w:t>
      </w:r>
      <w:r>
        <w:rPr>
          <w:rFonts w:hint="eastAsia"/>
          <w:color w:val="auto"/>
          <w:lang w:eastAsia="zh-CN"/>
        </w:rPr>
        <w:t>，</w:t>
      </w:r>
      <w:r>
        <w:rPr>
          <w:rFonts w:hint="eastAsia"/>
          <w:color w:val="auto"/>
          <w:lang w:eastAsia="zh"/>
        </w:rPr>
        <w:t>网络销售药品除外</w:t>
      </w:r>
      <w:r>
        <w:rPr>
          <w:rFonts w:hint="eastAsia" w:ascii="仿宋_GB2312" w:hAnsi="仿宋_GB2312" w:eastAsia="仿宋_GB2312"/>
          <w:color w:val="auto"/>
        </w:rPr>
        <w:t>）</w:t>
      </w:r>
      <w:r>
        <w:rPr>
          <w:rFonts w:hint="eastAsia"/>
          <w:color w:val="auto"/>
          <w:lang w:eastAsia="zh-CN"/>
        </w:rPr>
        <w:t>。</w:t>
      </w:r>
      <w:r>
        <w:rPr>
          <w:rFonts w:hint="eastAsia"/>
          <w:color w:val="auto"/>
        </w:rPr>
        <w:t>本指南借鉴世界卫生组织（WHO）《优良药房工作规范》（GPP）、国际药学联合会（FIP）《改变全球药学FIP发展目标》等国际先进经验，</w:t>
      </w:r>
      <w:r>
        <w:rPr>
          <w:rFonts w:hint="eastAsia" w:ascii="仿宋_GB2312" w:hAnsi="仿宋_GB2312" w:eastAsia="仿宋_GB2312" w:cs="Times New Roman (正文 CS 字体)"/>
          <w:color w:val="auto"/>
          <w:sz w:val="32"/>
          <w:szCs w:val="24"/>
        </w:rPr>
        <w:t>立足海南实际，</w:t>
      </w:r>
      <w:r>
        <w:rPr>
          <w:rFonts w:hint="eastAsia" w:cs="Times New Roman (正文 CS 字体)"/>
          <w:color w:val="auto"/>
          <w:sz w:val="32"/>
          <w:szCs w:val="24"/>
          <w:lang w:val="en-US" w:eastAsia="zh-CN"/>
        </w:rPr>
        <w:t>探索</w:t>
      </w:r>
      <w:r>
        <w:rPr>
          <w:rFonts w:hint="eastAsia" w:ascii="仿宋_GB2312" w:hAnsi="仿宋_GB2312" w:eastAsia="仿宋_GB2312" w:cs="Times New Roman (正文 CS 字体)"/>
          <w:color w:val="auto"/>
          <w:sz w:val="32"/>
          <w:szCs w:val="24"/>
        </w:rPr>
        <w:t>建立</w:t>
      </w:r>
      <w:r>
        <w:rPr>
          <w:rFonts w:hint="eastAsia" w:ascii="仿宋_GB2312" w:hAnsi="仿宋_GB2312" w:eastAsia="仿宋_GB2312" w:cs="Times New Roman (正文 CS 字体)"/>
          <w:color w:val="auto"/>
          <w:sz w:val="32"/>
          <w:szCs w:val="24"/>
          <w:lang w:val="en-US" w:eastAsia="zh-CN"/>
        </w:rPr>
        <w:t>符合</w:t>
      </w:r>
      <w:r>
        <w:rPr>
          <w:rFonts w:hint="eastAsia" w:ascii="仿宋_GB2312" w:hAnsi="仿宋_GB2312" w:eastAsia="仿宋_GB2312" w:cs="Times New Roman (正文 CS 字体)"/>
          <w:color w:val="auto"/>
          <w:sz w:val="32"/>
          <w:szCs w:val="24"/>
        </w:rPr>
        <w:t>自贸港建设发展需求、与国际接轨的药学服务标准体系。</w:t>
      </w:r>
    </w:p>
    <w:p>
      <w:pPr>
        <w:pStyle w:val="3"/>
        <w:keepNext w:val="0"/>
        <w:keepLines w:val="0"/>
        <w:bidi w:val="0"/>
        <w:spacing w:after="0" w:afterAutospacing="0" w:line="560" w:lineRule="exact"/>
        <w:ind w:firstLine="643" w:firstLineChars="200"/>
        <w:rPr>
          <w:rFonts w:hint="eastAsia"/>
        </w:rPr>
      </w:pPr>
      <w:r>
        <w:rPr>
          <w:rFonts w:hint="eastAsia"/>
          <w:lang w:val="en-US" w:eastAsia="zh-CN"/>
        </w:rPr>
        <w:t xml:space="preserve">1.4 </w:t>
      </w:r>
      <w:r>
        <w:rPr>
          <w:rFonts w:hint="eastAsia"/>
        </w:rPr>
        <w:t>基本原则</w:t>
      </w:r>
    </w:p>
    <w:p>
      <w:pPr>
        <w:pStyle w:val="3"/>
        <w:keepNext w:val="0"/>
        <w:keepLines w:val="0"/>
        <w:numPr>
          <w:ilvl w:val="-1"/>
          <w:numId w:val="0"/>
        </w:numPr>
        <w:bidi w:val="0"/>
        <w:spacing w:after="0" w:afterAutospacing="0" w:line="560" w:lineRule="exact"/>
        <w:ind w:left="0" w:leftChars="0" w:firstLine="643" w:firstLineChars="200"/>
        <w:rPr>
          <w:rFonts w:hint="eastAsia"/>
          <w:b w:val="0"/>
          <w:bCs/>
          <w:lang w:eastAsia="zh-CN"/>
        </w:rPr>
      </w:pPr>
      <w:r>
        <w:rPr>
          <w:rFonts w:hint="eastAsia"/>
          <w:lang w:val="en-US" w:eastAsia="zh-CN"/>
        </w:rPr>
        <w:t>1.4.1</w:t>
      </w:r>
      <w:r>
        <w:rPr>
          <w:rFonts w:hint="eastAsia"/>
        </w:rPr>
        <w:t>以患者为中心原则：</w:t>
      </w:r>
      <w:r>
        <w:rPr>
          <w:rFonts w:hint="eastAsia"/>
          <w:b w:val="0"/>
          <w:bCs/>
        </w:rPr>
        <w:t>一切药学服务应以患者健康需求为导向，尊重患者自主权和知情同意权</w:t>
      </w:r>
      <w:r>
        <w:rPr>
          <w:rFonts w:hint="eastAsia"/>
          <w:b w:val="0"/>
          <w:bCs/>
          <w:lang w:eastAsia="zh-CN"/>
        </w:rPr>
        <w:t>；</w:t>
      </w:r>
    </w:p>
    <w:p>
      <w:pPr>
        <w:numPr>
          <w:ilvl w:val="-1"/>
          <w:numId w:val="0"/>
        </w:numPr>
        <w:bidi w:val="0"/>
        <w:spacing w:beforeLines="0" w:after="0" w:afterLines="0" w:afterAutospacing="0" w:line="560" w:lineRule="exact"/>
        <w:ind w:left="0" w:leftChars="0" w:firstLine="643" w:firstLineChars="200"/>
        <w:rPr>
          <w:rFonts w:hint="eastAsia"/>
        </w:rPr>
      </w:pPr>
      <w:r>
        <w:rPr>
          <w:rFonts w:hint="eastAsia"/>
          <w:b/>
          <w:bCs/>
          <w:lang w:val="en-US" w:eastAsia="zh-CN"/>
        </w:rPr>
        <w:t>1.4.2</w:t>
      </w:r>
      <w:r>
        <w:rPr>
          <w:rFonts w:hint="eastAsia"/>
          <w:b/>
          <w:bCs/>
        </w:rPr>
        <w:t>保障用药安全原则：</w:t>
      </w:r>
      <w:r>
        <w:rPr>
          <w:rFonts w:hint="eastAsia"/>
        </w:rPr>
        <w:t>以提供优质药学服务为导向，建立贯穿处方审核、</w:t>
      </w:r>
      <w:r>
        <w:rPr>
          <w:rFonts w:hint="eastAsia"/>
          <w:lang w:val="en-US" w:eastAsia="zh-CN"/>
        </w:rPr>
        <w:t>处方</w:t>
      </w:r>
      <w:r>
        <w:rPr>
          <w:rFonts w:hint="eastAsia"/>
        </w:rPr>
        <w:t>调剂、用药指导、用药重整、用药评估、用药干预、用药监护及随访评估全流程的</w:t>
      </w:r>
      <w:r>
        <w:rPr>
          <w:rFonts w:hint="eastAsia"/>
          <w:lang w:val="en-US" w:eastAsia="zh-CN"/>
        </w:rPr>
        <w:t>用药</w:t>
      </w:r>
      <w:r>
        <w:rPr>
          <w:rFonts w:hint="eastAsia"/>
        </w:rPr>
        <w:t>安全保障机制</w:t>
      </w:r>
      <w:r>
        <w:rPr>
          <w:rFonts w:hint="eastAsia"/>
          <w:lang w:eastAsia="zh-CN"/>
        </w:rPr>
        <w:t>；</w:t>
      </w:r>
    </w:p>
    <w:p>
      <w:pPr>
        <w:numPr>
          <w:ilvl w:val="-1"/>
          <w:numId w:val="0"/>
        </w:numPr>
        <w:bidi w:val="0"/>
        <w:spacing w:beforeLines="0" w:after="0" w:afterLines="0" w:afterAutospacing="0" w:line="560" w:lineRule="exact"/>
        <w:ind w:left="0" w:leftChars="0" w:firstLine="643" w:firstLineChars="200"/>
        <w:rPr>
          <w:rFonts w:hint="eastAsia"/>
        </w:rPr>
      </w:pPr>
      <w:r>
        <w:rPr>
          <w:rFonts w:hint="eastAsia"/>
          <w:b/>
          <w:bCs/>
          <w:lang w:val="en-US" w:eastAsia="zh-CN"/>
        </w:rPr>
        <w:t>1.4.3</w:t>
      </w:r>
      <w:r>
        <w:rPr>
          <w:rFonts w:hint="eastAsia"/>
          <w:b/>
          <w:bCs/>
        </w:rPr>
        <w:t>促进合理用药原则：</w:t>
      </w:r>
      <w:r>
        <w:rPr>
          <w:rFonts w:hint="eastAsia"/>
        </w:rPr>
        <w:t>倡导科学、适当、经济的药物治疗，避免不合理用药的产生</w:t>
      </w:r>
      <w:r>
        <w:rPr>
          <w:rFonts w:hint="eastAsia"/>
          <w:lang w:eastAsia="zh-CN"/>
        </w:rPr>
        <w:t>；</w:t>
      </w:r>
    </w:p>
    <w:p>
      <w:pPr>
        <w:numPr>
          <w:ilvl w:val="0"/>
          <w:numId w:val="0"/>
        </w:numPr>
        <w:spacing w:beforeLines="0" w:after="0" w:afterLines="0" w:afterAutospacing="0" w:line="560" w:lineRule="exact"/>
        <w:ind w:firstLine="643" w:firstLineChars="200"/>
        <w:rPr>
          <w:rFonts w:hint="eastAsia" w:ascii="方正黑体_GBK" w:hAnsi="方正黑体_GBK" w:eastAsia="方正黑体_GBK" w:cs="方正黑体_GBK"/>
          <w:b w:val="0"/>
          <w:bCs/>
          <w:lang w:val="en-US" w:eastAsia="zh-CN"/>
        </w:rPr>
      </w:pPr>
      <w:r>
        <w:rPr>
          <w:rFonts w:hint="eastAsia"/>
          <w:b/>
          <w:bCs/>
          <w:lang w:val="en-US" w:eastAsia="zh-CN"/>
        </w:rPr>
        <w:t>1.4.4</w:t>
      </w:r>
      <w:r>
        <w:rPr>
          <w:rFonts w:hint="eastAsia"/>
          <w:b/>
          <w:bCs/>
        </w:rPr>
        <w:t>持续质量改进原则：</w:t>
      </w:r>
      <w:r>
        <w:rPr>
          <w:rFonts w:hint="eastAsia"/>
        </w:rPr>
        <w:t>建立服务质量评价与持续改进机制，不断提升药学服务的专业化、标准化、国际化水平。</w:t>
      </w:r>
    </w:p>
    <w:p>
      <w:pPr>
        <w:pStyle w:val="2"/>
        <w:keepNext w:val="0"/>
        <w:keepLines w:val="0"/>
        <w:pageBreakBefore w:val="0"/>
        <w:widowControl w:val="0"/>
        <w:kinsoku/>
        <w:wordWrap/>
        <w:overflowPunct/>
        <w:topLinePunct w:val="0"/>
        <w:autoSpaceDE/>
        <w:autoSpaceDN/>
        <w:bidi w:val="0"/>
        <w:adjustRightInd/>
        <w:snapToGrid/>
        <w:spacing w:before="0" w:beforeLines="0" w:after="0" w:afterAutospacing="0" w:line="560" w:lineRule="exact"/>
        <w:ind w:firstLine="640" w:firstLineChars="200"/>
        <w:textAlignment w:val="auto"/>
        <w:rPr>
          <w:rFonts w:hint="eastAsia" w:ascii="方正黑体_GBK" w:hAnsi="方正黑体_GBK" w:eastAsia="方正黑体_GBK" w:cs="方正黑体_GBK"/>
          <w:b w:val="0"/>
          <w:bCs/>
        </w:rPr>
      </w:pPr>
      <w:r>
        <w:rPr>
          <w:rFonts w:hint="eastAsia" w:ascii="方正黑体_GBK" w:hAnsi="方正黑体_GBK" w:eastAsia="方正黑体_GBK" w:cs="方正黑体_GBK"/>
          <w:b w:val="0"/>
          <w:bCs/>
          <w:lang w:val="en-US" w:eastAsia="zh-CN"/>
        </w:rPr>
        <w:t xml:space="preserve">2. </w:t>
      </w:r>
      <w:r>
        <w:rPr>
          <w:rFonts w:hint="eastAsia" w:ascii="方正黑体_GBK" w:hAnsi="方正黑体_GBK" w:eastAsia="方正黑体_GBK" w:cs="方正黑体_GBK"/>
          <w:b w:val="0"/>
          <w:bCs/>
        </w:rPr>
        <w:t>资源保障</w:t>
      </w:r>
    </w:p>
    <w:p>
      <w:pPr>
        <w:pStyle w:val="3"/>
        <w:keepNext w:val="0"/>
        <w:keepLines w:val="0"/>
        <w:bidi w:val="0"/>
        <w:spacing w:after="0" w:afterAutospacing="0" w:line="560" w:lineRule="exact"/>
        <w:ind w:firstLine="643" w:firstLineChars="200"/>
        <w:rPr>
          <w:rFonts w:hint="eastAsia"/>
        </w:rPr>
      </w:pPr>
      <w:r>
        <w:rPr>
          <w:rFonts w:hint="eastAsia"/>
        </w:rPr>
        <w:t>2.1 场所与设施</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2.1.1 </w:t>
      </w:r>
      <w:r>
        <w:rPr>
          <w:rFonts w:hint="eastAsia"/>
        </w:rPr>
        <w:t>双语服务场所</w:t>
      </w:r>
    </w:p>
    <w:p>
      <w:pPr>
        <w:numPr>
          <w:ilvl w:val="-1"/>
          <w:numId w:val="0"/>
        </w:numPr>
        <w:bidi w:val="0"/>
        <w:spacing w:beforeLines="0" w:after="0" w:afterLines="0" w:afterAutospacing="0" w:line="560" w:lineRule="exact"/>
        <w:ind w:left="0" w:leftChars="0" w:firstLine="640" w:firstLineChars="200"/>
        <w:rPr>
          <w:rFonts w:hint="eastAsia"/>
        </w:rPr>
      </w:pPr>
      <w:r>
        <w:rPr>
          <w:rFonts w:hint="eastAsia"/>
          <w:lang w:val="en-US" w:eastAsia="zh-CN"/>
        </w:rPr>
        <w:t xml:space="preserve">2.1.1.1 </w:t>
      </w:r>
      <w:r>
        <w:rPr>
          <w:rFonts w:hint="eastAsia"/>
        </w:rPr>
        <w:t>店招、营业时间牌宜标注中英文双语标识；</w:t>
      </w:r>
    </w:p>
    <w:p>
      <w:pPr>
        <w:numPr>
          <w:ilvl w:val="-1"/>
          <w:numId w:val="0"/>
        </w:numPr>
        <w:bidi w:val="0"/>
        <w:spacing w:beforeLines="0" w:after="0" w:afterLines="0" w:afterAutospacing="0" w:line="560" w:lineRule="exact"/>
        <w:ind w:left="0" w:leftChars="0" w:firstLine="640" w:firstLineChars="200"/>
        <w:rPr>
          <w:rFonts w:hint="eastAsia" w:ascii="仿宋_GB2312" w:hAnsi="仿宋_GB2312" w:eastAsia="仿宋_GB2312" w:cs="仿宋_GB2312"/>
          <w:sz w:val="32"/>
          <w:szCs w:val="32"/>
        </w:rPr>
      </w:pPr>
      <w:r>
        <w:rPr>
          <w:rFonts w:hint="eastAsia"/>
          <w:lang w:val="en-US" w:eastAsia="zh-CN"/>
        </w:rPr>
        <w:t xml:space="preserve">2.1.1.2 </w:t>
      </w:r>
      <w:r>
        <w:rPr>
          <w:rFonts w:hint="eastAsia"/>
        </w:rPr>
        <w:t>处方药区、非处方药区、中药区、冷链储存区</w:t>
      </w:r>
      <w:r>
        <w:rPr>
          <w:rFonts w:hint="eastAsia"/>
          <w:lang w:eastAsia="zh-CN"/>
        </w:rPr>
        <w:t>、</w:t>
      </w:r>
      <w:r>
        <w:rPr>
          <w:rFonts w:hint="eastAsia"/>
        </w:rPr>
        <w:t>非药品区等分区标识宜中英文双语；</w:t>
      </w:r>
    </w:p>
    <w:p>
      <w:pPr>
        <w:numPr>
          <w:ilvl w:val="-1"/>
          <w:numId w:val="0"/>
        </w:numPr>
        <w:bidi w:val="0"/>
        <w:spacing w:beforeLines="0" w:after="0" w:afterLines="0" w:afterAutospacing="0" w:line="560" w:lineRule="exact"/>
        <w:ind w:left="640" w:leftChars="200" w:firstLine="0" w:firstLineChars="0"/>
        <w:rPr>
          <w:rFonts w:hint="eastAsia" w:ascii="仿宋_GB2312" w:hAnsi="仿宋_GB2312" w:eastAsia="仿宋_GB2312" w:cs="仿宋_GB2312"/>
          <w:sz w:val="32"/>
          <w:szCs w:val="32"/>
        </w:rPr>
      </w:pPr>
      <w:r>
        <w:rPr>
          <w:rFonts w:hint="eastAsia"/>
          <w:lang w:val="en-US" w:eastAsia="zh-CN"/>
        </w:rPr>
        <w:t xml:space="preserve">2.1.1.3 </w:t>
      </w:r>
      <w:r>
        <w:rPr>
          <w:rFonts w:hint="eastAsia"/>
        </w:rPr>
        <w:t>服务流程指引、安全提示等宜中英文双语。</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2.1.2 </w:t>
      </w:r>
      <w:r>
        <w:rPr>
          <w:rFonts w:hint="eastAsia"/>
        </w:rPr>
        <w:t>多语种咨询服务能力</w:t>
      </w:r>
    </w:p>
    <w:p>
      <w:pPr>
        <w:spacing w:beforeLines="0" w:after="0" w:afterLines="0" w:afterAutospacing="0" w:line="560" w:lineRule="exact"/>
        <w:ind w:firstLine="640" w:firstLineChars="200"/>
        <w:rPr>
          <w:rFonts w:hint="eastAsia"/>
          <w:color w:val="auto"/>
        </w:rPr>
      </w:pPr>
      <w:r>
        <w:rPr>
          <w:rFonts w:hint="eastAsia" w:ascii="仿宋_GB2312" w:hAnsi="仿宋_GB2312" w:eastAsia="仿宋_GB2312"/>
          <w:color w:val="auto"/>
        </w:rPr>
        <w:t>鼓励药品零售企业根据所在区域外籍人士分布情况，依据自身能力配备常见语种服务能力，可采取以下形式：</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⑴现场配备具有相应语种能力的药师服务人员；</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⑵现场配置多语种AI智能问询终端；</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⑶</w:t>
      </w:r>
      <w:r>
        <w:rPr>
          <w:rFonts w:hint="eastAsia" w:cs="仿宋_GB2312"/>
          <w:color w:val="auto"/>
          <w:sz w:val="32"/>
          <w:szCs w:val="32"/>
          <w:lang w:eastAsia="zh-CN"/>
        </w:rPr>
        <w:t>配备</w:t>
      </w:r>
      <w:r>
        <w:rPr>
          <w:rFonts w:hint="eastAsia" w:ascii="仿宋_GB2312" w:hAnsi="仿宋_GB2312" w:eastAsia="仿宋_GB2312" w:cs="仿宋_GB2312"/>
          <w:color w:val="auto"/>
          <w:sz w:val="32"/>
          <w:szCs w:val="32"/>
        </w:rPr>
        <w:t>远程在线翻译服务平台。</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采用数字化</w:t>
      </w:r>
      <w:r>
        <w:rPr>
          <w:rFonts w:hint="eastAsia" w:cs="仿宋_GB2312"/>
          <w:color w:val="auto"/>
          <w:sz w:val="32"/>
          <w:szCs w:val="32"/>
          <w:lang w:val="en-US" w:eastAsia="zh-CN"/>
        </w:rPr>
        <w:t>智能</w:t>
      </w:r>
      <w:r>
        <w:rPr>
          <w:rFonts w:hint="eastAsia" w:ascii="仿宋_GB2312" w:hAnsi="仿宋_GB2312" w:eastAsia="仿宋_GB2312" w:cs="仿宋_GB2312"/>
          <w:color w:val="auto"/>
          <w:sz w:val="32"/>
          <w:szCs w:val="32"/>
        </w:rPr>
        <w:t>辅助方式的企业，</w:t>
      </w:r>
      <w:r>
        <w:rPr>
          <w:rFonts w:hint="eastAsia" w:cs="仿宋_GB2312"/>
          <w:color w:val="auto"/>
          <w:sz w:val="32"/>
          <w:szCs w:val="32"/>
          <w:lang w:eastAsia="zh-CN"/>
        </w:rPr>
        <w:t>应</w:t>
      </w:r>
      <w:r>
        <w:rPr>
          <w:rFonts w:hint="eastAsia" w:ascii="仿宋_GB2312" w:hAnsi="仿宋_GB2312" w:eastAsia="仿宋_GB2312" w:cs="仿宋_GB2312"/>
          <w:color w:val="auto"/>
          <w:sz w:val="32"/>
          <w:szCs w:val="32"/>
        </w:rPr>
        <w:t>确保翻译内容的准确性，并对关键用药信息的传达实行双确认（患者或购药者复述确认）。</w:t>
      </w:r>
    </w:p>
    <w:p>
      <w:pPr>
        <w:pStyle w:val="4"/>
        <w:keepNext w:val="0"/>
        <w:keepLines w:val="0"/>
        <w:bidi w:val="0"/>
        <w:spacing w:after="0" w:afterAutospacing="0" w:line="560" w:lineRule="exact"/>
        <w:ind w:firstLine="643" w:firstLineChars="200"/>
        <w:rPr>
          <w:rFonts w:hint="eastAsia"/>
          <w:highlight w:val="none"/>
        </w:rPr>
      </w:pPr>
      <w:r>
        <w:rPr>
          <w:rFonts w:hint="eastAsia"/>
          <w:highlight w:val="none"/>
          <w:lang w:val="en-US" w:eastAsia="zh-CN"/>
        </w:rPr>
        <w:t xml:space="preserve">2.1.3 </w:t>
      </w:r>
      <w:r>
        <w:rPr>
          <w:rFonts w:hint="eastAsia"/>
          <w:highlight w:val="none"/>
        </w:rPr>
        <w:t>药师</w:t>
      </w:r>
      <w:r>
        <w:rPr>
          <w:rFonts w:hint="eastAsia"/>
          <w:highlight w:val="none"/>
          <w:lang w:val="en-US" w:eastAsia="zh-CN"/>
        </w:rPr>
        <w:t>工作</w:t>
      </w:r>
      <w:r>
        <w:rPr>
          <w:rFonts w:hint="eastAsia"/>
          <w:highlight w:val="none"/>
        </w:rPr>
        <w:t>区</w:t>
      </w:r>
    </w:p>
    <w:p>
      <w:pPr>
        <w:spacing w:beforeLines="0" w:after="0" w:afterLines="0" w:afterAutospacing="0" w:line="560" w:lineRule="exact"/>
        <w:ind w:firstLine="640"/>
        <w:rPr>
          <w:rFonts w:ascii="仿宋_GB2312" w:hAnsi="仿宋_GB2312" w:eastAsia="仿宋_GB2312" w:cs="仿宋_GB2312"/>
          <w:color w:val="auto"/>
          <w:szCs w:val="32"/>
        </w:rPr>
      </w:pPr>
      <w:r>
        <w:rPr>
          <w:rFonts w:hint="eastAsia" w:ascii="仿宋_GB2312" w:hAnsi="仿宋_GB2312" w:eastAsia="仿宋_GB2312"/>
          <w:color w:val="auto"/>
        </w:rPr>
        <w:t>药品零售企业设立独立的药师工作区（相对独立区域，包括处方审核服务</w:t>
      </w:r>
      <w:r>
        <w:rPr>
          <w:rFonts w:hint="eastAsia" w:ascii="Cambria" w:hAnsi="Cambria" w:eastAsia="仿宋_GB2312" w:cs="Cambria"/>
          <w:color w:val="auto"/>
        </w:rPr>
        <w:t>区</w:t>
      </w:r>
      <w:r>
        <w:rPr>
          <w:rFonts w:hint="eastAsia" w:ascii="仿宋_GB2312" w:hAnsi="仿宋_GB2312" w:eastAsia="仿宋_GB2312"/>
          <w:color w:val="auto"/>
        </w:rPr>
        <w:t>），</w:t>
      </w:r>
      <w:r>
        <w:rPr>
          <w:rFonts w:hint="eastAsia" w:ascii="Cambria" w:hAnsi="Cambria" w:eastAsia="仿宋_GB2312" w:cs="Cambria"/>
          <w:color w:val="auto"/>
        </w:rPr>
        <w:t>咨询区应</w:t>
      </w:r>
      <w:r>
        <w:rPr>
          <w:rFonts w:hint="eastAsia" w:ascii="仿宋_GB2312" w:hAnsi="仿宋_GB2312" w:eastAsia="仿宋_GB2312"/>
          <w:color w:val="auto"/>
        </w:rPr>
        <w:t>保障患者咨询的隐私性。</w:t>
      </w:r>
    </w:p>
    <w:p>
      <w:pPr>
        <w:pStyle w:val="4"/>
        <w:keepNext w:val="0"/>
        <w:keepLines w:val="0"/>
        <w:bidi w:val="0"/>
        <w:spacing w:after="0" w:afterAutospacing="0" w:line="560" w:lineRule="exact"/>
        <w:ind w:firstLine="643" w:firstLineChars="200"/>
        <w:rPr>
          <w:rFonts w:hint="eastAsia"/>
          <w:highlight w:val="none"/>
        </w:rPr>
      </w:pPr>
      <w:r>
        <w:rPr>
          <w:rFonts w:hint="eastAsia"/>
          <w:highlight w:val="none"/>
          <w:lang w:val="en-US" w:eastAsia="zh-CN"/>
        </w:rPr>
        <w:t xml:space="preserve">2.1.4 </w:t>
      </w:r>
      <w:r>
        <w:rPr>
          <w:rFonts w:hint="eastAsia"/>
          <w:highlight w:val="none"/>
        </w:rPr>
        <w:t>中药调剂区</w:t>
      </w:r>
    </w:p>
    <w:p>
      <w:pPr>
        <w:bidi w:val="0"/>
        <w:spacing w:beforeLines="0" w:after="0" w:afterLines="0" w:afterAutospacing="0" w:line="560" w:lineRule="exact"/>
        <w:rPr>
          <w:rFonts w:hint="eastAsia" w:ascii="仿宋_GB2312" w:hAnsi="仿宋_GB2312" w:eastAsia="仿宋_GB2312" w:cs="仿宋_GB2312"/>
          <w:sz w:val="32"/>
          <w:szCs w:val="32"/>
          <w:highlight w:val="yellow"/>
          <w:lang w:eastAsia="zh-CN"/>
        </w:rPr>
      </w:pPr>
      <w:r>
        <w:rPr>
          <w:rFonts w:hint="eastAsia"/>
        </w:rPr>
        <w:t>提供中药饮片服务的企业专设中药饮片调剂区，配备符合要求的调剂台、年度检定校准的度量器具</w:t>
      </w:r>
      <w:r>
        <w:rPr>
          <w:rFonts w:hint="eastAsia"/>
          <w:strike w:val="0"/>
        </w:rPr>
        <w:t>（戥秤等）、粉碎机并依据条件装备代煎工具及通风设施</w:t>
      </w:r>
      <w:r>
        <w:rPr>
          <w:rFonts w:hint="eastAsia"/>
        </w:rPr>
        <w:t>。</w:t>
      </w:r>
    </w:p>
    <w:p>
      <w:pPr>
        <w:pStyle w:val="4"/>
        <w:keepNext w:val="0"/>
        <w:keepLines w:val="0"/>
        <w:bidi w:val="0"/>
        <w:spacing w:after="0" w:afterAutospacing="0" w:line="560" w:lineRule="exact"/>
        <w:ind w:firstLine="643" w:firstLineChars="200"/>
        <w:rPr>
          <w:rFonts w:hint="eastAsia"/>
          <w:color w:val="auto"/>
          <w:highlight w:val="none"/>
        </w:rPr>
      </w:pPr>
      <w:r>
        <w:rPr>
          <w:rFonts w:hint="eastAsia"/>
          <w:highlight w:val="none"/>
          <w:lang w:val="en-US" w:eastAsia="zh-CN"/>
        </w:rPr>
        <w:t>2.1</w:t>
      </w:r>
      <w:r>
        <w:rPr>
          <w:rFonts w:hint="eastAsia"/>
          <w:color w:val="auto"/>
          <w:highlight w:val="none"/>
          <w:lang w:val="en-US" w:eastAsia="zh-CN"/>
        </w:rPr>
        <w:t xml:space="preserve">.5 </w:t>
      </w:r>
      <w:r>
        <w:rPr>
          <w:rFonts w:hint="eastAsia"/>
          <w:color w:val="auto"/>
          <w:highlight w:val="none"/>
        </w:rPr>
        <w:t>冷链设施</w:t>
      </w:r>
    </w:p>
    <w:p>
      <w:pPr>
        <w:bidi w:val="0"/>
        <w:spacing w:beforeLines="0" w:after="0" w:afterLines="0" w:afterAutospacing="0" w:line="560" w:lineRule="exact"/>
        <w:rPr>
          <w:rFonts w:hint="eastAsia" w:ascii="仿宋_GB2312" w:hAnsi="仿宋_GB2312" w:eastAsia="仿宋_GB2312" w:cs="仿宋_GB2312"/>
          <w:sz w:val="32"/>
          <w:szCs w:val="32"/>
          <w:highlight w:val="none"/>
        </w:rPr>
      </w:pPr>
      <w:r>
        <w:rPr>
          <w:rFonts w:hint="eastAsia"/>
          <w:color w:val="auto"/>
        </w:rPr>
        <w:t>经营需冷藏保存药品的企业，</w:t>
      </w:r>
      <w:r>
        <w:rPr>
          <w:rFonts w:hint="eastAsia"/>
          <w:color w:val="auto"/>
          <w:lang w:val="en-US" w:eastAsia="zh-CN"/>
        </w:rPr>
        <w:t>应</w:t>
      </w:r>
      <w:r>
        <w:rPr>
          <w:rFonts w:hint="eastAsia"/>
        </w:rPr>
        <w:t>配备符合</w:t>
      </w:r>
      <w:r>
        <w:rPr>
          <w:rFonts w:hint="eastAsia"/>
          <w:highlight w:val="none"/>
          <w:lang w:eastAsia="zh-CN"/>
        </w:rPr>
        <w:t>《药品经营质量管理规范》要求</w:t>
      </w:r>
      <w:r>
        <w:rPr>
          <w:rFonts w:hint="eastAsia"/>
        </w:rPr>
        <w:t>的冷链储存设备</w:t>
      </w:r>
      <w:r>
        <w:rPr>
          <w:rFonts w:hint="eastAsia"/>
          <w:lang w:eastAsia="zh-CN"/>
        </w:rPr>
        <w:t>及连续自动采集温湿度数据的监测系统</w:t>
      </w:r>
      <w:r>
        <w:rPr>
          <w:rFonts w:hint="eastAsia"/>
          <w:highlight w:val="none"/>
        </w:rPr>
        <w:t>，</w:t>
      </w:r>
      <w:r>
        <w:rPr>
          <w:rFonts w:hint="eastAsia"/>
          <w:highlight w:val="none"/>
          <w:lang w:eastAsia="zh-CN"/>
        </w:rPr>
        <w:t>温湿度监测记录真实、完整、准确、有效和可追溯</w:t>
      </w:r>
      <w:r>
        <w:rPr>
          <w:rFonts w:hint="eastAsia"/>
          <w:highlight w:val="none"/>
        </w:rPr>
        <w:t>。</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2.1.6 </w:t>
      </w:r>
      <w:r>
        <w:rPr>
          <w:rFonts w:hint="eastAsia"/>
        </w:rPr>
        <w:t>无障碍设施</w:t>
      </w:r>
    </w:p>
    <w:p>
      <w:pPr>
        <w:bidi w:val="0"/>
        <w:spacing w:beforeLines="0" w:after="0" w:afterLines="0" w:afterAutospacing="0" w:line="560" w:lineRule="exact"/>
        <w:rPr>
          <w:rFonts w:hint="eastAsia"/>
        </w:rPr>
      </w:pPr>
      <w:r>
        <w:rPr>
          <w:rFonts w:hint="eastAsia"/>
        </w:rPr>
        <w:t>宜设置无障碍通道或便于助行器通行具有一定坡度的通道，配备老花镜、放大镜等适老化辅助工具，服务窗口高度宜方便轮椅使用者。</w:t>
      </w:r>
    </w:p>
    <w:p>
      <w:pPr>
        <w:pStyle w:val="4"/>
        <w:keepNext w:val="0"/>
        <w:keepLines w:val="0"/>
        <w:bidi w:val="0"/>
        <w:spacing w:after="0" w:afterAutospacing="0" w:line="560" w:lineRule="exact"/>
        <w:ind w:firstLine="643" w:firstLineChars="200"/>
        <w:rPr>
          <w:rFonts w:hint="eastAsia"/>
          <w:color w:val="auto"/>
          <w:lang w:val="en-US" w:eastAsia="zh-CN"/>
        </w:rPr>
      </w:pPr>
      <w:r>
        <w:rPr>
          <w:rFonts w:hint="eastAsia"/>
          <w:color w:val="auto"/>
          <w:lang w:val="en-US" w:eastAsia="zh-CN"/>
        </w:rPr>
        <w:t>2.1.7 过期药品</w:t>
      </w:r>
      <w:r>
        <w:rPr>
          <w:rFonts w:hint="eastAsia"/>
          <w:color w:val="auto"/>
        </w:rPr>
        <w:t>回收箱</w:t>
      </w:r>
    </w:p>
    <w:p>
      <w:pPr>
        <w:bidi w:val="0"/>
        <w:spacing w:beforeLines="0" w:after="0" w:afterLines="0" w:afterAutospacing="0" w:line="560" w:lineRule="exact"/>
        <w:rPr>
          <w:rFonts w:hint="eastAsia"/>
        </w:rPr>
      </w:pPr>
      <w:r>
        <w:rPr>
          <w:rFonts w:hint="eastAsia"/>
          <w:lang w:eastAsia="zh-CN"/>
        </w:rPr>
        <w:t>可</w:t>
      </w:r>
      <w:r>
        <w:rPr>
          <w:rFonts w:hint="eastAsia"/>
        </w:rPr>
        <w:t>在明显和合适的位置设置废药回收箱，集中回收社区周边家庭的过期药物，</w:t>
      </w:r>
      <w:r>
        <w:rPr>
          <w:rFonts w:hint="eastAsia"/>
          <w:lang w:eastAsia="zh-CN"/>
        </w:rPr>
        <w:t>按法规相关要求</w:t>
      </w:r>
      <w:r>
        <w:rPr>
          <w:rFonts w:hint="eastAsia"/>
        </w:rPr>
        <w:t>销毁。</w:t>
      </w:r>
    </w:p>
    <w:p>
      <w:pPr>
        <w:spacing w:beforeLines="0" w:after="0" w:afterLines="0" w:afterAutospacing="0" w:line="560" w:lineRule="exact"/>
        <w:rPr>
          <w:rFonts w:hint="eastAsia" w:ascii="仿宋_GB2312" w:hAnsi="仿宋_GB2312" w:eastAsia="仿宋_GB2312" w:cs="Times New Roman (正文 CS 字体)"/>
          <w:b/>
          <w:color w:val="auto"/>
          <w:sz w:val="32"/>
          <w:szCs w:val="24"/>
        </w:rPr>
      </w:pPr>
      <w:r>
        <w:rPr>
          <w:rFonts w:hint="eastAsia"/>
          <w:b/>
          <w:color w:val="auto"/>
          <w:lang w:val="en-US" w:eastAsia="zh-CN"/>
        </w:rPr>
        <w:t xml:space="preserve">2.2 </w:t>
      </w:r>
      <w:r>
        <w:rPr>
          <w:rFonts w:hint="eastAsia"/>
          <w:b/>
          <w:color w:val="auto"/>
        </w:rPr>
        <w:t>信息</w:t>
      </w:r>
      <w:r>
        <w:rPr>
          <w:rFonts w:hint="eastAsia"/>
          <w:b/>
          <w:color w:val="auto"/>
          <w:lang w:eastAsia="zh-CN"/>
        </w:rPr>
        <w:t>系统和数据库</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2.2.1 </w:t>
      </w:r>
      <w:r>
        <w:rPr>
          <w:rFonts w:hint="eastAsia"/>
          <w:highlight w:val="none"/>
          <w:lang w:eastAsia="zh-CN"/>
        </w:rPr>
        <w:t>患者用药档案</w:t>
      </w:r>
      <w:r>
        <w:rPr>
          <w:rFonts w:hint="eastAsia"/>
        </w:rPr>
        <w:t>系统</w:t>
      </w:r>
    </w:p>
    <w:p>
      <w:pPr>
        <w:bidi w:val="0"/>
        <w:spacing w:beforeLines="0" w:after="0" w:afterLines="0" w:afterAutospacing="0" w:line="560" w:lineRule="exact"/>
        <w:rPr>
          <w:rFonts w:hint="eastAsia"/>
        </w:rPr>
      </w:pPr>
      <w:r>
        <w:rPr>
          <w:rFonts w:hint="eastAsia"/>
          <w:lang w:eastAsia="zh-CN"/>
        </w:rPr>
        <w:t>药品零售企业</w:t>
      </w:r>
      <w:r>
        <w:rPr>
          <w:rFonts w:hint="eastAsia"/>
        </w:rPr>
        <w:t>宜建立</w:t>
      </w:r>
      <w:r>
        <w:rPr>
          <w:rFonts w:hint="eastAsia"/>
          <w:highlight w:val="none"/>
          <w:lang w:eastAsia="zh-CN"/>
        </w:rPr>
        <w:t>患者用药档案</w:t>
      </w:r>
      <w:r>
        <w:rPr>
          <w:rFonts w:hint="eastAsia"/>
          <w:highlight w:val="none"/>
        </w:rPr>
        <w:t>系统，</w:t>
      </w:r>
      <w:r>
        <w:rPr>
          <w:rFonts w:hint="eastAsia"/>
        </w:rPr>
        <w:t>支持中英文录入，具备不良反应收集、报告等相关数据模块（库）。</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2.2.2 </w:t>
      </w:r>
      <w:r>
        <w:rPr>
          <w:rFonts w:hint="eastAsia"/>
        </w:rPr>
        <w:t>合理用药数据库</w:t>
      </w:r>
    </w:p>
    <w:p>
      <w:pPr>
        <w:bidi w:val="0"/>
        <w:spacing w:beforeLines="0" w:after="0" w:afterLines="0" w:afterAutospacing="0" w:line="560" w:lineRule="exact"/>
        <w:rPr>
          <w:rFonts w:hint="eastAsia"/>
        </w:rPr>
      </w:pPr>
      <w:r>
        <w:rPr>
          <w:rFonts w:hint="eastAsia"/>
          <w:lang w:eastAsia="zh-CN"/>
        </w:rPr>
        <w:t>药品零售企业宜</w:t>
      </w:r>
      <w:r>
        <w:rPr>
          <w:rFonts w:hint="eastAsia"/>
        </w:rPr>
        <w:t>配备合理用药数据库，包括但不限于：</w:t>
      </w:r>
    </w:p>
    <w:p>
      <w:pPr>
        <w:numPr>
          <w:ilvl w:val="-1"/>
          <w:numId w:val="0"/>
        </w:numPr>
        <w:bidi w:val="0"/>
        <w:spacing w:beforeLines="0" w:after="0" w:afterLines="0" w:afterAutospacing="0" w:line="560" w:lineRule="exact"/>
        <w:ind w:left="640" w:leftChars="200" w:firstLine="0" w:firstLineChars="0"/>
        <w:rPr>
          <w:rFonts w:hint="eastAsia"/>
        </w:rPr>
      </w:pPr>
      <w:r>
        <w:rPr>
          <w:rFonts w:hint="eastAsia" w:ascii="方正书宋_GBK" w:hAnsi="方正书宋_GBK" w:eastAsia="方正书宋_GBK" w:cs="方正书宋_GBK"/>
        </w:rPr>
        <w:t>⑴</w:t>
      </w:r>
      <w:r>
        <w:rPr>
          <w:rFonts w:hint="eastAsia"/>
        </w:rPr>
        <w:t>药品说明书数据库；</w:t>
      </w:r>
    </w:p>
    <w:p>
      <w:pPr>
        <w:numPr>
          <w:ilvl w:val="-1"/>
          <w:numId w:val="0"/>
        </w:numPr>
        <w:bidi w:val="0"/>
        <w:spacing w:beforeLines="0" w:after="0" w:afterLines="0" w:afterAutospacing="0" w:line="560" w:lineRule="exact"/>
        <w:ind w:left="640" w:leftChars="200" w:firstLine="0" w:firstLineChars="0"/>
        <w:rPr>
          <w:rFonts w:hint="eastAsia"/>
        </w:rPr>
      </w:pPr>
      <w:r>
        <w:rPr>
          <w:rFonts w:hint="eastAsia" w:ascii="方正书宋_GBK" w:hAnsi="方正书宋_GBK" w:eastAsia="方正书宋_GBK" w:cs="方正书宋_GBK"/>
        </w:rPr>
        <w:t>⑵</w:t>
      </w:r>
      <w:r>
        <w:rPr>
          <w:rFonts w:hint="eastAsia"/>
        </w:rPr>
        <w:t>临床用药工具书；</w:t>
      </w:r>
    </w:p>
    <w:p>
      <w:pPr>
        <w:numPr>
          <w:ilvl w:val="-1"/>
          <w:numId w:val="0"/>
        </w:numPr>
        <w:bidi w:val="0"/>
        <w:spacing w:beforeLines="0" w:after="0" w:afterLines="0" w:afterAutospacing="0" w:line="560" w:lineRule="exact"/>
        <w:ind w:left="640" w:leftChars="200" w:firstLine="0" w:firstLineChars="0"/>
        <w:rPr>
          <w:rFonts w:hint="eastAsia"/>
        </w:rPr>
      </w:pPr>
      <w:r>
        <w:rPr>
          <w:rFonts w:hint="eastAsia" w:ascii="方正书宋_GBK" w:hAnsi="方正书宋_GBK" w:eastAsia="方正书宋_GBK" w:cs="方正书宋_GBK"/>
        </w:rPr>
        <w:t>⑶</w:t>
      </w:r>
      <w:r>
        <w:rPr>
          <w:rFonts w:hint="eastAsia"/>
        </w:rPr>
        <w:t>药物相互作用查询工具；</w:t>
      </w:r>
    </w:p>
    <w:p>
      <w:pPr>
        <w:numPr>
          <w:ilvl w:val="-1"/>
          <w:numId w:val="0"/>
        </w:numPr>
        <w:bidi w:val="0"/>
        <w:spacing w:beforeLines="0" w:after="0" w:afterLines="0" w:afterAutospacing="0" w:line="560" w:lineRule="exact"/>
        <w:ind w:left="640" w:leftChars="200" w:firstLine="0" w:firstLineChars="0"/>
        <w:rPr>
          <w:rFonts w:hint="eastAsia"/>
        </w:rPr>
      </w:pPr>
      <w:r>
        <w:rPr>
          <w:rFonts w:hint="eastAsia" w:ascii="方正书宋_GBK" w:hAnsi="方正书宋_GBK" w:eastAsia="方正书宋_GBK" w:cs="方正书宋_GBK"/>
          <w:lang w:val="en-US" w:eastAsia="zh-CN"/>
        </w:rPr>
        <w:t>⑷</w:t>
      </w:r>
      <w:r>
        <w:rPr>
          <w:rFonts w:hint="eastAsia"/>
          <w:lang w:val="en-US" w:eastAsia="zh-CN"/>
        </w:rPr>
        <w:t>常见</w:t>
      </w:r>
      <w:r>
        <w:rPr>
          <w:rFonts w:hint="eastAsia"/>
        </w:rPr>
        <w:t>药物配伍禁忌筛查功能；</w:t>
      </w:r>
    </w:p>
    <w:p>
      <w:pPr>
        <w:numPr>
          <w:ilvl w:val="-1"/>
          <w:numId w:val="0"/>
        </w:numPr>
        <w:bidi w:val="0"/>
        <w:spacing w:beforeLines="0" w:after="0" w:afterLines="0" w:afterAutospacing="0" w:line="560" w:lineRule="exact"/>
        <w:ind w:left="640" w:leftChars="200" w:firstLine="0" w:firstLineChars="0"/>
        <w:rPr>
          <w:rFonts w:hint="eastAsia"/>
        </w:rPr>
      </w:pPr>
      <w:r>
        <w:rPr>
          <w:rFonts w:hint="eastAsia" w:ascii="方正书宋_GBK" w:hAnsi="方正书宋_GBK" w:eastAsia="方正书宋_GBK" w:cs="方正书宋_GBK"/>
        </w:rPr>
        <w:t>⑸</w:t>
      </w:r>
      <w:r>
        <w:rPr>
          <w:rFonts w:hint="eastAsia"/>
        </w:rPr>
        <w:t>中西药相互作用知识库；</w:t>
      </w:r>
    </w:p>
    <w:p>
      <w:pPr>
        <w:numPr>
          <w:ilvl w:val="-1"/>
          <w:numId w:val="0"/>
        </w:numPr>
        <w:bidi w:val="0"/>
        <w:spacing w:beforeLines="0" w:after="0" w:afterLines="0" w:afterAutospacing="0" w:line="560" w:lineRule="exact"/>
        <w:ind w:left="0" w:leftChars="0" w:firstLine="640" w:firstLineChars="200"/>
        <w:rPr>
          <w:rFonts w:hint="eastAsia" w:ascii="仿宋_GB2312" w:hAnsi="仿宋_GB2312" w:eastAsia="仿宋_GB2312" w:cs="仿宋_GB2312"/>
          <w:b w:val="0"/>
          <w:bCs w:val="0"/>
          <w:color w:val="auto"/>
          <w:sz w:val="32"/>
          <w:szCs w:val="32"/>
        </w:rPr>
      </w:pPr>
      <w:r>
        <w:rPr>
          <w:rFonts w:hint="eastAsia" w:ascii="方正书宋_GBK" w:hAnsi="方正书宋_GBK" w:eastAsia="方正书宋_GBK" w:cs="方正书宋_GBK"/>
          <w:b w:val="0"/>
          <w:bCs w:val="0"/>
          <w:color w:val="auto"/>
        </w:rPr>
        <w:t>⑹</w:t>
      </w:r>
      <w:r>
        <w:rPr>
          <w:rFonts w:hint="eastAsia"/>
          <w:b w:val="0"/>
          <w:bCs w:val="0"/>
          <w:color w:val="auto"/>
        </w:rPr>
        <w:t>特殊人群（儿童、孕或哺乳妇女、老年人、肝肾功能不全者）用药参考</w:t>
      </w:r>
      <w:r>
        <w:rPr>
          <w:rFonts w:hint="eastAsia"/>
          <w:b w:val="0"/>
          <w:bCs w:val="0"/>
          <w:color w:val="auto"/>
          <w:lang w:eastAsia="zh-CN"/>
        </w:rPr>
        <w:t>；</w:t>
      </w:r>
    </w:p>
    <w:p>
      <w:pPr>
        <w:numPr>
          <w:ilvl w:val="-1"/>
          <w:numId w:val="0"/>
        </w:numPr>
        <w:spacing w:beforeLines="0" w:after="0" w:afterLines="0" w:afterAutospacing="0" w:line="560" w:lineRule="exact"/>
        <w:ind w:firstLine="640" w:firstLineChars="200"/>
        <w:rPr>
          <w:rFonts w:hint="eastAsia" w:ascii="仿宋_GB2312" w:hAnsi="仿宋_GB2312" w:eastAsia="仿宋_GB2312" w:cs="仿宋_GB2312"/>
          <w:b w:val="0"/>
          <w:bCs w:val="0"/>
          <w:color w:val="auto"/>
          <w:sz w:val="32"/>
          <w:szCs w:val="32"/>
        </w:rPr>
      </w:pPr>
      <w:r>
        <w:rPr>
          <w:rFonts w:hint="eastAsia" w:ascii="方正书宋_GBK" w:hAnsi="方正书宋_GBK" w:eastAsia="方正书宋_GBK" w:cs="方正书宋_GBK"/>
          <w:color w:val="auto"/>
        </w:rPr>
        <w:t>⑺</w:t>
      </w:r>
      <w:r>
        <w:rPr>
          <w:rFonts w:hint="eastAsia"/>
          <w:color w:val="auto"/>
        </w:rPr>
        <w:t>常见OTC中西药物关键信息（用药指导）的英文翻译参考</w:t>
      </w:r>
      <w:r>
        <w:rPr>
          <w:rFonts w:hint="eastAsia"/>
          <w:color w:val="auto"/>
          <w:lang w:eastAsia="zh-CN"/>
        </w:rPr>
        <w:t>。</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2.2.3 </w:t>
      </w:r>
      <w:r>
        <w:rPr>
          <w:rFonts w:hint="eastAsia"/>
        </w:rPr>
        <w:t>多语种资料</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药品零售企业</w:t>
      </w:r>
      <w:r>
        <w:rPr>
          <w:rFonts w:hint="eastAsia" w:cs="仿宋_GB2312"/>
          <w:color w:val="auto"/>
          <w:sz w:val="32"/>
          <w:szCs w:val="32"/>
          <w:lang w:eastAsia="zh-CN"/>
        </w:rPr>
        <w:t>可</w:t>
      </w:r>
      <w:r>
        <w:rPr>
          <w:rFonts w:hint="eastAsia" w:ascii="仿宋_GB2312" w:hAnsi="仿宋_GB2312" w:eastAsia="仿宋_GB2312" w:cs="仿宋_GB2312"/>
          <w:color w:val="auto"/>
          <w:sz w:val="32"/>
          <w:szCs w:val="32"/>
        </w:rPr>
        <w:t>配备常用药品的多语种用药指导资料，至少包括中英文版本，并根据需要配置其他语种资料。</w:t>
      </w:r>
    </w:p>
    <w:p>
      <w:pPr>
        <w:keepNext w:val="0"/>
        <w:keepLines w:val="0"/>
        <w:bidi w:val="0"/>
        <w:spacing w:beforeLines="0" w:after="0" w:afterLines="0" w:afterAutospacing="0" w:line="560" w:lineRule="exact"/>
        <w:ind w:firstLine="643" w:firstLineChars="200"/>
        <w:rPr>
          <w:rFonts w:hint="eastAsia"/>
          <w:b/>
        </w:rPr>
      </w:pPr>
      <w:r>
        <w:rPr>
          <w:rFonts w:hint="eastAsia"/>
          <w:b/>
        </w:rPr>
        <w:t>2.3 标识</w:t>
      </w:r>
      <w:r>
        <w:rPr>
          <w:rFonts w:hint="eastAsia"/>
          <w:b/>
          <w:lang w:eastAsia="zh-CN"/>
        </w:rPr>
        <w:t>与</w:t>
      </w:r>
      <w:r>
        <w:rPr>
          <w:rFonts w:hint="eastAsia"/>
          <w:b/>
        </w:rPr>
        <w:t>指引</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2.3.1 </w:t>
      </w:r>
      <w:r>
        <w:rPr>
          <w:rFonts w:hint="eastAsia"/>
        </w:rPr>
        <w:t>门面标识</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val="en-US" w:eastAsia="zh-CN"/>
        </w:rPr>
        <w:t>2.3.1.1</w:t>
      </w:r>
      <w:r>
        <w:rPr>
          <w:rFonts w:hint="eastAsia" w:ascii="仿宋_GB2312" w:hAnsi="仿宋_GB2312" w:eastAsia="仿宋_GB2312" w:cs="仿宋_GB2312"/>
          <w:color w:val="auto"/>
          <w:sz w:val="32"/>
          <w:szCs w:val="32"/>
        </w:rPr>
        <w:t>药品零售企业在门店入口处显著位置设置企业标识，标识内容包含：</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⑴</w:t>
      </w:r>
      <w:r>
        <w:rPr>
          <w:rFonts w:hint="eastAsia" w:ascii="仿宋_GB2312" w:hAnsi="仿宋_GB2312" w:eastAsia="仿宋_GB2312" w:cs="仿宋_GB2312"/>
          <w:sz w:val="32"/>
          <w:szCs w:val="32"/>
        </w:rPr>
        <w:t>企业名称（中</w:t>
      </w:r>
      <w:r>
        <w:rPr>
          <w:rFonts w:hint="eastAsia" w:ascii="仿宋_GB2312" w:hAnsi="仿宋_GB2312" w:eastAsia="仿宋_GB2312" w:cs="仿宋_GB2312"/>
          <w:color w:val="auto"/>
          <w:sz w:val="32"/>
          <w:szCs w:val="32"/>
        </w:rPr>
        <w:t>英文双语对照）；</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⑵</w:t>
      </w:r>
      <w:r>
        <w:rPr>
          <w:rFonts w:hint="eastAsia" w:ascii="仿宋_GB2312" w:hAnsi="仿宋_GB2312" w:eastAsia="仿宋_GB2312" w:cs="仿宋_GB2312"/>
          <w:sz w:val="32"/>
          <w:szCs w:val="32"/>
        </w:rPr>
        <w:t>营业时间（中英文双语，采用24小时制或明确标注AM/PM）；</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⑶</w:t>
      </w:r>
      <w:r>
        <w:rPr>
          <w:rFonts w:hint="eastAsia" w:ascii="仿宋_GB2312" w:hAnsi="仿宋_GB2312" w:eastAsia="仿宋_GB2312" w:cs="仿宋_GB2312"/>
          <w:sz w:val="32"/>
          <w:szCs w:val="32"/>
        </w:rPr>
        <w:t>“国际</w:t>
      </w:r>
      <w:r>
        <w:rPr>
          <w:rFonts w:hint="eastAsia" w:cs="仿宋_GB2312"/>
          <w:sz w:val="32"/>
          <w:szCs w:val="32"/>
          <w:lang w:val="en-US" w:eastAsia="zh-CN"/>
        </w:rPr>
        <w:t>化</w:t>
      </w:r>
      <w:r>
        <w:rPr>
          <w:rFonts w:hint="eastAsia" w:ascii="仿宋_GB2312" w:hAnsi="仿宋_GB2312" w:eastAsia="仿宋_GB2312" w:cs="仿宋_GB2312"/>
          <w:sz w:val="32"/>
          <w:szCs w:val="32"/>
        </w:rPr>
        <w:t>药学服务”专有标识（由海南省药品监督管理局统一设计，用于认证企业专属标识）；</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⑷</w:t>
      </w:r>
      <w:r>
        <w:rPr>
          <w:rFonts w:hint="eastAsia" w:ascii="仿宋_GB2312" w:hAnsi="仿宋_GB2312" w:eastAsia="仿宋_GB2312" w:cs="仿宋_GB2312"/>
          <w:sz w:val="32"/>
          <w:szCs w:val="32"/>
        </w:rPr>
        <w:t>服务电话（标注国际拨打格式：+86-XXX-XXXXXXXX）</w:t>
      </w:r>
      <w:r>
        <w:rPr>
          <w:rFonts w:hint="eastAsia"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left="0" w:leftChars="0"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紧急（应急）电话：+86-XXX-XXXXXXXX</w:t>
      </w:r>
      <w:r>
        <w:rPr>
          <w:rFonts w:hint="eastAsia" w:cs="仿宋_GB2312"/>
          <w:sz w:val="32"/>
          <w:szCs w:val="32"/>
          <w:lang w:eastAsia="zh-CN"/>
        </w:rPr>
        <w:t>。</w:t>
      </w:r>
    </w:p>
    <w:p>
      <w:pPr>
        <w:bidi w:val="0"/>
        <w:spacing w:beforeLines="0" w:after="0" w:afterLines="0" w:afterAutospacing="0" w:line="560" w:lineRule="exact"/>
        <w:ind w:left="0" w:leftChars="0" w:firstLine="640" w:firstLineChars="200"/>
        <w:rPr>
          <w:rFonts w:hint="eastAsia"/>
        </w:rPr>
      </w:pPr>
      <w:r>
        <w:rPr>
          <w:rFonts w:hint="eastAsia"/>
          <w:lang w:val="en-US" w:eastAsia="zh-CN"/>
        </w:rPr>
        <w:t xml:space="preserve">2.3.1.2 </w:t>
      </w:r>
      <w:r>
        <w:rPr>
          <w:rFonts w:hint="eastAsia"/>
        </w:rPr>
        <w:t>企业标识宜清晰、完整、无遮挡，夜间营业的宜配备照明设施。</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 xml:space="preserve">2.3.1.3 </w:t>
      </w:r>
      <w:r>
        <w:rPr>
          <w:rFonts w:hint="eastAsia" w:ascii="仿宋_GB2312" w:hAnsi="仿宋_GB2312" w:eastAsia="仿宋_GB2312" w:cs="仿宋_GB2312"/>
          <w:sz w:val="32"/>
          <w:szCs w:val="32"/>
        </w:rPr>
        <w:t>入口处设置中英文双语</w:t>
      </w:r>
      <w:r>
        <w:rPr>
          <w:rFonts w:hint="eastAsia" w:cs="仿宋_GB2312"/>
          <w:sz w:val="32"/>
          <w:szCs w:val="32"/>
          <w:lang w:eastAsia="zh-CN"/>
        </w:rPr>
        <w:t>营业</w:t>
      </w:r>
      <w:r>
        <w:rPr>
          <w:rFonts w:hint="eastAsia" w:ascii="仿宋_GB2312" w:hAnsi="仿宋_GB2312" w:eastAsia="仿宋_GB2312" w:cs="仿宋_GB2312"/>
          <w:sz w:val="32"/>
          <w:szCs w:val="32"/>
        </w:rPr>
        <w:t>状态标识。</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2.3.2 </w:t>
      </w:r>
      <w:r>
        <w:rPr>
          <w:rFonts w:hint="eastAsia"/>
        </w:rPr>
        <w:t>执业信息公示</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 xml:space="preserve">2.3.2.1 </w:t>
      </w:r>
      <w:r>
        <w:rPr>
          <w:rFonts w:hint="eastAsia" w:cs="仿宋_GB2312"/>
          <w:sz w:val="32"/>
          <w:szCs w:val="32"/>
          <w:lang w:eastAsia="zh-CN"/>
        </w:rPr>
        <w:t>药品零售企业可</w:t>
      </w:r>
      <w:r>
        <w:rPr>
          <w:rFonts w:hint="eastAsia" w:ascii="仿宋_GB2312" w:hAnsi="仿宋_GB2312" w:eastAsia="仿宋_GB2312" w:cs="仿宋_GB2312"/>
          <w:sz w:val="32"/>
          <w:szCs w:val="32"/>
        </w:rPr>
        <w:t>在营业场所显著位置设置执业信息公示栏（中英文双语），公示栏设置在入口处或咨询区附近，确保患者进店后即可看到</w:t>
      </w:r>
      <w:r>
        <w:rPr>
          <w:rFonts w:hint="eastAsia" w:cs="仿宋_GB2312"/>
          <w:sz w:val="32"/>
          <w:szCs w:val="32"/>
          <w:lang w:eastAsia="zh-CN"/>
        </w:rPr>
        <w:t>，</w:t>
      </w:r>
      <w:r>
        <w:rPr>
          <w:rFonts w:hint="eastAsia" w:ascii="仿宋_GB2312" w:hAnsi="仿宋_GB2312" w:eastAsia="仿宋_GB2312" w:cs="仿宋_GB2312"/>
          <w:sz w:val="32"/>
          <w:szCs w:val="32"/>
        </w:rPr>
        <w:t>公示内容包括：</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⑴</w:t>
      </w:r>
      <w:r>
        <w:rPr>
          <w:rFonts w:hint="eastAsia" w:ascii="仿宋_GB2312" w:hAnsi="仿宋_GB2312" w:eastAsia="仿宋_GB2312" w:cs="仿宋_GB2312"/>
          <w:sz w:val="32"/>
          <w:szCs w:val="32"/>
        </w:rPr>
        <w:t>营业执照（正本）；</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⑵</w:t>
      </w:r>
      <w:r>
        <w:rPr>
          <w:rFonts w:hint="eastAsia" w:ascii="仿宋_GB2312" w:hAnsi="仿宋_GB2312" w:eastAsia="仿宋_GB2312" w:cs="仿宋_GB2312"/>
          <w:sz w:val="32"/>
          <w:szCs w:val="32"/>
        </w:rPr>
        <w:t>《药品经营许可证》（正本）；</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⑶</w:t>
      </w:r>
      <w:r>
        <w:rPr>
          <w:rFonts w:hint="eastAsia" w:ascii="仿宋_GB2312" w:hAnsi="仿宋_GB2312" w:eastAsia="仿宋_GB2312" w:cs="仿宋_GB2312"/>
          <w:sz w:val="32"/>
          <w:szCs w:val="32"/>
        </w:rPr>
        <w:t>主要负责人执业药师注册证；</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方正书宋_GBK" w:hAnsi="方正书宋_GBK" w:eastAsia="方正书宋_GBK" w:cs="方正书宋_GBK"/>
          <w:color w:val="auto"/>
          <w:sz w:val="32"/>
          <w:szCs w:val="32"/>
        </w:rPr>
        <w:t>⑷</w:t>
      </w:r>
      <w:r>
        <w:rPr>
          <w:rFonts w:hint="eastAsia" w:ascii="仿宋_GB2312" w:hAnsi="仿宋_GB2312" w:eastAsia="仿宋_GB2312" w:cs="仿宋_GB2312"/>
          <w:color w:val="auto"/>
          <w:sz w:val="32"/>
          <w:szCs w:val="32"/>
        </w:rPr>
        <w:t>所有在岗执业药师的姓名、照片、执业资格、注册证号、</w:t>
      </w:r>
      <w:bookmarkStart w:id="0" w:name="OLE_LINK1"/>
      <w:r>
        <w:rPr>
          <w:rFonts w:hint="eastAsia" w:ascii="仿宋_GB2312" w:hAnsi="仿宋_GB2312" w:eastAsia="仿宋_GB2312" w:cs="仿宋_GB2312"/>
          <w:color w:val="auto"/>
          <w:sz w:val="32"/>
          <w:szCs w:val="32"/>
        </w:rPr>
        <w:t>执业类别（中英文双语）</w:t>
      </w:r>
      <w:bookmarkEnd w:id="0"/>
      <w:r>
        <w:rPr>
          <w:rFonts w:hint="eastAsia" w:ascii="仿宋_GB2312" w:hAnsi="仿宋_GB2312" w:eastAsia="仿宋_GB2312" w:cs="仿宋_GB2312"/>
          <w:color w:val="auto"/>
          <w:sz w:val="32"/>
          <w:szCs w:val="32"/>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color w:val="auto"/>
          <w:sz w:val="32"/>
          <w:szCs w:val="32"/>
          <w:lang w:eastAsia="zh-CN"/>
        </w:rPr>
      </w:pPr>
      <w:r>
        <w:rPr>
          <w:rFonts w:hint="eastAsia" w:ascii="方正书宋_GBK" w:hAnsi="方正书宋_GBK" w:eastAsia="方正书宋_GBK" w:cs="方正书宋_GBK"/>
          <w:color w:val="auto"/>
          <w:sz w:val="32"/>
          <w:szCs w:val="32"/>
        </w:rPr>
        <w:t>⑸</w:t>
      </w:r>
      <w:r>
        <w:rPr>
          <w:rFonts w:hint="eastAsia" w:ascii="仿宋_GB2312" w:hAnsi="仿宋_GB2312" w:eastAsia="仿宋_GB2312" w:cs="仿宋_GB2312"/>
          <w:color w:val="auto"/>
          <w:sz w:val="32"/>
          <w:szCs w:val="32"/>
        </w:rPr>
        <w:t>当日值班</w:t>
      </w:r>
      <w:r>
        <w:rPr>
          <w:rFonts w:hint="eastAsia" w:cs="仿宋_GB2312"/>
          <w:color w:val="auto"/>
          <w:sz w:val="32"/>
          <w:szCs w:val="32"/>
          <w:lang w:eastAsia="zh-CN"/>
        </w:rPr>
        <w:t>执业</w:t>
      </w:r>
      <w:r>
        <w:rPr>
          <w:rFonts w:hint="eastAsia" w:ascii="仿宋_GB2312" w:hAnsi="仿宋_GB2312" w:eastAsia="仿宋_GB2312" w:cs="仿宋_GB2312"/>
          <w:color w:val="auto"/>
          <w:sz w:val="32"/>
          <w:szCs w:val="32"/>
        </w:rPr>
        <w:t>药师信息及工牌（含姓名、照片、资质）</w:t>
      </w:r>
      <w:r>
        <w:rPr>
          <w:rFonts w:hint="eastAsia" w:cs="仿宋_GB2312"/>
          <w:color w:val="auto"/>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val="en-US" w:eastAsia="zh-CN"/>
        </w:rPr>
        <w:t xml:space="preserve">2.3.2.2 </w:t>
      </w:r>
      <w:r>
        <w:rPr>
          <w:rFonts w:hint="eastAsia" w:ascii="仿宋_GB2312" w:hAnsi="仿宋_GB2312" w:eastAsia="仿宋_GB2312" w:cs="仿宋_GB2312"/>
          <w:color w:val="auto"/>
          <w:sz w:val="32"/>
          <w:szCs w:val="32"/>
        </w:rPr>
        <w:t>执业药师在岗期间佩戴</w:t>
      </w:r>
      <w:r>
        <w:rPr>
          <w:rFonts w:hint="eastAsia" w:cs="仿宋_GB2312"/>
          <w:color w:val="auto"/>
          <w:sz w:val="32"/>
          <w:szCs w:val="32"/>
          <w:lang w:eastAsia="zh-CN"/>
        </w:rPr>
        <w:t>工作牌，工作牌</w:t>
      </w:r>
      <w:r>
        <w:rPr>
          <w:rFonts w:hint="eastAsia" w:ascii="仿宋_GB2312" w:hAnsi="仿宋_GB2312" w:eastAsia="仿宋_GB2312" w:cs="仿宋_GB2312"/>
          <w:color w:val="auto"/>
          <w:sz w:val="32"/>
          <w:szCs w:val="32"/>
        </w:rPr>
        <w:t>宜包含执业药师姓名（中英文</w:t>
      </w:r>
      <w:r>
        <w:rPr>
          <w:rFonts w:hint="eastAsia" w:cs="仿宋_GB2312"/>
          <w:color w:val="auto"/>
          <w:sz w:val="32"/>
          <w:szCs w:val="32"/>
          <w:lang w:eastAsia="zh-CN"/>
        </w:rPr>
        <w:t>双语</w:t>
      </w:r>
      <w:r>
        <w:rPr>
          <w:rFonts w:hint="eastAsia" w:ascii="仿宋_GB2312" w:hAnsi="仿宋_GB2312" w:eastAsia="仿宋_GB2312" w:cs="仿宋_GB2312"/>
          <w:color w:val="auto"/>
          <w:sz w:val="32"/>
          <w:szCs w:val="32"/>
        </w:rPr>
        <w:t>）</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照片</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执业单位名称。</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 xml:space="preserve">2.3.2.3 </w:t>
      </w:r>
      <w:r>
        <w:rPr>
          <w:rFonts w:hint="eastAsia" w:ascii="仿宋_GB2312" w:hAnsi="仿宋_GB2312" w:eastAsia="仿宋_GB2312" w:cs="仿宋_GB2312"/>
          <w:sz w:val="32"/>
          <w:szCs w:val="32"/>
        </w:rPr>
        <w:t>设置执业药师在岗执业或不在岗执业提示牌（中英文双语）。</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2.3.3 </w:t>
      </w:r>
      <w:r>
        <w:rPr>
          <w:rFonts w:hint="eastAsia"/>
        </w:rPr>
        <w:t>药师</w:t>
      </w:r>
      <w:r>
        <w:rPr>
          <w:rFonts w:hint="eastAsia"/>
          <w:lang w:val="en-US" w:eastAsia="zh-CN"/>
        </w:rPr>
        <w:t>工作</w:t>
      </w:r>
      <w:r>
        <w:rPr>
          <w:rFonts w:hint="eastAsia"/>
        </w:rPr>
        <w:t>区</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 xml:space="preserve">2.3.3.1 </w:t>
      </w:r>
      <w:r>
        <w:rPr>
          <w:rFonts w:hint="eastAsia" w:ascii="仿宋_GB2312" w:hAnsi="仿宋_GB2312" w:eastAsia="仿宋_GB2312" w:cs="仿宋_GB2312"/>
          <w:sz w:val="32"/>
          <w:szCs w:val="32"/>
        </w:rPr>
        <w:t>处方审核调剂区设置独立工作台，与其他区域有明显区分。</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 xml:space="preserve">2.3.3.2 </w:t>
      </w:r>
      <w:r>
        <w:rPr>
          <w:rFonts w:hint="eastAsia" w:ascii="仿宋_GB2312" w:hAnsi="仿宋_GB2312" w:eastAsia="仿宋_GB2312" w:cs="仿宋_GB2312"/>
          <w:sz w:val="32"/>
          <w:szCs w:val="32"/>
        </w:rPr>
        <w:t>处方审核调剂区设置“处方审核区”标识（中英文双语）。</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 xml:space="preserve">2.3.3.3 </w:t>
      </w:r>
      <w:r>
        <w:rPr>
          <w:rFonts w:hint="eastAsia" w:cs="仿宋_GB2312"/>
          <w:color w:val="auto"/>
          <w:szCs w:val="32"/>
        </w:rPr>
        <w:t>药师</w:t>
      </w:r>
      <w:r>
        <w:rPr>
          <w:rFonts w:hint="eastAsia" w:ascii="Cambria" w:hAnsi="Cambria" w:cs="Cambria"/>
          <w:color w:val="auto"/>
          <w:szCs w:val="32"/>
        </w:rPr>
        <w:t>咨询</w:t>
      </w:r>
      <w:r>
        <w:rPr>
          <w:rFonts w:hint="eastAsia" w:cs="仿宋_GB2312"/>
          <w:color w:val="auto"/>
          <w:szCs w:val="32"/>
        </w:rPr>
        <w:t>区符合以下要求：</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jc w:val="left"/>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lang w:eastAsia="zh-CN"/>
        </w:rPr>
        <w:t>⑴</w:t>
      </w:r>
      <w:r>
        <w:rPr>
          <w:rFonts w:hint="eastAsia" w:cs="仿宋_GB2312"/>
          <w:sz w:val="32"/>
          <w:szCs w:val="32"/>
          <w:lang w:eastAsia="zh-CN"/>
        </w:rPr>
        <w:t>醒目位置</w:t>
      </w:r>
      <w:r>
        <w:rPr>
          <w:rFonts w:hint="eastAsia" w:ascii="仿宋_GB2312" w:hAnsi="仿宋_GB2312" w:eastAsia="仿宋_GB2312" w:cs="仿宋_GB2312"/>
          <w:sz w:val="32"/>
          <w:szCs w:val="32"/>
        </w:rPr>
        <w:t>设置</w:t>
      </w:r>
      <w:r>
        <w:rPr>
          <w:rFonts w:hint="eastAsia" w:cs="仿宋_GB2312"/>
          <w:color w:val="auto"/>
          <w:szCs w:val="32"/>
        </w:rPr>
        <w:t>“药师</w:t>
      </w:r>
      <w:r>
        <w:rPr>
          <w:rFonts w:hint="eastAsia" w:ascii="Cambria" w:hAnsi="Cambria" w:cs="Cambria"/>
          <w:color w:val="auto"/>
          <w:szCs w:val="32"/>
        </w:rPr>
        <w:t>咨询</w:t>
      </w:r>
      <w:r>
        <w:rPr>
          <w:rFonts w:hint="eastAsia" w:cs="仿宋_GB2312"/>
          <w:color w:val="auto"/>
          <w:szCs w:val="32"/>
        </w:rPr>
        <w:t>区”</w:t>
      </w:r>
      <w:r>
        <w:rPr>
          <w:rFonts w:hint="eastAsia" w:ascii="仿宋_GB2312" w:hAnsi="仿宋_GB2312" w:eastAsia="仿宋_GB2312" w:cs="仿宋_GB2312"/>
          <w:sz w:val="32"/>
          <w:szCs w:val="32"/>
        </w:rPr>
        <w:t>标识；</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lang w:eastAsia="zh-CN"/>
        </w:rPr>
        <w:t>⑵</w:t>
      </w:r>
      <w:r>
        <w:rPr>
          <w:rFonts w:hint="eastAsia" w:cs="仿宋_GB2312"/>
          <w:sz w:val="32"/>
          <w:szCs w:val="32"/>
          <w:lang w:eastAsia="zh-CN"/>
        </w:rPr>
        <w:t>配备</w:t>
      </w:r>
      <w:r>
        <w:rPr>
          <w:rFonts w:hint="eastAsia" w:ascii="仿宋_GB2312" w:hAnsi="仿宋_GB2312" w:eastAsia="仿宋_GB2312" w:cs="仿宋_GB2312"/>
          <w:sz w:val="32"/>
          <w:szCs w:val="32"/>
        </w:rPr>
        <w:t>桌椅、电脑、血压计、血糖仪</w:t>
      </w:r>
      <w:r>
        <w:rPr>
          <w:rFonts w:hint="eastAsia" w:cs="仿宋_GB2312"/>
          <w:sz w:val="32"/>
          <w:szCs w:val="32"/>
          <w:lang w:eastAsia="zh-CN"/>
        </w:rPr>
        <w:t>，安装</w:t>
      </w:r>
      <w:r>
        <w:rPr>
          <w:rFonts w:hint="eastAsia" w:ascii="仿宋_GB2312" w:hAnsi="仿宋_GB2312" w:eastAsia="仿宋_GB2312" w:cs="仿宋_GB2312"/>
          <w:sz w:val="32"/>
          <w:szCs w:val="32"/>
        </w:rPr>
        <w:t>影像监控设备</w:t>
      </w:r>
      <w:r>
        <w:rPr>
          <w:rFonts w:hint="eastAsia" w:cs="仿宋_GB2312"/>
          <w:sz w:val="32"/>
          <w:szCs w:val="32"/>
          <w:lang w:eastAsia="zh-CN"/>
        </w:rPr>
        <w:t>，</w:t>
      </w:r>
      <w:r>
        <w:rPr>
          <w:rFonts w:hint="eastAsia" w:ascii="仿宋_GB2312" w:hAnsi="仿宋_GB2312" w:eastAsia="仿宋_GB2312" w:cs="仿宋_GB2312"/>
          <w:sz w:val="32"/>
          <w:szCs w:val="32"/>
        </w:rPr>
        <w:t>药学参考资料（含中英文）及健康教育资料。</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2.3.3.4 咨询区</w:t>
      </w:r>
      <w:r>
        <w:rPr>
          <w:rFonts w:hint="eastAsia" w:ascii="仿宋_GB2312" w:hAnsi="仿宋_GB2312" w:eastAsia="仿宋_GB2312" w:cs="仿宋_GB2312"/>
          <w:sz w:val="32"/>
          <w:szCs w:val="32"/>
        </w:rPr>
        <w:t>域设置“咨询中”状态标识，避免打扰。</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2.3.4 </w:t>
      </w:r>
      <w:r>
        <w:rPr>
          <w:rFonts w:hint="eastAsia"/>
        </w:rPr>
        <w:t>分类货架与标识</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 xml:space="preserve">2.3.4.1 </w:t>
      </w:r>
      <w:r>
        <w:rPr>
          <w:rFonts w:hint="eastAsia" w:ascii="仿宋_GB2312" w:hAnsi="仿宋_GB2312" w:eastAsia="仿宋_GB2312" w:cs="仿宋_GB2312"/>
          <w:sz w:val="32"/>
          <w:szCs w:val="32"/>
        </w:rPr>
        <w:t>药品与非药品分区陈列，界限清晰。</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cs="仿宋_GB2312"/>
          <w:sz w:val="32"/>
          <w:szCs w:val="32"/>
          <w:lang w:val="en-US" w:eastAsia="zh-CN"/>
        </w:rPr>
        <w:t xml:space="preserve">2.3.4.2 </w:t>
      </w:r>
      <w:r>
        <w:rPr>
          <w:rFonts w:hint="eastAsia" w:ascii="仿宋_GB2312" w:hAnsi="仿宋_GB2312" w:eastAsia="仿宋_GB2312" w:cs="仿宋_GB2312"/>
          <w:sz w:val="32"/>
          <w:szCs w:val="32"/>
        </w:rPr>
        <w:t>药品分类货架设置中英文分类标识</w:t>
      </w:r>
      <w:r>
        <w:rPr>
          <w:rFonts w:hint="eastAsia"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 xml:space="preserve">2.3.4.3 </w:t>
      </w:r>
      <w:r>
        <w:rPr>
          <w:rFonts w:hint="eastAsia" w:ascii="仿宋_GB2312" w:hAnsi="仿宋_GB2312" w:eastAsia="仿宋_GB2312" w:cs="仿宋_GB2312"/>
          <w:sz w:val="32"/>
          <w:szCs w:val="32"/>
        </w:rPr>
        <w:t>分类标识采用统一字体和颜色编码，便于快速识别。</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val="en-US" w:eastAsia="zh-CN"/>
        </w:rPr>
        <w:t xml:space="preserve">2.3.4.4 </w:t>
      </w:r>
      <w:r>
        <w:rPr>
          <w:rFonts w:hint="eastAsia" w:ascii="仿宋_GB2312" w:hAnsi="仿宋_GB2312" w:eastAsia="仿宋_GB2312" w:cs="仿宋_GB2312"/>
          <w:color w:val="auto"/>
          <w:sz w:val="32"/>
          <w:szCs w:val="32"/>
        </w:rPr>
        <w:t>货架层板设置价格标签，包含：药品名称（中英文）、规格、价格（人民币及标注当日汇率货币单位CNY）。</w:t>
      </w:r>
    </w:p>
    <w:p>
      <w:pPr>
        <w:pStyle w:val="4"/>
        <w:keepNext w:val="0"/>
        <w:keepLines w:val="0"/>
        <w:bidi w:val="0"/>
        <w:spacing w:after="0" w:afterAutospacing="0" w:line="560" w:lineRule="exact"/>
        <w:ind w:firstLine="643" w:firstLineChars="200"/>
        <w:rPr>
          <w:rFonts w:hint="eastAsia"/>
        </w:rPr>
      </w:pPr>
      <w:r>
        <w:rPr>
          <w:rFonts w:hint="eastAsia"/>
          <w:lang w:val="en-US" w:eastAsia="zh-CN"/>
        </w:rPr>
        <w:t>2.3.5 布局</w:t>
      </w:r>
      <w:r>
        <w:rPr>
          <w:rFonts w:hint="eastAsia"/>
        </w:rPr>
        <w:t>设计</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 xml:space="preserve">2.3.5.1 </w:t>
      </w:r>
      <w:r>
        <w:rPr>
          <w:rFonts w:hint="eastAsia" w:ascii="仿宋_GB2312" w:hAnsi="仿宋_GB2312" w:eastAsia="仿宋_GB2312" w:cs="仿宋_GB2312"/>
          <w:sz w:val="32"/>
          <w:szCs w:val="32"/>
        </w:rPr>
        <w:t>门店布局</w:t>
      </w:r>
      <w:r>
        <w:rPr>
          <w:rFonts w:hint="eastAsia" w:cs="仿宋_GB2312"/>
          <w:sz w:val="32"/>
          <w:szCs w:val="32"/>
          <w:lang w:eastAsia="zh-CN"/>
        </w:rPr>
        <w:t>可</w:t>
      </w:r>
      <w:r>
        <w:rPr>
          <w:rFonts w:hint="eastAsia" w:ascii="仿宋_GB2312" w:hAnsi="仿宋_GB2312" w:eastAsia="仿宋_GB2312" w:cs="仿宋_GB2312"/>
          <w:sz w:val="32"/>
          <w:szCs w:val="32"/>
        </w:rPr>
        <w:t>遵循以下动线原则：</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⑴</w:t>
      </w:r>
      <w:r>
        <w:rPr>
          <w:rFonts w:hint="eastAsia" w:ascii="仿宋_GB2312" w:hAnsi="仿宋_GB2312" w:eastAsia="仿宋_GB2312" w:cs="仿宋_GB2312"/>
          <w:sz w:val="32"/>
          <w:szCs w:val="32"/>
        </w:rPr>
        <w:t>处方药区设置独立位置，由</w:t>
      </w:r>
      <w:r>
        <w:rPr>
          <w:rFonts w:hint="eastAsia" w:cs="仿宋_GB2312"/>
          <w:sz w:val="32"/>
          <w:szCs w:val="32"/>
          <w:lang w:eastAsia="zh-CN"/>
        </w:rPr>
        <w:t>执业</w:t>
      </w:r>
      <w:r>
        <w:rPr>
          <w:rFonts w:hint="eastAsia" w:ascii="仿宋_GB2312" w:hAnsi="仿宋_GB2312" w:eastAsia="仿宋_GB2312" w:cs="仿宋_GB2312"/>
          <w:sz w:val="32"/>
          <w:szCs w:val="32"/>
        </w:rPr>
        <w:t>药师调配；</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⑵</w:t>
      </w:r>
      <w:r>
        <w:rPr>
          <w:rFonts w:hint="eastAsia" w:ascii="仿宋_GB2312" w:hAnsi="仿宋_GB2312" w:eastAsia="仿宋_GB2312" w:cs="仿宋_GB2312"/>
          <w:sz w:val="32"/>
          <w:szCs w:val="32"/>
        </w:rPr>
        <w:t>非处方药区设置在顾客主动线两侧，便于顾客浏览和选取；</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⑶</w:t>
      </w:r>
      <w:r>
        <w:rPr>
          <w:rFonts w:hint="eastAsia" w:ascii="仿宋_GB2312" w:hAnsi="仿宋_GB2312" w:eastAsia="仿宋_GB2312" w:cs="仿宋_GB2312"/>
          <w:sz w:val="32"/>
          <w:szCs w:val="32"/>
        </w:rPr>
        <w:t>咨询区和服务区设置在入口附近，便于顾客寻找；</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⑷</w:t>
      </w:r>
      <w:r>
        <w:rPr>
          <w:rFonts w:hint="eastAsia" w:ascii="仿宋_GB2312" w:hAnsi="仿宋_GB2312" w:eastAsia="仿宋_GB2312" w:cs="仿宋_GB2312"/>
          <w:sz w:val="32"/>
          <w:szCs w:val="32"/>
        </w:rPr>
        <w:t>中药区可设置独立区域，配备中药调剂台。</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 xml:space="preserve">2.3.5.2 </w:t>
      </w:r>
      <w:r>
        <w:rPr>
          <w:rFonts w:hint="eastAsia" w:ascii="仿宋_GB2312" w:hAnsi="仿宋_GB2312" w:eastAsia="仿宋_GB2312" w:cs="仿宋_GB2312"/>
          <w:sz w:val="32"/>
          <w:szCs w:val="32"/>
        </w:rPr>
        <w:t>主动线宽度</w:t>
      </w:r>
      <w:r>
        <w:rPr>
          <w:rFonts w:hint="eastAsia" w:cs="仿宋_GB2312"/>
          <w:sz w:val="32"/>
          <w:szCs w:val="32"/>
          <w:lang w:eastAsia="zh-CN"/>
        </w:rPr>
        <w:t>宜</w:t>
      </w:r>
      <w:r>
        <w:rPr>
          <w:rFonts w:hint="eastAsia" w:ascii="仿宋_GB2312" w:hAnsi="仿宋_GB2312" w:eastAsia="仿宋_GB2312" w:cs="仿宋_GB2312"/>
          <w:sz w:val="32"/>
          <w:szCs w:val="32"/>
        </w:rPr>
        <w:t>确保轮椅通行无障碍。</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 xml:space="preserve">2.3.5.3 </w:t>
      </w:r>
      <w:r>
        <w:rPr>
          <w:rFonts w:hint="eastAsia" w:ascii="仿宋_GB2312" w:hAnsi="仿宋_GB2312" w:eastAsia="仿宋_GB2312" w:cs="仿宋_GB2312"/>
          <w:sz w:val="32"/>
          <w:szCs w:val="32"/>
        </w:rPr>
        <w:t>关键</w:t>
      </w:r>
      <w:r>
        <w:rPr>
          <w:rFonts w:hint="eastAsia" w:cs="仿宋_GB2312"/>
          <w:sz w:val="32"/>
          <w:szCs w:val="32"/>
          <w:lang w:eastAsia="zh-CN"/>
        </w:rPr>
        <w:t>位置</w:t>
      </w:r>
      <w:r>
        <w:rPr>
          <w:rFonts w:hint="eastAsia" w:ascii="仿宋_GB2312" w:hAnsi="仿宋_GB2312" w:eastAsia="仿宋_GB2312" w:cs="仿宋_GB2312"/>
          <w:sz w:val="32"/>
          <w:szCs w:val="32"/>
        </w:rPr>
        <w:t>设置引导标识：</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⑴</w:t>
      </w:r>
      <w:r>
        <w:rPr>
          <w:rFonts w:hint="eastAsia" w:ascii="仿宋_GB2312" w:hAnsi="仿宋_GB2312" w:eastAsia="仿宋_GB2312" w:cs="仿宋_GB2312"/>
          <w:sz w:val="32"/>
          <w:szCs w:val="32"/>
        </w:rPr>
        <w:t>入口处设置“服务台→”“药师服务区→”“中药区→”等方向指引；</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⑵</w:t>
      </w:r>
      <w:r>
        <w:rPr>
          <w:rFonts w:hint="eastAsia" w:ascii="仿宋_GB2312" w:hAnsi="仿宋_GB2312" w:eastAsia="仿宋_GB2312" w:cs="仿宋_GB2312"/>
          <w:sz w:val="32"/>
          <w:szCs w:val="32"/>
        </w:rPr>
        <w:t>转角处设置分类区域引导牌；</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⑶</w:t>
      </w:r>
      <w:r>
        <w:rPr>
          <w:rFonts w:hint="eastAsia" w:ascii="仿宋_GB2312" w:hAnsi="仿宋_GB2312" w:eastAsia="仿宋_GB2312" w:cs="仿宋_GB2312"/>
          <w:sz w:val="32"/>
          <w:szCs w:val="32"/>
        </w:rPr>
        <w:t>地面可设置引导地贴（中英文双语）。</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 xml:space="preserve">2.3.5.4 </w:t>
      </w:r>
      <w:r>
        <w:rPr>
          <w:rFonts w:hint="eastAsia" w:ascii="仿宋_GB2312" w:hAnsi="仿宋_GB2312" w:eastAsia="仿宋_GB2312" w:cs="仿宋_GB2312"/>
          <w:sz w:val="32"/>
          <w:szCs w:val="32"/>
        </w:rPr>
        <w:t>动线标识</w:t>
      </w:r>
      <w:r>
        <w:rPr>
          <w:rFonts w:hint="eastAsia" w:cs="仿宋_GB2312"/>
          <w:sz w:val="32"/>
          <w:szCs w:val="32"/>
          <w:lang w:eastAsia="zh-CN"/>
        </w:rPr>
        <w:t>可</w:t>
      </w:r>
      <w:r>
        <w:rPr>
          <w:rFonts w:hint="eastAsia" w:ascii="仿宋_GB2312" w:hAnsi="仿宋_GB2312" w:eastAsia="仿宋_GB2312" w:cs="仿宋_GB2312"/>
          <w:sz w:val="32"/>
          <w:szCs w:val="32"/>
        </w:rPr>
        <w:t>采用箭头加文字形式，中英文双语对照。</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b/>
          <w:bCs/>
          <w:sz w:val="32"/>
          <w:szCs w:val="32"/>
        </w:rPr>
      </w:pPr>
      <w:r>
        <w:rPr>
          <w:rFonts w:hint="eastAsia" w:cs="仿宋_GB2312"/>
          <w:sz w:val="32"/>
          <w:szCs w:val="32"/>
          <w:lang w:val="en-US" w:eastAsia="zh-CN"/>
        </w:rPr>
        <w:t>2.3.5.5 药品零售企业定期对动线滑落</w:t>
      </w:r>
      <w:r>
        <w:rPr>
          <w:rFonts w:hint="eastAsia" w:ascii="仿宋_GB2312" w:hAnsi="仿宋_GB2312" w:eastAsia="仿宋_GB2312" w:cs="仿宋_GB2312"/>
          <w:sz w:val="32"/>
          <w:szCs w:val="32"/>
        </w:rPr>
        <w:t>、标识不清进行补正或更换，确保门店引导清晰、可见。</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2.3.6 </w:t>
      </w:r>
      <w:r>
        <w:rPr>
          <w:rFonts w:hint="eastAsia"/>
        </w:rPr>
        <w:t>主题陈列</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val="en-US" w:eastAsia="zh-CN"/>
        </w:rPr>
        <w:t xml:space="preserve">2.3.6.1 </w:t>
      </w:r>
      <w:r>
        <w:rPr>
          <w:rFonts w:hint="eastAsia" w:ascii="仿宋_GB2312" w:hAnsi="仿宋_GB2312" w:eastAsia="仿宋_GB2312" w:cs="仿宋_GB2312"/>
          <w:color w:val="auto"/>
          <w:sz w:val="32"/>
          <w:szCs w:val="32"/>
        </w:rPr>
        <w:t>鼓励</w:t>
      </w:r>
      <w:r>
        <w:rPr>
          <w:rFonts w:hint="eastAsia" w:cs="仿宋_GB2312"/>
          <w:color w:val="auto"/>
          <w:sz w:val="32"/>
          <w:szCs w:val="32"/>
          <w:lang w:eastAsia="zh-CN"/>
        </w:rPr>
        <w:t>药品零售</w:t>
      </w:r>
      <w:r>
        <w:rPr>
          <w:rFonts w:hint="eastAsia" w:ascii="仿宋_GB2312" w:hAnsi="仿宋_GB2312" w:eastAsia="仿宋_GB2312" w:cs="仿宋_GB2312"/>
          <w:color w:val="auto"/>
          <w:sz w:val="32"/>
          <w:szCs w:val="32"/>
        </w:rPr>
        <w:t>企业根据季节变化、疾病日、健康主题、质量安全月等设置主题陈列区。</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2.3.6.2</w:t>
      </w:r>
      <w:r>
        <w:rPr>
          <w:rFonts w:hint="eastAsia" w:ascii="仿宋_GB2312" w:hAnsi="仿宋_GB2312" w:eastAsia="仿宋_GB2312" w:cs="仿宋_GB2312"/>
          <w:sz w:val="32"/>
          <w:szCs w:val="32"/>
        </w:rPr>
        <w:t>主题陈列区建议设置明显标识（中英文双语），例如：</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⑴</w:t>
      </w:r>
      <w:r>
        <w:rPr>
          <w:rFonts w:hint="eastAsia" w:ascii="仿宋_GB2312" w:hAnsi="仿宋_GB2312" w:eastAsia="仿宋_GB2312" w:cs="仿宋_GB2312"/>
          <w:sz w:val="32"/>
          <w:szCs w:val="32"/>
        </w:rPr>
        <w:t>“过敏防护</w:t>
      </w:r>
      <w:r>
        <w:rPr>
          <w:rFonts w:hint="eastAsia" w:cs="仿宋_GB2312"/>
          <w:sz w:val="32"/>
          <w:szCs w:val="32"/>
          <w:lang w:eastAsia="zh-CN"/>
        </w:rPr>
        <w:t>专区</w:t>
      </w:r>
      <w:r>
        <w:rPr>
          <w:rFonts w:hint="eastAsia" w:ascii="仿宋_GB2312" w:hAnsi="仿宋_GB2312" w:eastAsia="仿宋_GB2312" w:cs="仿宋_GB2312"/>
          <w:sz w:val="32"/>
          <w:szCs w:val="32"/>
        </w:rPr>
        <w:t>”</w:t>
      </w:r>
      <w:r>
        <w:rPr>
          <w:rFonts w:hint="eastAsia" w:cs="仿宋_GB2312"/>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⑵</w:t>
      </w:r>
      <w:r>
        <w:rPr>
          <w:rFonts w:hint="eastAsia" w:ascii="仿宋_GB2312" w:hAnsi="仿宋_GB2312" w:eastAsia="仿宋_GB2312" w:cs="仿宋_GB2312"/>
          <w:sz w:val="32"/>
          <w:szCs w:val="32"/>
        </w:rPr>
        <w:t>“防暑降温</w:t>
      </w:r>
      <w:r>
        <w:rPr>
          <w:rFonts w:hint="eastAsia" w:cs="仿宋_GB2312"/>
          <w:sz w:val="32"/>
          <w:szCs w:val="32"/>
          <w:lang w:eastAsia="zh-CN"/>
        </w:rPr>
        <w:t>专区</w:t>
      </w:r>
      <w:r>
        <w:rPr>
          <w:rFonts w:hint="eastAsia" w:ascii="仿宋_GB2312" w:hAnsi="仿宋_GB2312" w:eastAsia="仿宋_GB2312" w:cs="仿宋_GB2312"/>
          <w:sz w:val="32"/>
          <w:szCs w:val="32"/>
        </w:rPr>
        <w:t>”</w:t>
      </w:r>
      <w:r>
        <w:rPr>
          <w:rFonts w:hint="eastAsia" w:cs="仿宋_GB2312"/>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⑶</w:t>
      </w:r>
      <w:r>
        <w:rPr>
          <w:rFonts w:hint="eastAsia" w:ascii="仿宋_GB2312" w:hAnsi="仿宋_GB2312" w:eastAsia="仿宋_GB2312" w:cs="仿宋_GB2312"/>
          <w:sz w:val="32"/>
          <w:szCs w:val="32"/>
        </w:rPr>
        <w:t>“润燥养生</w:t>
      </w:r>
      <w:r>
        <w:rPr>
          <w:rFonts w:hint="eastAsia" w:cs="仿宋_GB2312"/>
          <w:sz w:val="32"/>
          <w:szCs w:val="32"/>
          <w:lang w:eastAsia="zh-CN"/>
        </w:rPr>
        <w:t>专区</w:t>
      </w:r>
      <w:r>
        <w:rPr>
          <w:rFonts w:hint="eastAsia" w:ascii="仿宋_GB2312" w:hAnsi="仿宋_GB2312" w:eastAsia="仿宋_GB2312" w:cs="仿宋_GB2312"/>
          <w:sz w:val="32"/>
          <w:szCs w:val="32"/>
        </w:rPr>
        <w:t>”</w:t>
      </w:r>
      <w:r>
        <w:rPr>
          <w:rFonts w:hint="eastAsia" w:cs="仿宋_GB2312"/>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⑷</w:t>
      </w:r>
      <w:r>
        <w:rPr>
          <w:rFonts w:hint="eastAsia" w:ascii="仿宋_GB2312" w:hAnsi="仿宋_GB2312" w:eastAsia="仿宋_GB2312" w:cs="仿宋_GB2312"/>
          <w:sz w:val="32"/>
          <w:szCs w:val="32"/>
        </w:rPr>
        <w:t>“心血管健康</w:t>
      </w:r>
      <w:r>
        <w:rPr>
          <w:rFonts w:hint="eastAsia" w:cs="仿宋_GB2312"/>
          <w:sz w:val="32"/>
          <w:szCs w:val="32"/>
          <w:lang w:eastAsia="zh-CN"/>
        </w:rPr>
        <w:t>专区</w:t>
      </w:r>
      <w:r>
        <w:rPr>
          <w:rFonts w:hint="eastAsia" w:ascii="仿宋_GB2312" w:hAnsi="仿宋_GB2312" w:eastAsia="仿宋_GB2312" w:cs="仿宋_GB2312"/>
          <w:sz w:val="32"/>
          <w:szCs w:val="32"/>
        </w:rPr>
        <w:t>”</w:t>
      </w:r>
      <w:r>
        <w:rPr>
          <w:rFonts w:hint="eastAsia" w:cs="仿宋_GB2312"/>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⑸</w:t>
      </w:r>
      <w:r>
        <w:rPr>
          <w:rFonts w:hint="eastAsia" w:ascii="仿宋_GB2312" w:hAnsi="仿宋_GB2312" w:eastAsia="仿宋_GB2312" w:cs="仿宋_GB2312"/>
          <w:sz w:val="32"/>
          <w:szCs w:val="32"/>
        </w:rPr>
        <w:t>“糖尿病关爱专区”</w:t>
      </w:r>
      <w:r>
        <w:rPr>
          <w:rFonts w:hint="eastAsia" w:cs="仿宋_GB2312"/>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⑹</w:t>
      </w:r>
      <w:r>
        <w:rPr>
          <w:rFonts w:hint="eastAsia" w:ascii="仿宋_GB2312" w:hAnsi="仿宋_GB2312" w:eastAsia="仿宋_GB2312" w:cs="仿宋_GB2312"/>
          <w:sz w:val="32"/>
          <w:szCs w:val="32"/>
        </w:rPr>
        <w:t>“高血压管理专区”</w:t>
      </w:r>
      <w:r>
        <w:rPr>
          <w:rFonts w:hint="eastAsia" w:cs="仿宋_GB2312"/>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⑺</w:t>
      </w:r>
      <w:r>
        <w:rPr>
          <w:rFonts w:hint="eastAsia" w:ascii="仿宋_GB2312" w:hAnsi="仿宋_GB2312" w:eastAsia="仿宋_GB2312" w:cs="仿宋_GB2312"/>
          <w:sz w:val="32"/>
          <w:szCs w:val="32"/>
        </w:rPr>
        <w:t>“母婴健康专区”</w:t>
      </w:r>
      <w:r>
        <w:rPr>
          <w:rFonts w:hint="eastAsia" w:cs="仿宋_GB2312"/>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⑻</w:t>
      </w:r>
      <w:r>
        <w:rPr>
          <w:rFonts w:hint="eastAsia" w:ascii="仿宋_GB2312" w:hAnsi="仿宋_GB2312" w:eastAsia="仿宋_GB2312" w:cs="仿宋_GB2312"/>
          <w:sz w:val="32"/>
          <w:szCs w:val="32"/>
        </w:rPr>
        <w:t>“老年健康专区”</w:t>
      </w:r>
      <w:r>
        <w:rPr>
          <w:rFonts w:hint="eastAsia"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 xml:space="preserve">2.3.6.3 </w:t>
      </w:r>
      <w:r>
        <w:rPr>
          <w:rFonts w:hint="eastAsia" w:ascii="仿宋_GB2312" w:hAnsi="仿宋_GB2312" w:eastAsia="仿宋_GB2312" w:cs="仿宋_GB2312"/>
          <w:sz w:val="32"/>
          <w:szCs w:val="32"/>
        </w:rPr>
        <w:t>主题陈列区宜配备相关的健康教育资料（中英文双语）。</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val="en-US" w:eastAsia="zh-CN"/>
        </w:rPr>
        <w:t xml:space="preserve">2.3.6.4 </w:t>
      </w:r>
      <w:r>
        <w:rPr>
          <w:rFonts w:hint="eastAsia" w:ascii="仿宋_GB2312" w:hAnsi="仿宋_GB2312" w:eastAsia="仿宋_GB2312" w:cs="仿宋_GB2312"/>
          <w:color w:val="auto"/>
          <w:sz w:val="32"/>
          <w:szCs w:val="32"/>
        </w:rPr>
        <w:t>主题陈列内容</w:t>
      </w:r>
      <w:r>
        <w:rPr>
          <w:rFonts w:hint="eastAsia" w:cs="仿宋_GB2312"/>
          <w:color w:val="auto"/>
          <w:sz w:val="32"/>
          <w:szCs w:val="32"/>
          <w:lang w:eastAsia="zh-CN"/>
        </w:rPr>
        <w:t>可</w:t>
      </w:r>
      <w:r>
        <w:rPr>
          <w:rFonts w:hint="eastAsia" w:ascii="仿宋_GB2312" w:hAnsi="仿宋_GB2312" w:eastAsia="仿宋_GB2312" w:cs="仿宋_GB2312"/>
          <w:color w:val="auto"/>
          <w:sz w:val="32"/>
          <w:szCs w:val="32"/>
        </w:rPr>
        <w:t>根据主题时效至少更新一次，疾病日期间可设置临时专题陈列。</w:t>
      </w:r>
    </w:p>
    <w:p>
      <w:pPr>
        <w:pStyle w:val="4"/>
        <w:keepNext w:val="0"/>
        <w:keepLines w:val="0"/>
        <w:bidi w:val="0"/>
        <w:spacing w:after="0" w:afterAutospacing="0" w:line="560" w:lineRule="exact"/>
        <w:ind w:firstLine="643" w:firstLineChars="200"/>
        <w:rPr>
          <w:rFonts w:hint="eastAsia"/>
          <w:color w:val="auto"/>
        </w:rPr>
      </w:pPr>
      <w:r>
        <w:rPr>
          <w:rFonts w:hint="eastAsia"/>
          <w:color w:val="auto"/>
          <w:lang w:val="en-US" w:eastAsia="zh-CN"/>
        </w:rPr>
        <w:t xml:space="preserve">2.3.7 </w:t>
      </w:r>
      <w:r>
        <w:rPr>
          <w:rFonts w:hint="eastAsia"/>
          <w:color w:val="auto"/>
        </w:rPr>
        <w:t>疾病分类指引</w:t>
      </w:r>
    </w:p>
    <w:p>
      <w:pPr>
        <w:bidi w:val="0"/>
        <w:spacing w:beforeLines="0" w:after="0" w:afterLines="0" w:afterAutospacing="0" w:line="560" w:lineRule="exact"/>
        <w:ind w:left="0" w:leftChars="0" w:firstLine="640" w:firstLineChars="200"/>
        <w:rPr>
          <w:rFonts w:hint="eastAsia"/>
          <w:lang w:val="en-US" w:eastAsia="zh-CN"/>
        </w:rPr>
      </w:pPr>
      <w:r>
        <w:rPr>
          <w:rFonts w:hint="eastAsia"/>
          <w:lang w:val="en-US" w:eastAsia="zh-CN"/>
        </w:rPr>
        <w:t>2.3.7.1 鼓励引导药品零售药店在非处方药区域按病种分类陈列，规范设置红、绿OTC分级标识。</w:t>
      </w:r>
    </w:p>
    <w:p>
      <w:pPr>
        <w:bidi w:val="0"/>
        <w:spacing w:beforeLines="0" w:after="0" w:afterLines="0" w:afterAutospacing="0" w:line="560" w:lineRule="exact"/>
        <w:ind w:left="0" w:leftChars="0" w:firstLine="640" w:firstLineChars="200"/>
        <w:rPr>
          <w:rFonts w:hint="eastAsia" w:ascii="仿宋" w:hAnsi="仿宋"/>
          <w:sz w:val="32"/>
          <w:lang w:val="en-US" w:eastAsia="zh-CN"/>
        </w:rPr>
      </w:pPr>
      <w:r>
        <w:rPr>
          <w:rFonts w:hint="eastAsia"/>
          <w:lang w:val="en-US" w:eastAsia="zh-CN"/>
        </w:rPr>
        <w:t>2.3.7.2 病种分类指引建议内容，可参见《中英文双语标识</w:t>
      </w:r>
      <w:r>
        <w:rPr>
          <w:rFonts w:hint="eastAsia"/>
          <w:color w:val="auto"/>
          <w:lang w:val="en-US" w:eastAsia="zh-CN"/>
        </w:rPr>
        <w:t>与服务用语规范》</w:t>
      </w:r>
      <w:r>
        <w:rPr>
          <w:rFonts w:hint="eastAsia" w:ascii="仿宋" w:hAnsi="仿宋"/>
          <w:color w:val="auto"/>
          <w:sz w:val="32"/>
          <w:lang w:val="en-US" w:eastAsia="zh-CN"/>
        </w:rPr>
        <w:t>中英文对照简易提示。</w:t>
      </w:r>
    </w:p>
    <w:p>
      <w:pPr>
        <w:bidi w:val="0"/>
        <w:spacing w:beforeLines="0" w:after="0" w:afterLines="0" w:afterAutospacing="0" w:line="560" w:lineRule="exact"/>
        <w:ind w:left="0" w:leftChars="0" w:firstLine="640" w:firstLineChars="200"/>
        <w:rPr>
          <w:rFonts w:hint="eastAsia"/>
          <w:lang w:val="en-US" w:eastAsia="zh-CN"/>
        </w:rPr>
      </w:pPr>
      <w:r>
        <w:rPr>
          <w:rFonts w:hint="eastAsia"/>
          <w:lang w:val="en-US" w:eastAsia="zh-CN"/>
        </w:rPr>
        <w:t>2.3.7.3 病种分类指引标识建议设置在对应药品货架的显著位置。</w:t>
      </w:r>
    </w:p>
    <w:p>
      <w:pPr>
        <w:bidi w:val="0"/>
        <w:spacing w:beforeLines="0" w:after="0" w:afterLines="0" w:afterAutospacing="0" w:line="560" w:lineRule="exact"/>
        <w:ind w:left="0" w:leftChars="0" w:firstLine="640" w:firstLineChars="200"/>
        <w:rPr>
          <w:rFonts w:hint="eastAsia"/>
          <w:lang w:val="en-US" w:eastAsia="zh-CN"/>
        </w:rPr>
      </w:pPr>
      <w:r>
        <w:rPr>
          <w:rFonts w:hint="eastAsia"/>
          <w:lang w:val="en-US" w:eastAsia="zh-CN"/>
        </w:rPr>
        <w:t>2.3.7.4 指引标识下方可设置警示语：“如症状持续或加重，请及时就医”。</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2.3.8 </w:t>
      </w:r>
      <w:r>
        <w:rPr>
          <w:rFonts w:hint="eastAsia"/>
        </w:rPr>
        <w:t>价格公示</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 xml:space="preserve">2.3.8.1 </w:t>
      </w:r>
      <w:r>
        <w:rPr>
          <w:rFonts w:hint="eastAsia" w:ascii="仿宋_GB2312" w:hAnsi="仿宋_GB2312" w:eastAsia="仿宋_GB2312" w:cs="仿宋_GB2312"/>
          <w:sz w:val="32"/>
          <w:szCs w:val="32"/>
        </w:rPr>
        <w:t>所有销售商品建议明码标价，价格标签包含：</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⑴</w:t>
      </w:r>
      <w:r>
        <w:rPr>
          <w:rFonts w:hint="eastAsia" w:ascii="仿宋_GB2312" w:hAnsi="仿宋_GB2312" w:eastAsia="仿宋_GB2312" w:cs="仿宋_GB2312"/>
          <w:sz w:val="32"/>
          <w:szCs w:val="32"/>
        </w:rPr>
        <w:t>商品名称（中英文双语）；</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⑵</w:t>
      </w:r>
      <w:r>
        <w:rPr>
          <w:rFonts w:hint="eastAsia" w:ascii="仿宋_GB2312" w:hAnsi="仿宋_GB2312" w:eastAsia="仿宋_GB2312" w:cs="仿宋_GB2312"/>
          <w:sz w:val="32"/>
          <w:szCs w:val="32"/>
        </w:rPr>
        <w:t>规格/包装规格；</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⑶</w:t>
      </w:r>
      <w:r>
        <w:rPr>
          <w:rFonts w:hint="eastAsia" w:ascii="仿宋_GB2312" w:hAnsi="仿宋_GB2312" w:eastAsia="仿宋_GB2312" w:cs="仿宋_GB2312"/>
          <w:sz w:val="32"/>
          <w:szCs w:val="32"/>
        </w:rPr>
        <w:t>计价单位；</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⑷</w:t>
      </w:r>
      <w:r>
        <w:rPr>
          <w:rFonts w:hint="eastAsia" w:ascii="仿宋_GB2312" w:hAnsi="仿宋_GB2312" w:eastAsia="仿宋_GB2312" w:cs="仿宋_GB2312"/>
          <w:sz w:val="32"/>
          <w:szCs w:val="32"/>
        </w:rPr>
        <w:t>零售价格（人民币，标注¥或CNY）；</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⑸</w:t>
      </w:r>
      <w:r>
        <w:rPr>
          <w:rFonts w:hint="eastAsia" w:ascii="仿宋_GB2312" w:hAnsi="仿宋_GB2312" w:eastAsia="仿宋_GB2312" w:cs="仿宋_GB2312"/>
          <w:sz w:val="32"/>
          <w:szCs w:val="32"/>
        </w:rPr>
        <w:t>会员价（如有，标注）；</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⑹</w:t>
      </w:r>
      <w:r>
        <w:rPr>
          <w:rFonts w:hint="eastAsia" w:ascii="仿宋_GB2312" w:hAnsi="仿宋_GB2312" w:eastAsia="仿宋_GB2312" w:cs="仿宋_GB2312"/>
          <w:sz w:val="32"/>
          <w:szCs w:val="32"/>
        </w:rPr>
        <w:t>生产厂家或供应商。</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 xml:space="preserve">2.3.8.2 </w:t>
      </w:r>
      <w:r>
        <w:rPr>
          <w:rFonts w:hint="eastAsia" w:ascii="仿宋_GB2312" w:hAnsi="仿宋_GB2312" w:eastAsia="仿宋_GB2312" w:cs="仿宋_GB2312"/>
          <w:sz w:val="32"/>
          <w:szCs w:val="32"/>
        </w:rPr>
        <w:t>处方药价格标签同时标注“凭处方调配”。</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 xml:space="preserve">2.3.8.3 </w:t>
      </w:r>
      <w:r>
        <w:rPr>
          <w:rFonts w:hint="eastAsia" w:ascii="仿宋_GB2312" w:hAnsi="仿宋_GB2312" w:eastAsia="仿宋_GB2312" w:cs="仿宋_GB2312"/>
          <w:sz w:val="32"/>
          <w:szCs w:val="32"/>
        </w:rPr>
        <w:t>冷链药品价格标签标注“冷藏保存”。</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 xml:space="preserve">2.3.8.4 </w:t>
      </w:r>
      <w:r>
        <w:rPr>
          <w:rFonts w:hint="eastAsia" w:ascii="仿宋_GB2312" w:hAnsi="仿宋_GB2312" w:eastAsia="仿宋_GB2312" w:cs="仿宋_GB2312"/>
          <w:sz w:val="32"/>
          <w:szCs w:val="32"/>
        </w:rPr>
        <w:t>企业宜在收银台或入口处设置“价格查询”标识，并配备人工或电子查询方式。</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 xml:space="preserve">2.3.8.5 </w:t>
      </w:r>
      <w:r>
        <w:rPr>
          <w:rFonts w:hint="eastAsia" w:ascii="仿宋_GB2312" w:hAnsi="仿宋_GB2312" w:eastAsia="仿宋_GB2312" w:cs="仿宋_GB2312"/>
          <w:sz w:val="32"/>
          <w:szCs w:val="32"/>
        </w:rPr>
        <w:t>价格标签定期核对，确保与实际售价一致。价格调整时及时更换标签。</w:t>
      </w:r>
    </w:p>
    <w:p>
      <w:pPr>
        <w:pStyle w:val="2"/>
        <w:keepNext w:val="0"/>
        <w:keepLines w:val="0"/>
        <w:widowControl w:val="0"/>
        <w:bidi w:val="0"/>
        <w:spacing w:beforeLines="0" w:after="0" w:afterAutospacing="0" w:line="560" w:lineRule="exact"/>
        <w:ind w:firstLine="640" w:firstLineChars="200"/>
        <w:rPr>
          <w:rFonts w:hint="eastAsia" w:ascii="方正黑体_GBK" w:hAnsi="方正黑体_GBK" w:eastAsia="方正黑体_GBK" w:cs="方正黑体_GBK"/>
          <w:b w:val="0"/>
          <w:bCs/>
          <w:sz w:val="32"/>
          <w:szCs w:val="24"/>
        </w:rPr>
      </w:pPr>
      <w:r>
        <w:rPr>
          <w:rFonts w:hint="eastAsia" w:ascii="方正黑体_GBK" w:hAnsi="方正黑体_GBK" w:eastAsia="方正黑体_GBK" w:cs="方正黑体_GBK"/>
          <w:b w:val="0"/>
          <w:bCs/>
          <w:lang w:val="en-US" w:eastAsia="zh-CN"/>
        </w:rPr>
        <w:t xml:space="preserve">3. </w:t>
      </w:r>
      <w:r>
        <w:rPr>
          <w:rFonts w:hint="eastAsia" w:ascii="方正黑体_GBK" w:hAnsi="方正黑体_GBK" w:eastAsia="方正黑体_GBK" w:cs="方正黑体_GBK"/>
          <w:b w:val="0"/>
          <w:bCs/>
        </w:rPr>
        <w:t>处方调剂与用药指导</w:t>
      </w:r>
    </w:p>
    <w:p>
      <w:pPr>
        <w:pStyle w:val="3"/>
        <w:keepNext w:val="0"/>
        <w:keepLines w:val="0"/>
        <w:bidi w:val="0"/>
        <w:spacing w:after="0" w:afterAutospacing="0" w:line="560" w:lineRule="exact"/>
        <w:ind w:firstLine="643" w:firstLineChars="200"/>
        <w:rPr>
          <w:rFonts w:hint="eastAsia" w:ascii="仿宋_GB2312" w:hAnsi="仿宋_GB2312" w:eastAsia="仿宋_GB2312" w:cs="仿宋_GB2312"/>
          <w:b/>
          <w:bCs/>
          <w:sz w:val="32"/>
          <w:szCs w:val="32"/>
        </w:rPr>
      </w:pPr>
      <w:r>
        <w:rPr>
          <w:rFonts w:hint="eastAsia"/>
        </w:rPr>
        <w:t>3.1 处方审核与调剂</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3.1.1 </w:t>
      </w:r>
      <w:r>
        <w:rPr>
          <w:rFonts w:hint="eastAsia"/>
        </w:rPr>
        <w:t>处方审核要求</w:t>
      </w:r>
    </w:p>
    <w:p>
      <w:pPr>
        <w:bidi w:val="0"/>
        <w:spacing w:beforeLines="0" w:after="0" w:afterLines="0" w:afterAutospacing="0" w:line="560" w:lineRule="exact"/>
        <w:rPr>
          <w:rFonts w:hint="eastAsia"/>
        </w:rPr>
      </w:pPr>
      <w:r>
        <w:rPr>
          <w:rFonts w:hint="eastAsia"/>
          <w:lang w:eastAsia="zh-CN"/>
        </w:rPr>
        <w:t>执业</w:t>
      </w:r>
      <w:r>
        <w:rPr>
          <w:rFonts w:hint="eastAsia"/>
        </w:rPr>
        <w:t>药师在调剂处方前应当对处方进行审核，确保处方的合法性、规范性和适宜性：</w:t>
      </w:r>
    </w:p>
    <w:p>
      <w:pPr>
        <w:numPr>
          <w:ilvl w:val="-1"/>
          <w:numId w:val="0"/>
        </w:numPr>
        <w:spacing w:beforeLines="0" w:after="0" w:afterLines="0" w:afterAutospacing="0" w:line="560" w:lineRule="exact"/>
        <w:ind w:left="640" w:leftChars="200" w:firstLine="0" w:firstLineChars="0"/>
        <w:rPr>
          <w:rFonts w:hint="eastAsia"/>
          <w:lang w:eastAsia="zh-CN"/>
        </w:rPr>
      </w:pPr>
      <w:r>
        <w:rPr>
          <w:rFonts w:hint="eastAsia" w:ascii="方正书宋_GBK" w:hAnsi="方正书宋_GBK" w:eastAsia="方正书宋_GBK" w:cs="方正书宋_GBK"/>
        </w:rPr>
        <w:t>⑴</w:t>
      </w:r>
      <w:r>
        <w:rPr>
          <w:rFonts w:hint="eastAsia"/>
        </w:rPr>
        <w:t>合法性：使用处方是否正确、处方开具机构及医师是否具备相应资质；</w:t>
      </w:r>
    </w:p>
    <w:p>
      <w:pPr>
        <w:numPr>
          <w:ilvl w:val="-1"/>
          <w:numId w:val="0"/>
        </w:numPr>
        <w:spacing w:beforeLines="0" w:after="0" w:afterLines="0" w:afterAutospacing="0" w:line="560" w:lineRule="exact"/>
        <w:ind w:left="640" w:leftChars="200" w:firstLine="0" w:firstLineChars="0"/>
        <w:rPr>
          <w:rFonts w:hint="eastAsia"/>
          <w:lang w:eastAsia="zh-CN"/>
        </w:rPr>
      </w:pPr>
      <w:r>
        <w:rPr>
          <w:rFonts w:hint="eastAsia" w:ascii="方正书宋_GBK" w:hAnsi="方正书宋_GBK" w:eastAsia="方正书宋_GBK" w:cs="方正书宋_GBK"/>
        </w:rPr>
        <w:t>⑵</w:t>
      </w:r>
      <w:r>
        <w:rPr>
          <w:rFonts w:hint="eastAsia"/>
        </w:rPr>
        <w:t>规范性：处方格式、内容、签名等是否符合规定</w:t>
      </w:r>
      <w:r>
        <w:rPr>
          <w:rFonts w:hint="eastAsia"/>
          <w:lang w:eastAsia="zh-CN"/>
        </w:rPr>
        <w:t>；</w:t>
      </w:r>
    </w:p>
    <w:p>
      <w:pPr>
        <w:numPr>
          <w:ilvl w:val="-1"/>
          <w:numId w:val="0"/>
        </w:numPr>
        <w:spacing w:beforeLines="0" w:after="0" w:afterLines="0" w:afterAutospacing="0" w:line="560" w:lineRule="exact"/>
        <w:ind w:left="0" w:leftChars="0" w:firstLine="640" w:firstLineChars="200"/>
        <w:rPr>
          <w:rFonts w:hint="eastAsia"/>
          <w:lang w:eastAsia="zh-CN"/>
        </w:rPr>
      </w:pPr>
      <w:r>
        <w:rPr>
          <w:rFonts w:hint="eastAsia" w:ascii="方正书宋_GBK" w:hAnsi="方正书宋_GBK" w:eastAsia="方正书宋_GBK" w:cs="方正书宋_GBK"/>
        </w:rPr>
        <w:t>⑶</w:t>
      </w:r>
      <w:r>
        <w:rPr>
          <w:rFonts w:hint="eastAsia"/>
        </w:rPr>
        <w:t>适宜性：药品与诊断是否相符、用法用量是否适当、是否存在配伍禁忌或相互作用</w:t>
      </w:r>
      <w:r>
        <w:rPr>
          <w:rFonts w:hint="eastAsia"/>
          <w:lang w:eastAsia="zh-CN"/>
        </w:rPr>
        <w:t>；</w:t>
      </w:r>
    </w:p>
    <w:p>
      <w:pPr>
        <w:numPr>
          <w:ilvl w:val="-1"/>
          <w:numId w:val="0"/>
        </w:numPr>
        <w:spacing w:beforeLines="0" w:after="0" w:afterLines="0" w:afterAutospacing="0" w:line="560" w:lineRule="exact"/>
        <w:ind w:left="0" w:leftChars="0" w:firstLine="640" w:firstLineChars="200"/>
        <w:rPr>
          <w:rFonts w:hint="eastAsia"/>
          <w:lang w:eastAsia="zh-CN"/>
        </w:rPr>
      </w:pPr>
      <w:r>
        <w:rPr>
          <w:rFonts w:hint="eastAsia" w:ascii="方正书宋_GBK" w:hAnsi="方正书宋_GBK" w:eastAsia="方正书宋_GBK" w:cs="方正书宋_GBK"/>
          <w:lang w:val="en-US" w:eastAsia="zh-CN"/>
        </w:rPr>
        <w:t>⑷</w:t>
      </w:r>
      <w:r>
        <w:rPr>
          <w:rFonts w:hint="eastAsia"/>
          <w:lang w:val="en-US" w:eastAsia="zh-CN"/>
        </w:rPr>
        <w:t>执行</w:t>
      </w:r>
      <w:r>
        <w:rPr>
          <w:rFonts w:hint="eastAsia"/>
          <w:lang w:eastAsia="zh-CN"/>
        </w:rPr>
        <w:t>“四查十对”制度：查处方（对科别、姓名、年龄）、查药品（对药名、剂型、规格、数量）、查配伍禁忌（对药品性状、用法用量）、查用药合理性（对临床诊断）；</w:t>
      </w:r>
    </w:p>
    <w:p>
      <w:pPr>
        <w:widowControl w:val="0"/>
        <w:numPr>
          <w:ilvl w:val="-1"/>
          <w:numId w:val="0"/>
        </w:numPr>
        <w:spacing w:beforeLines="0" w:after="0" w:afterLines="0" w:afterAutospacing="0" w:line="560" w:lineRule="exact"/>
        <w:ind w:left="0" w:leftChars="0" w:firstLine="640" w:firstLineChars="200"/>
        <w:rPr>
          <w:rFonts w:hint="eastAsia"/>
          <w:lang w:eastAsia="zh-CN"/>
        </w:rPr>
      </w:pPr>
      <w:r>
        <w:rPr>
          <w:rFonts w:hint="eastAsia" w:ascii="方正书宋_GBK" w:hAnsi="方正书宋_GBK" w:eastAsia="方正书宋_GBK" w:cs="方正书宋_GBK"/>
          <w:lang w:eastAsia="zh-CN"/>
        </w:rPr>
        <w:t>⑸</w:t>
      </w:r>
      <w:r>
        <w:rPr>
          <w:rFonts w:hint="eastAsia"/>
          <w:lang w:eastAsia="zh-CN"/>
        </w:rPr>
        <w:t>超说明书用药审核：对处方用药与说明书适应证不符的，执业药师应主动联系处方医师确认，记录沟通内容，未经确认不得调剂。</w:t>
      </w:r>
    </w:p>
    <w:p>
      <w:pPr>
        <w:widowControl w:val="0"/>
        <w:numPr>
          <w:ilvl w:val="0"/>
          <w:numId w:val="0"/>
        </w:numPr>
        <w:bidi w:val="0"/>
        <w:spacing w:beforeLines="0" w:after="0" w:afterLines="0" w:afterAutospacing="0" w:line="560" w:lineRule="exact"/>
        <w:ind w:firstLine="643" w:firstLineChars="200"/>
        <w:rPr>
          <w:rFonts w:hint="eastAsia"/>
          <w:b/>
        </w:rPr>
      </w:pPr>
      <w:r>
        <w:rPr>
          <w:rFonts w:hint="eastAsia"/>
          <w:b/>
          <w:lang w:val="en-US" w:eastAsia="zh-CN"/>
        </w:rPr>
        <w:t xml:space="preserve">3.1.2 </w:t>
      </w:r>
      <w:r>
        <w:rPr>
          <w:rFonts w:hint="eastAsia"/>
          <w:b/>
        </w:rPr>
        <w:t>调剂核对制度</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textAlignment w:val="auto"/>
        <w:rPr>
          <w:rFonts w:hint="eastAsia" w:ascii="仿宋_GB2312" w:hAnsi="仿宋_GB2312" w:eastAsia="仿宋_GB2312" w:cs="仿宋_GB2312"/>
          <w:sz w:val="32"/>
          <w:szCs w:val="32"/>
        </w:rPr>
      </w:pPr>
      <w:r>
        <w:rPr>
          <w:rFonts w:hint="eastAsia"/>
        </w:rPr>
        <w:t>药品调剂建议实行双人核对制度。调剂人员完成配药后，宜由第二人（可为药师或经培训的调剂员）核对药品名称、规格、数量与处方的一致性，核对无误后方可发出。</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3.1.3 </w:t>
      </w:r>
      <w:r>
        <w:rPr>
          <w:rFonts w:hint="eastAsia"/>
        </w:rPr>
        <w:t>双语用药标签</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发出的药品宜粘贴中英文双语用药标签。标签内容建议包括：</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⑴</w:t>
      </w:r>
      <w:r>
        <w:rPr>
          <w:rFonts w:hint="eastAsia" w:ascii="仿宋_GB2312" w:hAnsi="仿宋_GB2312" w:eastAsia="仿宋_GB2312" w:cs="仿宋_GB2312"/>
          <w:sz w:val="32"/>
          <w:szCs w:val="32"/>
        </w:rPr>
        <w:t>药品名称（中文及英文国际非专利名）；</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⑵</w:t>
      </w:r>
      <w:r>
        <w:rPr>
          <w:rFonts w:hint="eastAsia" w:ascii="仿宋_GB2312" w:hAnsi="仿宋_GB2312" w:eastAsia="仿宋_GB2312" w:cs="仿宋_GB2312"/>
          <w:sz w:val="32"/>
          <w:szCs w:val="32"/>
        </w:rPr>
        <w:t>规格与数量；</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⑶</w:t>
      </w:r>
      <w:r>
        <w:rPr>
          <w:rFonts w:hint="eastAsia" w:ascii="仿宋_GB2312" w:hAnsi="仿宋_GB2312" w:eastAsia="仿宋_GB2312" w:cs="仿宋_GB2312"/>
          <w:sz w:val="32"/>
          <w:szCs w:val="32"/>
        </w:rPr>
        <w:t>用法用量（使用清晰易懂的表述）；</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⑷</w:t>
      </w:r>
      <w:r>
        <w:rPr>
          <w:rFonts w:hint="eastAsia" w:ascii="仿宋_GB2312" w:hAnsi="仿宋_GB2312" w:eastAsia="仿宋_GB2312" w:cs="仿宋_GB2312"/>
          <w:sz w:val="32"/>
          <w:szCs w:val="32"/>
        </w:rPr>
        <w:t>主要注意事项及关键禁忌；</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⑸</w:t>
      </w:r>
      <w:r>
        <w:rPr>
          <w:rFonts w:hint="eastAsia" w:ascii="仿宋_GB2312" w:hAnsi="仿宋_GB2312" w:eastAsia="仿宋_GB2312" w:cs="仿宋_GB2312"/>
          <w:sz w:val="32"/>
          <w:szCs w:val="32"/>
        </w:rPr>
        <w:t>调剂日期及企业联系方式。</w:t>
      </w:r>
    </w:p>
    <w:p>
      <w:pPr>
        <w:spacing w:beforeLines="0" w:after="0" w:afterLines="0" w:afterAutospacing="0" w:line="560" w:lineRule="exact"/>
        <w:ind w:firstLine="64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Cs w:val="32"/>
        </w:rPr>
        <w:t>对外籍患者购买的药品，除上述内容外，建议提供英文用药指导单（类似药品说明书简易指导版），随药发放，内容应包括</w:t>
      </w:r>
      <w:r>
        <w:rPr>
          <w:rFonts w:hint="eastAsia" w:ascii="Cambria" w:hAnsi="Cambria" w:eastAsia="仿宋_GB2312" w:cs="Cambria"/>
          <w:b w:val="0"/>
          <w:bCs w:val="0"/>
          <w:color w:val="auto"/>
          <w:szCs w:val="32"/>
        </w:rPr>
        <w:t>注意事项、</w:t>
      </w:r>
      <w:r>
        <w:rPr>
          <w:rFonts w:hint="eastAsia" w:ascii="仿宋_GB2312" w:hAnsi="仿宋_GB2312" w:eastAsia="仿宋_GB2312" w:cs="仿宋_GB2312"/>
          <w:b w:val="0"/>
          <w:bCs w:val="0"/>
          <w:color w:val="auto"/>
          <w:szCs w:val="32"/>
        </w:rPr>
        <w:t>关键禁忌、用药警示、</w:t>
      </w:r>
      <w:r>
        <w:rPr>
          <w:rFonts w:hint="eastAsia" w:cs="仿宋_GB2312"/>
          <w:b w:val="0"/>
          <w:bCs w:val="0"/>
          <w:color w:val="auto"/>
          <w:szCs w:val="32"/>
          <w:lang w:eastAsia="zh-CN"/>
        </w:rPr>
        <w:t>药物</w:t>
      </w:r>
      <w:r>
        <w:rPr>
          <w:rFonts w:hint="eastAsia" w:ascii="仿宋_GB2312" w:hAnsi="仿宋_GB2312" w:eastAsia="仿宋_GB2312" w:cs="仿宋_GB2312"/>
          <w:b w:val="0"/>
          <w:bCs w:val="0"/>
          <w:color w:val="auto"/>
          <w:szCs w:val="32"/>
        </w:rPr>
        <w:t>相互作用等。对需冷链保存的药品，标签应标注冷链运输及储存要求（2-8℃）。</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3.1.4 </w:t>
      </w:r>
      <w:r>
        <w:rPr>
          <w:rFonts w:hint="eastAsia"/>
        </w:rPr>
        <w:t>药品交付与交代</w:t>
      </w:r>
    </w:p>
    <w:p>
      <w:pPr>
        <w:widowControl w:val="0"/>
        <w:bidi w:val="0"/>
        <w:spacing w:beforeLines="0" w:after="0" w:afterLines="0" w:afterAutospacing="0" w:line="560" w:lineRule="exact"/>
        <w:rPr>
          <w:rFonts w:hint="eastAsia"/>
        </w:rPr>
      </w:pPr>
      <w:r>
        <w:rPr>
          <w:rFonts w:hint="eastAsia"/>
        </w:rPr>
        <w:t>药品交付前，执业药师应当核对调配的药品是否与处方所开药品一致、数量相符，有无错配、漏配、多配。药品交付时，执业药师应当核实交付，按处方顺序将药品逐个</w:t>
      </w:r>
      <w:r>
        <w:rPr>
          <w:rFonts w:hint="eastAsia"/>
          <w:lang w:eastAsia="zh-CN"/>
        </w:rPr>
        <w:t>交于</w:t>
      </w:r>
      <w:r>
        <w:rPr>
          <w:rFonts w:hint="eastAsia"/>
        </w:rPr>
        <w:t>患者、患者家属或看护人，并按照处方或者医嘱进行用药交待与指导。</w:t>
      </w:r>
    </w:p>
    <w:p>
      <w:pPr>
        <w:widowControl w:val="0"/>
        <w:bidi w:val="0"/>
        <w:spacing w:beforeLines="0" w:after="0" w:afterLines="0" w:afterAutospacing="0" w:line="560" w:lineRule="exact"/>
        <w:ind w:firstLine="643" w:firstLineChars="200"/>
        <w:rPr>
          <w:rFonts w:hint="eastAsia"/>
          <w:b/>
        </w:rPr>
      </w:pPr>
      <w:r>
        <w:rPr>
          <w:rFonts w:hint="eastAsia"/>
          <w:b/>
        </w:rPr>
        <w:t>3.2 用药咨询与指导</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3.2.1 </w:t>
      </w:r>
      <w:r>
        <w:rPr>
          <w:rFonts w:hint="eastAsia"/>
        </w:rPr>
        <w:t>咨询岗位设置</w:t>
      </w:r>
    </w:p>
    <w:p>
      <w:pPr>
        <w:bidi w:val="0"/>
        <w:spacing w:beforeLines="0" w:after="0" w:afterLines="0" w:afterAutospacing="0" w:line="560" w:lineRule="exact"/>
        <w:rPr>
          <w:rFonts w:hint="eastAsia" w:ascii="仿宋_GB2312" w:hAnsi="仿宋_GB2312" w:eastAsia="仿宋_GB2312" w:cs="仿宋_GB2312"/>
          <w:sz w:val="32"/>
          <w:szCs w:val="32"/>
        </w:rPr>
      </w:pPr>
      <w:r>
        <w:rPr>
          <w:rFonts w:hint="eastAsia"/>
        </w:rPr>
        <w:t>药品零售企业应设立执业药师工作区，在营业时间内为购药者/患者提供用药指导服务。</w:t>
      </w:r>
    </w:p>
    <w:p>
      <w:pPr>
        <w:pStyle w:val="4"/>
        <w:keepNext w:val="0"/>
        <w:keepLines w:val="0"/>
        <w:bidi w:val="0"/>
        <w:spacing w:after="0" w:afterAutospacing="0" w:line="560" w:lineRule="exact"/>
        <w:ind w:firstLine="643" w:firstLineChars="200"/>
        <w:rPr>
          <w:rFonts w:hint="eastAsia"/>
          <w:color w:val="auto"/>
        </w:rPr>
      </w:pPr>
      <w:r>
        <w:rPr>
          <w:rFonts w:hint="eastAsia"/>
          <w:color w:val="auto"/>
          <w:lang w:val="en-US" w:eastAsia="zh-CN"/>
        </w:rPr>
        <w:t xml:space="preserve">3.2.2 </w:t>
      </w:r>
      <w:r>
        <w:rPr>
          <w:rFonts w:hint="eastAsia"/>
          <w:color w:val="auto"/>
        </w:rPr>
        <w:t>用药指导</w:t>
      </w:r>
    </w:p>
    <w:p>
      <w:pPr>
        <w:spacing w:beforeLines="0" w:after="0" w:afterLines="0" w:afterAutospacing="0" w:line="560" w:lineRule="exact"/>
        <w:ind w:firstLine="360"/>
        <w:rPr>
          <w:rFonts w:hint="eastAsia" w:eastAsia="仿宋_GB2312"/>
          <w:color w:val="auto"/>
          <w:sz w:val="32"/>
          <w:szCs w:val="32"/>
          <w:lang w:eastAsia="zh-CN"/>
        </w:rPr>
      </w:pPr>
      <w:r>
        <w:rPr>
          <w:rFonts w:hint="eastAsia"/>
          <w:color w:val="auto"/>
          <w:sz w:val="32"/>
          <w:szCs w:val="32"/>
        </w:rPr>
        <w:t>执业药师应当主动对患者提供个性化的合理用药指导。内容包括</w:t>
      </w:r>
      <w:r>
        <w:rPr>
          <w:rFonts w:hint="eastAsia"/>
          <w:color w:val="auto"/>
          <w:sz w:val="32"/>
          <w:szCs w:val="32"/>
          <w:lang w:eastAsia="zh-CN"/>
        </w:rPr>
        <w:t>：</w:t>
      </w:r>
    </w:p>
    <w:p>
      <w:pPr>
        <w:numPr>
          <w:ilvl w:val="-1"/>
          <w:numId w:val="0"/>
        </w:numPr>
        <w:spacing w:beforeLines="0" w:after="0" w:afterLines="0" w:afterAutospacing="0" w:line="560" w:lineRule="exact"/>
        <w:ind w:leftChars="200" w:firstLine="0" w:firstLineChars="0"/>
        <w:rPr>
          <w:color w:val="auto"/>
          <w:sz w:val="32"/>
          <w:szCs w:val="32"/>
        </w:rPr>
      </w:pPr>
      <w:r>
        <w:rPr>
          <w:rFonts w:hint="eastAsia" w:ascii="方正书宋_GBK" w:hAnsi="方正书宋_GBK" w:eastAsia="方正书宋_GBK" w:cs="方正书宋_GBK"/>
          <w:color w:val="auto"/>
          <w:sz w:val="32"/>
          <w:szCs w:val="32"/>
        </w:rPr>
        <w:t>⑴</w:t>
      </w:r>
      <w:r>
        <w:rPr>
          <w:rFonts w:hint="eastAsia"/>
          <w:color w:val="auto"/>
          <w:sz w:val="32"/>
          <w:szCs w:val="32"/>
        </w:rPr>
        <w:t>药品名称及数量</w:t>
      </w:r>
      <w:r>
        <w:rPr>
          <w:rFonts w:hint="eastAsia"/>
          <w:color w:val="auto"/>
          <w:sz w:val="32"/>
          <w:szCs w:val="32"/>
          <w:lang w:eastAsia="zh-CN"/>
        </w:rPr>
        <w:t>；</w:t>
      </w:r>
    </w:p>
    <w:p>
      <w:pPr>
        <w:numPr>
          <w:ilvl w:val="-1"/>
          <w:numId w:val="0"/>
        </w:numPr>
        <w:spacing w:beforeLines="0" w:after="0" w:afterLines="0" w:afterAutospacing="0" w:line="560" w:lineRule="exact"/>
        <w:ind w:leftChars="200" w:firstLine="0" w:firstLineChars="0"/>
        <w:rPr>
          <w:color w:val="auto"/>
          <w:sz w:val="32"/>
          <w:szCs w:val="32"/>
        </w:rPr>
      </w:pPr>
      <w:r>
        <w:rPr>
          <w:rFonts w:hint="eastAsia" w:ascii="方正书宋_GBK" w:hAnsi="方正书宋_GBK" w:eastAsia="方正书宋_GBK" w:cs="方正书宋_GBK"/>
          <w:color w:val="auto"/>
          <w:sz w:val="32"/>
          <w:szCs w:val="32"/>
        </w:rPr>
        <w:t>⑵</w:t>
      </w:r>
      <w:r>
        <w:rPr>
          <w:rFonts w:hint="eastAsia"/>
          <w:color w:val="auto"/>
          <w:sz w:val="32"/>
          <w:szCs w:val="32"/>
        </w:rPr>
        <w:t>用药适应</w:t>
      </w:r>
      <w:r>
        <w:rPr>
          <w:rFonts w:hint="eastAsia"/>
          <w:color w:val="auto"/>
          <w:sz w:val="32"/>
          <w:szCs w:val="32"/>
          <w:lang w:eastAsia="zh-CN"/>
        </w:rPr>
        <w:t>证；</w:t>
      </w:r>
    </w:p>
    <w:p>
      <w:pPr>
        <w:numPr>
          <w:ilvl w:val="-1"/>
          <w:numId w:val="0"/>
        </w:numPr>
        <w:spacing w:beforeLines="0" w:after="0" w:afterLines="0" w:afterAutospacing="0" w:line="560" w:lineRule="exact"/>
        <w:ind w:leftChars="0" w:firstLine="640" w:firstLineChars="200"/>
        <w:rPr>
          <w:color w:val="auto"/>
          <w:sz w:val="32"/>
          <w:szCs w:val="32"/>
        </w:rPr>
      </w:pPr>
      <w:r>
        <w:rPr>
          <w:rFonts w:hint="eastAsia" w:ascii="方正书宋_GBK" w:hAnsi="方正书宋_GBK" w:eastAsia="方正书宋_GBK" w:cs="方正书宋_GBK"/>
          <w:color w:val="auto"/>
          <w:sz w:val="32"/>
          <w:szCs w:val="32"/>
        </w:rPr>
        <w:t>⑶</w:t>
      </w:r>
      <w:r>
        <w:rPr>
          <w:rFonts w:hint="eastAsia"/>
          <w:color w:val="auto"/>
          <w:sz w:val="32"/>
          <w:szCs w:val="32"/>
        </w:rPr>
        <w:t>用药剂量</w:t>
      </w:r>
      <w:r>
        <w:rPr>
          <w:rFonts w:hint="eastAsia"/>
          <w:color w:val="auto"/>
          <w:sz w:val="32"/>
          <w:szCs w:val="32"/>
          <w:lang w:eastAsia="zh-CN"/>
        </w:rPr>
        <w:t>：</w:t>
      </w:r>
      <w:r>
        <w:rPr>
          <w:rFonts w:hint="eastAsia"/>
          <w:color w:val="auto"/>
          <w:sz w:val="32"/>
          <w:szCs w:val="32"/>
        </w:rPr>
        <w:t>首次剂量和维持剂量。必要时需解释剂量如何折算、如何量取等</w:t>
      </w:r>
      <w:r>
        <w:rPr>
          <w:rFonts w:hint="eastAsia"/>
          <w:color w:val="auto"/>
          <w:sz w:val="32"/>
          <w:szCs w:val="32"/>
          <w:lang w:eastAsia="zh-CN"/>
        </w:rPr>
        <w:t>；</w:t>
      </w:r>
      <w:r>
        <w:rPr>
          <w:rFonts w:hint="eastAsia"/>
          <w:color w:val="auto"/>
          <w:sz w:val="32"/>
          <w:szCs w:val="32"/>
        </w:rPr>
        <w:t>对于“必要时”使用的药品应当特别交待一日最大限量</w:t>
      </w:r>
      <w:r>
        <w:rPr>
          <w:rFonts w:hint="eastAsia"/>
          <w:color w:val="auto"/>
          <w:sz w:val="32"/>
          <w:szCs w:val="32"/>
          <w:lang w:eastAsia="zh-CN"/>
        </w:rPr>
        <w:t>；</w:t>
      </w:r>
    </w:p>
    <w:p>
      <w:pPr>
        <w:numPr>
          <w:ilvl w:val="-1"/>
          <w:numId w:val="0"/>
        </w:numPr>
        <w:spacing w:beforeLines="0" w:after="0" w:afterLines="0" w:afterAutospacing="0" w:line="560" w:lineRule="exact"/>
        <w:ind w:leftChars="0" w:firstLine="640" w:firstLineChars="200"/>
        <w:rPr>
          <w:color w:val="auto"/>
          <w:sz w:val="32"/>
          <w:szCs w:val="32"/>
        </w:rPr>
      </w:pPr>
      <w:r>
        <w:rPr>
          <w:rFonts w:hint="eastAsia" w:ascii="方正书宋_GBK" w:hAnsi="方正书宋_GBK" w:eastAsia="方正书宋_GBK" w:cs="方正书宋_GBK"/>
          <w:color w:val="auto"/>
          <w:sz w:val="32"/>
          <w:szCs w:val="32"/>
        </w:rPr>
        <w:t>⑷</w:t>
      </w:r>
      <w:r>
        <w:rPr>
          <w:rFonts w:hint="eastAsia"/>
          <w:color w:val="auto"/>
          <w:sz w:val="32"/>
          <w:szCs w:val="32"/>
        </w:rPr>
        <w:t>用药方法</w:t>
      </w:r>
      <w:r>
        <w:rPr>
          <w:rFonts w:hint="eastAsia"/>
          <w:color w:val="auto"/>
          <w:sz w:val="32"/>
          <w:szCs w:val="32"/>
          <w:lang w:eastAsia="zh-CN"/>
        </w:rPr>
        <w:t>：</w:t>
      </w:r>
      <w:r>
        <w:rPr>
          <w:rFonts w:hint="eastAsia"/>
          <w:color w:val="auto"/>
          <w:sz w:val="32"/>
          <w:szCs w:val="32"/>
        </w:rPr>
        <w:t>日服次数或间隔时间、疗程，特别是药品说明书上有特殊使用要求的，应当特别交待或演示，必要时在用药标签中标注</w:t>
      </w:r>
      <w:r>
        <w:rPr>
          <w:rFonts w:hint="eastAsia"/>
          <w:color w:val="auto"/>
          <w:sz w:val="32"/>
          <w:szCs w:val="32"/>
          <w:lang w:eastAsia="zh-CN"/>
        </w:rPr>
        <w:t>；</w:t>
      </w:r>
    </w:p>
    <w:p>
      <w:pPr>
        <w:numPr>
          <w:ilvl w:val="-1"/>
          <w:numId w:val="0"/>
        </w:numPr>
        <w:spacing w:beforeLines="0" w:after="0" w:afterLines="0" w:afterAutospacing="0" w:line="560" w:lineRule="exact"/>
        <w:ind w:leftChars="200" w:firstLine="0" w:firstLineChars="0"/>
        <w:rPr>
          <w:color w:val="auto"/>
          <w:sz w:val="32"/>
          <w:szCs w:val="32"/>
        </w:rPr>
      </w:pPr>
      <w:r>
        <w:rPr>
          <w:rFonts w:hint="eastAsia" w:ascii="方正书宋_GBK" w:hAnsi="方正书宋_GBK" w:eastAsia="方正书宋_GBK" w:cs="方正书宋_GBK"/>
          <w:color w:val="auto"/>
          <w:sz w:val="32"/>
          <w:szCs w:val="32"/>
        </w:rPr>
        <w:t>⑸</w:t>
      </w:r>
      <w:r>
        <w:rPr>
          <w:rFonts w:hint="eastAsia"/>
          <w:color w:val="auto"/>
          <w:sz w:val="32"/>
          <w:szCs w:val="32"/>
        </w:rPr>
        <w:t>预期药品产生药效的时间及药效维持的时间</w:t>
      </w:r>
      <w:r>
        <w:rPr>
          <w:rFonts w:hint="eastAsia"/>
          <w:color w:val="auto"/>
          <w:sz w:val="32"/>
          <w:szCs w:val="32"/>
          <w:lang w:eastAsia="zh-CN"/>
        </w:rPr>
        <w:t>；</w:t>
      </w:r>
    </w:p>
    <w:p>
      <w:pPr>
        <w:numPr>
          <w:ilvl w:val="-1"/>
          <w:numId w:val="0"/>
        </w:numPr>
        <w:spacing w:beforeLines="0" w:after="0" w:afterLines="0" w:afterAutospacing="0" w:line="560" w:lineRule="exact"/>
        <w:ind w:leftChars="200" w:firstLine="0" w:firstLineChars="0"/>
        <w:rPr>
          <w:color w:val="auto"/>
          <w:sz w:val="32"/>
          <w:szCs w:val="32"/>
        </w:rPr>
      </w:pPr>
      <w:r>
        <w:rPr>
          <w:rFonts w:hint="eastAsia" w:ascii="方正书宋_GBK" w:hAnsi="方正书宋_GBK" w:eastAsia="方正书宋_GBK" w:cs="方正书宋_GBK"/>
          <w:color w:val="auto"/>
          <w:sz w:val="32"/>
          <w:szCs w:val="32"/>
        </w:rPr>
        <w:t>⑹</w:t>
      </w:r>
      <w:r>
        <w:rPr>
          <w:rFonts w:hint="eastAsia"/>
          <w:color w:val="auto"/>
          <w:sz w:val="32"/>
          <w:szCs w:val="32"/>
        </w:rPr>
        <w:t>忘服或漏服药品的处理办法，关注患者的用药依从性</w:t>
      </w:r>
      <w:r>
        <w:rPr>
          <w:rFonts w:hint="eastAsia"/>
          <w:color w:val="auto"/>
          <w:sz w:val="32"/>
          <w:szCs w:val="32"/>
          <w:lang w:eastAsia="zh-CN"/>
        </w:rPr>
        <w:t>；</w:t>
      </w:r>
    </w:p>
    <w:p>
      <w:pPr>
        <w:numPr>
          <w:ilvl w:val="-1"/>
          <w:numId w:val="0"/>
        </w:numPr>
        <w:spacing w:beforeLines="0" w:after="0" w:afterLines="0" w:afterAutospacing="0" w:line="560" w:lineRule="exact"/>
        <w:ind w:leftChars="200" w:firstLine="0" w:firstLineChars="0"/>
        <w:rPr>
          <w:color w:val="auto"/>
          <w:sz w:val="32"/>
          <w:szCs w:val="32"/>
        </w:rPr>
      </w:pPr>
      <w:r>
        <w:rPr>
          <w:rFonts w:hint="eastAsia" w:ascii="方正书宋_GBK" w:hAnsi="方正书宋_GBK" w:eastAsia="方正书宋_GBK" w:cs="方正书宋_GBK"/>
          <w:color w:val="auto"/>
          <w:sz w:val="32"/>
          <w:szCs w:val="32"/>
        </w:rPr>
        <w:t>⑺</w:t>
      </w:r>
      <w:r>
        <w:rPr>
          <w:rFonts w:hint="eastAsia"/>
          <w:color w:val="auto"/>
          <w:sz w:val="32"/>
          <w:szCs w:val="32"/>
        </w:rPr>
        <w:t>药品常见的不良反应，如何避免及应对方法</w:t>
      </w:r>
      <w:r>
        <w:rPr>
          <w:rFonts w:hint="eastAsia"/>
          <w:color w:val="auto"/>
          <w:sz w:val="32"/>
          <w:szCs w:val="32"/>
          <w:lang w:eastAsia="zh-CN"/>
        </w:rPr>
        <w:t>；</w:t>
      </w:r>
    </w:p>
    <w:p>
      <w:pPr>
        <w:numPr>
          <w:ilvl w:val="-1"/>
          <w:numId w:val="0"/>
        </w:numPr>
        <w:spacing w:beforeLines="0" w:after="0" w:afterLines="0" w:afterAutospacing="0" w:line="560" w:lineRule="exact"/>
        <w:ind w:leftChars="200" w:firstLine="0" w:firstLineChars="0"/>
        <w:rPr>
          <w:color w:val="auto"/>
          <w:sz w:val="32"/>
          <w:szCs w:val="32"/>
        </w:rPr>
      </w:pPr>
      <w:r>
        <w:rPr>
          <w:rFonts w:hint="eastAsia" w:ascii="方正书宋_GBK" w:hAnsi="方正书宋_GBK" w:eastAsia="方正书宋_GBK" w:cs="方正书宋_GBK"/>
          <w:color w:val="auto"/>
          <w:sz w:val="32"/>
          <w:szCs w:val="32"/>
        </w:rPr>
        <w:t>⑻</w:t>
      </w:r>
      <w:r>
        <w:rPr>
          <w:rFonts w:hint="eastAsia"/>
          <w:color w:val="auto"/>
          <w:sz w:val="32"/>
          <w:szCs w:val="32"/>
        </w:rPr>
        <w:t>自我监测药品疗效的方法</w:t>
      </w:r>
      <w:r>
        <w:rPr>
          <w:rFonts w:hint="eastAsia"/>
          <w:color w:val="auto"/>
          <w:sz w:val="32"/>
          <w:szCs w:val="32"/>
          <w:lang w:eastAsia="zh-CN"/>
        </w:rPr>
        <w:t>；</w:t>
      </w:r>
    </w:p>
    <w:p>
      <w:pPr>
        <w:numPr>
          <w:ilvl w:val="-1"/>
          <w:numId w:val="0"/>
        </w:numPr>
        <w:spacing w:beforeLines="0" w:after="0" w:afterLines="0" w:afterAutospacing="0" w:line="560" w:lineRule="exact"/>
        <w:ind w:leftChars="200" w:firstLine="0" w:firstLineChars="0"/>
        <w:rPr>
          <w:color w:val="auto"/>
          <w:sz w:val="32"/>
          <w:szCs w:val="32"/>
        </w:rPr>
      </w:pPr>
      <w:r>
        <w:rPr>
          <w:rFonts w:hint="eastAsia" w:ascii="方正书宋_GBK" w:hAnsi="方正书宋_GBK" w:eastAsia="方正书宋_GBK" w:cs="方正书宋_GBK"/>
          <w:color w:val="auto"/>
          <w:sz w:val="32"/>
          <w:szCs w:val="32"/>
        </w:rPr>
        <w:t>⑼</w:t>
      </w:r>
      <w:r>
        <w:rPr>
          <w:rFonts w:hint="eastAsia"/>
          <w:color w:val="auto"/>
          <w:sz w:val="32"/>
          <w:szCs w:val="32"/>
        </w:rPr>
        <w:t>提示不能同时使用的其他药品或饮食。</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3.2.3 </w:t>
      </w:r>
      <w:r>
        <w:rPr>
          <w:rFonts w:hint="eastAsia"/>
        </w:rPr>
        <w:t>首次用药指导</w:t>
      </w:r>
    </w:p>
    <w:p>
      <w:pPr>
        <w:bidi w:val="0"/>
        <w:spacing w:beforeLines="0" w:after="0" w:afterLines="0" w:afterAutospacing="0" w:line="560" w:lineRule="exact"/>
        <w:rPr>
          <w:rFonts w:hint="eastAsia" w:ascii="仿宋_GB2312" w:hAnsi="仿宋_GB2312" w:eastAsia="仿宋_GB2312" w:cs="仿宋_GB2312"/>
          <w:sz w:val="32"/>
          <w:szCs w:val="32"/>
        </w:rPr>
      </w:pPr>
      <w:r>
        <w:rPr>
          <w:rFonts w:hint="eastAsia"/>
        </w:rPr>
        <w:t>对首次使用所购药品的患者，</w:t>
      </w:r>
      <w:r>
        <w:rPr>
          <w:rFonts w:hint="eastAsia"/>
          <w:lang w:eastAsia="zh-CN"/>
        </w:rPr>
        <w:t>执业</w:t>
      </w:r>
      <w:r>
        <w:rPr>
          <w:rFonts w:hint="eastAsia"/>
        </w:rPr>
        <w:t>药师宜提供面对面的用药指导，至少包括：药品用途、用法用量、主要不良反应及应对措施、注意事项。</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3.2.4 </w:t>
      </w:r>
      <w:r>
        <w:rPr>
          <w:rFonts w:hint="eastAsia"/>
        </w:rPr>
        <w:t>双语咨询服务</w:t>
      </w:r>
    </w:p>
    <w:p>
      <w:pPr>
        <w:spacing w:beforeLines="0" w:after="0" w:afterLines="0" w:afterAutospacing="0" w:line="560" w:lineRule="exact"/>
        <w:ind w:firstLine="640"/>
        <w:rPr>
          <w:rFonts w:ascii="仿宋_GB2312" w:hAnsi="仿宋_GB2312" w:eastAsia="仿宋_GB2312" w:cs="仿宋_GB2312"/>
          <w:color w:val="auto"/>
          <w:szCs w:val="32"/>
        </w:rPr>
      </w:pPr>
      <w:r>
        <w:rPr>
          <w:rFonts w:hint="eastAsia" w:ascii="仿宋_GB2312" w:hAnsi="仿宋_GB2312" w:eastAsia="仿宋_GB2312"/>
          <w:color w:val="auto"/>
        </w:rPr>
        <w:t>药品零售企业宜提供中英双语的用药咨询服务。对无法用中文沟通的外籍患者，</w:t>
      </w:r>
      <w:r>
        <w:rPr>
          <w:rFonts w:hint="eastAsia"/>
          <w:color w:val="auto"/>
          <w:lang w:eastAsia="zh-CN"/>
        </w:rPr>
        <w:t>执业</w:t>
      </w:r>
      <w:r>
        <w:rPr>
          <w:rFonts w:hint="eastAsia" w:ascii="仿宋_GB2312" w:hAnsi="仿宋_GB2312" w:eastAsia="仿宋_GB2312"/>
          <w:color w:val="auto"/>
        </w:rPr>
        <w:t>药师宜借助双语资料或</w:t>
      </w:r>
      <w:r>
        <w:rPr>
          <w:rFonts w:hint="eastAsia" w:ascii="Cambria" w:hAnsi="Cambria" w:eastAsia="仿宋_GB2312" w:cs="Cambria"/>
          <w:color w:val="auto"/>
        </w:rPr>
        <w:t>智能</w:t>
      </w:r>
      <w:r>
        <w:rPr>
          <w:rFonts w:hint="eastAsia" w:ascii="仿宋_GB2312" w:hAnsi="仿宋_GB2312" w:eastAsia="仿宋_GB2312"/>
          <w:color w:val="auto"/>
        </w:rPr>
        <w:t>翻译工具完成咨询，确保信息传达准确。</w:t>
      </w:r>
    </w:p>
    <w:p>
      <w:pPr>
        <w:pStyle w:val="4"/>
        <w:keepNext w:val="0"/>
        <w:keepLines w:val="0"/>
        <w:numPr>
          <w:ilvl w:val="0"/>
          <w:numId w:val="1"/>
        </w:numPr>
        <w:bidi w:val="0"/>
        <w:spacing w:after="0" w:afterAutospacing="0" w:line="560" w:lineRule="exact"/>
        <w:ind w:firstLine="640" w:firstLineChars="200"/>
        <w:rPr>
          <w:rFonts w:hint="eastAsia" w:ascii="方正黑体_GBK" w:hAnsi="方正黑体_GBK" w:eastAsia="方正黑体_GBK" w:cs="方正黑体_GBK"/>
          <w:b w:val="0"/>
          <w:bCs/>
          <w:kern w:val="44"/>
        </w:rPr>
      </w:pPr>
      <w:r>
        <w:rPr>
          <w:rFonts w:hint="eastAsia" w:ascii="方正黑体_GBK" w:hAnsi="方正黑体_GBK" w:eastAsia="方正黑体_GBK" w:cs="方正黑体_GBK"/>
          <w:b w:val="0"/>
          <w:bCs/>
          <w:kern w:val="44"/>
        </w:rPr>
        <w:t>连续性药学监护</w:t>
      </w:r>
    </w:p>
    <w:p>
      <w:pPr>
        <w:pStyle w:val="3"/>
        <w:keepNext w:val="0"/>
        <w:keepLines w:val="0"/>
        <w:bidi w:val="0"/>
        <w:spacing w:after="0" w:afterAutospacing="0" w:line="560" w:lineRule="exact"/>
        <w:ind w:firstLine="643" w:firstLineChars="200"/>
        <w:rPr>
          <w:rFonts w:hint="eastAsia"/>
        </w:rPr>
      </w:pPr>
      <w:r>
        <w:rPr>
          <w:rFonts w:hint="eastAsia"/>
          <w:lang w:val="en-US" w:eastAsia="zh-CN"/>
        </w:rPr>
        <w:t xml:space="preserve">4.1 </w:t>
      </w:r>
      <w:r>
        <w:rPr>
          <w:rFonts w:hint="eastAsia"/>
        </w:rPr>
        <w:t>服务资质条件</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textAlignment w:val="auto"/>
        <w:rPr>
          <w:rFonts w:hint="eastAsia"/>
        </w:rPr>
      </w:pPr>
      <w:r>
        <w:rPr>
          <w:rFonts w:hint="eastAsia"/>
        </w:rPr>
        <w:t>对开展用药重整、药物治疗管理等连续性药学监护服务的药品零售企业，建议由持特定的</w:t>
      </w:r>
      <w:r>
        <w:rPr>
          <w:rFonts w:hint="eastAsia"/>
          <w:highlight w:val="none"/>
          <w:lang w:eastAsia="zh-CN"/>
        </w:rPr>
        <w:t>药物治疗管理（</w:t>
      </w:r>
      <w:r>
        <w:rPr>
          <w:rFonts w:hint="default"/>
          <w:highlight w:val="none"/>
          <w:lang w:eastAsia="zh-CN"/>
        </w:rPr>
        <w:t>MTM</w:t>
      </w:r>
      <w:r>
        <w:rPr>
          <w:rFonts w:hint="eastAsia"/>
          <w:highlight w:val="none"/>
          <w:lang w:eastAsia="zh-CN"/>
        </w:rPr>
        <w:t>）</w:t>
      </w:r>
      <w:r>
        <w:rPr>
          <w:rFonts w:hint="eastAsia"/>
        </w:rPr>
        <w:t>培训合格证书的执业药师提供。企业可将相关证书复印件备存，并在服务场所公示药师持有的</w:t>
      </w:r>
      <w:r>
        <w:rPr>
          <w:rFonts w:hint="eastAsia"/>
          <w:highlight w:val="none"/>
        </w:rPr>
        <w:t>MTM</w:t>
      </w:r>
      <w:r>
        <w:rPr>
          <w:rFonts w:hint="eastAsia"/>
        </w:rPr>
        <w:t>能力资质证书。</w:t>
      </w:r>
    </w:p>
    <w:p>
      <w:pPr>
        <w:pStyle w:val="3"/>
        <w:keepNext w:val="0"/>
        <w:keepLines w:val="0"/>
        <w:bidi w:val="0"/>
        <w:spacing w:after="0" w:afterAutospacing="0" w:line="560" w:lineRule="exact"/>
        <w:ind w:firstLine="643" w:firstLineChars="200"/>
        <w:rPr>
          <w:rFonts w:hint="eastAsia" w:ascii="仿宋_GB2312" w:hAnsi="仿宋_GB2312" w:eastAsia="仿宋_GB2312" w:cs="仿宋_GB2312"/>
          <w:sz w:val="32"/>
          <w:szCs w:val="32"/>
        </w:rPr>
      </w:pPr>
      <w:r>
        <w:rPr>
          <w:rFonts w:hint="eastAsia"/>
          <w:lang w:val="en-US" w:eastAsia="zh-CN"/>
        </w:rPr>
        <w:t>4.2</w:t>
      </w:r>
      <w:r>
        <w:rPr>
          <w:rFonts w:hint="eastAsia"/>
        </w:rPr>
        <w:t xml:space="preserve"> 用药重整服务</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4.2.1 </w:t>
      </w:r>
      <w:r>
        <w:rPr>
          <w:rFonts w:hint="eastAsia"/>
        </w:rPr>
        <w:t>定义</w:t>
      </w:r>
    </w:p>
    <w:p>
      <w:pPr>
        <w:spacing w:beforeLines="0" w:after="0" w:afterLines="0" w:afterAutospacing="0" w:line="560" w:lineRule="exact"/>
        <w:ind w:firstLine="640" w:firstLineChars="200"/>
        <w:rPr>
          <w:rFonts w:ascii="仿宋_GB2312" w:hAnsi="仿宋_GB2312" w:eastAsia="仿宋_GB2312"/>
          <w:color w:val="auto"/>
        </w:rPr>
      </w:pPr>
      <w:r>
        <w:rPr>
          <w:rFonts w:hint="eastAsia" w:ascii="仿宋_GB2312" w:hAnsi="仿宋_GB2312" w:eastAsia="仿宋_GB2312"/>
          <w:color w:val="auto"/>
        </w:rPr>
        <w:t>用药重整是指药师以患者用药</w:t>
      </w:r>
      <w:r>
        <w:rPr>
          <w:rFonts w:hint="eastAsia" w:ascii="仿宋_GB2312" w:hAnsi="仿宋_GB2312" w:eastAsia="仿宋_GB2312" w:cs="Times New Roman (正文 CS 字体)"/>
          <w:color w:val="auto"/>
        </w:rPr>
        <w:t>信息</w:t>
      </w:r>
      <w:r>
        <w:rPr>
          <w:rFonts w:hint="eastAsia" w:ascii="仿宋_GB2312" w:hAnsi="仿宋_GB2312" w:eastAsia="仿宋_GB2312"/>
          <w:color w:val="auto"/>
        </w:rPr>
        <w:t>为</w:t>
      </w:r>
      <w:r>
        <w:rPr>
          <w:rFonts w:hint="eastAsia"/>
          <w:color w:val="auto"/>
          <w:lang w:val="en-US" w:eastAsia="zh-CN"/>
        </w:rPr>
        <w:t>核心</w:t>
      </w:r>
      <w:r>
        <w:rPr>
          <w:rFonts w:hint="eastAsia" w:ascii="仿宋_GB2312" w:hAnsi="仿宋_GB2312" w:eastAsia="仿宋_GB2312"/>
          <w:color w:val="auto"/>
        </w:rPr>
        <w:t>，</w:t>
      </w:r>
      <w:r>
        <w:rPr>
          <w:rFonts w:hint="eastAsia" w:ascii="仿宋_GB2312" w:hAnsi="仿宋_GB2312" w:eastAsia="仿宋_GB2312" w:cs="Times New Roman (正文 CS 字体)"/>
          <w:i w:val="0"/>
          <w:iCs w:val="0"/>
          <w:caps w:val="0"/>
          <w:color w:val="auto"/>
          <w:spacing w:val="0"/>
          <w:sz w:val="32"/>
          <w:szCs w:val="24"/>
          <w:shd w:val="clear"/>
        </w:rPr>
        <w:t>获取和确认患者的既往用药史，</w:t>
      </w:r>
      <w:r>
        <w:rPr>
          <w:rFonts w:hint="eastAsia" w:ascii="仿宋_GB2312" w:hAnsi="仿宋_GB2312" w:eastAsia="仿宋_GB2312"/>
          <w:color w:val="auto"/>
        </w:rPr>
        <w:t>与当前</w:t>
      </w:r>
      <w:r>
        <w:rPr>
          <w:rFonts w:hint="eastAsia"/>
          <w:color w:val="auto"/>
          <w:lang w:val="en-US" w:eastAsia="zh-CN"/>
        </w:rPr>
        <w:t>治疗</w:t>
      </w:r>
      <w:r>
        <w:rPr>
          <w:rFonts w:hint="eastAsia" w:ascii="仿宋_GB2312" w:hAnsi="仿宋_GB2312" w:eastAsia="仿宋_GB2312"/>
          <w:color w:val="auto"/>
        </w:rPr>
        <w:t>处方用药信息进行差异比对，</w:t>
      </w:r>
      <w:r>
        <w:rPr>
          <w:rFonts w:hint="eastAsia" w:cs="Times New Roman (正文 CS 字体)"/>
          <w:i w:val="0"/>
          <w:iCs w:val="0"/>
          <w:caps w:val="0"/>
          <w:color w:val="auto"/>
          <w:spacing w:val="0"/>
          <w:sz w:val="32"/>
          <w:szCs w:val="24"/>
          <w:shd w:val="clear"/>
          <w:lang w:val="en-US" w:eastAsia="zh-CN"/>
        </w:rPr>
        <w:t>开展</w:t>
      </w:r>
      <w:r>
        <w:rPr>
          <w:rFonts w:hint="eastAsia" w:ascii="仿宋_GB2312" w:hAnsi="仿宋_GB2312" w:eastAsia="仿宋_GB2312" w:cs="Times New Roman (正文 CS 字体)"/>
          <w:i w:val="0"/>
          <w:iCs w:val="0"/>
          <w:caps w:val="0"/>
          <w:color w:val="auto"/>
          <w:spacing w:val="0"/>
          <w:sz w:val="32"/>
          <w:szCs w:val="24"/>
          <w:shd w:val="clear"/>
        </w:rPr>
        <w:t>用药评估，消除故意的／非故意的处方不一致，避免漏服药物、重复用药、剂量错误和药物相互作用等</w:t>
      </w:r>
      <w:r>
        <w:rPr>
          <w:rFonts w:hint="eastAsia" w:cs="Times New Roman (正文 CS 字体)"/>
          <w:i w:val="0"/>
          <w:iCs w:val="0"/>
          <w:caps w:val="0"/>
          <w:color w:val="auto"/>
          <w:spacing w:val="0"/>
          <w:sz w:val="32"/>
          <w:szCs w:val="24"/>
          <w:shd w:val="clear"/>
          <w:lang w:eastAsia="zh-CN"/>
        </w:rPr>
        <w:t>，</w:t>
      </w:r>
      <w:r>
        <w:rPr>
          <w:rFonts w:hint="eastAsia" w:ascii="仿宋_GB2312" w:hAnsi="仿宋_GB2312" w:eastAsia="仿宋_GB2312"/>
          <w:color w:val="auto"/>
        </w:rPr>
        <w:t>以提高用药安全性、依从性、确保用药连续性</w:t>
      </w:r>
      <w:r>
        <w:rPr>
          <w:rFonts w:hint="eastAsia" w:ascii="仿宋_GB2312" w:hAnsi="仿宋_GB2312" w:eastAsia="仿宋_GB2312" w:cs="Times New Roman (正文 CS 字体)"/>
          <w:color w:val="auto"/>
        </w:rPr>
        <w:t>监护</w:t>
      </w:r>
      <w:r>
        <w:rPr>
          <w:rFonts w:hint="eastAsia" w:ascii="仿宋_GB2312" w:hAnsi="仿宋_GB2312" w:eastAsia="仿宋_GB2312"/>
          <w:color w:val="auto"/>
        </w:rPr>
        <w:t>的药学服务行为。</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4.2.2 </w:t>
      </w:r>
      <w:r>
        <w:rPr>
          <w:rFonts w:hint="eastAsia"/>
        </w:rPr>
        <w:t>适用场景</w:t>
      </w:r>
    </w:p>
    <w:p>
      <w:pPr>
        <w:bidi w:val="0"/>
        <w:spacing w:beforeLines="0" w:after="0" w:afterLines="0" w:afterAutospacing="0" w:line="560" w:lineRule="exact"/>
        <w:rPr>
          <w:rFonts w:hint="eastAsia"/>
        </w:rPr>
      </w:pPr>
      <w:r>
        <w:rPr>
          <w:rFonts w:hint="eastAsia"/>
        </w:rPr>
        <w:t>用药重整建议应用于以下场景：</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患者出院后转入社区用药的衔接；患者从一家药店转至</w:t>
      </w:r>
    </w:p>
    <w:p>
      <w:pPr>
        <w:numPr>
          <w:ilvl w:val="-1"/>
          <w:numId w:val="0"/>
        </w:numPr>
        <w:spacing w:beforeLines="0" w:after="0" w:afterLines="0" w:afterAutospacing="0" w:line="560" w:lineRule="exact"/>
        <w:ind w:firstLine="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另一家药店配药；患者的用药方案发生重大调整（如新增、停用、更换多种药物）；患者同时接受多个医疗机构或多名医师的处方；患者长期用药依从性不佳或疗效不达标；出</w:t>
      </w:r>
      <w:r>
        <w:rPr>
          <w:rFonts w:hint="eastAsia" w:ascii="仿宋_GB2312" w:hAnsi="仿宋_GB2312" w:eastAsia="仿宋_GB2312" w:cs="仿宋_GB2312"/>
          <w:color w:val="auto"/>
          <w:sz w:val="32"/>
          <w:szCs w:val="32"/>
        </w:rPr>
        <w:t>院带药交接：</w:t>
      </w:r>
      <w:r>
        <w:rPr>
          <w:rFonts w:hint="eastAsia" w:cs="仿宋_GB2312"/>
          <w:color w:val="auto"/>
          <w:szCs w:val="32"/>
        </w:rPr>
        <w:t>鼓励药品零售企业与本地医院或养老机构建立出院用药交接流程，获取出院带药清单并进行用药重整，作为</w:t>
      </w:r>
      <w:r>
        <w:rPr>
          <w:rFonts w:hint="eastAsia" w:cs="仿宋_GB2312"/>
          <w:color w:val="auto"/>
          <w:szCs w:val="32"/>
          <w:lang w:val="en-US" w:eastAsia="zh-CN"/>
        </w:rPr>
        <w:t>院外</w:t>
      </w:r>
      <w:r>
        <w:rPr>
          <w:rFonts w:hint="eastAsia" w:cs="仿宋_GB2312"/>
          <w:color w:val="auto"/>
          <w:szCs w:val="32"/>
        </w:rPr>
        <w:t>药学监护的起点。</w:t>
      </w:r>
    </w:p>
    <w:p>
      <w:pPr>
        <w:pStyle w:val="4"/>
        <w:keepNext w:val="0"/>
        <w:keepLines w:val="0"/>
        <w:bidi w:val="0"/>
        <w:spacing w:after="0" w:afterAutospacing="0" w:line="560" w:lineRule="exact"/>
        <w:ind w:firstLine="643" w:firstLineChars="200"/>
        <w:rPr>
          <w:rFonts w:hint="eastAsia"/>
          <w:highlight w:val="none"/>
        </w:rPr>
      </w:pPr>
      <w:r>
        <w:rPr>
          <w:rFonts w:hint="eastAsia"/>
          <w:highlight w:val="none"/>
          <w:lang w:val="en-US" w:eastAsia="zh-CN"/>
        </w:rPr>
        <w:t xml:space="preserve">4.2.3 </w:t>
      </w:r>
      <w:r>
        <w:rPr>
          <w:rFonts w:hint="eastAsia"/>
          <w:highlight w:val="none"/>
        </w:rPr>
        <w:t>服务流程</w:t>
      </w:r>
    </w:p>
    <w:p>
      <w:pPr>
        <w:bidi w:val="0"/>
        <w:spacing w:beforeLines="0" w:after="0" w:afterLines="0" w:afterAutospacing="0" w:line="560" w:lineRule="exact"/>
        <w:rPr>
          <w:rFonts w:hint="eastAsia"/>
        </w:rPr>
      </w:pPr>
      <w:r>
        <w:rPr>
          <w:rFonts w:hint="eastAsia"/>
        </w:rPr>
        <w:t>用药重整建议按照以下流程实施：</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⑴</w:t>
      </w:r>
      <w:r>
        <w:rPr>
          <w:rFonts w:hint="eastAsia" w:ascii="仿宋_GB2312" w:hAnsi="仿宋_GB2312" w:eastAsia="仿宋_GB2312" w:cs="仿宋_GB2312"/>
          <w:sz w:val="32"/>
          <w:szCs w:val="32"/>
        </w:rPr>
        <w:t>采集完整用药史：内容包括处方药、非处方药、保健品、中成药、中药饮片，记录药品名称、剂量、用法、起止时间；</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⑵</w:t>
      </w:r>
      <w:r>
        <w:rPr>
          <w:rFonts w:hint="eastAsia" w:ascii="仿宋_GB2312" w:hAnsi="仿宋_GB2312" w:eastAsia="仿宋_GB2312" w:cs="仿宋_GB2312"/>
          <w:sz w:val="32"/>
          <w:szCs w:val="32"/>
        </w:rPr>
        <w:t>了解患者实际用药</w:t>
      </w:r>
      <w:r>
        <w:rPr>
          <w:rFonts w:hint="eastAsia" w:cs="仿宋_GB2312"/>
          <w:sz w:val="32"/>
          <w:szCs w:val="32"/>
          <w:lang w:val="en-US" w:eastAsia="zh-CN"/>
        </w:rPr>
        <w:t>情况</w:t>
      </w:r>
      <w:r>
        <w:rPr>
          <w:rFonts w:hint="eastAsia" w:ascii="仿宋_GB2312" w:hAnsi="仿宋_GB2312" w:eastAsia="仿宋_GB2312" w:cs="仿宋_GB2312"/>
          <w:sz w:val="32"/>
          <w:szCs w:val="32"/>
        </w:rPr>
        <w:t>：询问患者每种药品的实际使用频率、时间、剂量、原因及感受，识别患者自主调整用药的情况；</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⑶</w:t>
      </w:r>
      <w:r>
        <w:rPr>
          <w:rFonts w:hint="eastAsia" w:ascii="仿宋_GB2312" w:hAnsi="仿宋_GB2312" w:eastAsia="仿宋_GB2312" w:cs="仿宋_GB2312"/>
          <w:sz w:val="32"/>
          <w:szCs w:val="32"/>
        </w:rPr>
        <w:t>进行</w:t>
      </w:r>
      <w:r>
        <w:rPr>
          <w:rFonts w:hint="eastAsia" w:cs="仿宋_GB2312"/>
          <w:sz w:val="32"/>
          <w:szCs w:val="32"/>
          <w:lang w:val="en-US" w:eastAsia="zh-CN"/>
        </w:rPr>
        <w:t>既往处方</w:t>
      </w:r>
      <w:r>
        <w:rPr>
          <w:rFonts w:hint="eastAsia" w:ascii="仿宋_GB2312" w:hAnsi="仿宋_GB2312" w:eastAsia="仿宋_GB2312" w:cs="仿宋_GB2312"/>
          <w:sz w:val="32"/>
          <w:szCs w:val="32"/>
        </w:rPr>
        <w:t>差异比对，识别不一致之处；</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⑷</w:t>
      </w:r>
      <w:r>
        <w:rPr>
          <w:rFonts w:hint="eastAsia" w:ascii="仿宋_GB2312" w:hAnsi="仿宋_GB2312" w:eastAsia="仿宋_GB2312" w:cs="仿宋_GB2312"/>
          <w:sz w:val="32"/>
          <w:szCs w:val="32"/>
        </w:rPr>
        <w:t>分析差异原因，分类为“医师调整”“患者自主行为”“信息遗漏”或“需澄清项”；</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⑸</w:t>
      </w:r>
      <w:r>
        <w:rPr>
          <w:rFonts w:hint="eastAsia" w:ascii="仿宋_GB2312" w:hAnsi="仿宋_GB2312" w:eastAsia="仿宋_GB2312" w:cs="仿宋_GB2312"/>
          <w:sz w:val="32"/>
          <w:szCs w:val="32"/>
        </w:rPr>
        <w:t>对“患者自主行为”和“需澄清项”，与患者沟通，了解其行为背后的原因；</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⑹</w:t>
      </w:r>
      <w:r>
        <w:rPr>
          <w:rFonts w:hint="eastAsia" w:ascii="仿宋_GB2312" w:hAnsi="仿宋_GB2312" w:eastAsia="仿宋_GB2312" w:cs="仿宋_GB2312"/>
          <w:sz w:val="32"/>
          <w:szCs w:val="32"/>
        </w:rPr>
        <w:t>对“需澄清项”和需要临床确认的差异，联系处方医师进行沟通协调；</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⑺</w:t>
      </w:r>
      <w:r>
        <w:rPr>
          <w:rFonts w:hint="eastAsia" w:ascii="仿宋_GB2312" w:hAnsi="仿宋_GB2312" w:eastAsia="仿宋_GB2312" w:cs="仿宋_GB2312"/>
          <w:sz w:val="32"/>
          <w:szCs w:val="32"/>
        </w:rPr>
        <w:t>与患者和医师达成一致后，</w:t>
      </w:r>
      <w:r>
        <w:rPr>
          <w:rFonts w:hint="eastAsia" w:cs="仿宋_GB2312"/>
          <w:color w:val="auto"/>
          <w:szCs w:val="32"/>
        </w:rPr>
        <w:t>生成个人用药清单（</w:t>
      </w:r>
      <w:r>
        <w:rPr>
          <w:rFonts w:hint="eastAsia" w:ascii="Cambria" w:hAnsi="Cambria" w:cs="Cambria"/>
          <w:color w:val="auto"/>
          <w:szCs w:val="32"/>
        </w:rPr>
        <w:t>外籍患者配</w:t>
      </w:r>
      <w:r>
        <w:rPr>
          <w:rFonts w:hint="eastAsia" w:cs="仿宋_GB2312"/>
          <w:color w:val="auto"/>
          <w:szCs w:val="32"/>
        </w:rPr>
        <w:t>双语版）</w:t>
      </w:r>
      <w:r>
        <w:rPr>
          <w:rFonts w:hint="eastAsia" w:ascii="仿宋_GB2312" w:hAnsi="仿宋_GB2312" w:eastAsia="仿宋_GB2312" w:cs="仿宋_GB2312"/>
          <w:sz w:val="32"/>
          <w:szCs w:val="32"/>
        </w:rPr>
        <w:t>，并向患者说明每项用药的依据和注意事项。</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4.2.4 </w:t>
      </w:r>
      <w:r>
        <w:rPr>
          <w:rFonts w:hint="eastAsia"/>
        </w:rPr>
        <w:t>用药清单要求</w:t>
      </w:r>
    </w:p>
    <w:p>
      <w:pPr>
        <w:bidi w:val="0"/>
        <w:spacing w:beforeLines="0" w:after="0" w:afterLines="0" w:afterAutospacing="0" w:line="560" w:lineRule="exact"/>
        <w:rPr>
          <w:rFonts w:hint="eastAsia" w:ascii="仿宋_GB2312" w:hAnsi="仿宋_GB2312" w:eastAsia="仿宋_GB2312" w:cs="仿宋_GB2312"/>
          <w:sz w:val="32"/>
          <w:szCs w:val="32"/>
        </w:rPr>
      </w:pPr>
      <w:r>
        <w:rPr>
          <w:rFonts w:hint="eastAsia"/>
        </w:rPr>
        <w:t>个人用药清单宜包含：患者基本信息、用药清单生成日期、全部在用药品（含中成药、中药饮片）、各药品的用法用量、下次更新时间提示。便</w:t>
      </w:r>
      <w:r>
        <w:rPr>
          <w:rFonts w:hint="eastAsia"/>
          <w:lang w:eastAsia="zh-CN"/>
        </w:rPr>
        <w:t>于</w:t>
      </w:r>
      <w:r>
        <w:rPr>
          <w:rFonts w:hint="eastAsia"/>
        </w:rPr>
        <w:t>患者用药以及与药师和医生的用药信息沟通。</w:t>
      </w:r>
    </w:p>
    <w:p>
      <w:pPr>
        <w:pStyle w:val="3"/>
        <w:keepNext w:val="0"/>
        <w:keepLines w:val="0"/>
        <w:bidi w:val="0"/>
        <w:spacing w:after="0" w:afterAutospacing="0" w:line="560" w:lineRule="exact"/>
        <w:ind w:firstLine="643" w:firstLineChars="200"/>
        <w:rPr>
          <w:rFonts w:hint="eastAsia" w:ascii="仿宋_GB2312" w:hAnsi="仿宋_GB2312" w:eastAsia="仿宋_GB2312" w:cs="仿宋_GB2312"/>
          <w:b/>
          <w:bCs/>
          <w:sz w:val="32"/>
          <w:szCs w:val="32"/>
        </w:rPr>
      </w:pPr>
      <w:r>
        <w:rPr>
          <w:rFonts w:hint="eastAsia"/>
        </w:rPr>
        <w:t>4.</w:t>
      </w:r>
      <w:r>
        <w:rPr>
          <w:rFonts w:hint="eastAsia"/>
          <w:lang w:val="en-US" w:eastAsia="zh-CN"/>
        </w:rPr>
        <w:t xml:space="preserve">3 </w:t>
      </w:r>
      <w:r>
        <w:rPr>
          <w:rFonts w:hint="eastAsia"/>
        </w:rPr>
        <w:t>药物治疗管理服务</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4.3.1 </w:t>
      </w:r>
      <w:r>
        <w:rPr>
          <w:rFonts w:hint="eastAsia"/>
        </w:rPr>
        <w:t>定义</w:t>
      </w:r>
    </w:p>
    <w:p>
      <w:pPr>
        <w:spacing w:beforeLines="0" w:after="0" w:afterLines="0" w:afterAutospacing="0" w:line="560" w:lineRule="exact"/>
        <w:ind w:firstLine="640"/>
        <w:rPr>
          <w:rFonts w:ascii="仿宋_GB2312" w:hAnsi="仿宋_GB2312" w:eastAsia="仿宋_GB2312" w:cs="仿宋_GB2312"/>
          <w:color w:val="auto"/>
          <w:szCs w:val="32"/>
        </w:rPr>
      </w:pPr>
      <w:r>
        <w:rPr>
          <w:rFonts w:hint="eastAsia" w:ascii="仿宋_GB2312" w:hAnsi="仿宋_GB2312" w:eastAsia="仿宋_GB2312"/>
          <w:color w:val="auto"/>
        </w:rPr>
        <w:t>药物治疗管理是指药师为特定患者个体提供的系统性药学服务，通过药物治疗评估、用药干预与教育、用药清单管理、用药行动计划、实施</w:t>
      </w:r>
      <w:r>
        <w:rPr>
          <w:rFonts w:hint="eastAsia" w:ascii="Cambria" w:hAnsi="Cambria" w:eastAsia="仿宋_GB2312" w:cs="Cambria"/>
          <w:color w:val="auto"/>
        </w:rPr>
        <w:t>转诊</w:t>
      </w:r>
      <w:r>
        <w:rPr>
          <w:rFonts w:hint="eastAsia" w:ascii="仿宋_GB2312" w:hAnsi="仿宋_GB2312" w:eastAsia="仿宋_GB2312"/>
          <w:color w:val="auto"/>
        </w:rPr>
        <w:t>和定期随访，优化药物治疗</w:t>
      </w:r>
      <w:r>
        <w:rPr>
          <w:rFonts w:hint="eastAsia"/>
          <w:color w:val="auto"/>
          <w:lang w:eastAsia="zh-CN"/>
        </w:rPr>
        <w:t>效果</w:t>
      </w:r>
      <w:r>
        <w:rPr>
          <w:rFonts w:hint="eastAsia" w:ascii="仿宋_GB2312" w:hAnsi="仿宋_GB2312" w:eastAsia="仿宋_GB2312"/>
          <w:color w:val="auto"/>
        </w:rPr>
        <w:t>。</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4.3.2 </w:t>
      </w:r>
      <w:r>
        <w:rPr>
          <w:rFonts w:hint="eastAsia"/>
        </w:rPr>
        <w:t>适用对象</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以下患者建议纳入药物治疗管理：患有高血压、糖尿病、高脂血症、冠心病、慢阻肺、哮喘等慢性病的患者；用药依从性差的患者</w:t>
      </w:r>
      <w:r>
        <w:rPr>
          <w:rFonts w:hint="eastAsia" w:ascii="仿宋_GB2312" w:hAnsi="仿宋_GB2312" w:eastAsia="仿宋_GB2312" w:cs="仿宋_GB2312"/>
          <w:color w:val="auto"/>
          <w:sz w:val="32"/>
          <w:szCs w:val="32"/>
        </w:rPr>
        <w:t>6</w:t>
      </w:r>
      <w:r>
        <w:rPr>
          <w:rFonts w:hint="eastAsia" w:cs="仿宋_GB2312"/>
          <w:color w:val="auto"/>
          <w:szCs w:val="32"/>
        </w:rPr>
        <w:t>5岁及以上</w:t>
      </w:r>
      <w:r>
        <w:rPr>
          <w:rFonts w:hint="eastAsia" w:ascii="Cambria" w:hAnsi="Cambria" w:cs="Cambria"/>
          <w:color w:val="auto"/>
          <w:szCs w:val="32"/>
        </w:rPr>
        <w:t>就诊频率高</w:t>
      </w:r>
      <w:r>
        <w:rPr>
          <w:rFonts w:hint="eastAsia" w:cs="仿宋_GB2312"/>
          <w:color w:val="auto"/>
          <w:szCs w:val="32"/>
        </w:rPr>
        <w:t>的老年患者；</w:t>
      </w:r>
      <w:r>
        <w:rPr>
          <w:rFonts w:hint="eastAsia" w:ascii="仿宋_GB2312" w:hAnsi="仿宋_GB2312" w:eastAsia="仿宋_GB2312" w:cs="仿宋_GB2312"/>
          <w:sz w:val="32"/>
          <w:szCs w:val="32"/>
        </w:rPr>
        <w:t>其他经评估需要加强药学监护的患者。</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4.3.3 </w:t>
      </w:r>
      <w:r>
        <w:rPr>
          <w:rFonts w:hint="eastAsia"/>
        </w:rPr>
        <w:t>服务流程</w:t>
      </w:r>
    </w:p>
    <w:p>
      <w:pPr>
        <w:spacing w:beforeLines="0" w:after="0" w:afterLines="0" w:afterAutospacing="0" w:line="560" w:lineRule="exact"/>
        <w:ind w:firstLine="360"/>
        <w:rPr>
          <w:color w:val="auto"/>
          <w:sz w:val="32"/>
          <w:szCs w:val="32"/>
        </w:rPr>
      </w:pPr>
      <w:r>
        <w:rPr>
          <w:rFonts w:hint="eastAsia"/>
          <w:color w:val="auto"/>
          <w:sz w:val="32"/>
          <w:szCs w:val="32"/>
        </w:rPr>
        <w:t>药物治疗管理建议按照以下流程实施：</w:t>
      </w:r>
    </w:p>
    <w:p>
      <w:pPr>
        <w:numPr>
          <w:ilvl w:val="-1"/>
          <w:numId w:val="0"/>
        </w:numPr>
        <w:spacing w:beforeLines="0" w:after="0" w:afterLines="0" w:afterAutospacing="0" w:line="560" w:lineRule="exact"/>
        <w:ind w:leftChars="0" w:firstLine="640" w:firstLineChars="200"/>
        <w:rPr>
          <w:color w:val="auto"/>
          <w:sz w:val="32"/>
          <w:szCs w:val="32"/>
        </w:rPr>
      </w:pPr>
      <w:r>
        <w:rPr>
          <w:rFonts w:hint="eastAsia"/>
          <w:color w:val="auto"/>
          <w:sz w:val="32"/>
          <w:szCs w:val="32"/>
        </w:rPr>
        <w:t>第一步：药物治疗评估—系统评估患者所有用药的适宜性、有效性、安全性和依从性，识别药物治疗问题；</w:t>
      </w:r>
    </w:p>
    <w:p>
      <w:pPr>
        <w:numPr>
          <w:ilvl w:val="-1"/>
          <w:numId w:val="0"/>
        </w:numPr>
        <w:spacing w:beforeLines="0" w:after="0" w:afterLines="0" w:afterAutospacing="0" w:line="560" w:lineRule="exact"/>
        <w:ind w:firstLine="640" w:firstLineChars="200"/>
        <w:rPr>
          <w:color w:val="auto"/>
          <w:sz w:val="32"/>
          <w:szCs w:val="32"/>
        </w:rPr>
      </w:pPr>
      <w:r>
        <w:rPr>
          <w:rFonts w:hint="eastAsia"/>
          <w:color w:val="auto"/>
          <w:sz w:val="32"/>
          <w:szCs w:val="32"/>
        </w:rPr>
        <w:t>第二步：个人用药清单—生成并持续维护个人用药清单；</w:t>
      </w:r>
    </w:p>
    <w:p>
      <w:pPr>
        <w:numPr>
          <w:ilvl w:val="-1"/>
          <w:numId w:val="0"/>
        </w:numPr>
        <w:spacing w:beforeLines="0" w:after="0" w:afterLines="0" w:afterAutospacing="0" w:line="560" w:lineRule="exact"/>
        <w:ind w:firstLine="640" w:firstLineChars="200"/>
        <w:rPr>
          <w:rFonts w:hint="eastAsia"/>
          <w:color w:val="auto"/>
          <w:sz w:val="32"/>
          <w:szCs w:val="32"/>
        </w:rPr>
      </w:pPr>
      <w:r>
        <w:rPr>
          <w:rFonts w:hint="eastAsia"/>
          <w:color w:val="auto"/>
          <w:sz w:val="32"/>
          <w:szCs w:val="32"/>
        </w:rPr>
        <w:t>第三步：实施患者教育和干预—发现患者存在用药问题应依据情况给予指导教育和干预；</w:t>
      </w:r>
    </w:p>
    <w:p>
      <w:pPr>
        <w:numPr>
          <w:ilvl w:val="-1"/>
          <w:numId w:val="0"/>
        </w:numPr>
        <w:spacing w:beforeLines="0" w:after="0" w:afterLines="0" w:afterAutospacing="0" w:line="560" w:lineRule="exact"/>
        <w:ind w:firstLine="640" w:firstLineChars="200"/>
        <w:rPr>
          <w:rFonts w:cs="仿宋_GB2312"/>
          <w:color w:val="auto"/>
          <w:sz w:val="32"/>
          <w:szCs w:val="32"/>
        </w:rPr>
      </w:pPr>
      <w:r>
        <w:rPr>
          <w:rFonts w:hint="eastAsia"/>
          <w:color w:val="auto"/>
          <w:sz w:val="32"/>
          <w:szCs w:val="32"/>
        </w:rPr>
        <w:t>第四步：用药</w:t>
      </w:r>
      <w:r>
        <w:rPr>
          <w:rFonts w:hint="eastAsia"/>
          <w:color w:val="auto"/>
          <w:sz w:val="32"/>
          <w:szCs w:val="32"/>
          <w:lang w:val="en-US" w:eastAsia="zh-CN"/>
        </w:rPr>
        <w:t>方案</w:t>
      </w:r>
      <w:r>
        <w:rPr>
          <w:rFonts w:hint="eastAsia"/>
          <w:color w:val="auto"/>
          <w:sz w:val="32"/>
          <w:szCs w:val="32"/>
        </w:rPr>
        <w:t>—与患者共同制定具体、可操作的用药</w:t>
      </w:r>
      <w:r>
        <w:rPr>
          <w:rFonts w:hint="eastAsia"/>
          <w:color w:val="auto"/>
          <w:sz w:val="32"/>
          <w:szCs w:val="32"/>
          <w:lang w:val="en-US" w:eastAsia="zh-CN"/>
        </w:rPr>
        <w:t>方案</w:t>
      </w:r>
      <w:r>
        <w:rPr>
          <w:rFonts w:hint="eastAsia"/>
          <w:color w:val="auto"/>
          <w:sz w:val="32"/>
          <w:szCs w:val="32"/>
        </w:rPr>
        <w:t>；</w:t>
      </w:r>
    </w:p>
    <w:p>
      <w:pPr>
        <w:numPr>
          <w:ilvl w:val="-1"/>
          <w:numId w:val="0"/>
        </w:numPr>
        <w:spacing w:beforeLines="0" w:after="0" w:afterLines="0" w:afterAutospacing="0" w:line="560" w:lineRule="exact"/>
        <w:ind w:firstLine="640" w:firstLineChars="200"/>
        <w:rPr>
          <w:rFonts w:hint="eastAsia" w:cs="仿宋_GB2312"/>
          <w:color w:val="auto"/>
          <w:sz w:val="32"/>
          <w:szCs w:val="32"/>
        </w:rPr>
      </w:pPr>
      <w:r>
        <w:rPr>
          <w:rFonts w:hint="eastAsia"/>
          <w:color w:val="auto"/>
          <w:sz w:val="32"/>
          <w:szCs w:val="32"/>
        </w:rPr>
        <w:t>第五步：定期随访及记录—按计划对患者进行定期随访并记录更新用药情况。</w:t>
      </w:r>
    </w:p>
    <w:p>
      <w:pPr>
        <w:pStyle w:val="3"/>
        <w:keepNext w:val="0"/>
        <w:keepLines w:val="0"/>
        <w:bidi w:val="0"/>
        <w:spacing w:after="0" w:afterAutospacing="0" w:line="560" w:lineRule="exact"/>
        <w:ind w:firstLine="643" w:firstLineChars="200"/>
        <w:rPr>
          <w:rFonts w:hint="eastAsia"/>
        </w:rPr>
      </w:pPr>
      <w:r>
        <w:rPr>
          <w:rFonts w:hint="eastAsia"/>
        </w:rPr>
        <w:t>4.</w:t>
      </w:r>
      <w:r>
        <w:rPr>
          <w:rFonts w:hint="eastAsia"/>
          <w:lang w:val="en-US" w:eastAsia="zh-CN"/>
        </w:rPr>
        <w:t xml:space="preserve">4 </w:t>
      </w:r>
      <w:r>
        <w:rPr>
          <w:rFonts w:hint="eastAsia"/>
        </w:rPr>
        <w:t>随访与评估</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4.4.1 </w:t>
      </w:r>
      <w:r>
        <w:rPr>
          <w:rFonts w:hint="eastAsia"/>
        </w:rPr>
        <w:t>健康档案建立</w:t>
      </w:r>
    </w:p>
    <w:p>
      <w:pPr>
        <w:spacing w:beforeLines="0" w:after="0" w:afterLines="0" w:afterAutospacing="0" w:line="560" w:lineRule="exact"/>
        <w:ind w:firstLine="640"/>
        <w:rPr>
          <w:rFonts w:ascii="仿宋_GB2312" w:hAnsi="仿宋_GB2312" w:eastAsia="仿宋_GB2312"/>
          <w:color w:val="auto"/>
        </w:rPr>
      </w:pPr>
      <w:r>
        <w:rPr>
          <w:rFonts w:hint="eastAsia" w:ascii="仿宋_GB2312" w:hAnsi="仿宋_GB2312" w:eastAsia="仿宋_GB2312"/>
          <w:color w:val="auto"/>
        </w:rPr>
        <w:t>对纳入药物治疗管理的患者，</w:t>
      </w:r>
      <w:r>
        <w:rPr>
          <w:rFonts w:hint="eastAsia"/>
          <w:color w:val="auto"/>
          <w:lang w:eastAsia="zh-CN"/>
        </w:rPr>
        <w:t>执业</w:t>
      </w:r>
      <w:r>
        <w:rPr>
          <w:rFonts w:hint="eastAsia" w:ascii="仿宋_GB2312" w:hAnsi="仿宋_GB2312" w:eastAsia="仿宋_GB2312"/>
          <w:color w:val="auto"/>
        </w:rPr>
        <w:t>药师应建立患者独立的药历档案，记录内容包括：患者基本信息、疾病诊断信息、用药</w:t>
      </w:r>
      <w:r>
        <w:rPr>
          <w:rFonts w:hint="eastAsia" w:ascii="Cambria" w:hAnsi="Cambria" w:eastAsia="仿宋_GB2312" w:cs="Cambria"/>
          <w:color w:val="auto"/>
        </w:rPr>
        <w:t>信息及治疗</w:t>
      </w:r>
      <w:r>
        <w:rPr>
          <w:rFonts w:hint="eastAsia" w:ascii="仿宋_GB2312" w:hAnsi="仿宋_GB2312" w:eastAsia="仿宋_GB2312"/>
          <w:color w:val="auto"/>
        </w:rPr>
        <w:t>方案、随访计划、每次随访评估结果、方案调整记录。</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4.4.2 </w:t>
      </w:r>
      <w:r>
        <w:rPr>
          <w:rFonts w:hint="eastAsia"/>
        </w:rPr>
        <w:t>随访计划制定</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firstLine="640" w:firstLineChars="200"/>
        <w:textAlignment w:val="auto"/>
        <w:rPr>
          <w:rFonts w:hint="eastAsia" w:ascii="仿宋_GB2312" w:hAnsi="仿宋_GB2312" w:eastAsia="仿宋_GB2312" w:cs="仿宋_GB2312"/>
          <w:sz w:val="32"/>
          <w:szCs w:val="32"/>
        </w:rPr>
      </w:pPr>
      <w:r>
        <w:rPr>
          <w:rFonts w:hint="eastAsia" w:cs="仿宋_GB2312"/>
          <w:sz w:val="32"/>
          <w:szCs w:val="32"/>
          <w:lang w:eastAsia="zh-CN"/>
        </w:rPr>
        <w:t>执业</w:t>
      </w:r>
      <w:r>
        <w:rPr>
          <w:rFonts w:hint="eastAsia" w:ascii="仿宋_GB2312" w:hAnsi="仿宋_GB2312" w:eastAsia="仿宋_GB2312" w:cs="仿宋_GB2312"/>
          <w:sz w:val="32"/>
          <w:szCs w:val="32"/>
        </w:rPr>
        <w:t>药师宜根据患者病情稳定性、用药复杂程度等因素制定个体化随访计划：</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病情不稳定或近期调整用药的患者：至少每2</w:t>
      </w:r>
      <w:r>
        <w:rPr>
          <w:rFonts w:hint="eastAsia" w:cs="仿宋_GB2312"/>
          <w:sz w:val="32"/>
          <w:szCs w:val="32"/>
          <w:lang w:val="en-US" w:eastAsia="zh-CN"/>
        </w:rPr>
        <w:t>-</w:t>
      </w:r>
      <w:r>
        <w:rPr>
          <w:rFonts w:hint="eastAsia" w:ascii="仿宋_GB2312" w:hAnsi="仿宋_GB2312" w:eastAsia="仿宋_GB2312" w:cs="仿宋_GB2312"/>
          <w:sz w:val="32"/>
          <w:szCs w:val="32"/>
        </w:rPr>
        <w:t>4周随访一次；病情稳定的慢病患者：至少每3个月随访一次；病情稳定且用药方案长期不变的患者：至少每6个月随访一次。随访频率</w:t>
      </w:r>
      <w:r>
        <w:rPr>
          <w:rFonts w:hint="eastAsia" w:cs="仿宋_GB2312"/>
          <w:sz w:val="32"/>
          <w:szCs w:val="32"/>
          <w:lang w:val="en-US" w:eastAsia="zh-CN"/>
        </w:rPr>
        <w:t>应</w:t>
      </w:r>
      <w:r>
        <w:rPr>
          <w:rFonts w:hint="eastAsia" w:ascii="仿宋_GB2312" w:hAnsi="仿宋_GB2312" w:eastAsia="仿宋_GB2312" w:cs="仿宋_GB2312"/>
          <w:sz w:val="32"/>
          <w:szCs w:val="32"/>
        </w:rPr>
        <w:t>依据患者实际病情和用药状况</w:t>
      </w:r>
      <w:r>
        <w:rPr>
          <w:rFonts w:hint="eastAsia" w:cs="仿宋_GB2312"/>
          <w:sz w:val="32"/>
          <w:szCs w:val="32"/>
          <w:lang w:val="en-US" w:eastAsia="zh-CN"/>
        </w:rPr>
        <w:t>制定和调整</w:t>
      </w:r>
      <w:r>
        <w:rPr>
          <w:rFonts w:hint="eastAsia" w:ascii="仿宋_GB2312" w:hAnsi="仿宋_GB2312" w:eastAsia="仿宋_GB2312" w:cs="仿宋_GB2312"/>
          <w:sz w:val="32"/>
          <w:szCs w:val="32"/>
        </w:rPr>
        <w:t>。</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4.4.3 </w:t>
      </w:r>
      <w:r>
        <w:rPr>
          <w:rFonts w:hint="eastAsia"/>
        </w:rPr>
        <w:t>随访内容</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随访内容建议包括但不限于：</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⑴</w:t>
      </w:r>
      <w:r>
        <w:rPr>
          <w:rFonts w:hint="eastAsia" w:ascii="仿宋_GB2312" w:hAnsi="仿宋_GB2312" w:eastAsia="仿宋_GB2312" w:cs="仿宋_GB2312"/>
          <w:sz w:val="32"/>
          <w:szCs w:val="32"/>
        </w:rPr>
        <w:t>用药依从性评估：是否按时</w:t>
      </w:r>
      <w:r>
        <w:rPr>
          <w:rFonts w:hint="eastAsia" w:cs="仿宋_GB2312"/>
          <w:sz w:val="32"/>
          <w:szCs w:val="32"/>
          <w:lang w:eastAsia="zh-CN"/>
        </w:rPr>
        <w:t>、</w:t>
      </w:r>
      <w:r>
        <w:rPr>
          <w:rFonts w:hint="eastAsia" w:ascii="仿宋_GB2312" w:hAnsi="仿宋_GB2312" w:eastAsia="仿宋_GB2312" w:cs="仿宋_GB2312"/>
          <w:sz w:val="32"/>
          <w:szCs w:val="32"/>
        </w:rPr>
        <w:t>按量服药，</w:t>
      </w:r>
      <w:r>
        <w:rPr>
          <w:rFonts w:hint="eastAsia" w:cs="仿宋_GB2312"/>
          <w:sz w:val="32"/>
          <w:szCs w:val="32"/>
          <w:lang w:val="en-US" w:eastAsia="zh-CN"/>
        </w:rPr>
        <w:t>是否存在</w:t>
      </w:r>
      <w:r>
        <w:rPr>
          <w:rFonts w:hint="eastAsia" w:ascii="仿宋_GB2312" w:hAnsi="仿宋_GB2312" w:eastAsia="仿宋_GB2312" w:cs="仿宋_GB2312"/>
          <w:sz w:val="32"/>
          <w:szCs w:val="32"/>
        </w:rPr>
        <w:t>遗漏或错误用药情况；</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⑵</w:t>
      </w:r>
      <w:r>
        <w:rPr>
          <w:rFonts w:hint="eastAsia" w:ascii="仿宋_GB2312" w:hAnsi="仿宋_GB2312" w:eastAsia="仿宋_GB2312" w:cs="仿宋_GB2312"/>
          <w:sz w:val="32"/>
          <w:szCs w:val="32"/>
        </w:rPr>
        <w:t>疗效指标评估：血压、血糖等关键指标的监测结果及变化趋势；</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⑶</w:t>
      </w:r>
      <w:r>
        <w:rPr>
          <w:rFonts w:hint="eastAsia" w:ascii="仿宋_GB2312" w:hAnsi="仿宋_GB2312" w:eastAsia="仿宋_GB2312" w:cs="仿宋_GB2312"/>
          <w:sz w:val="32"/>
          <w:szCs w:val="32"/>
        </w:rPr>
        <w:t>不良反应监测：是否出现</w:t>
      </w:r>
      <w:r>
        <w:rPr>
          <w:rFonts w:hint="eastAsia" w:cs="仿宋_GB2312"/>
          <w:sz w:val="32"/>
          <w:szCs w:val="32"/>
          <w:lang w:val="en-US" w:eastAsia="zh-CN"/>
        </w:rPr>
        <w:t>药物</w:t>
      </w:r>
      <w:r>
        <w:rPr>
          <w:rFonts w:hint="eastAsia" w:ascii="仿宋_GB2312" w:hAnsi="仿宋_GB2312" w:eastAsia="仿宋_GB2312" w:cs="仿宋_GB2312"/>
          <w:sz w:val="32"/>
          <w:szCs w:val="32"/>
        </w:rPr>
        <w:t>不良反应及严重程度；</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⑷</w:t>
      </w:r>
      <w:r>
        <w:rPr>
          <w:rFonts w:hint="eastAsia" w:ascii="仿宋_GB2312" w:hAnsi="仿宋_GB2312" w:eastAsia="仿宋_GB2312" w:cs="仿宋_GB2312"/>
          <w:sz w:val="32"/>
          <w:szCs w:val="32"/>
        </w:rPr>
        <w:t>用药方案调整需求：是否有新增药品、停用药品或剂量调整的可能性；</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⑸</w:t>
      </w:r>
      <w:r>
        <w:rPr>
          <w:rFonts w:hint="eastAsia" w:ascii="仿宋_GB2312" w:hAnsi="仿宋_GB2312" w:eastAsia="仿宋_GB2312" w:cs="仿宋_GB2312"/>
          <w:sz w:val="32"/>
          <w:szCs w:val="32"/>
        </w:rPr>
        <w:t>健康行为评估：饮食、运动、烟酒等情况。</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4.4.4 </w:t>
      </w:r>
      <w:r>
        <w:rPr>
          <w:rFonts w:hint="eastAsia"/>
        </w:rPr>
        <w:t>随访结果</w:t>
      </w:r>
      <w:r>
        <w:rPr>
          <w:rFonts w:hint="eastAsia"/>
          <w:lang w:val="en-US" w:eastAsia="zh-CN"/>
        </w:rPr>
        <w:t>记录及</w:t>
      </w:r>
      <w:r>
        <w:rPr>
          <w:rFonts w:hint="eastAsia"/>
        </w:rPr>
        <w:t>应用</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随访结果建议记录并用于下一次药学服务：</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⑴</w:t>
      </w:r>
      <w:r>
        <w:rPr>
          <w:rFonts w:hint="eastAsia" w:ascii="仿宋_GB2312" w:hAnsi="仿宋_GB2312" w:eastAsia="仿宋_GB2312" w:cs="仿宋_GB2312"/>
          <w:sz w:val="32"/>
          <w:szCs w:val="32"/>
        </w:rPr>
        <w:t>发现依从性差的，</w:t>
      </w:r>
      <w:r>
        <w:rPr>
          <w:rFonts w:hint="eastAsia" w:cs="仿宋_GB2312"/>
          <w:sz w:val="32"/>
          <w:szCs w:val="32"/>
          <w:lang w:eastAsia="zh-CN"/>
        </w:rPr>
        <w:t>应</w:t>
      </w:r>
      <w:r>
        <w:rPr>
          <w:rFonts w:hint="eastAsia" w:ascii="仿宋_GB2312" w:hAnsi="仿宋_GB2312" w:eastAsia="仿宋_GB2312" w:cs="仿宋_GB2312"/>
          <w:sz w:val="32"/>
          <w:szCs w:val="32"/>
        </w:rPr>
        <w:t>分析原因并加强教育</w:t>
      </w:r>
      <w:r>
        <w:rPr>
          <w:rFonts w:hint="eastAsia" w:ascii="仿宋_GB2312" w:hAnsi="仿宋_GB2312" w:eastAsia="仿宋_GB2312" w:cs="仿宋_GB2312"/>
          <w:sz w:val="32"/>
          <w:szCs w:val="32"/>
          <w:highlight w:val="none"/>
        </w:rPr>
        <w:t>和</w:t>
      </w:r>
      <w:r>
        <w:rPr>
          <w:rFonts w:hint="eastAsia" w:cs="仿宋_GB2312"/>
          <w:sz w:val="32"/>
          <w:szCs w:val="32"/>
          <w:highlight w:val="none"/>
          <w:lang w:eastAsia="zh-CN"/>
        </w:rPr>
        <w:t>指导</w:t>
      </w:r>
      <w:r>
        <w:rPr>
          <w:rFonts w:hint="eastAsia" w:ascii="仿宋_GB2312" w:hAnsi="仿宋_GB2312" w:eastAsia="仿宋_GB2312" w:cs="仿宋_GB2312"/>
          <w:sz w:val="32"/>
          <w:szCs w:val="32"/>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⑵</w:t>
      </w:r>
      <w:r>
        <w:rPr>
          <w:rFonts w:hint="eastAsia" w:ascii="仿宋_GB2312" w:hAnsi="仿宋_GB2312" w:eastAsia="仿宋_GB2312" w:cs="仿宋_GB2312"/>
          <w:sz w:val="32"/>
          <w:szCs w:val="32"/>
        </w:rPr>
        <w:t>发现疗效不</w:t>
      </w:r>
      <w:r>
        <w:rPr>
          <w:rFonts w:hint="eastAsia" w:cs="仿宋_GB2312"/>
          <w:sz w:val="32"/>
          <w:szCs w:val="32"/>
          <w:lang w:val="en-US" w:eastAsia="zh-CN"/>
        </w:rPr>
        <w:t>及预期</w:t>
      </w:r>
      <w:r>
        <w:rPr>
          <w:rFonts w:hint="eastAsia" w:ascii="仿宋_GB2312" w:hAnsi="仿宋_GB2312" w:eastAsia="仿宋_GB2312" w:cs="仿宋_GB2312"/>
          <w:sz w:val="32"/>
          <w:szCs w:val="32"/>
        </w:rPr>
        <w:t>的，</w:t>
      </w:r>
      <w:r>
        <w:rPr>
          <w:rFonts w:hint="eastAsia" w:cs="仿宋_GB2312"/>
          <w:sz w:val="32"/>
          <w:szCs w:val="32"/>
          <w:lang w:val="en-US" w:eastAsia="zh-CN"/>
        </w:rPr>
        <w:t>应</w:t>
      </w:r>
      <w:r>
        <w:rPr>
          <w:rFonts w:hint="eastAsia" w:ascii="仿宋_GB2312" w:hAnsi="仿宋_GB2312" w:eastAsia="仿宋_GB2312" w:cs="仿宋_GB2312"/>
          <w:sz w:val="32"/>
          <w:szCs w:val="32"/>
        </w:rPr>
        <w:t>建议医师调整方案；</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⑶</w:t>
      </w:r>
      <w:r>
        <w:rPr>
          <w:rFonts w:hint="eastAsia" w:ascii="仿宋_GB2312" w:hAnsi="仿宋_GB2312" w:eastAsia="仿宋_GB2312" w:cs="仿宋_GB2312"/>
          <w:sz w:val="32"/>
          <w:szCs w:val="32"/>
        </w:rPr>
        <w:t>发现不良反应的，</w:t>
      </w:r>
      <w:r>
        <w:rPr>
          <w:rFonts w:hint="eastAsia" w:cs="仿宋_GB2312"/>
          <w:sz w:val="32"/>
          <w:szCs w:val="32"/>
          <w:lang w:val="en-US" w:eastAsia="zh-CN"/>
        </w:rPr>
        <w:t>应及时报告不良反应并</w:t>
      </w:r>
      <w:r>
        <w:rPr>
          <w:rFonts w:hint="eastAsia" w:ascii="仿宋_GB2312" w:hAnsi="仿宋_GB2312" w:eastAsia="仿宋_GB2312" w:cs="仿宋_GB2312"/>
          <w:sz w:val="32"/>
          <w:szCs w:val="32"/>
        </w:rPr>
        <w:t>评估因果关系；</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⑷</w:t>
      </w:r>
      <w:r>
        <w:rPr>
          <w:rFonts w:hint="eastAsia" w:cs="仿宋_GB2312"/>
          <w:sz w:val="32"/>
          <w:szCs w:val="32"/>
          <w:lang w:val="en-US" w:eastAsia="zh-CN"/>
        </w:rPr>
        <w:t>疗效较好的</w:t>
      </w:r>
      <w:r>
        <w:rPr>
          <w:rFonts w:hint="eastAsia" w:ascii="仿宋_GB2312" w:hAnsi="仿宋_GB2312" w:eastAsia="仿宋_GB2312" w:cs="仿宋_GB2312"/>
          <w:sz w:val="32"/>
          <w:szCs w:val="32"/>
        </w:rPr>
        <w:t>，维持原方案并按计划继续随访。</w:t>
      </w:r>
    </w:p>
    <w:p>
      <w:pPr>
        <w:pStyle w:val="4"/>
        <w:keepNext w:val="0"/>
        <w:keepLines w:val="0"/>
        <w:numPr>
          <w:ilvl w:val="-1"/>
          <w:numId w:val="0"/>
        </w:numPr>
        <w:spacing w:after="0" w:afterAutospacing="0" w:line="560" w:lineRule="exact"/>
        <w:ind w:firstLine="640" w:firstLineChars="200"/>
        <w:rPr>
          <w:rFonts w:hint="eastAsia" w:ascii="方正黑体_GBK" w:hAnsi="方正黑体_GBK" w:eastAsia="方正黑体_GBK" w:cs="方正黑体_GBK"/>
          <w:b w:val="0"/>
          <w:bCs/>
          <w:kern w:val="44"/>
          <w:sz w:val="32"/>
          <w:szCs w:val="24"/>
        </w:rPr>
      </w:pPr>
      <w:r>
        <w:rPr>
          <w:rFonts w:hint="eastAsia" w:ascii="方正黑体_GBK" w:hAnsi="方正黑体_GBK" w:eastAsia="方正黑体_GBK" w:cs="方正黑体_GBK"/>
          <w:b w:val="0"/>
          <w:bCs/>
          <w:kern w:val="44"/>
          <w:lang w:val="en-US" w:eastAsia="zh-CN"/>
        </w:rPr>
        <w:t>5.用药指导</w:t>
      </w:r>
      <w:r>
        <w:rPr>
          <w:rFonts w:hint="eastAsia" w:ascii="方正黑体_GBK" w:hAnsi="方正黑体_GBK" w:eastAsia="方正黑体_GBK" w:cs="方正黑体_GBK"/>
          <w:b w:val="0"/>
          <w:bCs/>
          <w:kern w:val="44"/>
        </w:rPr>
        <w:t>与健康辅导</w:t>
      </w:r>
    </w:p>
    <w:p>
      <w:pPr>
        <w:pStyle w:val="3"/>
        <w:keepNext w:val="0"/>
        <w:keepLines w:val="0"/>
        <w:bidi w:val="0"/>
        <w:spacing w:after="0" w:afterAutospacing="0" w:line="560" w:lineRule="exact"/>
        <w:ind w:firstLine="643" w:firstLineChars="200"/>
        <w:rPr>
          <w:rFonts w:hint="eastAsia" w:ascii="仿宋_GB2312" w:hAnsi="仿宋_GB2312" w:eastAsia="仿宋_GB2312" w:cs="仿宋_GB2312"/>
          <w:b/>
          <w:bCs/>
          <w:sz w:val="32"/>
          <w:szCs w:val="32"/>
        </w:rPr>
      </w:pPr>
      <w:r>
        <w:rPr>
          <w:rFonts w:hint="eastAsia"/>
        </w:rPr>
        <w:t>5.1 服务定位与范围</w:t>
      </w:r>
    </w:p>
    <w:p>
      <w:pPr>
        <w:spacing w:beforeLines="0" w:after="0" w:afterLines="0" w:afterAutospacing="0" w:line="560" w:lineRule="exact"/>
        <w:ind w:firstLine="640"/>
        <w:rPr>
          <w:rFonts w:hint="default" w:ascii="仿宋_GB2312" w:hAnsi="仿宋_GB2312" w:eastAsia="仿宋_GB2312"/>
          <w:color w:val="auto"/>
          <w:lang w:val="en-US" w:eastAsia="zh-CN"/>
        </w:rPr>
      </w:pPr>
      <w:r>
        <w:rPr>
          <w:rFonts w:hint="eastAsia" w:ascii="仿宋_GB2312" w:hAnsi="仿宋_GB2312" w:eastAsia="仿宋_GB2312"/>
          <w:color w:val="auto"/>
        </w:rPr>
        <w:t>旨在发挥</w:t>
      </w:r>
      <w:r>
        <w:rPr>
          <w:rFonts w:hint="eastAsia"/>
          <w:color w:val="auto"/>
          <w:lang w:eastAsia="zh-CN"/>
        </w:rPr>
        <w:t>执业</w:t>
      </w:r>
      <w:r>
        <w:rPr>
          <w:rFonts w:hint="eastAsia" w:ascii="仿宋_GB2312" w:hAnsi="仿宋_GB2312" w:eastAsia="仿宋_GB2312"/>
          <w:color w:val="auto"/>
        </w:rPr>
        <w:t>药师作为社区患者健康第一接触点的作用，为</w:t>
      </w:r>
      <w:r>
        <w:rPr>
          <w:rFonts w:hint="eastAsia"/>
          <w:color w:val="auto"/>
          <w:lang w:val="en-US" w:eastAsia="zh-CN"/>
        </w:rPr>
        <w:t>常见且轻症</w:t>
      </w:r>
      <w:r>
        <w:rPr>
          <w:rFonts w:hint="eastAsia" w:ascii="仿宋_GB2312" w:hAnsi="仿宋_GB2312" w:eastAsia="仿宋_GB2312"/>
          <w:color w:val="auto"/>
        </w:rPr>
        <w:t>的患者提供科学的</w:t>
      </w:r>
      <w:r>
        <w:rPr>
          <w:rFonts w:hint="eastAsia"/>
          <w:color w:val="auto"/>
          <w:lang w:eastAsia="zh-CN"/>
        </w:rPr>
        <w:t>用药</w:t>
      </w:r>
      <w:r>
        <w:rPr>
          <w:rFonts w:hint="eastAsia" w:ascii="仿宋_GB2312" w:hAnsi="仿宋_GB2312" w:eastAsia="仿宋_GB2312"/>
          <w:color w:val="auto"/>
        </w:rPr>
        <w:t>指导，引导合理使用药物</w:t>
      </w:r>
      <w:r>
        <w:rPr>
          <w:rFonts w:hint="eastAsia"/>
          <w:color w:val="auto"/>
          <w:lang w:eastAsia="zh-CN"/>
        </w:rPr>
        <w:t>（仅限于非处方药）</w:t>
      </w:r>
      <w:r>
        <w:rPr>
          <w:rFonts w:hint="eastAsia" w:ascii="仿宋_GB2312" w:hAnsi="仿宋_GB2312" w:eastAsia="仿宋_GB2312"/>
          <w:color w:val="auto"/>
        </w:rPr>
        <w:t>，减少医疗资源浪费</w:t>
      </w:r>
      <w:r>
        <w:rPr>
          <w:rFonts w:hint="eastAsia"/>
          <w:color w:val="auto"/>
          <w:lang w:eastAsia="zh-CN"/>
        </w:rPr>
        <w:t>，</w:t>
      </w:r>
      <w:r>
        <w:rPr>
          <w:rFonts w:hint="eastAsia"/>
          <w:color w:val="auto"/>
          <w:lang w:val="en-US" w:eastAsia="zh-CN"/>
        </w:rPr>
        <w:t>当发现患者</w:t>
      </w:r>
      <w:r>
        <w:rPr>
          <w:rFonts w:hint="eastAsia" w:cs="仿宋_GB2312"/>
          <w:sz w:val="32"/>
          <w:szCs w:val="32"/>
          <w:lang w:val="en-US" w:eastAsia="zh-CN"/>
        </w:rPr>
        <w:t>患有</w:t>
      </w:r>
      <w:r>
        <w:rPr>
          <w:rFonts w:hint="eastAsia" w:cs="仿宋_GB2312"/>
          <w:sz w:val="32"/>
          <w:szCs w:val="32"/>
          <w:lang w:eastAsia="zh-CN"/>
        </w:rPr>
        <w:t>较为严重疾病、</w:t>
      </w:r>
      <w:r>
        <w:rPr>
          <w:rFonts w:hint="eastAsia" w:cs="仿宋_GB2312"/>
          <w:sz w:val="32"/>
          <w:szCs w:val="32"/>
          <w:lang w:val="en-US" w:eastAsia="zh-CN"/>
        </w:rPr>
        <w:t>患者服药后</w:t>
      </w:r>
      <w:r>
        <w:rPr>
          <w:rFonts w:hint="eastAsia"/>
          <w:color w:val="auto"/>
          <w:lang w:val="en-US" w:eastAsia="zh-CN"/>
        </w:rPr>
        <w:t>病情未见好转或加重时，应立即建议患者就医。</w:t>
      </w:r>
    </w:p>
    <w:p>
      <w:pPr>
        <w:pStyle w:val="3"/>
        <w:keepNext w:val="0"/>
        <w:keepLines w:val="0"/>
        <w:bidi w:val="0"/>
        <w:spacing w:after="0" w:afterAutospacing="0" w:line="560" w:lineRule="exact"/>
        <w:ind w:firstLine="643" w:firstLineChars="200"/>
        <w:rPr>
          <w:rFonts w:hint="eastAsia" w:ascii="仿宋_GB2312" w:hAnsi="仿宋_GB2312" w:eastAsia="仿宋_GB2312" w:cs="仿宋_GB2312"/>
          <w:b/>
          <w:bCs/>
          <w:sz w:val="32"/>
          <w:szCs w:val="32"/>
        </w:rPr>
      </w:pPr>
      <w:r>
        <w:rPr>
          <w:rFonts w:hint="eastAsia"/>
        </w:rPr>
        <w:t>5.</w:t>
      </w:r>
      <w:r>
        <w:rPr>
          <w:rFonts w:hint="eastAsia"/>
          <w:lang w:val="en-US" w:eastAsia="zh-CN"/>
        </w:rPr>
        <w:t>2</w:t>
      </w:r>
      <w:r>
        <w:rPr>
          <w:rFonts w:hint="eastAsia"/>
        </w:rPr>
        <w:t xml:space="preserve"> </w:t>
      </w:r>
      <w:r>
        <w:rPr>
          <w:rFonts w:hint="eastAsia"/>
          <w:lang w:val="en-US" w:eastAsia="zh-CN"/>
        </w:rPr>
        <w:t>用药指导建议流程</w:t>
      </w:r>
    </w:p>
    <w:p>
      <w:pPr>
        <w:bidi w:val="0"/>
        <w:spacing w:beforeLines="0" w:after="0" w:afterLines="0" w:afterAutospacing="0" w:line="560" w:lineRule="exact"/>
        <w:rPr>
          <w:rFonts w:hint="eastAsia"/>
          <w:lang w:eastAsia="zh-CN"/>
        </w:rPr>
      </w:pPr>
      <w:r>
        <w:rPr>
          <w:rFonts w:hint="eastAsia"/>
          <w:lang w:eastAsia="zh-CN"/>
        </w:rPr>
        <w:t>执业</w:t>
      </w:r>
      <w:r>
        <w:rPr>
          <w:rFonts w:hint="eastAsia"/>
        </w:rPr>
        <w:t>药师开展</w:t>
      </w:r>
      <w:r>
        <w:rPr>
          <w:rFonts w:hint="eastAsia"/>
          <w:lang w:val="en-US" w:eastAsia="zh-CN"/>
        </w:rPr>
        <w:t>用药指导</w:t>
      </w:r>
      <w:r>
        <w:rPr>
          <w:rFonts w:hint="eastAsia"/>
        </w:rPr>
        <w:t>建议遵循“五步法”</w:t>
      </w:r>
      <w:r>
        <w:rPr>
          <w:rFonts w:hint="eastAsia"/>
          <w:lang w:eastAsia="zh-CN"/>
        </w:rPr>
        <w:t>。</w:t>
      </w:r>
    </w:p>
    <w:p>
      <w:pPr>
        <w:pStyle w:val="4"/>
        <w:keepNext w:val="0"/>
        <w:keepLines w:val="0"/>
        <w:spacing w:after="0" w:afterAutospacing="0" w:line="560" w:lineRule="exact"/>
        <w:ind w:left="0" w:leftChars="0" w:firstLine="640" w:firstLineChars="200"/>
        <w:rPr>
          <w:rFonts w:hint="eastAsia" w:ascii="仿宋_GB2312" w:hAnsi="仿宋_GB2312" w:eastAsia="仿宋_GB2312" w:cs="Times New Roman (正文 CS 字体)"/>
          <w:b w:val="0"/>
          <w:sz w:val="32"/>
          <w:szCs w:val="24"/>
        </w:rPr>
      </w:pPr>
      <w:r>
        <w:rPr>
          <w:rFonts w:hint="eastAsia"/>
          <w:b w:val="0"/>
        </w:rPr>
        <w:t>第一步：症状采集与评估</w:t>
      </w:r>
      <w:r>
        <w:rPr>
          <w:rFonts w:hint="eastAsia"/>
          <w:b w:val="0"/>
          <w:lang w:eastAsia="zh-CN"/>
        </w:rPr>
        <w:t>，</w:t>
      </w:r>
      <w:r>
        <w:rPr>
          <w:rFonts w:hint="eastAsia" w:ascii="仿宋_GB2312" w:hAnsi="仿宋_GB2312" w:eastAsia="仿宋_GB2312" w:cs="Times New Roman (正文 CS 字体)"/>
          <w:b w:val="0"/>
          <w:sz w:val="32"/>
          <w:szCs w:val="24"/>
        </w:rPr>
        <w:t>了解患者</w:t>
      </w:r>
      <w:r>
        <w:rPr>
          <w:rFonts w:hint="eastAsia" w:cs="Times New Roman (正文 CS 字体)"/>
          <w:b w:val="0"/>
          <w:sz w:val="32"/>
          <w:szCs w:val="24"/>
          <w:lang w:val="en-US" w:eastAsia="zh-CN"/>
        </w:rPr>
        <w:t>以下</w:t>
      </w:r>
      <w:r>
        <w:rPr>
          <w:rFonts w:hint="eastAsia" w:ascii="仿宋_GB2312" w:hAnsi="仿宋_GB2312" w:eastAsia="仿宋_GB2312" w:cs="Times New Roman (正文 CS 字体)"/>
          <w:b w:val="0"/>
          <w:sz w:val="32"/>
          <w:szCs w:val="24"/>
        </w:rPr>
        <w:t>基本信息：</w:t>
      </w:r>
    </w:p>
    <w:p>
      <w:pPr>
        <w:pStyle w:val="13"/>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⑴</w:t>
      </w:r>
      <w:r>
        <w:rPr>
          <w:rFonts w:hint="eastAsia" w:ascii="仿宋_GB2312" w:hAnsi="仿宋_GB2312" w:eastAsia="仿宋_GB2312" w:cs="仿宋_GB2312"/>
          <w:sz w:val="32"/>
          <w:szCs w:val="32"/>
        </w:rPr>
        <w:t>主要症状及持续时间；</w:t>
      </w:r>
    </w:p>
    <w:p>
      <w:pPr>
        <w:pStyle w:val="13"/>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⑵</w:t>
      </w:r>
      <w:r>
        <w:rPr>
          <w:rFonts w:hint="eastAsia" w:ascii="仿宋_GB2312" w:hAnsi="仿宋_GB2312" w:eastAsia="仿宋_GB2312" w:cs="仿宋_GB2312"/>
          <w:sz w:val="32"/>
          <w:szCs w:val="32"/>
        </w:rPr>
        <w:t>症状严重程度（轻/中/重）；</w:t>
      </w:r>
    </w:p>
    <w:p>
      <w:pPr>
        <w:pStyle w:val="13"/>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⑶</w:t>
      </w:r>
      <w:r>
        <w:rPr>
          <w:rFonts w:hint="eastAsia" w:ascii="仿宋_GB2312" w:hAnsi="仿宋_GB2312" w:eastAsia="仿宋_GB2312" w:cs="仿宋_GB2312"/>
          <w:sz w:val="32"/>
          <w:szCs w:val="32"/>
        </w:rPr>
        <w:t>伴随症状；</w:t>
      </w:r>
    </w:p>
    <w:p>
      <w:pPr>
        <w:pStyle w:val="13"/>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⑷</w:t>
      </w:r>
      <w:r>
        <w:rPr>
          <w:rFonts w:hint="eastAsia" w:ascii="仿宋_GB2312" w:hAnsi="仿宋_GB2312" w:eastAsia="仿宋_GB2312" w:cs="仿宋_GB2312"/>
          <w:sz w:val="32"/>
          <w:szCs w:val="32"/>
        </w:rPr>
        <w:t>既往类似发作史；</w:t>
      </w:r>
    </w:p>
    <w:p>
      <w:pPr>
        <w:pStyle w:val="13"/>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⑸</w:t>
      </w:r>
      <w:r>
        <w:rPr>
          <w:rFonts w:hint="eastAsia" w:ascii="仿宋_GB2312" w:hAnsi="仿宋_GB2312" w:eastAsia="仿宋_GB2312" w:cs="仿宋_GB2312"/>
          <w:sz w:val="32"/>
          <w:szCs w:val="32"/>
        </w:rPr>
        <w:t>自行用药史；</w:t>
      </w:r>
    </w:p>
    <w:p>
      <w:pPr>
        <w:pStyle w:val="13"/>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⑹</w:t>
      </w:r>
      <w:r>
        <w:rPr>
          <w:rFonts w:hint="eastAsia" w:ascii="仿宋_GB2312" w:hAnsi="仿宋_GB2312" w:eastAsia="仿宋_GB2312" w:cs="仿宋_GB2312"/>
          <w:sz w:val="32"/>
          <w:szCs w:val="32"/>
        </w:rPr>
        <w:t>过敏史；</w:t>
      </w:r>
    </w:p>
    <w:p>
      <w:pPr>
        <w:pStyle w:val="13"/>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⑺</w:t>
      </w:r>
      <w:r>
        <w:rPr>
          <w:rFonts w:hint="eastAsia" w:ascii="仿宋_GB2312" w:hAnsi="仿宋_GB2312" w:eastAsia="仿宋_GB2312" w:cs="仿宋_GB2312"/>
          <w:sz w:val="32"/>
          <w:szCs w:val="32"/>
        </w:rPr>
        <w:t>基础疾病史。</w:t>
      </w:r>
    </w:p>
    <w:p>
      <w:pPr>
        <w:pStyle w:val="4"/>
        <w:keepNext w:val="0"/>
        <w:keepLines w:val="0"/>
        <w:bidi w:val="0"/>
        <w:spacing w:after="0" w:afterAutospacing="0" w:line="560" w:lineRule="exact"/>
        <w:ind w:firstLine="640" w:firstLineChars="200"/>
        <w:rPr>
          <w:rFonts w:hint="eastAsia" w:eastAsia="仿宋_GB2312"/>
          <w:b w:val="0"/>
          <w:bCs w:val="0"/>
          <w:lang w:eastAsia="zh-CN"/>
        </w:rPr>
      </w:pPr>
      <w:r>
        <w:rPr>
          <w:rFonts w:hint="eastAsia"/>
          <w:b w:val="0"/>
          <w:bCs w:val="0"/>
        </w:rPr>
        <w:t>第二步：</w:t>
      </w:r>
      <w:r>
        <w:rPr>
          <w:rFonts w:hint="eastAsia"/>
          <w:b w:val="0"/>
          <w:bCs w:val="0"/>
          <w:lang w:val="en-US" w:eastAsia="zh-CN"/>
        </w:rPr>
        <w:t>症状</w:t>
      </w:r>
      <w:r>
        <w:rPr>
          <w:rFonts w:hint="eastAsia"/>
          <w:b w:val="0"/>
          <w:bCs w:val="0"/>
        </w:rPr>
        <w:t>评估识别</w:t>
      </w:r>
      <w:r>
        <w:rPr>
          <w:rFonts w:hint="eastAsia"/>
          <w:b w:val="0"/>
          <w:bCs w:val="0"/>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⑴</w:t>
      </w:r>
      <w:r>
        <w:rPr>
          <w:rFonts w:hint="eastAsia" w:cs="仿宋_GB2312"/>
          <w:sz w:val="32"/>
          <w:szCs w:val="32"/>
          <w:lang w:val="en-US" w:eastAsia="zh-CN"/>
        </w:rPr>
        <w:t>初步判断是否具有较为严重疾病</w:t>
      </w:r>
      <w:r>
        <w:rPr>
          <w:rFonts w:hint="eastAsia" w:ascii="仿宋_GB2312" w:hAnsi="仿宋_GB2312" w:eastAsia="仿宋_GB2312" w:cs="仿宋_GB2312"/>
          <w:sz w:val="32"/>
          <w:szCs w:val="32"/>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⑵</w:t>
      </w:r>
      <w:r>
        <w:rPr>
          <w:rFonts w:hint="eastAsia" w:ascii="仿宋_GB2312" w:hAnsi="仿宋_GB2312" w:eastAsia="仿宋_GB2312" w:cs="仿宋_GB2312"/>
          <w:sz w:val="32"/>
          <w:szCs w:val="32"/>
        </w:rPr>
        <w:t>确认患者不存在用药禁忌症；</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b/>
          <w:bCs/>
          <w:sz w:val="32"/>
          <w:szCs w:val="32"/>
        </w:rPr>
      </w:pPr>
      <w:r>
        <w:rPr>
          <w:rFonts w:hint="eastAsia" w:ascii="方正书宋_GBK" w:hAnsi="方正书宋_GBK" w:eastAsia="方正书宋_GBK" w:cs="方正书宋_GBK"/>
          <w:b w:val="0"/>
          <w:bCs w:val="0"/>
          <w:sz w:val="32"/>
          <w:szCs w:val="32"/>
        </w:rPr>
        <w:t>⑶</w:t>
      </w:r>
      <w:r>
        <w:rPr>
          <w:rFonts w:hint="eastAsia" w:ascii="仿宋_GB2312" w:hAnsi="仿宋_GB2312" w:eastAsia="仿宋_GB2312" w:cs="仿宋_GB2312"/>
          <w:b w:val="0"/>
          <w:bCs w:val="0"/>
          <w:sz w:val="32"/>
          <w:szCs w:val="32"/>
        </w:rPr>
        <w:t>确认患者不属于需要特别关注的重点人群，或属于</w:t>
      </w:r>
      <w:r>
        <w:rPr>
          <w:rFonts w:hint="eastAsia" w:ascii="仿宋_GB2312" w:hAnsi="仿宋_GB2312" w:eastAsia="仿宋_GB2312" w:cs="仿宋_GB2312"/>
          <w:sz w:val="32"/>
          <w:szCs w:val="32"/>
        </w:rPr>
        <w:t>重点人群但用药安全。</w:t>
      </w:r>
    </w:p>
    <w:p>
      <w:pPr>
        <w:pStyle w:val="4"/>
        <w:keepNext w:val="0"/>
        <w:keepLines w:val="0"/>
        <w:spacing w:after="0" w:afterAutospacing="0" w:line="560" w:lineRule="exact"/>
        <w:ind w:firstLine="640" w:firstLineChars="200"/>
        <w:rPr>
          <w:rFonts w:hint="eastAsia" w:ascii="仿宋_GB2312" w:hAnsi="仿宋_GB2312" w:eastAsia="仿宋_GB2312" w:cs="Times New Roman (正文 CS 字体)"/>
          <w:b w:val="0"/>
          <w:bCs/>
          <w:sz w:val="32"/>
          <w:szCs w:val="24"/>
        </w:rPr>
      </w:pPr>
      <w:r>
        <w:rPr>
          <w:rFonts w:hint="eastAsia"/>
          <w:b w:val="0"/>
          <w:bCs/>
        </w:rPr>
        <w:t>第三步：非处方药选择</w:t>
      </w:r>
      <w:r>
        <w:rPr>
          <w:rFonts w:hint="eastAsia"/>
          <w:b w:val="0"/>
          <w:bCs/>
          <w:lang w:eastAsia="zh-CN"/>
        </w:rPr>
        <w:t>：</w:t>
      </w:r>
      <w:r>
        <w:rPr>
          <w:rFonts w:hint="eastAsia" w:ascii="仿宋_GB2312" w:hAnsi="仿宋_GB2312" w:eastAsia="仿宋_GB2312" w:cs="Times New Roman (正文 CS 字体)"/>
          <w:b w:val="0"/>
          <w:bCs/>
          <w:sz w:val="32"/>
          <w:szCs w:val="24"/>
        </w:rPr>
        <w:t>根据患者症状、年龄、基础疾病、合并用药情况，提供非处方药选择建议</w:t>
      </w:r>
      <w:r>
        <w:rPr>
          <w:rFonts w:hint="eastAsia" w:cs="Times New Roman (正文 CS 字体)"/>
          <w:b w:val="0"/>
          <w:bCs/>
          <w:sz w:val="32"/>
          <w:szCs w:val="24"/>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⑴</w:t>
      </w:r>
      <w:r>
        <w:rPr>
          <w:rFonts w:hint="eastAsia" w:ascii="仿宋_GB2312" w:hAnsi="仿宋_GB2312" w:eastAsia="仿宋_GB2312" w:cs="仿宋_GB2312"/>
          <w:sz w:val="32"/>
          <w:szCs w:val="32"/>
        </w:rPr>
        <w:t>说明可选药品的种类和作用机制；</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⑵</w:t>
      </w:r>
      <w:r>
        <w:rPr>
          <w:rFonts w:hint="eastAsia" w:ascii="仿宋_GB2312" w:hAnsi="仿宋_GB2312" w:eastAsia="仿宋_GB2312" w:cs="仿宋_GB2312"/>
          <w:sz w:val="32"/>
          <w:szCs w:val="32"/>
        </w:rPr>
        <w:t>推荐具体药品（非处方药），说明用法用量；</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⑶</w:t>
      </w:r>
      <w:r>
        <w:rPr>
          <w:rFonts w:hint="eastAsia" w:ascii="仿宋_GB2312" w:hAnsi="仿宋_GB2312" w:eastAsia="仿宋_GB2312" w:cs="仿宋_GB2312"/>
          <w:sz w:val="32"/>
          <w:szCs w:val="32"/>
        </w:rPr>
        <w:t>告知预期的疗效和起效时间；</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lang w:eastAsia="zh-CN"/>
        </w:rPr>
      </w:pPr>
      <w:r>
        <w:rPr>
          <w:rFonts w:hint="eastAsia" w:ascii="方正书宋_GBK" w:hAnsi="方正书宋_GBK" w:eastAsia="方正书宋_GBK" w:cs="方正书宋_GBK"/>
          <w:sz w:val="32"/>
          <w:szCs w:val="32"/>
        </w:rPr>
        <w:t>⑷</w:t>
      </w:r>
      <w:r>
        <w:rPr>
          <w:rFonts w:hint="eastAsia" w:ascii="仿宋_GB2312" w:hAnsi="仿宋_GB2312" w:eastAsia="仿宋_GB2312" w:cs="仿宋_GB2312"/>
          <w:sz w:val="32"/>
          <w:szCs w:val="32"/>
        </w:rPr>
        <w:t>告知常见副作用及应对措施</w:t>
      </w:r>
      <w:r>
        <w:rPr>
          <w:rFonts w:hint="eastAsia" w:cs="仿宋_GB2312"/>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⑸</w:t>
      </w:r>
      <w:r>
        <w:rPr>
          <w:rFonts w:hint="eastAsia" w:ascii="仿宋_GB2312" w:hAnsi="仿宋_GB2312" w:eastAsia="仿宋_GB2312" w:cs="仿宋_GB2312"/>
          <w:sz w:val="32"/>
          <w:szCs w:val="32"/>
        </w:rPr>
        <w:t>告知用药注意事项。</w:t>
      </w:r>
    </w:p>
    <w:p>
      <w:pPr>
        <w:pStyle w:val="4"/>
        <w:keepNext w:val="0"/>
        <w:keepLines w:val="0"/>
        <w:spacing w:after="0" w:afterAutospacing="0" w:line="560" w:lineRule="exact"/>
        <w:ind w:firstLine="640" w:firstLineChars="200"/>
        <w:rPr>
          <w:rFonts w:hint="eastAsia" w:eastAsia="仿宋_GB2312"/>
          <w:b w:val="0"/>
          <w:bCs/>
          <w:lang w:eastAsia="zh-CN"/>
        </w:rPr>
      </w:pPr>
      <w:r>
        <w:rPr>
          <w:rFonts w:hint="eastAsia"/>
          <w:b w:val="0"/>
          <w:bCs/>
        </w:rPr>
        <w:t>第四步：非药物干预指导</w:t>
      </w:r>
      <w:r>
        <w:rPr>
          <w:rFonts w:hint="eastAsia"/>
          <w:b w:val="0"/>
          <w:bCs/>
          <w:lang w:eastAsia="zh-CN"/>
        </w:rPr>
        <w:t>：</w:t>
      </w:r>
      <w:r>
        <w:rPr>
          <w:rFonts w:hint="eastAsia"/>
          <w:b w:val="0"/>
          <w:bCs/>
        </w:rPr>
        <w:t>除药物治疗外，提供非药物干预建议</w:t>
      </w:r>
      <w:r>
        <w:rPr>
          <w:rFonts w:hint="eastAsia"/>
          <w:b w:val="0"/>
          <w:bCs/>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⑴</w:t>
      </w:r>
      <w:r>
        <w:rPr>
          <w:rFonts w:hint="eastAsia" w:ascii="仿宋_GB2312" w:hAnsi="仿宋_GB2312" w:eastAsia="仿宋_GB2312" w:cs="仿宋_GB2312"/>
          <w:sz w:val="32"/>
          <w:szCs w:val="32"/>
        </w:rPr>
        <w:t>生活方式调整（休息、饮水、饮食等）；</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⑵</w:t>
      </w:r>
      <w:r>
        <w:rPr>
          <w:rFonts w:hint="eastAsia" w:ascii="仿宋_GB2312" w:hAnsi="仿宋_GB2312" w:eastAsia="仿宋_GB2312" w:cs="仿宋_GB2312"/>
          <w:sz w:val="32"/>
          <w:szCs w:val="32"/>
        </w:rPr>
        <w:t>物理疗法（冷敷、热敷、盐水漱口等）；</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⑶</w:t>
      </w:r>
      <w:r>
        <w:rPr>
          <w:rFonts w:hint="eastAsia" w:ascii="仿宋_GB2312" w:hAnsi="仿宋_GB2312" w:eastAsia="仿宋_GB2312" w:cs="仿宋_GB2312"/>
          <w:sz w:val="32"/>
          <w:szCs w:val="32"/>
        </w:rPr>
        <w:t>自我监测要点。</w:t>
      </w:r>
    </w:p>
    <w:p>
      <w:pPr>
        <w:pStyle w:val="4"/>
        <w:keepNext w:val="0"/>
        <w:keepLines w:val="0"/>
        <w:bidi w:val="0"/>
        <w:spacing w:after="0" w:afterAutospacing="0" w:line="560" w:lineRule="exact"/>
        <w:ind w:firstLine="640" w:firstLineChars="200"/>
        <w:rPr>
          <w:rFonts w:hint="eastAsia" w:eastAsia="仿宋_GB2312"/>
          <w:b w:val="0"/>
          <w:bCs/>
          <w:lang w:eastAsia="zh-CN"/>
        </w:rPr>
      </w:pPr>
      <w:r>
        <w:rPr>
          <w:rFonts w:hint="eastAsia"/>
          <w:b w:val="0"/>
          <w:bCs/>
        </w:rPr>
        <w:t>第五步：随访与复诊</w:t>
      </w:r>
      <w:r>
        <w:rPr>
          <w:rFonts w:hint="eastAsia"/>
          <w:b w:val="0"/>
          <w:bCs/>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⑴</w:t>
      </w:r>
      <w:r>
        <w:rPr>
          <w:rFonts w:hint="eastAsia" w:ascii="仿宋_GB2312" w:hAnsi="仿宋_GB2312" w:eastAsia="仿宋_GB2312" w:cs="仿宋_GB2312"/>
          <w:sz w:val="32"/>
          <w:szCs w:val="32"/>
        </w:rPr>
        <w:t>告知</w:t>
      </w:r>
      <w:r>
        <w:rPr>
          <w:rFonts w:hint="eastAsia" w:cs="仿宋_GB2312"/>
          <w:sz w:val="32"/>
          <w:szCs w:val="32"/>
          <w:lang w:val="en-US" w:eastAsia="zh-CN"/>
        </w:rPr>
        <w:t>患者</w:t>
      </w:r>
      <w:r>
        <w:rPr>
          <w:rFonts w:hint="eastAsia" w:ascii="仿宋_GB2312" w:hAnsi="仿宋_GB2312" w:eastAsia="仿宋_GB2312" w:cs="仿宋_GB2312"/>
          <w:sz w:val="32"/>
          <w:szCs w:val="32"/>
        </w:rPr>
        <w:t>复诊</w:t>
      </w:r>
      <w:r>
        <w:rPr>
          <w:rFonts w:hint="eastAsia" w:cs="仿宋_GB2312"/>
          <w:sz w:val="32"/>
          <w:szCs w:val="32"/>
          <w:lang w:val="en-US" w:eastAsia="zh-CN"/>
        </w:rPr>
        <w:t>时间</w:t>
      </w:r>
      <w:r>
        <w:rPr>
          <w:rFonts w:hint="eastAsia" w:ascii="仿宋_GB2312" w:hAnsi="仿宋_GB2312" w:eastAsia="仿宋_GB2312" w:cs="仿宋_GB2312"/>
          <w:sz w:val="32"/>
          <w:szCs w:val="32"/>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lang w:eastAsia="zh-CN"/>
        </w:rPr>
        <w:t>⑵</w:t>
      </w:r>
      <w:r>
        <w:rPr>
          <w:rFonts w:hint="eastAsia" w:cs="仿宋_GB2312"/>
          <w:sz w:val="32"/>
          <w:szCs w:val="32"/>
          <w:lang w:val="en-US" w:eastAsia="zh-CN"/>
        </w:rPr>
        <w:t>可适时开展随访</w:t>
      </w:r>
      <w:r>
        <w:rPr>
          <w:rFonts w:hint="eastAsia" w:ascii="仿宋_GB2312" w:hAnsi="仿宋_GB2312" w:eastAsia="仿宋_GB2312" w:cs="仿宋_GB2312"/>
          <w:sz w:val="32"/>
          <w:szCs w:val="32"/>
        </w:rPr>
        <w:t>。</w:t>
      </w:r>
    </w:p>
    <w:p>
      <w:pPr>
        <w:pStyle w:val="3"/>
        <w:keepNext w:val="0"/>
        <w:keepLines w:val="0"/>
        <w:bidi w:val="0"/>
        <w:spacing w:after="0" w:afterAutospacing="0" w:line="560" w:lineRule="exact"/>
        <w:ind w:firstLine="643" w:firstLineChars="200"/>
        <w:rPr>
          <w:rFonts w:hint="eastAsia"/>
        </w:rPr>
      </w:pPr>
      <w:r>
        <w:rPr>
          <w:rFonts w:hint="eastAsia"/>
        </w:rPr>
        <w:t>5.</w:t>
      </w:r>
      <w:r>
        <w:rPr>
          <w:rFonts w:hint="eastAsia"/>
          <w:lang w:val="en-US" w:eastAsia="zh-CN"/>
        </w:rPr>
        <w:t>3治疗药物</w:t>
      </w:r>
      <w:r>
        <w:rPr>
          <w:rFonts w:hint="eastAsia"/>
        </w:rPr>
        <w:t>选择标准</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firstLine="640" w:firstLineChars="200"/>
        <w:textAlignment w:val="auto"/>
        <w:rPr>
          <w:rFonts w:hint="eastAsia" w:ascii="仿宋_GB2312" w:hAnsi="仿宋_GB2312" w:eastAsia="仿宋_GB2312" w:cs="仿宋_GB2312"/>
          <w:sz w:val="32"/>
          <w:szCs w:val="32"/>
        </w:rPr>
      </w:pPr>
      <w:r>
        <w:rPr>
          <w:rFonts w:hint="eastAsia" w:cs="仿宋_GB2312"/>
          <w:sz w:val="32"/>
          <w:szCs w:val="32"/>
          <w:lang w:eastAsia="zh-CN"/>
        </w:rPr>
        <w:t>执业</w:t>
      </w:r>
      <w:r>
        <w:rPr>
          <w:rFonts w:hint="eastAsia" w:ascii="仿宋_GB2312" w:hAnsi="仿宋_GB2312" w:eastAsia="仿宋_GB2312" w:cs="仿宋_GB2312"/>
          <w:sz w:val="32"/>
          <w:szCs w:val="32"/>
        </w:rPr>
        <w:t>药师应当根据患者具体情况，遵循以下原则</w:t>
      </w:r>
      <w:r>
        <w:rPr>
          <w:rFonts w:hint="eastAsia" w:cs="仿宋_GB2312"/>
          <w:sz w:val="32"/>
          <w:szCs w:val="32"/>
          <w:lang w:val="en-US" w:eastAsia="zh-CN"/>
        </w:rPr>
        <w:t>为患者提供用药建议（仅限于</w:t>
      </w:r>
      <w:r>
        <w:rPr>
          <w:rFonts w:hint="eastAsia" w:ascii="仿宋_GB2312" w:hAnsi="仿宋_GB2312" w:eastAsia="仿宋_GB2312" w:cs="仿宋_GB2312"/>
          <w:sz w:val="32"/>
          <w:szCs w:val="32"/>
        </w:rPr>
        <w:t>非处方药</w:t>
      </w:r>
      <w:r>
        <w:rPr>
          <w:rFonts w:hint="eastAsia"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⑴</w:t>
      </w:r>
      <w:r>
        <w:rPr>
          <w:rFonts w:hint="eastAsia" w:ascii="仿宋_GB2312" w:hAnsi="仿宋_GB2312" w:eastAsia="仿宋_GB2312" w:cs="仿宋_GB2312"/>
          <w:sz w:val="32"/>
          <w:szCs w:val="32"/>
        </w:rPr>
        <w:t>有效性原则</w:t>
      </w:r>
      <w:r>
        <w:rPr>
          <w:rFonts w:hint="eastAsia" w:cs="仿宋_GB2312"/>
          <w:sz w:val="32"/>
          <w:szCs w:val="32"/>
          <w:lang w:eastAsia="zh-CN"/>
        </w:rPr>
        <w:t>：</w:t>
      </w:r>
      <w:r>
        <w:rPr>
          <w:rFonts w:hint="eastAsia" w:ascii="仿宋_GB2312" w:hAnsi="仿宋_GB2312" w:eastAsia="仿宋_GB2312" w:cs="仿宋_GB2312"/>
          <w:sz w:val="32"/>
          <w:szCs w:val="32"/>
        </w:rPr>
        <w:t>选择有明确适应</w:t>
      </w:r>
      <w:r>
        <w:rPr>
          <w:rFonts w:hint="eastAsia" w:cs="仿宋_GB2312"/>
          <w:sz w:val="32"/>
          <w:szCs w:val="32"/>
          <w:lang w:eastAsia="zh-CN"/>
        </w:rPr>
        <w:t>证</w:t>
      </w:r>
      <w:r>
        <w:rPr>
          <w:rFonts w:hint="eastAsia" w:ascii="仿宋_GB2312" w:hAnsi="仿宋_GB2312" w:eastAsia="仿宋_GB2312" w:cs="仿宋_GB2312"/>
          <w:sz w:val="32"/>
          <w:szCs w:val="32"/>
        </w:rPr>
        <w:t>、疗效确切的药品</w:t>
      </w:r>
      <w:r>
        <w:rPr>
          <w:rFonts w:hint="eastAsia" w:cs="仿宋_GB2312"/>
          <w:sz w:val="32"/>
          <w:szCs w:val="32"/>
          <w:lang w:eastAsia="zh-CN"/>
        </w:rPr>
        <w:t>；</w:t>
      </w:r>
    </w:p>
    <w:p>
      <w:pPr>
        <w:numPr>
          <w:ilvl w:val="-1"/>
          <w:numId w:val="0"/>
        </w:numPr>
        <w:spacing w:beforeLines="0" w:after="0" w:afterLines="0" w:afterAutospacing="0" w:line="560" w:lineRule="exact"/>
        <w:ind w:firstLine="640" w:firstLineChars="200"/>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⑵</w:t>
      </w:r>
      <w:r>
        <w:rPr>
          <w:rFonts w:hint="eastAsia" w:ascii="仿宋_GB2312" w:hAnsi="仿宋_GB2312" w:eastAsia="仿宋_GB2312" w:cs="仿宋_GB2312"/>
          <w:sz w:val="32"/>
          <w:szCs w:val="32"/>
        </w:rPr>
        <w:t>安全性原则</w:t>
      </w:r>
      <w:r>
        <w:rPr>
          <w:rFonts w:hint="eastAsia" w:cs="仿宋_GB2312"/>
          <w:sz w:val="32"/>
          <w:szCs w:val="32"/>
          <w:lang w:eastAsia="zh-CN"/>
        </w:rPr>
        <w:t>：</w:t>
      </w:r>
      <w:r>
        <w:rPr>
          <w:rFonts w:hint="eastAsia" w:ascii="仿宋_GB2312" w:hAnsi="仿宋_GB2312" w:eastAsia="仿宋_GB2312" w:cs="仿宋_GB2312"/>
          <w:sz w:val="32"/>
          <w:szCs w:val="32"/>
        </w:rPr>
        <w:t>优先选择单方制剂，避免不必要的复方成分；</w:t>
      </w:r>
      <w:r>
        <w:rPr>
          <w:rFonts w:hint="eastAsia" w:cs="仿宋_GB2312"/>
          <w:szCs w:val="32"/>
        </w:rPr>
        <w:t>注意儿童用药的适用</w:t>
      </w:r>
      <w:r>
        <w:rPr>
          <w:rFonts w:hint="eastAsia" w:cs="仿宋_GB2312"/>
          <w:color w:val="auto"/>
          <w:szCs w:val="32"/>
        </w:rPr>
        <w:t>年龄和</w:t>
      </w:r>
      <w:r>
        <w:rPr>
          <w:rFonts w:hint="eastAsia" w:ascii="Cambria" w:hAnsi="Cambria" w:cs="Cambria"/>
          <w:color w:val="auto"/>
          <w:szCs w:val="32"/>
        </w:rPr>
        <w:t>剂量计算</w:t>
      </w:r>
      <w:r>
        <w:rPr>
          <w:rFonts w:hint="eastAsia" w:cs="仿宋_GB2312"/>
          <w:color w:val="auto"/>
          <w:szCs w:val="32"/>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⑶</w:t>
      </w:r>
      <w:r>
        <w:rPr>
          <w:rFonts w:hint="eastAsia" w:ascii="仿宋_GB2312" w:hAnsi="仿宋_GB2312" w:eastAsia="仿宋_GB2312" w:cs="仿宋_GB2312"/>
          <w:sz w:val="32"/>
          <w:szCs w:val="32"/>
        </w:rPr>
        <w:t>个体化原则：考虑患者年龄、基础疾病、过敏史、合并用药</w:t>
      </w:r>
      <w:r>
        <w:rPr>
          <w:rFonts w:hint="eastAsia" w:cs="仿宋_GB2312"/>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⑷</w:t>
      </w:r>
      <w:r>
        <w:rPr>
          <w:rFonts w:hint="eastAsia" w:ascii="仿宋_GB2312" w:hAnsi="仿宋_GB2312" w:eastAsia="仿宋_GB2312" w:cs="仿宋_GB2312"/>
          <w:sz w:val="32"/>
          <w:szCs w:val="32"/>
        </w:rPr>
        <w:t>经济性原则：在同等疗效下，推荐经济实惠的药品</w:t>
      </w:r>
      <w:r>
        <w:rPr>
          <w:rFonts w:hint="eastAsia" w:cs="仿宋_GB2312"/>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⑸</w:t>
      </w:r>
      <w:r>
        <w:rPr>
          <w:rFonts w:hint="eastAsia" w:ascii="仿宋_GB2312" w:hAnsi="仿宋_GB2312" w:eastAsia="仿宋_GB2312" w:cs="仿宋_GB2312"/>
          <w:sz w:val="32"/>
          <w:szCs w:val="32"/>
        </w:rPr>
        <w:t>循证医学原则：优先选择有循证医学证据支持的药品，参照临床指南和专家共识的推荐。</w:t>
      </w:r>
    </w:p>
    <w:p>
      <w:pPr>
        <w:pStyle w:val="3"/>
        <w:keepNext w:val="0"/>
        <w:keepLines w:val="0"/>
        <w:bidi w:val="0"/>
        <w:spacing w:after="0" w:afterAutospacing="0" w:line="560" w:lineRule="exact"/>
        <w:ind w:firstLine="643" w:firstLineChars="200"/>
        <w:rPr>
          <w:rFonts w:hint="eastAsia"/>
        </w:rPr>
      </w:pPr>
      <w:r>
        <w:rPr>
          <w:rFonts w:hint="eastAsia"/>
        </w:rPr>
        <w:t>5.</w:t>
      </w:r>
      <w:r>
        <w:rPr>
          <w:rFonts w:hint="eastAsia"/>
          <w:lang w:val="en-US" w:eastAsia="zh-CN"/>
        </w:rPr>
        <w:t>4</w:t>
      </w:r>
      <w:r>
        <w:rPr>
          <w:rFonts w:hint="eastAsia"/>
        </w:rPr>
        <w:t>禁忌症识别标准</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firstLine="640" w:firstLineChars="200"/>
        <w:textAlignment w:val="auto"/>
        <w:rPr>
          <w:rFonts w:hint="eastAsia" w:ascii="仿宋_GB2312" w:hAnsi="仿宋_GB2312" w:eastAsia="仿宋_GB2312" w:cs="仿宋_GB2312"/>
          <w:sz w:val="32"/>
          <w:szCs w:val="32"/>
        </w:rPr>
      </w:pPr>
      <w:r>
        <w:rPr>
          <w:rFonts w:hint="eastAsia" w:cs="仿宋_GB2312"/>
          <w:sz w:val="32"/>
          <w:szCs w:val="32"/>
          <w:lang w:eastAsia="zh-CN"/>
        </w:rPr>
        <w:t>执业</w:t>
      </w:r>
      <w:r>
        <w:rPr>
          <w:rFonts w:hint="eastAsia" w:ascii="仿宋_GB2312" w:hAnsi="仿宋_GB2312" w:eastAsia="仿宋_GB2312" w:cs="仿宋_GB2312"/>
          <w:sz w:val="32"/>
          <w:szCs w:val="32"/>
        </w:rPr>
        <w:t>药师在推荐非处方药前，应当确认患者不存在以下情况：</w:t>
      </w:r>
    </w:p>
    <w:p>
      <w:pPr>
        <w:numPr>
          <w:ilvl w:val="-1"/>
          <w:numId w:val="0"/>
        </w:numPr>
        <w:bidi w:val="0"/>
        <w:spacing w:beforeLines="0" w:after="0" w:afterLines="0" w:afterAutospacing="0" w:line="560" w:lineRule="exact"/>
        <w:ind w:left="640" w:leftChars="200" w:firstLine="0" w:firstLineChars="0"/>
        <w:rPr>
          <w:rFonts w:hint="eastAsia"/>
        </w:rPr>
      </w:pPr>
      <w:r>
        <w:rPr>
          <w:rFonts w:hint="eastAsia" w:ascii="方正书宋_GBK" w:hAnsi="方正书宋_GBK" w:eastAsia="方正书宋_GBK" w:cs="方正书宋_GBK"/>
        </w:rPr>
        <w:t>⑴</w:t>
      </w:r>
      <w:r>
        <w:rPr>
          <w:rFonts w:hint="eastAsia"/>
        </w:rPr>
        <w:t>禁忌症</w:t>
      </w:r>
      <w:r>
        <w:rPr>
          <w:rFonts w:hint="eastAsia"/>
          <w:lang w:eastAsia="zh-CN"/>
        </w:rPr>
        <w:t>：</w:t>
      </w:r>
    </w:p>
    <w:p>
      <w:pPr>
        <w:pStyle w:val="13"/>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⑵</w:t>
      </w:r>
      <w:r>
        <w:rPr>
          <w:rFonts w:hint="eastAsia" w:ascii="仿宋_GB2312" w:hAnsi="仿宋_GB2312" w:eastAsia="仿宋_GB2312" w:cs="仿宋_GB2312"/>
          <w:sz w:val="32"/>
          <w:szCs w:val="32"/>
        </w:rPr>
        <w:t>对拟推荐药品成分过敏；</w:t>
      </w:r>
    </w:p>
    <w:p>
      <w:pPr>
        <w:pStyle w:val="13"/>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⑶</w:t>
      </w:r>
      <w:r>
        <w:rPr>
          <w:rFonts w:hint="eastAsia" w:ascii="仿宋_GB2312" w:hAnsi="仿宋_GB2312" w:eastAsia="仿宋_GB2312" w:cs="仿宋_GB2312"/>
          <w:sz w:val="32"/>
          <w:szCs w:val="32"/>
        </w:rPr>
        <w:t>患者为婴幼儿、孕妇、哺乳期妇女、老年人等特殊人群，且药品说明书标注禁用；</w:t>
      </w:r>
    </w:p>
    <w:p>
      <w:pPr>
        <w:pStyle w:val="13"/>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方正书宋_GBK" w:hAnsi="方正书宋_GBK" w:eastAsia="方正书宋_GBK" w:cs="方正书宋_GBK"/>
          <w:sz w:val="32"/>
          <w:szCs w:val="32"/>
        </w:rPr>
        <w:t>⑷</w:t>
      </w:r>
      <w:r>
        <w:rPr>
          <w:rFonts w:hint="eastAsia" w:ascii="仿宋_GB2312" w:hAnsi="仿宋_GB2312" w:eastAsia="仿宋_GB2312" w:cs="仿宋_GB2312"/>
          <w:sz w:val="32"/>
          <w:szCs w:val="32"/>
        </w:rPr>
        <w:t>患者患有药品说明书标注的禁忌疾病（如肝肾功能不全、消化性溃疡等）</w:t>
      </w:r>
      <w:r>
        <w:rPr>
          <w:rFonts w:hint="eastAsia" w:cs="仿宋_GB2312"/>
          <w:sz w:val="32"/>
          <w:szCs w:val="32"/>
          <w:lang w:eastAsia="zh-CN"/>
        </w:rPr>
        <w:t>；</w:t>
      </w:r>
    </w:p>
    <w:p>
      <w:pPr>
        <w:pStyle w:val="13"/>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⑸</w:t>
      </w:r>
      <w:r>
        <w:rPr>
          <w:rFonts w:hint="eastAsia" w:ascii="仿宋_GB2312" w:hAnsi="仿宋_GB2312" w:eastAsia="仿宋_GB2312" w:cs="仿宋_GB2312"/>
          <w:sz w:val="32"/>
          <w:szCs w:val="32"/>
        </w:rPr>
        <w:t>患者同时使用可能发生相互作用的药物；</w:t>
      </w:r>
    </w:p>
    <w:p>
      <w:pPr>
        <w:pStyle w:val="13"/>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⑹</w:t>
      </w:r>
      <w:r>
        <w:rPr>
          <w:rFonts w:hint="eastAsia" w:ascii="仿宋_GB2312" w:hAnsi="仿宋_GB2312" w:eastAsia="仿宋_GB2312" w:cs="仿宋_GB2312"/>
          <w:sz w:val="32"/>
          <w:szCs w:val="32"/>
        </w:rPr>
        <w:t>患者基础疾病可能影响药品安全性；</w:t>
      </w:r>
    </w:p>
    <w:p>
      <w:pPr>
        <w:pStyle w:val="13"/>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⑺</w:t>
      </w:r>
      <w:r>
        <w:rPr>
          <w:rFonts w:hint="eastAsia" w:ascii="仿宋_GB2312" w:hAnsi="仿宋_GB2312" w:eastAsia="仿宋_GB2312" w:cs="仿宋_GB2312"/>
          <w:sz w:val="32"/>
          <w:szCs w:val="32"/>
        </w:rPr>
        <w:t>药品说明书标注慎用情形。</w:t>
      </w:r>
    </w:p>
    <w:p>
      <w:pPr>
        <w:numPr>
          <w:ilvl w:val="-1"/>
          <w:numId w:val="0"/>
        </w:numPr>
        <w:bidi w:val="0"/>
        <w:spacing w:beforeLines="0" w:after="0" w:afterLines="0" w:afterAutospacing="0" w:line="560" w:lineRule="exact"/>
        <w:ind w:left="0" w:leftChars="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lang w:val="en-US" w:eastAsia="zh-CN"/>
        </w:rPr>
        <w:t>如</w:t>
      </w:r>
      <w:r>
        <w:rPr>
          <w:rFonts w:hint="eastAsia" w:ascii="方正仿宋_GB2312" w:hAnsi="方正仿宋_GB2312" w:eastAsia="方正仿宋_GB2312" w:cs="方正仿宋_GB2312"/>
        </w:rPr>
        <w:t>存在禁忌症的，不得推荐该药品。</w:t>
      </w:r>
    </w:p>
    <w:p>
      <w:pPr>
        <w:pStyle w:val="3"/>
        <w:keepNext w:val="0"/>
        <w:keepLines w:val="0"/>
        <w:bidi w:val="0"/>
        <w:spacing w:after="0" w:afterAutospacing="0" w:line="560" w:lineRule="exact"/>
        <w:ind w:firstLine="643" w:firstLineChars="200"/>
        <w:rPr>
          <w:rFonts w:hint="eastAsia"/>
        </w:rPr>
      </w:pPr>
      <w:r>
        <w:rPr>
          <w:rFonts w:hint="eastAsia"/>
          <w:lang w:val="en-US" w:eastAsia="zh-CN"/>
        </w:rPr>
        <w:t xml:space="preserve">5.5 </w:t>
      </w:r>
      <w:r>
        <w:rPr>
          <w:rFonts w:hint="eastAsia"/>
        </w:rPr>
        <w:t>培训建议</w:t>
      </w:r>
    </w:p>
    <w:p>
      <w:pPr>
        <w:bidi w:val="0"/>
        <w:spacing w:beforeLines="0" w:after="0" w:afterLines="0" w:afterAutospacing="0" w:line="560" w:lineRule="exact"/>
        <w:rPr>
          <w:rFonts w:hint="eastAsia"/>
        </w:rPr>
      </w:pPr>
      <w:r>
        <w:rPr>
          <w:rFonts w:hint="eastAsia"/>
          <w:lang w:eastAsia="zh-CN"/>
        </w:rPr>
        <w:t>对患者</w:t>
      </w:r>
      <w:r>
        <w:rPr>
          <w:rFonts w:hint="eastAsia"/>
        </w:rPr>
        <w:t>自我药疗辅导的</w:t>
      </w:r>
      <w:r>
        <w:rPr>
          <w:rFonts w:hint="eastAsia"/>
          <w:lang w:eastAsia="zh-CN"/>
        </w:rPr>
        <w:t>执业</w:t>
      </w:r>
      <w:r>
        <w:rPr>
          <w:rFonts w:hint="eastAsia"/>
        </w:rPr>
        <w:t>药师建议接受以下专项培训：</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⑴</w:t>
      </w:r>
      <w:r>
        <w:rPr>
          <w:rFonts w:hint="eastAsia" w:ascii="仿宋_GB2312" w:hAnsi="仿宋_GB2312" w:eastAsia="仿宋_GB2312" w:cs="仿宋_GB2312"/>
          <w:sz w:val="32"/>
          <w:szCs w:val="32"/>
        </w:rPr>
        <w:t>常见</w:t>
      </w:r>
      <w:r>
        <w:rPr>
          <w:rFonts w:hint="eastAsia" w:cs="仿宋_GB2312"/>
          <w:sz w:val="32"/>
          <w:szCs w:val="32"/>
          <w:lang w:val="en-US" w:eastAsia="zh-CN"/>
        </w:rPr>
        <w:t>疾病</w:t>
      </w:r>
      <w:r>
        <w:rPr>
          <w:rFonts w:hint="eastAsia" w:ascii="仿宋_GB2312" w:hAnsi="仿宋_GB2312" w:eastAsia="仿宋_GB2312" w:cs="仿宋_GB2312"/>
          <w:sz w:val="32"/>
          <w:szCs w:val="32"/>
        </w:rPr>
        <w:t>的诊断与鉴别；</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⑵</w:t>
      </w:r>
      <w:r>
        <w:rPr>
          <w:rFonts w:hint="eastAsia" w:ascii="仿宋_GB2312" w:hAnsi="仿宋_GB2312" w:eastAsia="仿宋_GB2312" w:cs="仿宋_GB2312"/>
          <w:sz w:val="32"/>
          <w:szCs w:val="32"/>
        </w:rPr>
        <w:t>合理</w:t>
      </w:r>
      <w:r>
        <w:rPr>
          <w:rFonts w:hint="eastAsia" w:cs="仿宋_GB2312"/>
          <w:sz w:val="32"/>
          <w:szCs w:val="32"/>
          <w:lang w:val="en-US" w:eastAsia="zh-CN"/>
        </w:rPr>
        <w:t>用药知识</w:t>
      </w:r>
      <w:r>
        <w:rPr>
          <w:rFonts w:hint="eastAsia" w:ascii="仿宋_GB2312" w:hAnsi="仿宋_GB2312" w:eastAsia="仿宋_GB2312" w:cs="仿宋_GB2312"/>
          <w:sz w:val="32"/>
          <w:szCs w:val="32"/>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⑶</w:t>
      </w:r>
      <w:r>
        <w:rPr>
          <w:rFonts w:hint="eastAsia" w:ascii="仿宋_GB2312" w:hAnsi="仿宋_GB2312" w:eastAsia="仿宋_GB2312" w:cs="仿宋_GB2312"/>
          <w:sz w:val="32"/>
          <w:szCs w:val="32"/>
        </w:rPr>
        <w:t>危险信号识别与安全筛查；</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⑷</w:t>
      </w:r>
      <w:r>
        <w:rPr>
          <w:rFonts w:hint="eastAsia" w:ascii="仿宋_GB2312" w:hAnsi="仿宋_GB2312" w:eastAsia="仿宋_GB2312" w:cs="仿宋_GB2312"/>
          <w:sz w:val="32"/>
          <w:szCs w:val="32"/>
        </w:rPr>
        <w:t>患者沟通与风险告知技巧。</w:t>
      </w:r>
    </w:p>
    <w:p>
      <w:pPr>
        <w:pStyle w:val="2"/>
        <w:keepNext w:val="0"/>
        <w:keepLines w:val="0"/>
        <w:widowControl w:val="0"/>
        <w:numPr>
          <w:ilvl w:val="-1"/>
          <w:numId w:val="0"/>
        </w:numPr>
        <w:bidi w:val="0"/>
        <w:spacing w:beforeLines="0" w:after="0" w:afterAutospacing="0" w:line="560" w:lineRule="exact"/>
        <w:ind w:firstLine="640" w:firstLineChars="200"/>
        <w:rPr>
          <w:rFonts w:hint="eastAsia" w:ascii="方正黑体_GBK" w:hAnsi="方正黑体_GBK" w:eastAsia="方正黑体_GBK" w:cs="方正黑体_GBK"/>
          <w:b w:val="0"/>
          <w:bCs/>
          <w:sz w:val="32"/>
          <w:szCs w:val="24"/>
        </w:rPr>
      </w:pPr>
      <w:r>
        <w:rPr>
          <w:rFonts w:hint="eastAsia" w:ascii="方正黑体_GBK" w:hAnsi="方正黑体_GBK" w:eastAsia="方正黑体_GBK" w:cs="方正黑体_GBK"/>
          <w:b w:val="0"/>
          <w:bCs/>
          <w:lang w:val="en-US" w:eastAsia="zh-CN"/>
        </w:rPr>
        <w:t>6.</w:t>
      </w:r>
      <w:r>
        <w:rPr>
          <w:rFonts w:hint="eastAsia" w:ascii="方正黑体_GBK" w:hAnsi="方正黑体_GBK" w:eastAsia="方正黑体_GBK" w:cs="方正黑体_GBK"/>
          <w:b w:val="0"/>
          <w:bCs/>
        </w:rPr>
        <w:t>疾病预防与健康促进</w:t>
      </w:r>
    </w:p>
    <w:p>
      <w:pPr>
        <w:pStyle w:val="3"/>
        <w:keepNext w:val="0"/>
        <w:keepLines w:val="0"/>
        <w:bidi w:val="0"/>
        <w:spacing w:after="0" w:afterAutospacing="0" w:line="560" w:lineRule="exact"/>
        <w:ind w:firstLine="643" w:firstLineChars="200"/>
        <w:rPr>
          <w:rFonts w:hint="eastAsia" w:ascii="仿宋_GB2312" w:hAnsi="仿宋_GB2312" w:eastAsia="仿宋_GB2312" w:cs="仿宋_GB2312"/>
          <w:sz w:val="32"/>
          <w:szCs w:val="32"/>
        </w:rPr>
      </w:pPr>
      <w:r>
        <w:rPr>
          <w:rFonts w:hint="eastAsia"/>
        </w:rPr>
        <w:t>6.1 健康宣传教育</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6.1.1 </w:t>
      </w:r>
      <w:r>
        <w:rPr>
          <w:rFonts w:hint="eastAsia"/>
        </w:rPr>
        <w:t>服务定位</w:t>
      </w:r>
    </w:p>
    <w:p>
      <w:pPr>
        <w:bidi w:val="0"/>
        <w:spacing w:beforeLines="0" w:after="0" w:afterLines="0" w:afterAutospacing="0" w:line="560" w:lineRule="exact"/>
        <w:rPr>
          <w:rFonts w:hint="eastAsia" w:ascii="仿宋_GB2312" w:hAnsi="仿宋_GB2312" w:eastAsia="仿宋_GB2312" w:cs="仿宋_GB2312"/>
          <w:sz w:val="32"/>
          <w:szCs w:val="32"/>
        </w:rPr>
      </w:pPr>
      <w:r>
        <w:rPr>
          <w:rFonts w:hint="eastAsia"/>
        </w:rPr>
        <w:t>健康宣传教育是药师履行公共卫生职能的重要组成部分，旨在提升公众健康素养，促进疾病预防和健康生活方式。</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6.1.2 </w:t>
      </w:r>
      <w:r>
        <w:rPr>
          <w:rFonts w:hint="eastAsia"/>
        </w:rPr>
        <w:t>服务内容</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firstLine="640" w:firstLineChars="200"/>
        <w:textAlignment w:val="auto"/>
        <w:rPr>
          <w:rFonts w:hint="eastAsia" w:ascii="仿宋_GB2312" w:hAnsi="仿宋_GB2312" w:eastAsia="仿宋_GB2312" w:cs="仿宋_GB2312"/>
          <w:sz w:val="32"/>
          <w:szCs w:val="32"/>
        </w:rPr>
      </w:pPr>
      <w:r>
        <w:rPr>
          <w:rFonts w:hint="eastAsia" w:cs="仿宋_GB2312"/>
          <w:sz w:val="32"/>
          <w:szCs w:val="32"/>
          <w:lang w:eastAsia="zh-CN"/>
        </w:rPr>
        <w:t>药品零售</w:t>
      </w:r>
      <w:r>
        <w:rPr>
          <w:rFonts w:hint="eastAsia" w:cs="仿宋_GB2312"/>
          <w:sz w:val="32"/>
          <w:szCs w:val="32"/>
          <w:lang w:val="en-US" w:eastAsia="zh-CN"/>
        </w:rPr>
        <w:t>经营</w:t>
      </w:r>
      <w:r>
        <w:rPr>
          <w:rFonts w:hint="eastAsia" w:cs="仿宋_GB2312"/>
          <w:sz w:val="32"/>
          <w:szCs w:val="32"/>
          <w:lang w:eastAsia="zh-CN"/>
        </w:rPr>
        <w:t>企业</w:t>
      </w:r>
      <w:r>
        <w:rPr>
          <w:rFonts w:hint="eastAsia" w:cs="仿宋_GB2312"/>
          <w:sz w:val="32"/>
          <w:szCs w:val="32"/>
          <w:lang w:val="en-US" w:eastAsia="zh-CN"/>
        </w:rPr>
        <w:t>可</w:t>
      </w:r>
      <w:r>
        <w:rPr>
          <w:rFonts w:hint="eastAsia" w:ascii="仿宋_GB2312" w:hAnsi="仿宋_GB2312" w:eastAsia="仿宋_GB2312" w:cs="仿宋_GB2312"/>
          <w:sz w:val="32"/>
          <w:szCs w:val="32"/>
        </w:rPr>
        <w:t>开展以下健康宣传教育：</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⑴常见疾病预防知识：高血压、糖尿病、高血脂症、心脑血管疾病、痛风、哮喘、骨关节疾病、慢性疼痛、流感、病毒性肝炎等重点疾病的预防要点；</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⑵安全用药知识：抗生素合理使用原则、药</w:t>
      </w:r>
      <w:r>
        <w:rPr>
          <w:rFonts w:hint="eastAsia" w:cs="仿宋_GB2312"/>
          <w:sz w:val="32"/>
          <w:szCs w:val="32"/>
          <w:lang w:val="en-US" w:eastAsia="zh-CN"/>
        </w:rPr>
        <w:t>品</w:t>
      </w:r>
      <w:r>
        <w:rPr>
          <w:rFonts w:hint="eastAsia" w:ascii="仿宋_GB2312" w:hAnsi="仿宋_GB2312" w:eastAsia="仿宋_GB2312" w:cs="仿宋_GB2312"/>
          <w:sz w:val="32"/>
          <w:szCs w:val="32"/>
        </w:rPr>
        <w:t>不良反应识别与报告、过期药品危害及处理、急救用药知识、自我药疗注意事项；</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⑶健康生活方式：合理膳食、适量运动、戒烟限酒、心理</w:t>
      </w:r>
      <w:r>
        <w:rPr>
          <w:rFonts w:hint="eastAsia" w:cs="仿宋_GB2312"/>
          <w:sz w:val="32"/>
          <w:szCs w:val="32"/>
          <w:lang w:val="en-US" w:eastAsia="zh-CN"/>
        </w:rPr>
        <w:t>健康</w:t>
      </w:r>
      <w:r>
        <w:rPr>
          <w:rFonts w:hint="eastAsia" w:ascii="仿宋_GB2312" w:hAnsi="仿宋_GB2312" w:eastAsia="仿宋_GB2312" w:cs="仿宋_GB2312"/>
          <w:sz w:val="32"/>
          <w:szCs w:val="32"/>
        </w:rPr>
        <w:t>等；</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⑷老年综合征知识：普及老年综合征综合防控要点，推广科学用脑与认知功能常态化维护知识，规范开展适宜老年人群的运动健康指导，切实提升老年人自我健康筛查、慢病自主管理及健康风险应对能力</w:t>
      </w:r>
      <w:r>
        <w:rPr>
          <w:rFonts w:hint="eastAsia" w:cs="仿宋_GB2312"/>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⑸疾病日或世界药师日：以宣传疾病预防及药师服务价值为导向，在门店或社区开展相关内容宣传活动。</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6.1.3 </w:t>
      </w:r>
      <w:r>
        <w:rPr>
          <w:rFonts w:hint="eastAsia"/>
        </w:rPr>
        <w:t>服务形式</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健康宣传教育可采用以下形式：</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⑴在企业醒目位置设置健康宣传栏或电子屏，内容（内录电视宣传题材、滚动宣传素材）等多种形式每季度更新；</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⑵每2个月至少组织1次面向社区的健康讲座，可联合社区卫生服务中心、医疗机构共同开展；</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⑶免费发放宣传资料，</w:t>
      </w:r>
      <w:r>
        <w:rPr>
          <w:rFonts w:hint="eastAsia" w:cs="仿宋_GB2312"/>
          <w:sz w:val="32"/>
          <w:szCs w:val="32"/>
          <w:lang w:eastAsia="zh-CN"/>
        </w:rPr>
        <w:t>可以</w:t>
      </w:r>
      <w:r>
        <w:rPr>
          <w:rFonts w:hint="eastAsia" w:ascii="仿宋_GB2312" w:hAnsi="仿宋_GB2312" w:eastAsia="仿宋_GB2312" w:cs="仿宋_GB2312"/>
          <w:sz w:val="32"/>
          <w:szCs w:val="32"/>
        </w:rPr>
        <w:t>包含中英文</w:t>
      </w:r>
      <w:r>
        <w:rPr>
          <w:rFonts w:hint="eastAsia" w:cs="仿宋_GB2312"/>
          <w:sz w:val="32"/>
          <w:szCs w:val="32"/>
          <w:lang w:eastAsia="zh-CN"/>
        </w:rPr>
        <w:t>等多语种</w:t>
      </w:r>
      <w:r>
        <w:rPr>
          <w:rFonts w:hint="eastAsia" w:ascii="仿宋_GB2312" w:hAnsi="仿宋_GB2312" w:eastAsia="仿宋_GB2312" w:cs="仿宋_GB2312"/>
          <w:sz w:val="32"/>
          <w:szCs w:val="32"/>
        </w:rPr>
        <w:t>版本；</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⑷在提供药学服务过程中，</w:t>
      </w:r>
      <w:r>
        <w:rPr>
          <w:rFonts w:hint="eastAsia" w:cs="仿宋_GB2312"/>
          <w:sz w:val="32"/>
          <w:szCs w:val="32"/>
          <w:lang w:eastAsia="zh-CN"/>
        </w:rPr>
        <w:t>执业</w:t>
      </w:r>
      <w:r>
        <w:rPr>
          <w:rFonts w:hint="eastAsia" w:ascii="仿宋_GB2312" w:hAnsi="仿宋_GB2312" w:eastAsia="仿宋_GB2312" w:cs="仿宋_GB2312"/>
          <w:sz w:val="32"/>
          <w:szCs w:val="32"/>
        </w:rPr>
        <w:t>药师根据患者情况开展一对一的健康知识讲解；</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⑸组织开展专题宣传活动。</w:t>
      </w:r>
    </w:p>
    <w:p>
      <w:pPr>
        <w:pStyle w:val="3"/>
        <w:keepNext w:val="0"/>
        <w:keepLines w:val="0"/>
        <w:bidi w:val="0"/>
        <w:spacing w:after="0" w:afterAutospacing="0" w:line="560" w:lineRule="exact"/>
        <w:ind w:firstLine="643" w:firstLineChars="200"/>
        <w:rPr>
          <w:rFonts w:hint="default" w:ascii="仿宋_GB2312" w:hAnsi="仿宋_GB2312" w:eastAsia="仿宋_GB2312" w:cs="仿宋_GB2312"/>
          <w:color w:val="auto"/>
          <w:sz w:val="32"/>
          <w:szCs w:val="32"/>
          <w:lang w:val="en-US"/>
        </w:rPr>
      </w:pPr>
      <w:r>
        <w:rPr>
          <w:rFonts w:hint="eastAsia"/>
          <w:color w:val="auto"/>
        </w:rPr>
        <w:t xml:space="preserve">6.2 </w:t>
      </w:r>
      <w:r>
        <w:rPr>
          <w:rFonts w:hint="eastAsia"/>
          <w:color w:val="auto"/>
          <w:lang w:val="en-US" w:eastAsia="zh-CN"/>
        </w:rPr>
        <w:t>增值服务</w:t>
      </w:r>
    </w:p>
    <w:p>
      <w:pPr>
        <w:pStyle w:val="4"/>
        <w:keepNext w:val="0"/>
        <w:keepLines w:val="0"/>
        <w:bidi w:val="0"/>
        <w:spacing w:after="0" w:afterAutospacing="0" w:line="560" w:lineRule="exact"/>
        <w:ind w:firstLine="643" w:firstLineChars="200"/>
        <w:rPr>
          <w:rFonts w:hint="default"/>
          <w:lang w:val="en-US"/>
        </w:rPr>
      </w:pPr>
      <w:r>
        <w:rPr>
          <w:rFonts w:hint="eastAsia"/>
          <w:lang w:val="en-US" w:eastAsia="zh-CN"/>
        </w:rPr>
        <w:t xml:space="preserve">6.2.1 </w:t>
      </w:r>
      <w:r>
        <w:rPr>
          <w:rFonts w:hint="eastAsia"/>
        </w:rPr>
        <w:t>慢病患者及亚健康人群服务</w:t>
      </w:r>
    </w:p>
    <w:p>
      <w:pPr>
        <w:numPr>
          <w:ilvl w:val="0"/>
          <w:numId w:val="0"/>
        </w:numPr>
        <w:spacing w:beforeLines="0" w:after="0" w:afterLines="0" w:afterAutospacing="0" w:line="560" w:lineRule="exact"/>
        <w:ind w:firstLine="640"/>
        <w:rPr>
          <w:rFonts w:hint="eastAsia" w:cs="仿宋_GB2312"/>
          <w:sz w:val="32"/>
          <w:szCs w:val="32"/>
        </w:rPr>
      </w:pPr>
      <w:r>
        <w:rPr>
          <w:rFonts w:hint="eastAsia" w:cs="仿宋_GB2312"/>
          <w:sz w:val="32"/>
          <w:szCs w:val="32"/>
        </w:rPr>
        <w:t>建议药品零售企业执业药师为慢病患者及亚健康人群提供以下健康服务：</w:t>
      </w:r>
    </w:p>
    <w:p>
      <w:pPr>
        <w:numPr>
          <w:ilvl w:val="-1"/>
          <w:numId w:val="0"/>
        </w:numPr>
        <w:spacing w:beforeLines="0" w:after="0" w:afterLines="0" w:afterAutospacing="0" w:line="560" w:lineRule="exact"/>
        <w:ind w:firstLine="640" w:firstLineChars="200"/>
        <w:rPr>
          <w:rFonts w:hint="eastAsia" w:eastAsia="仿宋_GB2312" w:cs="仿宋_GB2312"/>
          <w:sz w:val="32"/>
          <w:szCs w:val="32"/>
          <w:lang w:eastAsia="zh-CN"/>
        </w:rPr>
      </w:pPr>
      <w:r>
        <w:rPr>
          <w:rFonts w:hint="eastAsia" w:ascii="仿宋_GB2312" w:hAnsi="仿宋_GB2312" w:eastAsia="仿宋_GB2312" w:cs="仿宋_GB2312"/>
          <w:sz w:val="32"/>
          <w:szCs w:val="32"/>
        </w:rPr>
        <w:t>⑴</w:t>
      </w:r>
      <w:r>
        <w:rPr>
          <w:rFonts w:hint="eastAsia" w:cs="仿宋_GB2312"/>
          <w:sz w:val="32"/>
          <w:szCs w:val="32"/>
        </w:rPr>
        <w:t>健康筛查：</w:t>
      </w:r>
      <w:r>
        <w:rPr>
          <w:rFonts w:hint="eastAsia" w:ascii="仿宋_GB2312" w:hAnsi="仿宋_GB2312" w:eastAsia="仿宋_GB2312" w:cs="仿宋_GB2312"/>
          <w:sz w:val="32"/>
          <w:szCs w:val="32"/>
        </w:rPr>
        <w:t>免费血压测量、血糖监测、骨密度筛查、体脂测量等即时监测，监测指标不能作为诊断依据</w:t>
      </w:r>
      <w:r>
        <w:rPr>
          <w:rFonts w:hint="eastAsia" w:cs="仿宋_GB2312"/>
          <w:sz w:val="32"/>
          <w:szCs w:val="32"/>
          <w:lang w:eastAsia="zh-CN"/>
        </w:rPr>
        <w:t>；</w:t>
      </w:r>
    </w:p>
    <w:p>
      <w:pPr>
        <w:numPr>
          <w:ilvl w:val="-1"/>
          <w:numId w:val="0"/>
        </w:numPr>
        <w:spacing w:beforeLines="0" w:after="0" w:afterLines="0" w:afterAutospacing="0" w:line="560" w:lineRule="exact"/>
        <w:ind w:firstLine="640" w:firstLineChars="200"/>
        <w:rPr>
          <w:rFonts w:hint="eastAsia" w:cs="仿宋_GB2312"/>
          <w:sz w:val="32"/>
          <w:szCs w:val="32"/>
        </w:rPr>
      </w:pPr>
      <w:r>
        <w:rPr>
          <w:rFonts w:hint="eastAsia" w:ascii="仿宋_GB2312" w:hAnsi="仿宋_GB2312" w:eastAsia="仿宋_GB2312" w:cs="仿宋_GB2312"/>
          <w:sz w:val="32"/>
          <w:szCs w:val="32"/>
        </w:rPr>
        <w:t>⑵</w:t>
      </w:r>
      <w:r>
        <w:rPr>
          <w:rFonts w:hint="eastAsia" w:cs="仿宋_GB2312"/>
          <w:sz w:val="32"/>
          <w:szCs w:val="32"/>
        </w:rPr>
        <w:t>戒烟辅导：科普烟草危害知识并提供戒烟方法、心理辅导等形式服务；</w:t>
      </w:r>
    </w:p>
    <w:p>
      <w:pPr>
        <w:numPr>
          <w:ilvl w:val="-1"/>
          <w:numId w:val="0"/>
        </w:numPr>
        <w:spacing w:beforeLines="0" w:after="0" w:afterLines="0" w:afterAutospacing="0" w:line="560" w:lineRule="exact"/>
        <w:ind w:firstLine="640" w:firstLineChars="200"/>
        <w:rPr>
          <w:rFonts w:hint="eastAsia" w:cs="仿宋_GB2312"/>
          <w:sz w:val="32"/>
          <w:szCs w:val="32"/>
        </w:rPr>
      </w:pPr>
      <w:r>
        <w:rPr>
          <w:rFonts w:hint="eastAsia" w:ascii="仿宋_GB2312" w:hAnsi="仿宋_GB2312" w:eastAsia="仿宋_GB2312" w:cs="仿宋_GB2312"/>
          <w:sz w:val="32"/>
          <w:szCs w:val="32"/>
        </w:rPr>
        <w:t>⑶</w:t>
      </w:r>
      <w:r>
        <w:rPr>
          <w:rFonts w:hint="eastAsia" w:cs="仿宋_GB2312"/>
          <w:sz w:val="32"/>
          <w:szCs w:val="32"/>
        </w:rPr>
        <w:t>体重管理：提供体重指数评估、合理减重或增重建议、饮食运动指导。</w:t>
      </w:r>
    </w:p>
    <w:p>
      <w:pPr>
        <w:pStyle w:val="4"/>
        <w:keepNext w:val="0"/>
        <w:keepLines w:val="0"/>
        <w:bidi w:val="0"/>
        <w:spacing w:after="0" w:afterAutospacing="0" w:line="560" w:lineRule="exact"/>
        <w:ind w:firstLine="643" w:firstLineChars="200"/>
      </w:pPr>
      <w:r>
        <w:rPr>
          <w:rFonts w:hint="eastAsia"/>
        </w:rPr>
        <w:t>6.2.2 健康结果的处置方式</w:t>
      </w:r>
    </w:p>
    <w:p>
      <w:pPr>
        <w:numPr>
          <w:ilvl w:val="0"/>
          <w:numId w:val="0"/>
        </w:numPr>
        <w:spacing w:beforeLines="0" w:after="0" w:afterLines="0" w:afterAutospacing="0" w:line="560" w:lineRule="exact"/>
        <w:ind w:firstLine="640"/>
        <w:rPr>
          <w:rFonts w:hint="eastAsia" w:cs="仿宋_GB2312"/>
          <w:sz w:val="32"/>
          <w:szCs w:val="32"/>
        </w:rPr>
      </w:pPr>
      <w:r>
        <w:rPr>
          <w:rFonts w:hint="eastAsia" w:cs="仿宋_GB2312"/>
          <w:sz w:val="32"/>
          <w:szCs w:val="32"/>
        </w:rPr>
        <w:t>执业药师宜对筛查的健康结果进行规范处置：</w:t>
      </w:r>
    </w:p>
    <w:p>
      <w:pPr>
        <w:numPr>
          <w:ilvl w:val="0"/>
          <w:numId w:val="0"/>
        </w:numPr>
        <w:spacing w:beforeLines="0" w:after="0" w:afterLines="0" w:afterAutospacing="0" w:line="560" w:lineRule="exact"/>
        <w:ind w:leftChars="0" w:firstLine="640" w:firstLineChars="0"/>
        <w:rPr>
          <w:rFonts w:hint="eastAsia" w:cs="仿宋_GB2312"/>
          <w:sz w:val="32"/>
          <w:szCs w:val="32"/>
        </w:rPr>
      </w:pPr>
      <w:r>
        <w:rPr>
          <w:rFonts w:hint="eastAsia" w:ascii="仿宋_GB2312" w:hAnsi="仿宋_GB2312" w:eastAsia="仿宋_GB2312" w:cs="仿宋_GB2312"/>
          <w:sz w:val="32"/>
          <w:szCs w:val="32"/>
        </w:rPr>
        <w:t>⑴</w:t>
      </w:r>
      <w:r>
        <w:rPr>
          <w:rFonts w:hint="eastAsia" w:cs="仿宋_GB2312"/>
          <w:sz w:val="32"/>
          <w:szCs w:val="32"/>
        </w:rPr>
        <w:t>建议健康服务记录，纳入患者健康档案；</w:t>
      </w:r>
    </w:p>
    <w:p>
      <w:pPr>
        <w:numPr>
          <w:ilvl w:val="0"/>
          <w:numId w:val="0"/>
        </w:numPr>
        <w:spacing w:beforeLines="0" w:after="0" w:afterLines="0" w:afterAutospacing="0" w:line="560" w:lineRule="exact"/>
        <w:ind w:firstLine="640" w:firstLineChars="0"/>
        <w:rPr>
          <w:rFonts w:hint="eastAsia" w:cs="仿宋_GB2312"/>
          <w:sz w:val="32"/>
          <w:szCs w:val="32"/>
        </w:rPr>
      </w:pPr>
      <w:r>
        <w:rPr>
          <w:rFonts w:hint="eastAsia" w:ascii="仿宋_GB2312" w:hAnsi="仿宋_GB2312" w:eastAsia="仿宋_GB2312" w:cs="仿宋_GB2312"/>
          <w:sz w:val="32"/>
          <w:szCs w:val="32"/>
        </w:rPr>
        <w:t>⑵</w:t>
      </w:r>
      <w:r>
        <w:rPr>
          <w:rFonts w:hint="eastAsia" w:cs="仿宋_GB2312"/>
          <w:sz w:val="32"/>
          <w:szCs w:val="32"/>
        </w:rPr>
        <w:t>对健康服务结果异常者，宜给予适当建议，包括生活方式调整等；</w:t>
      </w:r>
    </w:p>
    <w:p>
      <w:pPr>
        <w:numPr>
          <w:ilvl w:val="0"/>
          <w:numId w:val="0"/>
        </w:numPr>
        <w:spacing w:beforeLines="0" w:after="0" w:afterLines="0" w:afterAutospacing="0" w:line="560" w:lineRule="exact"/>
        <w:ind w:firstLine="640" w:firstLineChars="0"/>
        <w:rPr>
          <w:rFonts w:hint="eastAsia" w:cs="仿宋_GB2312"/>
          <w:sz w:val="32"/>
          <w:szCs w:val="32"/>
        </w:rPr>
      </w:pPr>
      <w:r>
        <w:rPr>
          <w:rFonts w:hint="eastAsia" w:ascii="仿宋_GB2312" w:hAnsi="仿宋_GB2312" w:eastAsia="仿宋_GB2312" w:cs="仿宋_GB2312"/>
          <w:sz w:val="32"/>
          <w:szCs w:val="32"/>
        </w:rPr>
        <w:t>⑶</w:t>
      </w:r>
      <w:r>
        <w:rPr>
          <w:rFonts w:hint="eastAsia" w:cs="仿宋_GB2312"/>
          <w:sz w:val="32"/>
          <w:szCs w:val="32"/>
        </w:rPr>
        <w:t>对健康服务结果显著异常（如血压</w:t>
      </w:r>
      <w:bookmarkStart w:id="1" w:name="OLE_LINK2"/>
      <w:r>
        <w:rPr>
          <w:rFonts w:hint="eastAsia" w:cs="仿宋_GB2312"/>
          <w:sz w:val="32"/>
          <w:szCs w:val="32"/>
        </w:rPr>
        <w:t>≥</w:t>
      </w:r>
      <w:bookmarkEnd w:id="1"/>
      <w:r>
        <w:rPr>
          <w:rFonts w:hint="eastAsia" w:cs="仿宋_GB2312"/>
          <w:sz w:val="32"/>
          <w:szCs w:val="32"/>
        </w:rPr>
        <w:t>160/100mmHg、血氧饱和度≤90％等），建议患者立即就医。</w:t>
      </w:r>
    </w:p>
    <w:p>
      <w:pPr>
        <w:pStyle w:val="3"/>
        <w:keepNext w:val="0"/>
        <w:keepLines w:val="0"/>
        <w:bidi w:val="0"/>
        <w:spacing w:after="0" w:afterAutospacing="0" w:line="560" w:lineRule="exact"/>
        <w:ind w:firstLine="643" w:firstLineChars="200"/>
        <w:rPr>
          <w:rFonts w:hint="eastAsia"/>
        </w:rPr>
      </w:pPr>
      <w:r>
        <w:rPr>
          <w:rFonts w:hint="eastAsia"/>
        </w:rPr>
        <w:t>6.3 海南地域特色服务</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6.3.1 </w:t>
      </w:r>
      <w:r>
        <w:rPr>
          <w:rFonts w:hint="eastAsia"/>
        </w:rPr>
        <w:t>热带病药学服务建议</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 xml:space="preserve">6.3.1.1 </w:t>
      </w:r>
      <w:r>
        <w:rPr>
          <w:rFonts w:hint="eastAsia" w:ascii="仿宋_GB2312" w:hAnsi="仿宋_GB2312" w:eastAsia="仿宋_GB2312" w:cs="仿宋_GB2312"/>
          <w:sz w:val="32"/>
          <w:szCs w:val="32"/>
        </w:rPr>
        <w:t>药品零售企业宜立足海南高温高湿、热带病高发的地域特点，常备相应预防和治疗的应急药品，如防蚊药、驱虫药、解暑药、抗过敏药等。</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 xml:space="preserve">6.3.1.2 </w:t>
      </w:r>
      <w:r>
        <w:rPr>
          <w:rFonts w:hint="eastAsia" w:ascii="仿宋_GB2312" w:hAnsi="仿宋_GB2312" w:eastAsia="仿宋_GB2312" w:cs="仿宋_GB2312"/>
          <w:sz w:val="32"/>
          <w:szCs w:val="32"/>
        </w:rPr>
        <w:t>药师宜掌握登革热、手足口病、热带水果及海鲜过敏等本地常见疾病的识别和预防知识。</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 xml:space="preserve">6.3.1.3 </w:t>
      </w:r>
      <w:r>
        <w:rPr>
          <w:rFonts w:hint="eastAsia" w:ascii="仿宋_GB2312" w:hAnsi="仿宋_GB2312" w:eastAsia="仿宋_GB2312" w:cs="仿宋_GB2312"/>
          <w:sz w:val="32"/>
          <w:szCs w:val="32"/>
        </w:rPr>
        <w:t>鉴于旅游地区面临蛇类及有毒昆虫叮咬的风险，药品零售企业可适当增加蛇虫咬伤相关药品和用品的储备，并提供咬伤后的就医渠道指导。</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6.3.2 </w:t>
      </w:r>
      <w:r>
        <w:rPr>
          <w:rFonts w:hint="eastAsia"/>
        </w:rPr>
        <w:t>旅游药学服务建议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0"/>
        <w:textAlignment w:val="auto"/>
        <w:rPr>
          <w:rFonts w:hint="eastAsia" w:ascii="仿宋_GB2312" w:hAnsi="仿宋_GB2312" w:eastAsia="仿宋_GB2312" w:cs="仿宋_GB2312"/>
          <w:sz w:val="32"/>
          <w:szCs w:val="32"/>
        </w:rPr>
      </w:pPr>
      <w:r>
        <w:rPr>
          <w:rFonts w:hint="eastAsia" w:cs="仿宋_GB2312"/>
          <w:sz w:val="32"/>
          <w:szCs w:val="32"/>
          <w:lang w:val="en-US" w:eastAsia="zh-CN"/>
        </w:rPr>
        <w:t xml:space="preserve">6.3.2.1 </w:t>
      </w:r>
      <w:r>
        <w:rPr>
          <w:rFonts w:hint="eastAsia" w:ascii="仿宋_GB2312" w:hAnsi="仿宋_GB2312" w:eastAsia="仿宋_GB2312" w:cs="仿宋_GB2312"/>
          <w:sz w:val="32"/>
          <w:szCs w:val="32"/>
        </w:rPr>
        <w:t>药品零售企业</w:t>
      </w:r>
      <w:r>
        <w:rPr>
          <w:rFonts w:hint="eastAsia" w:cs="仿宋_GB2312"/>
          <w:sz w:val="32"/>
          <w:szCs w:val="32"/>
          <w:lang w:val="en-US" w:eastAsia="zh-CN"/>
        </w:rPr>
        <w:t>可</w:t>
      </w:r>
      <w:r>
        <w:rPr>
          <w:rFonts w:hint="eastAsia" w:ascii="仿宋_GB2312" w:hAnsi="仿宋_GB2312" w:eastAsia="仿宋_GB2312" w:cs="仿宋_GB2312"/>
          <w:sz w:val="32"/>
          <w:szCs w:val="32"/>
        </w:rPr>
        <w:t>结合</w:t>
      </w:r>
      <w:r>
        <w:rPr>
          <w:rFonts w:hint="eastAsia" w:cs="仿宋_GB2312"/>
          <w:sz w:val="32"/>
          <w:szCs w:val="32"/>
          <w:lang w:val="en-US" w:eastAsia="zh-CN"/>
        </w:rPr>
        <w:t>海南实际</w:t>
      </w:r>
      <w:r>
        <w:rPr>
          <w:rFonts w:hint="eastAsia" w:ascii="仿宋_GB2312" w:hAnsi="仿宋_GB2312" w:eastAsia="仿宋_GB2312" w:cs="仿宋_GB2312"/>
          <w:sz w:val="32"/>
          <w:szCs w:val="32"/>
        </w:rPr>
        <w:t>，提供旅游常用药品的用药指导，包括中暑、腹泻、过敏（海鲜、花粉、热带水果）、紫外线灼伤、蚊虫叮咬等。</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 xml:space="preserve">6.3.2.2 </w:t>
      </w:r>
      <w:r>
        <w:rPr>
          <w:rFonts w:hint="eastAsia" w:ascii="仿宋_GB2312" w:hAnsi="仿宋_GB2312" w:eastAsia="仿宋_GB2312" w:cs="仿宋_GB2312"/>
          <w:sz w:val="32"/>
          <w:szCs w:val="32"/>
        </w:rPr>
        <w:t>鼓励</w:t>
      </w:r>
      <w:r>
        <w:rPr>
          <w:rFonts w:hint="eastAsia" w:cs="仿宋_GB2312"/>
          <w:sz w:val="32"/>
          <w:szCs w:val="32"/>
          <w:lang w:eastAsia="zh-CN"/>
        </w:rPr>
        <w:t>药品零售企业</w:t>
      </w:r>
      <w:r>
        <w:rPr>
          <w:rFonts w:hint="eastAsia" w:ascii="仿宋_GB2312" w:hAnsi="仿宋_GB2312" w:eastAsia="仿宋_GB2312" w:cs="仿宋_GB2312"/>
          <w:sz w:val="32"/>
          <w:szCs w:val="32"/>
        </w:rPr>
        <w:t>为游客提供便携式药品包（急救包、中暑包、过敏包、外伤包等），必要时附英文用药指导。</w:t>
      </w:r>
    </w:p>
    <w:p>
      <w:pPr>
        <w:pStyle w:val="3"/>
        <w:keepNext w:val="0"/>
        <w:keepLines w:val="0"/>
        <w:bidi w:val="0"/>
        <w:spacing w:after="0" w:afterAutospacing="0" w:line="560" w:lineRule="exact"/>
        <w:ind w:firstLine="643" w:firstLineChars="200"/>
        <w:rPr>
          <w:rFonts w:hint="eastAsia"/>
        </w:rPr>
      </w:pPr>
      <w:r>
        <w:rPr>
          <w:rFonts w:hint="eastAsia"/>
        </w:rPr>
        <w:t>6.4 药品安全监测</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6.4.1 </w:t>
      </w:r>
      <w:r>
        <w:rPr>
          <w:rFonts w:hint="eastAsia"/>
        </w:rPr>
        <w:t>药品不良反应监测</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药品零售</w:t>
      </w:r>
      <w:r>
        <w:rPr>
          <w:rFonts w:hint="eastAsia" w:ascii="仿宋_GB2312" w:hAnsi="仿宋_GB2312" w:eastAsia="仿宋_GB2312" w:cs="仿宋_GB2312"/>
          <w:sz w:val="32"/>
          <w:szCs w:val="32"/>
        </w:rPr>
        <w:t>企业</w:t>
      </w:r>
      <w:r>
        <w:rPr>
          <w:rFonts w:hint="eastAsia" w:cs="仿宋_GB2312"/>
          <w:sz w:val="32"/>
          <w:szCs w:val="32"/>
          <w:lang w:val="en-US" w:eastAsia="zh-CN"/>
        </w:rPr>
        <w:t>可</w:t>
      </w:r>
      <w:r>
        <w:rPr>
          <w:rFonts w:hint="eastAsia" w:ascii="仿宋_GB2312" w:hAnsi="仿宋_GB2312" w:eastAsia="仿宋_GB2312" w:cs="仿宋_GB2312"/>
          <w:sz w:val="32"/>
          <w:szCs w:val="32"/>
        </w:rPr>
        <w:t>建立药品不良反应收集与报告制度：</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⑴</w:t>
      </w:r>
      <w:r>
        <w:rPr>
          <w:rFonts w:hint="eastAsia" w:ascii="仿宋_GB2312" w:hAnsi="仿宋_GB2312" w:eastAsia="仿宋_GB2312" w:cs="仿宋_GB2312"/>
          <w:sz w:val="32"/>
          <w:szCs w:val="32"/>
        </w:rPr>
        <w:t>患者报告的药品不良反应均须记录；</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⑵</w:t>
      </w:r>
      <w:r>
        <w:rPr>
          <w:rFonts w:hint="eastAsia" w:ascii="仿宋_GB2312" w:hAnsi="仿宋_GB2312" w:eastAsia="仿宋_GB2312" w:cs="仿宋_GB2312"/>
          <w:sz w:val="32"/>
          <w:szCs w:val="32"/>
        </w:rPr>
        <w:t>对新的、严重的药品不良反应，应当按照规定时限上报</w:t>
      </w:r>
      <w:r>
        <w:rPr>
          <w:rFonts w:hint="eastAsia" w:cs="仿宋_GB2312"/>
          <w:sz w:val="32"/>
          <w:szCs w:val="32"/>
          <w:lang w:val="en-US" w:eastAsia="zh-CN"/>
        </w:rPr>
        <w:t>属地市场监管部门</w:t>
      </w:r>
      <w:r>
        <w:rPr>
          <w:rFonts w:hint="eastAsia" w:cs="仿宋_GB2312"/>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方正书宋_GBK" w:hAnsi="方正书宋_GBK" w:eastAsia="方正书宋_GBK" w:cs="方正书宋_GBK"/>
          <w:sz w:val="32"/>
          <w:szCs w:val="32"/>
        </w:rPr>
        <w:t>⑶</w:t>
      </w:r>
      <w:r>
        <w:rPr>
          <w:rFonts w:hint="eastAsia" w:ascii="仿宋_GB2312" w:hAnsi="仿宋_GB2312" w:eastAsia="仿宋_GB2312" w:cs="仿宋_GB2312"/>
          <w:sz w:val="32"/>
          <w:szCs w:val="32"/>
        </w:rPr>
        <w:t>建议每季度对</w:t>
      </w:r>
      <w:r>
        <w:rPr>
          <w:rFonts w:hint="eastAsia" w:cs="仿宋_GB2312"/>
          <w:sz w:val="32"/>
          <w:szCs w:val="32"/>
          <w:lang w:val="en-US" w:eastAsia="zh-CN"/>
        </w:rPr>
        <w:t>药品</w:t>
      </w:r>
      <w:r>
        <w:rPr>
          <w:rFonts w:hint="eastAsia" w:ascii="仿宋_GB2312" w:hAnsi="仿宋_GB2312" w:eastAsia="仿宋_GB2312" w:cs="仿宋_GB2312"/>
          <w:sz w:val="32"/>
          <w:szCs w:val="32"/>
        </w:rPr>
        <w:t>不良反应</w:t>
      </w:r>
      <w:r>
        <w:rPr>
          <w:rFonts w:hint="eastAsia" w:cs="仿宋_GB2312"/>
          <w:sz w:val="32"/>
          <w:szCs w:val="32"/>
          <w:lang w:val="en-US" w:eastAsia="zh-CN"/>
        </w:rPr>
        <w:t>发生和</w:t>
      </w:r>
      <w:r>
        <w:rPr>
          <w:rFonts w:hint="eastAsia" w:ascii="仿宋_GB2312" w:hAnsi="仿宋_GB2312" w:eastAsia="仿宋_GB2312" w:cs="仿宋_GB2312"/>
          <w:sz w:val="32"/>
          <w:szCs w:val="32"/>
        </w:rPr>
        <w:t>报告情况进行汇总分析</w:t>
      </w:r>
      <w:r>
        <w:rPr>
          <w:rFonts w:hint="eastAsia" w:cs="仿宋_GB2312"/>
          <w:sz w:val="32"/>
          <w:szCs w:val="32"/>
          <w:lang w:eastAsia="zh-CN"/>
        </w:rPr>
        <w:t>。</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6.4.2 </w:t>
      </w:r>
      <w:r>
        <w:rPr>
          <w:rFonts w:hint="eastAsia"/>
        </w:rPr>
        <w:t>处方药滥用监测</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firstLine="640" w:firstLineChars="200"/>
        <w:textAlignment w:val="auto"/>
        <w:rPr>
          <w:rFonts w:hint="eastAsia" w:ascii="仿宋_GB2312" w:hAnsi="仿宋_GB2312" w:eastAsia="仿宋_GB2312" w:cs="仿宋_GB2312"/>
          <w:sz w:val="32"/>
          <w:szCs w:val="32"/>
        </w:rPr>
      </w:pPr>
      <w:r>
        <w:rPr>
          <w:rFonts w:hint="eastAsia" w:cs="仿宋_GB2312"/>
          <w:sz w:val="32"/>
          <w:szCs w:val="32"/>
          <w:lang w:eastAsia="zh-CN"/>
        </w:rPr>
        <w:t>执业</w:t>
      </w:r>
      <w:r>
        <w:rPr>
          <w:rFonts w:hint="eastAsia" w:ascii="仿宋_GB2312" w:hAnsi="仿宋_GB2312" w:eastAsia="仿宋_GB2312" w:cs="仿宋_GB2312"/>
          <w:sz w:val="32"/>
          <w:szCs w:val="32"/>
        </w:rPr>
        <w:t>药师宜关注处方药滥用风险：</w:t>
      </w:r>
    </w:p>
    <w:p>
      <w:pPr>
        <w:numPr>
          <w:ilvl w:val="-1"/>
          <w:numId w:val="0"/>
        </w:numPr>
        <w:spacing w:beforeLines="0" w:after="0" w:afterLines="0" w:afterAutospacing="0" w:line="560" w:lineRule="exact"/>
        <w:ind w:firstLine="640" w:firstLineChars="200"/>
        <w:rPr>
          <w:rFonts w:hint="eastAsia" w:cs="仿宋_GB2312"/>
          <w:color w:val="auto"/>
          <w:szCs w:val="32"/>
        </w:rPr>
      </w:pPr>
      <w:r>
        <w:rPr>
          <w:rFonts w:hint="eastAsia" w:ascii="方正书宋_GBK" w:hAnsi="方正书宋_GBK" w:eastAsia="方正书宋_GBK" w:cs="方正书宋_GBK"/>
          <w:color w:val="auto"/>
          <w:szCs w:val="32"/>
        </w:rPr>
        <w:t>⑴</w:t>
      </w:r>
      <w:r>
        <w:rPr>
          <w:rFonts w:hint="eastAsia" w:cs="仿宋_GB2312"/>
          <w:color w:val="auto"/>
          <w:szCs w:val="32"/>
        </w:rPr>
        <w:t>对</w:t>
      </w:r>
      <w:r>
        <w:rPr>
          <w:rFonts w:hint="eastAsia" w:cs="仿宋_GB2312"/>
          <w:color w:val="auto"/>
          <w:szCs w:val="32"/>
          <w:lang w:val="en-US" w:eastAsia="zh-CN"/>
        </w:rPr>
        <w:t>特殊管理药品、含特殊药品复方制剂、含兴奋剂药品及抗菌药物等有滥用风险的药物，应</w:t>
      </w:r>
      <w:r>
        <w:rPr>
          <w:rFonts w:hint="eastAsia" w:cs="仿宋_GB2312"/>
          <w:color w:val="auto"/>
          <w:szCs w:val="32"/>
        </w:rPr>
        <w:t>建立重点监测机制；</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⑵</w:t>
      </w:r>
      <w:r>
        <w:rPr>
          <w:rFonts w:hint="eastAsia" w:ascii="仿宋_GB2312" w:hAnsi="仿宋_GB2312" w:eastAsia="仿宋_GB2312" w:cs="仿宋_GB2312"/>
          <w:sz w:val="32"/>
          <w:szCs w:val="32"/>
        </w:rPr>
        <w:t>发现可疑药物滥用行为的，</w:t>
      </w:r>
      <w:r>
        <w:rPr>
          <w:rFonts w:hint="eastAsia" w:cs="仿宋_GB2312"/>
          <w:sz w:val="32"/>
          <w:szCs w:val="32"/>
          <w:lang w:val="en-US" w:eastAsia="zh-CN"/>
        </w:rPr>
        <w:t>应</w:t>
      </w:r>
      <w:r>
        <w:rPr>
          <w:rFonts w:hint="eastAsia" w:ascii="仿宋_GB2312" w:hAnsi="仿宋_GB2312" w:eastAsia="仿宋_GB2312" w:cs="仿宋_GB2312"/>
          <w:sz w:val="32"/>
          <w:szCs w:val="32"/>
        </w:rPr>
        <w:t>记录并按规定</w:t>
      </w:r>
      <w:r>
        <w:rPr>
          <w:rFonts w:hint="eastAsia" w:cs="仿宋_GB2312"/>
          <w:sz w:val="32"/>
          <w:szCs w:val="32"/>
          <w:lang w:val="en-US" w:eastAsia="zh-CN"/>
        </w:rPr>
        <w:t>立即</w:t>
      </w:r>
      <w:r>
        <w:rPr>
          <w:rFonts w:hint="eastAsia" w:ascii="仿宋_GB2312" w:hAnsi="仿宋_GB2312" w:eastAsia="仿宋_GB2312" w:cs="仿宋_GB2312"/>
          <w:sz w:val="32"/>
          <w:szCs w:val="32"/>
        </w:rPr>
        <w:t>报告。</w:t>
      </w:r>
    </w:p>
    <w:p>
      <w:pPr>
        <w:pStyle w:val="2"/>
        <w:keepNext w:val="0"/>
        <w:keepLines w:val="0"/>
        <w:widowControl w:val="0"/>
        <w:numPr>
          <w:ilvl w:val="-1"/>
          <w:numId w:val="0"/>
        </w:numPr>
        <w:bidi w:val="0"/>
        <w:spacing w:beforeLines="0" w:after="0" w:afterAutospacing="0" w:line="560" w:lineRule="exact"/>
        <w:ind w:firstLine="640" w:firstLineChars="200"/>
        <w:rPr>
          <w:rFonts w:hint="eastAsia" w:ascii="方正黑体_GBK" w:hAnsi="方正黑体_GBK" w:eastAsia="方正黑体_GBK" w:cs="方正黑体_GBK"/>
          <w:b w:val="0"/>
          <w:bCs/>
          <w:sz w:val="32"/>
          <w:szCs w:val="24"/>
        </w:rPr>
      </w:pPr>
      <w:r>
        <w:rPr>
          <w:rFonts w:hint="eastAsia" w:ascii="方正黑体_GBK" w:hAnsi="方正黑体_GBK" w:eastAsia="方正黑体_GBK" w:cs="方正黑体_GBK"/>
          <w:b w:val="0"/>
          <w:bCs/>
          <w:lang w:val="en-US" w:eastAsia="zh-CN"/>
        </w:rPr>
        <w:t>7.</w:t>
      </w:r>
      <w:r>
        <w:rPr>
          <w:rFonts w:hint="eastAsia" w:ascii="方正黑体_GBK" w:hAnsi="方正黑体_GBK" w:eastAsia="方正黑体_GBK" w:cs="方正黑体_GBK"/>
          <w:b w:val="0"/>
          <w:bCs/>
        </w:rPr>
        <w:t>中医药特色药学服务</w:t>
      </w:r>
    </w:p>
    <w:p>
      <w:pPr>
        <w:pStyle w:val="3"/>
        <w:keepNext w:val="0"/>
        <w:keepLines w:val="0"/>
        <w:bidi w:val="0"/>
        <w:spacing w:after="0" w:afterAutospacing="0" w:line="560" w:lineRule="exact"/>
        <w:ind w:firstLine="643" w:firstLineChars="200"/>
        <w:rPr>
          <w:rFonts w:hint="eastAsia" w:ascii="仿宋_GB2312" w:hAnsi="仿宋_GB2312" w:eastAsia="仿宋_GB2312" w:cs="仿宋_GB2312"/>
          <w:b/>
          <w:bCs/>
          <w:sz w:val="32"/>
          <w:szCs w:val="32"/>
        </w:rPr>
      </w:pPr>
      <w:r>
        <w:rPr>
          <w:rFonts w:hint="eastAsia"/>
        </w:rPr>
        <w:t>7.1 中成药药学服务</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7.1.1 </w:t>
      </w:r>
      <w:r>
        <w:rPr>
          <w:rFonts w:hint="eastAsia"/>
        </w:rPr>
        <w:t>中成药处方审核</w:t>
      </w:r>
    </w:p>
    <w:p>
      <w:pPr>
        <w:bidi w:val="0"/>
        <w:spacing w:beforeLines="0" w:after="0" w:afterLines="0" w:afterAutospacing="0" w:line="560" w:lineRule="exact"/>
        <w:rPr>
          <w:rFonts w:hint="eastAsia"/>
        </w:rPr>
      </w:pPr>
      <w:r>
        <w:rPr>
          <w:rFonts w:hint="eastAsia"/>
          <w:lang w:eastAsia="zh-CN"/>
        </w:rPr>
        <w:t>执业中</w:t>
      </w:r>
      <w:r>
        <w:rPr>
          <w:rFonts w:hint="eastAsia"/>
        </w:rPr>
        <w:t>药师审核中成药处方时宜关注以下内容：</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⑴</w:t>
      </w:r>
      <w:r>
        <w:rPr>
          <w:rFonts w:hint="eastAsia" w:cs="仿宋_GB2312"/>
          <w:sz w:val="32"/>
          <w:szCs w:val="32"/>
          <w:lang w:val="en-US" w:eastAsia="zh-CN"/>
        </w:rPr>
        <w:t>辨证施治</w:t>
      </w:r>
      <w:r>
        <w:rPr>
          <w:rFonts w:hint="eastAsia" w:ascii="仿宋_GB2312" w:hAnsi="仿宋_GB2312" w:eastAsia="仿宋_GB2312" w:cs="仿宋_GB2312"/>
          <w:sz w:val="32"/>
          <w:szCs w:val="32"/>
        </w:rPr>
        <w:t>用药：中成药的使用是否与中医辨证相符；</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⑵</w:t>
      </w:r>
      <w:r>
        <w:rPr>
          <w:rFonts w:hint="eastAsia" w:ascii="仿宋_GB2312" w:hAnsi="仿宋_GB2312" w:eastAsia="仿宋_GB2312" w:cs="仿宋_GB2312"/>
          <w:sz w:val="32"/>
          <w:szCs w:val="32"/>
        </w:rPr>
        <w:t>配伍禁忌：是否违反“十八反”“十九畏”等配伍禁忌；</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⑶</w:t>
      </w:r>
      <w:r>
        <w:rPr>
          <w:rFonts w:hint="eastAsia" w:ascii="仿宋_GB2312" w:hAnsi="仿宋_GB2312" w:eastAsia="仿宋_GB2312" w:cs="仿宋_GB2312"/>
          <w:sz w:val="32"/>
          <w:szCs w:val="32"/>
        </w:rPr>
        <w:t>用法用量：剂量是否在规定范围内，服用方法是否恰当；</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⑷</w:t>
      </w:r>
      <w:r>
        <w:rPr>
          <w:rFonts w:hint="eastAsia" w:ascii="仿宋_GB2312" w:hAnsi="仿宋_GB2312" w:eastAsia="仿宋_GB2312" w:cs="仿宋_GB2312"/>
          <w:sz w:val="32"/>
          <w:szCs w:val="32"/>
        </w:rPr>
        <w:t>特殊人群</w:t>
      </w:r>
      <w:r>
        <w:rPr>
          <w:rFonts w:hint="eastAsia" w:cs="仿宋_GB2312"/>
          <w:sz w:val="32"/>
          <w:szCs w:val="32"/>
          <w:lang w:val="en-US" w:eastAsia="zh-CN"/>
        </w:rPr>
        <w:t>用药</w:t>
      </w:r>
      <w:r>
        <w:rPr>
          <w:rFonts w:hint="eastAsia" w:ascii="仿宋_GB2312" w:hAnsi="仿宋_GB2312" w:eastAsia="仿宋_GB2312" w:cs="仿宋_GB2312"/>
          <w:sz w:val="32"/>
          <w:szCs w:val="32"/>
        </w:rPr>
        <w:t>注意事项：孕妇、儿童、老年人、肝肾功能不全者是否使用禁忌或慎用药品。</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7.1.2 </w:t>
      </w:r>
      <w:r>
        <w:rPr>
          <w:rFonts w:hint="eastAsia"/>
        </w:rPr>
        <w:t>中成药用药指导</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firstLine="640" w:firstLineChars="200"/>
        <w:textAlignment w:val="auto"/>
        <w:rPr>
          <w:rFonts w:hint="eastAsia" w:ascii="仿宋_GB2312" w:hAnsi="仿宋_GB2312" w:eastAsia="仿宋_GB2312" w:cs="仿宋_GB2312"/>
          <w:sz w:val="32"/>
          <w:szCs w:val="32"/>
        </w:rPr>
      </w:pPr>
      <w:r>
        <w:rPr>
          <w:rFonts w:hint="eastAsia" w:cs="仿宋_GB2312"/>
          <w:sz w:val="32"/>
          <w:szCs w:val="32"/>
          <w:lang w:eastAsia="zh-CN"/>
        </w:rPr>
        <w:t>执业中</w:t>
      </w:r>
      <w:r>
        <w:rPr>
          <w:rFonts w:hint="eastAsia" w:ascii="仿宋_GB2312" w:hAnsi="仿宋_GB2312" w:eastAsia="仿宋_GB2312" w:cs="仿宋_GB2312"/>
          <w:sz w:val="32"/>
          <w:szCs w:val="32"/>
        </w:rPr>
        <w:t>药师向患者提供中成药用药指导时宜说明：</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⑴</w:t>
      </w:r>
      <w:r>
        <w:rPr>
          <w:rFonts w:hint="eastAsia" w:ascii="仿宋_GB2312" w:hAnsi="仿宋_GB2312" w:eastAsia="仿宋_GB2312" w:cs="仿宋_GB2312"/>
          <w:sz w:val="32"/>
          <w:szCs w:val="32"/>
        </w:rPr>
        <w:t>服用方法（饭前或饭后服用、是否需用特定液体送服）；</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⑵</w:t>
      </w:r>
      <w:r>
        <w:rPr>
          <w:rFonts w:hint="eastAsia" w:ascii="仿宋_GB2312" w:hAnsi="仿宋_GB2312" w:eastAsia="仿宋_GB2312" w:cs="仿宋_GB2312"/>
          <w:sz w:val="32"/>
          <w:szCs w:val="32"/>
        </w:rPr>
        <w:t>饮食禁忌（忌生冷、油腻、辛辣等）；</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⑶</w:t>
      </w:r>
      <w:r>
        <w:rPr>
          <w:rFonts w:hint="eastAsia" w:ascii="仿宋_GB2312" w:hAnsi="仿宋_GB2312" w:eastAsia="仿宋_GB2312" w:cs="仿宋_GB2312"/>
          <w:sz w:val="32"/>
          <w:szCs w:val="32"/>
        </w:rPr>
        <w:t>疗程说明及不宜长期使用的情形；</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⑷</w:t>
      </w:r>
      <w:r>
        <w:rPr>
          <w:rFonts w:hint="eastAsia" w:ascii="仿宋_GB2312" w:hAnsi="仿宋_GB2312" w:eastAsia="仿宋_GB2312" w:cs="仿宋_GB2312"/>
          <w:sz w:val="32"/>
          <w:szCs w:val="32"/>
        </w:rPr>
        <w:t>可能出现的不良反应及应对措施。</w:t>
      </w:r>
    </w:p>
    <w:p>
      <w:pPr>
        <w:pStyle w:val="3"/>
        <w:keepNext w:val="0"/>
        <w:keepLines w:val="0"/>
        <w:bidi w:val="0"/>
        <w:spacing w:after="0" w:afterAutospacing="0" w:line="560" w:lineRule="exact"/>
        <w:ind w:firstLine="643" w:firstLineChars="200"/>
        <w:rPr>
          <w:rFonts w:hint="eastAsia"/>
        </w:rPr>
      </w:pPr>
      <w:r>
        <w:rPr>
          <w:rFonts w:hint="eastAsia"/>
        </w:rPr>
        <w:t>7.2 中药饮片调剂服务</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7.2.1 </w:t>
      </w:r>
      <w:r>
        <w:rPr>
          <w:rFonts w:hint="eastAsia"/>
        </w:rPr>
        <w:t>饮片质量验收</w:t>
      </w:r>
    </w:p>
    <w:p>
      <w:pPr>
        <w:bidi w:val="0"/>
        <w:spacing w:beforeLines="0" w:after="0" w:afterLines="0" w:afterAutospacing="0" w:line="560" w:lineRule="exact"/>
        <w:rPr>
          <w:rFonts w:hint="eastAsia"/>
          <w:highlight w:val="none"/>
        </w:rPr>
      </w:pPr>
      <w:r>
        <w:rPr>
          <w:rFonts w:hint="eastAsia"/>
          <w:highlight w:val="none"/>
        </w:rPr>
        <w:t>中药饮片在调剂前宜进行质量验收：</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⑴</w:t>
      </w:r>
      <w:r>
        <w:rPr>
          <w:rFonts w:hint="eastAsia" w:ascii="仿宋_GB2312" w:hAnsi="仿宋_GB2312" w:eastAsia="仿宋_GB2312" w:cs="仿宋_GB2312"/>
          <w:sz w:val="32"/>
          <w:szCs w:val="32"/>
        </w:rPr>
        <w:t>杂质检查：检查非药用部位、泥沙、霉变、虫蛀等情况；</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⑵</w:t>
      </w:r>
      <w:r>
        <w:rPr>
          <w:rFonts w:hint="eastAsia" w:ascii="仿宋_GB2312" w:hAnsi="仿宋_GB2312" w:eastAsia="仿宋_GB2312" w:cs="仿宋_GB2312"/>
          <w:sz w:val="32"/>
          <w:szCs w:val="32"/>
        </w:rPr>
        <w:t>不符合质量要求的饮片不宜使用。</w:t>
      </w:r>
    </w:p>
    <w:p>
      <w:pPr>
        <w:pStyle w:val="4"/>
        <w:keepNext w:val="0"/>
        <w:keepLines w:val="0"/>
        <w:bidi w:val="0"/>
        <w:spacing w:after="0" w:afterAutospacing="0" w:line="560" w:lineRule="exact"/>
        <w:ind w:firstLine="643" w:firstLineChars="200"/>
        <w:rPr>
          <w:rFonts w:hint="eastAsia"/>
        </w:rPr>
      </w:pPr>
      <w:r>
        <w:rPr>
          <w:rFonts w:hint="eastAsia"/>
          <w:lang w:val="en-US" w:eastAsia="zh-CN"/>
        </w:rPr>
        <w:t>7.2.2 中医处方</w:t>
      </w:r>
      <w:r>
        <w:rPr>
          <w:rFonts w:hint="eastAsia"/>
        </w:rPr>
        <w:t>调剂</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中药饮片调剂宜按照处方要求精准称量：</w:t>
      </w:r>
    </w:p>
    <w:p>
      <w:pPr>
        <w:numPr>
          <w:ilvl w:val="-1"/>
          <w:numId w:val="0"/>
        </w:numPr>
        <w:bidi w:val="0"/>
        <w:spacing w:beforeLines="0" w:after="0" w:afterLines="0" w:afterAutospacing="0" w:line="560" w:lineRule="exact"/>
        <w:ind w:left="640" w:leftChars="200" w:firstLine="0" w:firstLineChars="0"/>
        <w:rPr>
          <w:rFonts w:hint="eastAsia" w:ascii="仿宋_GB2312" w:hAnsi="仿宋_GB2312" w:eastAsia="仿宋_GB2312" w:cs="仿宋_GB2312"/>
          <w:sz w:val="32"/>
          <w:szCs w:val="32"/>
        </w:rPr>
      </w:pPr>
      <w:r>
        <w:rPr>
          <w:rFonts w:hint="eastAsia" w:ascii="方正书宋_GBK" w:hAnsi="方正书宋_GBK" w:eastAsia="方正书宋_GBK" w:cs="方正书宋_GBK"/>
        </w:rPr>
        <w:t>⑴</w:t>
      </w:r>
      <w:r>
        <w:rPr>
          <w:rFonts w:hint="eastAsia"/>
        </w:rPr>
        <w:t>使用经</w:t>
      </w:r>
      <w:r>
        <w:rPr>
          <w:rFonts w:hint="eastAsia"/>
          <w:lang w:val="en-US" w:eastAsia="zh-CN"/>
        </w:rPr>
        <w:t>校准</w:t>
      </w:r>
      <w:r>
        <w:rPr>
          <w:rFonts w:hint="eastAsia"/>
        </w:rPr>
        <w:t>的度量器具（戥秤等）；</w:t>
      </w:r>
    </w:p>
    <w:p>
      <w:pPr>
        <w:numPr>
          <w:ilvl w:val="-1"/>
          <w:numId w:val="0"/>
        </w:numPr>
        <w:bidi w:val="0"/>
        <w:spacing w:beforeLines="0" w:after="0" w:afterLines="0" w:afterAutospacing="0" w:line="560" w:lineRule="exact"/>
        <w:ind w:left="0" w:leftChars="0" w:firstLine="640" w:firstLineChars="200"/>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⑵</w:t>
      </w:r>
      <w:r>
        <w:rPr>
          <w:rFonts w:hint="eastAsia" w:ascii="仿宋_GB2312" w:hAnsi="仿宋_GB2312" w:eastAsia="仿宋_GB2312" w:cs="仿宋_GB2312"/>
          <w:sz w:val="32"/>
          <w:szCs w:val="32"/>
        </w:rPr>
        <w:t>每剂饮片宜独立包装，标明患者姓名、日期及企业名称。</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7.2.3 </w:t>
      </w:r>
      <w:r>
        <w:rPr>
          <w:rFonts w:hint="eastAsia"/>
        </w:rPr>
        <w:t>特殊处理标注</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调剂时宜对需要特殊处理的饮片进行标注：先煎、后下、包煎、烊化、冲服等特殊煎法，宜在包装上明确标注；</w:t>
      </w:r>
      <w:r>
        <w:rPr>
          <w:rFonts w:hint="eastAsia" w:cs="仿宋_GB2312"/>
          <w:sz w:val="32"/>
          <w:szCs w:val="32"/>
          <w:lang w:val="en-US" w:eastAsia="zh-CN"/>
        </w:rPr>
        <w:t>并</w:t>
      </w:r>
      <w:r>
        <w:rPr>
          <w:rFonts w:hint="eastAsia" w:ascii="仿宋_GB2312" w:hAnsi="仿宋_GB2312" w:eastAsia="仿宋_GB2312" w:cs="仿宋_GB2312"/>
          <w:sz w:val="32"/>
          <w:szCs w:val="32"/>
        </w:rPr>
        <w:t>向患者说明特殊处理的原因和操作要领。</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7.2.4 </w:t>
      </w:r>
      <w:r>
        <w:rPr>
          <w:rFonts w:hint="eastAsia"/>
        </w:rPr>
        <w:t>复核制度</w:t>
      </w:r>
    </w:p>
    <w:p>
      <w:pPr>
        <w:bidi w:val="0"/>
        <w:spacing w:beforeLines="0" w:after="0" w:afterLines="0" w:afterAutospacing="0" w:line="560" w:lineRule="exact"/>
        <w:rPr>
          <w:rFonts w:hint="eastAsia"/>
          <w:color w:val="auto"/>
        </w:rPr>
      </w:pPr>
      <w:r>
        <w:rPr>
          <w:rFonts w:hint="eastAsia"/>
        </w:rPr>
        <w:t>中药饮片调剂建议实行复核制</w:t>
      </w:r>
      <w:r>
        <w:rPr>
          <w:rFonts w:hint="eastAsia"/>
          <w:color w:val="auto"/>
        </w:rPr>
        <w:t>度：</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调剂完成后，由中药师或中药调剂员</w:t>
      </w:r>
      <w:r>
        <w:rPr>
          <w:rFonts w:hint="eastAsia" w:ascii="仿宋_GB2312" w:hAnsi="仿宋_GB2312" w:eastAsia="仿宋_GB2312" w:cs="仿宋_GB2312"/>
          <w:sz w:val="32"/>
          <w:szCs w:val="32"/>
        </w:rPr>
        <w:t>对饮片品种、数量、特殊处理标注等进行复核；复核无误后交予患者。</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left="0" w:leftChars="0" w:firstLine="643" w:firstLineChars="200"/>
        <w:textAlignment w:val="auto"/>
        <w:rPr>
          <w:rFonts w:hint="eastAsia" w:ascii="仿宋_GB2312" w:hAnsi="仿宋_GB2312" w:eastAsia="仿宋_GB2312" w:cs="仿宋_GB2312"/>
          <w:b/>
          <w:bCs/>
          <w:sz w:val="32"/>
          <w:szCs w:val="32"/>
        </w:rPr>
      </w:pPr>
      <w:r>
        <w:rPr>
          <w:rFonts w:hint="eastAsia" w:cs="仿宋_GB2312"/>
          <w:b/>
          <w:bCs/>
          <w:sz w:val="32"/>
          <w:szCs w:val="32"/>
          <w:lang w:val="en-US" w:eastAsia="zh-CN"/>
        </w:rPr>
        <w:t xml:space="preserve">7.2.5 </w:t>
      </w:r>
      <w:r>
        <w:rPr>
          <w:rFonts w:hint="eastAsia" w:ascii="仿宋_GB2312" w:hAnsi="仿宋_GB2312" w:eastAsia="仿宋_GB2312" w:cs="仿宋_GB2312"/>
          <w:b/>
          <w:bCs/>
          <w:sz w:val="32"/>
          <w:szCs w:val="32"/>
        </w:rPr>
        <w:t>煎药服务</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企业提供代煎服务的，建议遵守以下规范：</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⑴</w:t>
      </w:r>
      <w:r>
        <w:rPr>
          <w:rFonts w:hint="eastAsia" w:ascii="仿宋_GB2312" w:hAnsi="仿宋_GB2312" w:eastAsia="仿宋_GB2312" w:cs="仿宋_GB2312"/>
          <w:sz w:val="32"/>
          <w:szCs w:val="32"/>
        </w:rPr>
        <w:t>使用符合标准的煎药设备和相关要求；</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⑵</w:t>
      </w:r>
      <w:r>
        <w:rPr>
          <w:rFonts w:hint="eastAsia" w:ascii="仿宋_GB2312" w:hAnsi="仿宋_GB2312" w:eastAsia="仿宋_GB2312" w:cs="仿宋_GB2312"/>
          <w:sz w:val="32"/>
          <w:szCs w:val="32"/>
        </w:rPr>
        <w:t>遵照先煎、后下等特殊要求执行；</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⑶</w:t>
      </w:r>
      <w:r>
        <w:rPr>
          <w:rFonts w:hint="eastAsia" w:ascii="仿宋_GB2312" w:hAnsi="仿宋_GB2312" w:eastAsia="仿宋_GB2312" w:cs="仿宋_GB2312"/>
          <w:sz w:val="32"/>
          <w:szCs w:val="32"/>
        </w:rPr>
        <w:t>浸泡、煎煮时间、加水量、火候等宜符合相应饮片的煎煮要求；</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z w:val="32"/>
          <w:szCs w:val="32"/>
        </w:rPr>
        <w:t>⑷</w:t>
      </w:r>
      <w:r>
        <w:rPr>
          <w:rFonts w:hint="eastAsia" w:ascii="仿宋_GB2312" w:hAnsi="仿宋_GB2312" w:eastAsia="仿宋_GB2312" w:cs="仿宋_GB2312"/>
          <w:sz w:val="32"/>
          <w:szCs w:val="32"/>
        </w:rPr>
        <w:t>煎煮后的药液宜按规定包装、标注，冷藏保存并注明有效期。</w:t>
      </w:r>
    </w:p>
    <w:p>
      <w:pPr>
        <w:pStyle w:val="3"/>
        <w:keepNext w:val="0"/>
        <w:keepLines w:val="0"/>
        <w:bidi w:val="0"/>
        <w:spacing w:after="0" w:afterAutospacing="0" w:line="560" w:lineRule="exact"/>
        <w:ind w:firstLine="643" w:firstLineChars="200"/>
        <w:rPr>
          <w:rFonts w:hint="eastAsia"/>
        </w:rPr>
      </w:pPr>
      <w:r>
        <w:rPr>
          <w:rFonts w:hint="eastAsia"/>
          <w:lang w:val="en-US" w:eastAsia="zh-CN"/>
        </w:rPr>
        <w:t>7.3 药品</w:t>
      </w:r>
      <w:r>
        <w:rPr>
          <w:rFonts w:hint="eastAsia"/>
        </w:rPr>
        <w:t>追溯管理</w:t>
      </w:r>
    </w:p>
    <w:p>
      <w:pPr>
        <w:bidi w:val="0"/>
        <w:spacing w:beforeLines="0" w:after="0" w:afterLines="0" w:afterAutospacing="0" w:line="560" w:lineRule="exact"/>
        <w:rPr>
          <w:rFonts w:hint="eastAsia"/>
        </w:rPr>
      </w:pPr>
      <w:r>
        <w:rPr>
          <w:rFonts w:hint="eastAsia"/>
        </w:rPr>
        <w:t>药品零售企业应当建立药品追溯管理制度，</w:t>
      </w:r>
      <w:r>
        <w:rPr>
          <w:rFonts w:hint="eastAsia"/>
          <w:lang w:val="en-US" w:eastAsia="zh-CN"/>
        </w:rPr>
        <w:t>并</w:t>
      </w:r>
      <w:r>
        <w:rPr>
          <w:rFonts w:hint="eastAsia"/>
        </w:rPr>
        <w:t>对全品种药品</w:t>
      </w:r>
      <w:r>
        <w:rPr>
          <w:rFonts w:hint="eastAsia"/>
          <w:lang w:val="en-US" w:eastAsia="zh-CN"/>
        </w:rPr>
        <w:t>进行出入库</w:t>
      </w:r>
      <w:r>
        <w:rPr>
          <w:rFonts w:hint="eastAsia"/>
        </w:rPr>
        <w:t>追溯</w:t>
      </w:r>
      <w:r>
        <w:rPr>
          <w:rFonts w:hint="eastAsia"/>
          <w:lang w:val="en-US" w:eastAsia="zh-CN"/>
        </w:rPr>
        <w:t>扫码</w:t>
      </w:r>
      <w:r>
        <w:rPr>
          <w:rFonts w:hint="eastAsia"/>
        </w:rPr>
        <w:t>。</w:t>
      </w:r>
    </w:p>
    <w:p>
      <w:pPr>
        <w:pStyle w:val="2"/>
        <w:keepNext w:val="0"/>
        <w:keepLines w:val="0"/>
        <w:widowControl w:val="0"/>
        <w:numPr>
          <w:ilvl w:val="-1"/>
          <w:numId w:val="0"/>
        </w:numPr>
        <w:bidi w:val="0"/>
        <w:spacing w:beforeLines="0" w:after="0" w:afterAutospacing="0" w:line="560" w:lineRule="exact"/>
        <w:ind w:firstLine="640" w:firstLineChars="200"/>
        <w:rPr>
          <w:rFonts w:hint="eastAsia" w:ascii="方正黑体_GBK" w:hAnsi="方正黑体_GBK" w:eastAsia="方正黑体_GBK" w:cs="方正黑体_GBK"/>
          <w:b w:val="0"/>
          <w:bCs/>
        </w:rPr>
      </w:pPr>
      <w:r>
        <w:rPr>
          <w:rFonts w:hint="eastAsia" w:ascii="方正黑体_GBK" w:hAnsi="方正黑体_GBK" w:eastAsia="方正黑体_GBK" w:cs="方正黑体_GBK"/>
          <w:b w:val="0"/>
          <w:bCs/>
          <w:lang w:val="en-US" w:eastAsia="zh-CN"/>
        </w:rPr>
        <w:t>8.</w:t>
      </w:r>
      <w:r>
        <w:rPr>
          <w:rFonts w:hint="eastAsia" w:ascii="方正黑体_GBK" w:hAnsi="方正黑体_GBK" w:eastAsia="方正黑体_GBK" w:cs="方正黑体_GBK"/>
          <w:b w:val="0"/>
          <w:bCs/>
        </w:rPr>
        <w:t>药学服务延伸</w:t>
      </w:r>
    </w:p>
    <w:p>
      <w:pPr>
        <w:spacing w:beforeLines="0" w:after="0" w:afterLines="0" w:afterAutospacing="0" w:line="560" w:lineRule="exact"/>
        <w:ind w:firstLine="640"/>
        <w:rPr>
          <w:rFonts w:hint="eastAsia"/>
          <w:color w:val="auto"/>
        </w:rPr>
      </w:pPr>
      <w:r>
        <w:rPr>
          <w:rFonts w:hint="eastAsia" w:ascii="仿宋_GB2312" w:hAnsi="仿宋_GB2312" w:eastAsia="仿宋_GB2312"/>
          <w:color w:val="auto"/>
        </w:rPr>
        <w:t>本条</w:t>
      </w:r>
      <w:r>
        <w:rPr>
          <w:rFonts w:hint="eastAsia" w:ascii="仿宋_GB2312" w:hAnsi="仿宋_GB2312" w:eastAsia="仿宋_GB2312" w:cs="Times New Roman (正文 CS 字体)"/>
          <w:color w:val="auto"/>
        </w:rPr>
        <w:t>款</w:t>
      </w:r>
      <w:r>
        <w:rPr>
          <w:rFonts w:hint="eastAsia" w:ascii="仿宋_GB2312" w:hAnsi="仿宋_GB2312" w:eastAsia="仿宋_GB2312"/>
          <w:color w:val="auto"/>
        </w:rPr>
        <w:t>所列服务为鼓励探索方向，在具备条件的企业可先行试点，待条件成熟后逐步推广。</w:t>
      </w:r>
    </w:p>
    <w:p>
      <w:pPr>
        <w:pStyle w:val="3"/>
        <w:keepNext w:val="0"/>
        <w:keepLines w:val="0"/>
        <w:bidi w:val="0"/>
        <w:spacing w:after="0" w:afterAutospacing="0" w:line="560" w:lineRule="exact"/>
        <w:ind w:firstLine="643" w:firstLineChars="200"/>
        <w:rPr>
          <w:rFonts w:hint="eastAsia"/>
          <w:color w:val="auto"/>
        </w:rPr>
      </w:pPr>
      <w:r>
        <w:rPr>
          <w:rFonts w:hint="eastAsia"/>
          <w:color w:val="auto"/>
          <w:lang w:val="en-US" w:eastAsia="zh-CN"/>
        </w:rPr>
        <w:t xml:space="preserve">8.1 </w:t>
      </w:r>
      <w:r>
        <w:rPr>
          <w:rFonts w:hint="eastAsia"/>
          <w:color w:val="auto"/>
        </w:rPr>
        <w:t>用药依从性支持服务</w:t>
      </w:r>
    </w:p>
    <w:p>
      <w:pPr>
        <w:bidi w:val="0"/>
        <w:spacing w:beforeLines="0" w:after="0" w:afterLines="0" w:afterAutospacing="0" w:line="560" w:lineRule="exact"/>
        <w:rPr>
          <w:rFonts w:hint="eastAsia"/>
          <w:color w:val="auto"/>
        </w:rPr>
      </w:pPr>
      <w:r>
        <w:rPr>
          <w:rFonts w:hint="eastAsia"/>
          <w:color w:val="auto"/>
        </w:rPr>
        <w:t>鼓励</w:t>
      </w:r>
      <w:r>
        <w:rPr>
          <w:rFonts w:hint="eastAsia"/>
          <w:color w:val="auto"/>
          <w:lang w:eastAsia="zh-CN"/>
        </w:rPr>
        <w:t>药品零售企业</w:t>
      </w:r>
      <w:r>
        <w:rPr>
          <w:rFonts w:hint="eastAsia"/>
          <w:color w:val="auto"/>
        </w:rPr>
        <w:t>为长期用药患者（尤其是旅居海南老人、外籍长居者）提供以下支持服务：</w:t>
      </w:r>
    </w:p>
    <w:p>
      <w:pPr>
        <w:numPr>
          <w:ilvl w:val="-1"/>
          <w:numId w:val="0"/>
        </w:numPr>
        <w:bidi w:val="0"/>
        <w:spacing w:beforeLines="0" w:after="0" w:afterLines="0" w:afterAutospacing="0" w:line="560" w:lineRule="exact"/>
        <w:ind w:left="0" w:leftChars="0" w:firstLine="640" w:firstLineChars="200"/>
        <w:rPr>
          <w:rFonts w:hint="eastAsia"/>
          <w:color w:val="auto"/>
        </w:rPr>
      </w:pPr>
      <w:r>
        <w:rPr>
          <w:rFonts w:hint="eastAsia" w:ascii="方正书宋_GBK" w:hAnsi="方正书宋_GBK" w:eastAsia="方正书宋_GBK" w:cs="方正书宋_GBK"/>
          <w:color w:val="auto"/>
        </w:rPr>
        <w:t>⑴</w:t>
      </w:r>
      <w:r>
        <w:rPr>
          <w:rFonts w:hint="eastAsia"/>
          <w:color w:val="auto"/>
        </w:rPr>
        <w:t>单剂量包装：将患者一周或一月的药品按每次服用剂量分装，标注日期和时间；</w:t>
      </w:r>
    </w:p>
    <w:p>
      <w:pPr>
        <w:numPr>
          <w:ilvl w:val="-1"/>
          <w:numId w:val="0"/>
        </w:numPr>
        <w:bidi w:val="0"/>
        <w:spacing w:beforeLines="0" w:after="0" w:afterLines="0" w:afterAutospacing="0" w:line="560" w:lineRule="exact"/>
        <w:ind w:left="0" w:leftChars="0" w:firstLine="640" w:firstLineChars="200"/>
        <w:rPr>
          <w:rFonts w:hint="eastAsia" w:ascii="仿宋_GB2312" w:hAnsi="仿宋_GB2312" w:eastAsia="仿宋_GB2312" w:cs="仿宋_GB2312"/>
          <w:color w:val="auto"/>
          <w:sz w:val="32"/>
          <w:szCs w:val="32"/>
        </w:rPr>
      </w:pPr>
      <w:r>
        <w:rPr>
          <w:rFonts w:hint="eastAsia" w:ascii="方正书宋_GBK" w:hAnsi="方正书宋_GBK" w:eastAsia="方正书宋_GBK" w:cs="方正书宋_GBK"/>
          <w:color w:val="auto"/>
        </w:rPr>
        <w:t>⑵</w:t>
      </w:r>
      <w:r>
        <w:rPr>
          <w:rFonts w:hint="eastAsia"/>
          <w:color w:val="auto"/>
        </w:rPr>
        <w:t>分时段药盒整理服务：协助患者整理和填充分时段药盒；</w:t>
      </w:r>
    </w:p>
    <w:p>
      <w:pPr>
        <w:numPr>
          <w:ilvl w:val="-1"/>
          <w:numId w:val="0"/>
        </w:numPr>
        <w:bidi w:val="0"/>
        <w:spacing w:beforeLines="0" w:after="0" w:afterLines="0" w:afterAutospacing="0" w:line="560" w:lineRule="exact"/>
        <w:ind w:left="0" w:leftChars="0" w:firstLine="640" w:firstLineChars="200"/>
        <w:rPr>
          <w:rFonts w:hint="eastAsia" w:ascii="仿宋_GB2312" w:hAnsi="仿宋_GB2312" w:eastAsia="仿宋_GB2312" w:cs="仿宋_GB2312"/>
          <w:color w:val="auto"/>
          <w:sz w:val="32"/>
          <w:szCs w:val="32"/>
        </w:rPr>
      </w:pPr>
      <w:r>
        <w:rPr>
          <w:rFonts w:hint="eastAsia" w:ascii="方正书宋_GBK" w:hAnsi="方正书宋_GBK" w:eastAsia="方正书宋_GBK" w:cs="方正书宋_GBK"/>
          <w:color w:val="auto"/>
        </w:rPr>
        <w:t>⑶</w:t>
      </w:r>
      <w:r>
        <w:rPr>
          <w:rFonts w:hint="eastAsia"/>
          <w:color w:val="auto"/>
        </w:rPr>
        <w:t>视频随访：对不便到店的患者，通过视频方式开展用药依从性检查和指导。</w:t>
      </w:r>
    </w:p>
    <w:p>
      <w:pPr>
        <w:pStyle w:val="3"/>
        <w:keepNext w:val="0"/>
        <w:keepLines w:val="0"/>
        <w:bidi w:val="0"/>
        <w:spacing w:after="0" w:afterAutospacing="0" w:line="560" w:lineRule="exact"/>
        <w:ind w:firstLine="643" w:firstLineChars="200"/>
        <w:rPr>
          <w:rFonts w:hint="eastAsia"/>
          <w:color w:val="auto"/>
        </w:rPr>
      </w:pPr>
      <w:r>
        <w:rPr>
          <w:rFonts w:hint="eastAsia"/>
          <w:color w:val="auto"/>
          <w:lang w:val="en-US" w:eastAsia="zh-CN"/>
        </w:rPr>
        <w:t xml:space="preserve">8.2 </w:t>
      </w:r>
      <w:r>
        <w:rPr>
          <w:rFonts w:hint="eastAsia"/>
          <w:color w:val="auto"/>
        </w:rPr>
        <w:t>服务记录要求</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开展上述服务的</w:t>
      </w:r>
      <w:r>
        <w:rPr>
          <w:rFonts w:hint="eastAsia" w:cs="仿宋_GB2312"/>
          <w:color w:val="auto"/>
          <w:sz w:val="32"/>
          <w:szCs w:val="32"/>
          <w:lang w:eastAsia="zh-CN"/>
        </w:rPr>
        <w:t>药品零售</w:t>
      </w:r>
      <w:r>
        <w:rPr>
          <w:rFonts w:hint="eastAsia" w:ascii="仿宋_GB2312" w:hAnsi="仿宋_GB2312" w:eastAsia="仿宋_GB2312" w:cs="仿宋_GB2312"/>
          <w:color w:val="auto"/>
          <w:sz w:val="32"/>
          <w:szCs w:val="32"/>
        </w:rPr>
        <w:t>企业</w:t>
      </w:r>
      <w:r>
        <w:rPr>
          <w:rFonts w:hint="eastAsia" w:cs="仿宋_GB2312"/>
          <w:color w:val="auto"/>
          <w:sz w:val="32"/>
          <w:szCs w:val="32"/>
          <w:lang w:val="en-US" w:eastAsia="zh-CN"/>
        </w:rPr>
        <w:t>应</w:t>
      </w:r>
      <w:r>
        <w:rPr>
          <w:rFonts w:hint="eastAsia" w:ascii="仿宋_GB2312" w:hAnsi="仿宋_GB2312" w:eastAsia="仿宋_GB2312" w:cs="仿宋_GB2312"/>
          <w:color w:val="auto"/>
          <w:sz w:val="32"/>
          <w:szCs w:val="32"/>
        </w:rPr>
        <w:t>建立专项服务记录，保存不少于3年，并接受</w:t>
      </w:r>
      <w:r>
        <w:rPr>
          <w:rFonts w:hint="eastAsia" w:cs="仿宋_GB2312"/>
          <w:color w:val="auto"/>
          <w:sz w:val="32"/>
          <w:szCs w:val="32"/>
          <w:lang w:val="en-US" w:eastAsia="zh-CN"/>
        </w:rPr>
        <w:t>药品</w:t>
      </w:r>
      <w:r>
        <w:rPr>
          <w:rFonts w:hint="eastAsia" w:ascii="仿宋_GB2312" w:hAnsi="仿宋_GB2312" w:eastAsia="仿宋_GB2312" w:cs="仿宋_GB2312"/>
          <w:color w:val="auto"/>
          <w:sz w:val="32"/>
          <w:szCs w:val="32"/>
        </w:rPr>
        <w:t>监管部门检查。</w:t>
      </w:r>
    </w:p>
    <w:p>
      <w:pPr>
        <w:pStyle w:val="2"/>
        <w:keepNext w:val="0"/>
        <w:keepLines w:val="0"/>
        <w:widowControl w:val="0"/>
        <w:numPr>
          <w:ilvl w:val="-1"/>
          <w:numId w:val="0"/>
        </w:numPr>
        <w:bidi w:val="0"/>
        <w:spacing w:beforeLines="0" w:after="0" w:afterAutospacing="0" w:line="560" w:lineRule="exact"/>
        <w:ind w:firstLine="640" w:firstLineChars="200"/>
        <w:rPr>
          <w:rFonts w:hint="eastAsia" w:ascii="方正黑体_GBK" w:hAnsi="方正黑体_GBK" w:eastAsia="方正黑体_GBK" w:cs="方正黑体_GBK"/>
          <w:b w:val="0"/>
          <w:bCs/>
          <w:sz w:val="32"/>
          <w:szCs w:val="24"/>
        </w:rPr>
      </w:pPr>
      <w:r>
        <w:rPr>
          <w:rFonts w:hint="eastAsia" w:ascii="方正黑体_GBK" w:hAnsi="方正黑体_GBK" w:eastAsia="方正黑体_GBK" w:cs="方正黑体_GBK"/>
          <w:b w:val="0"/>
          <w:bCs/>
          <w:lang w:val="en-US" w:eastAsia="zh-CN"/>
        </w:rPr>
        <w:t>9.</w:t>
      </w:r>
      <w:r>
        <w:rPr>
          <w:rFonts w:hint="eastAsia" w:ascii="方正黑体_GBK" w:hAnsi="方正黑体_GBK" w:eastAsia="方正黑体_GBK" w:cs="方正黑体_GBK"/>
          <w:b w:val="0"/>
          <w:bCs/>
        </w:rPr>
        <w:t>附则</w:t>
      </w:r>
    </w:p>
    <w:p>
      <w:pPr>
        <w:pStyle w:val="3"/>
        <w:keepNext w:val="0"/>
        <w:keepLines w:val="0"/>
        <w:bidi w:val="0"/>
        <w:spacing w:after="0" w:afterAutospacing="0" w:line="560" w:lineRule="exact"/>
        <w:ind w:firstLine="643" w:firstLineChars="200"/>
        <w:rPr>
          <w:rFonts w:hint="eastAsia"/>
        </w:rPr>
      </w:pPr>
      <w:r>
        <w:rPr>
          <w:rFonts w:hint="eastAsia"/>
          <w:lang w:val="en-US" w:eastAsia="zh-CN"/>
        </w:rPr>
        <w:t xml:space="preserve">9.1 </w:t>
      </w:r>
      <w:r>
        <w:rPr>
          <w:rFonts w:hint="eastAsia"/>
        </w:rPr>
        <w:t>基本定义</w:t>
      </w:r>
    </w:p>
    <w:p>
      <w:pPr>
        <w:pStyle w:val="4"/>
        <w:keepNext w:val="0"/>
        <w:keepLines w:val="0"/>
        <w:bidi w:val="0"/>
        <w:spacing w:after="0" w:afterAutospacing="0" w:line="560" w:lineRule="exact"/>
        <w:ind w:firstLine="643" w:firstLineChars="200"/>
        <w:rPr>
          <w:rFonts w:hint="eastAsia"/>
        </w:rPr>
      </w:pPr>
      <w:r>
        <w:rPr>
          <w:rFonts w:hint="eastAsia"/>
          <w:lang w:val="en-US" w:eastAsia="zh-CN"/>
        </w:rPr>
        <w:t>9.1.1</w:t>
      </w:r>
      <w:r>
        <w:rPr>
          <w:rFonts w:hint="eastAsia"/>
        </w:rPr>
        <w:t>优良药房工作规范（Good Pharmacy Practice）</w:t>
      </w:r>
    </w:p>
    <w:p>
      <w:pPr>
        <w:bidi w:val="0"/>
        <w:spacing w:beforeLines="0" w:after="0" w:afterLines="0" w:afterAutospacing="0" w:line="560" w:lineRule="exact"/>
        <w:rPr>
          <w:rFonts w:hint="eastAsia"/>
        </w:rPr>
      </w:pPr>
      <w:r>
        <w:rPr>
          <w:rFonts w:hint="eastAsia"/>
        </w:rPr>
        <w:t>指世界卫生组织及国际药学联合会倡导的药学服务标准，核心是从“保障药品质量”转向“保障患者健康结局”，将药师角色从药品提供者拓展为用药监护者。</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9.1.2 </w:t>
      </w:r>
      <w:r>
        <w:rPr>
          <w:rFonts w:hint="eastAsia"/>
        </w:rPr>
        <w:t>药学服务（pharmacy services）</w:t>
      </w:r>
    </w:p>
    <w:p>
      <w:pPr>
        <w:bidi w:val="0"/>
        <w:spacing w:beforeLines="0" w:after="0" w:afterLines="0" w:afterAutospacing="0" w:line="560" w:lineRule="exact"/>
        <w:rPr>
          <w:rFonts w:hint="eastAsia"/>
        </w:rPr>
      </w:pPr>
      <w:r>
        <w:rPr>
          <w:rFonts w:hint="eastAsia"/>
        </w:rPr>
        <w:t>指</w:t>
      </w:r>
      <w:r>
        <w:rPr>
          <w:rFonts w:hint="eastAsia"/>
          <w:lang w:eastAsia="zh-CN"/>
        </w:rPr>
        <w:t>执业</w:t>
      </w:r>
      <w:r>
        <w:rPr>
          <w:rFonts w:hint="eastAsia"/>
        </w:rPr>
        <w:t>药师运用药学专业知识，向患者（包括公众）提供与药物治疗相关的专业活动，包括处方调剂与用药指导、用药重整、药物治疗管理、</w:t>
      </w:r>
      <w:r>
        <w:rPr>
          <w:rFonts w:hint="eastAsia"/>
          <w:lang w:eastAsia="zh-CN"/>
        </w:rPr>
        <w:t>患者</w:t>
      </w:r>
      <w:r>
        <w:rPr>
          <w:rFonts w:hint="eastAsia"/>
        </w:rPr>
        <w:t>自我药疗辅导、健康促进、中医药服务等。</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9.1.3 </w:t>
      </w:r>
      <w:r>
        <w:rPr>
          <w:rFonts w:hint="eastAsia"/>
        </w:rPr>
        <w:t>用药重整服务(medication reconciliation)</w:t>
      </w:r>
    </w:p>
    <w:p>
      <w:pPr>
        <w:bidi w:val="0"/>
        <w:spacing w:beforeLines="0" w:after="0" w:afterLines="0" w:afterAutospacing="0" w:line="560" w:lineRule="exact"/>
        <w:rPr>
          <w:rFonts w:hint="eastAsia"/>
        </w:rPr>
      </w:pPr>
      <w:r>
        <w:rPr>
          <w:rFonts w:hint="eastAsia"/>
        </w:rPr>
        <w:t>指</w:t>
      </w:r>
      <w:r>
        <w:rPr>
          <w:rFonts w:hint="eastAsia"/>
          <w:lang w:eastAsia="zh-CN"/>
        </w:rPr>
        <w:t>执业</w:t>
      </w:r>
      <w:r>
        <w:rPr>
          <w:rFonts w:hint="eastAsia"/>
        </w:rPr>
        <w:t>药师以患者实际用药行为为中心，通过系统收集患者正在使用的全部药品及治疗相关产品（包括处方药、非处方药、中成药、中药饮片、保健品等），与当前医疗处方进行差异比对，分析差异原因，并通过与患者和医师沟通协调，形成一份准确、一致、患者理解并认同的用药方案。</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9.1.4 </w:t>
      </w:r>
      <w:r>
        <w:rPr>
          <w:rFonts w:hint="eastAsia"/>
        </w:rPr>
        <w:t>药物治疗管理服务(medication therapy management service)</w:t>
      </w:r>
    </w:p>
    <w:p>
      <w:pPr>
        <w:spacing w:beforeLines="0" w:after="0" w:afterLines="0" w:afterAutospacing="0" w:line="560" w:lineRule="exact"/>
        <w:ind w:firstLine="640"/>
        <w:rPr>
          <w:rFonts w:hint="eastAsia"/>
          <w:color w:val="auto"/>
        </w:rPr>
      </w:pPr>
      <w:r>
        <w:rPr>
          <w:rFonts w:hint="eastAsia"/>
          <w:color w:val="auto"/>
        </w:rPr>
        <w:t>指</w:t>
      </w:r>
      <w:r>
        <w:rPr>
          <w:rFonts w:hint="eastAsia"/>
          <w:color w:val="auto"/>
          <w:lang w:eastAsia="zh-CN"/>
        </w:rPr>
        <w:t>执业</w:t>
      </w:r>
      <w:r>
        <w:rPr>
          <w:rFonts w:hint="eastAsia"/>
          <w:color w:val="auto"/>
        </w:rPr>
        <w:t>药师为特定患者个体（如多病共患、多重用药、慢病患者）提供的系统性药学</w:t>
      </w:r>
      <w:r>
        <w:rPr>
          <w:rFonts w:hint="eastAsia" w:ascii="Cambria" w:hAnsi="Cambria" w:cs="Cambria"/>
          <w:color w:val="auto"/>
        </w:rPr>
        <w:t>监护</w:t>
      </w:r>
      <w:r>
        <w:rPr>
          <w:rFonts w:hint="eastAsia"/>
          <w:color w:val="auto"/>
        </w:rPr>
        <w:t>服务，包括药物治疗评估、个人用药清单制定、</w:t>
      </w:r>
      <w:r>
        <w:rPr>
          <w:rFonts w:hint="eastAsia" w:ascii="Cambria" w:hAnsi="Cambria" w:cs="Cambria"/>
          <w:color w:val="auto"/>
        </w:rPr>
        <w:t>制定</w:t>
      </w:r>
      <w:r>
        <w:rPr>
          <w:rFonts w:hint="eastAsia"/>
          <w:color w:val="auto"/>
        </w:rPr>
        <w:t>用药行动计划、定期随访</w:t>
      </w:r>
      <w:r>
        <w:rPr>
          <w:rFonts w:hint="eastAsia" w:ascii="Cambria" w:hAnsi="Cambria" w:cs="Cambria"/>
          <w:color w:val="auto"/>
        </w:rPr>
        <w:t>及信息记录</w:t>
      </w:r>
      <w:r>
        <w:rPr>
          <w:rFonts w:hint="eastAsia"/>
          <w:color w:val="auto"/>
        </w:rPr>
        <w:t>。</w:t>
      </w:r>
    </w:p>
    <w:p>
      <w:pPr>
        <w:pStyle w:val="4"/>
        <w:keepNext w:val="0"/>
        <w:keepLines w:val="0"/>
        <w:bidi w:val="0"/>
        <w:spacing w:after="0" w:afterAutospacing="0" w:line="560" w:lineRule="exact"/>
        <w:ind w:firstLine="643" w:firstLineChars="200"/>
        <w:rPr>
          <w:rFonts w:hint="eastAsia"/>
        </w:rPr>
      </w:pPr>
      <w:r>
        <w:rPr>
          <w:rFonts w:hint="eastAsia"/>
          <w:lang w:val="en-US" w:eastAsia="zh-CN"/>
        </w:rPr>
        <w:t xml:space="preserve">9.1.5 </w:t>
      </w:r>
      <w:r>
        <w:rPr>
          <w:rFonts w:hint="eastAsia"/>
        </w:rPr>
        <w:t>连续性药学监护(continuous pharmaceutical care)</w:t>
      </w:r>
    </w:p>
    <w:p>
      <w:pPr>
        <w:bidi w:val="0"/>
        <w:spacing w:beforeLines="0" w:after="0" w:afterLines="0" w:afterAutospacing="0" w:line="560" w:lineRule="exact"/>
        <w:rPr>
          <w:rFonts w:hint="eastAsia"/>
          <w:lang w:val="en-US" w:eastAsia="zh-CN"/>
        </w:rPr>
      </w:pPr>
      <w:r>
        <w:rPr>
          <w:rFonts w:hint="eastAsia"/>
          <w:lang w:val="en-US" w:eastAsia="zh-CN"/>
        </w:rPr>
        <w:t>指将用药重整、药物治疗管理、随访评估等环节整合为贯穿患者用药全过程的一系列药学服务。</w:t>
      </w:r>
    </w:p>
    <w:p>
      <w:pPr>
        <w:pStyle w:val="3"/>
        <w:keepNext w:val="0"/>
        <w:keepLines w:val="0"/>
        <w:bidi w:val="0"/>
        <w:spacing w:after="0" w:afterAutospacing="0" w:line="560" w:lineRule="exact"/>
        <w:ind w:firstLine="643" w:firstLineChars="200"/>
        <w:rPr>
          <w:rFonts w:hint="eastAsia"/>
        </w:rPr>
      </w:pPr>
      <w:r>
        <w:rPr>
          <w:rFonts w:hint="eastAsia"/>
          <w:lang w:val="en-US" w:eastAsia="zh-CN"/>
        </w:rPr>
        <w:t xml:space="preserve">9.2 </w:t>
      </w:r>
      <w:r>
        <w:rPr>
          <w:rFonts w:hint="eastAsia"/>
        </w:rPr>
        <w:t>解释权</w:t>
      </w:r>
    </w:p>
    <w:p>
      <w:pPr>
        <w:bidi w:val="0"/>
        <w:spacing w:beforeLines="0" w:after="0" w:afterLines="0" w:afterAutospacing="0" w:line="560" w:lineRule="exact"/>
        <w:rPr>
          <w:rFonts w:hint="eastAsia"/>
        </w:rPr>
      </w:pPr>
      <w:r>
        <w:rPr>
          <w:rFonts w:hint="eastAsia"/>
        </w:rPr>
        <w:t>本指南由海南省药品监督管理局负责解释。</w:t>
      </w:r>
    </w:p>
    <w:p>
      <w:pPr>
        <w:bidi w:val="0"/>
        <w:spacing w:beforeLines="0" w:after="0" w:afterLines="0" w:afterAutospacing="0" w:line="560" w:lineRule="exact"/>
        <w:rPr>
          <w:rFonts w:hint="default" w:eastAsia="仿宋_GB2312"/>
          <w:color w:val="auto"/>
          <w:lang w:val="en-US" w:eastAsia="zh-CN"/>
        </w:rPr>
      </w:pPr>
    </w:p>
    <w:p>
      <w:pPr>
        <w:spacing w:beforeLines="0" w:after="0" w:afterLines="0" w:afterAutospacing="0"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p>
    <w:p>
      <w:pPr>
        <w:keepNext w:val="0"/>
        <w:keepLines w:val="0"/>
        <w:pageBreakBefore w:val="0"/>
        <w:widowControl w:val="0"/>
        <w:kinsoku/>
        <w:wordWrap/>
        <w:overflowPunct/>
        <w:topLinePunct w:val="0"/>
        <w:autoSpaceDE/>
        <w:autoSpaceDN/>
        <w:bidi w:val="0"/>
        <w:adjustRightInd/>
        <w:snapToGrid/>
        <w:spacing w:beforeLines="0" w:after="0" w:afterLines="0" w:afterAutospacing="0" w:line="560" w:lineRule="exact"/>
        <w:ind w:left="0" w:leftChars="0" w:firstLine="0" w:firstLineChars="0"/>
        <w:jc w:val="center"/>
        <w:textAlignment w:val="auto"/>
        <w:rPr>
          <w:rFonts w:hint="default" w:ascii="仿宋_GB2312" w:hAnsi="仿宋_GB2312" w:eastAsia="仿宋_GB2312" w:cs="仿宋_GB2312"/>
          <w:b/>
          <w:bCs/>
          <w:sz w:val="32"/>
          <w:szCs w:val="32"/>
          <w:lang w:val="en-US" w:eastAsia="zh-CN"/>
        </w:rPr>
      </w:pPr>
      <w:r>
        <w:rPr>
          <w:rFonts w:hint="eastAsia" w:cs="仿宋_GB2312"/>
          <w:b/>
          <w:bCs/>
          <w:sz w:val="32"/>
          <w:szCs w:val="32"/>
          <w:lang w:val="en-US" w:eastAsia="zh-CN"/>
        </w:rPr>
        <w:t>参  考  文  献</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afterAutospacing="0" w:line="560" w:lineRule="exact"/>
        <w:ind w:firstLine="0"/>
        <w:textAlignment w:val="auto"/>
        <w:rPr>
          <w:rFonts w:hint="eastAsia" w:ascii="仿宋_GB2312" w:hAnsi="仿宋_GB2312" w:eastAsia="仿宋_GB2312" w:cs="仿宋_GB2312"/>
          <w:sz w:val="28"/>
          <w:szCs w:val="28"/>
        </w:rPr>
      </w:pPr>
      <w:r>
        <w:rPr>
          <w:rFonts w:hint="eastAsia" w:cs="仿宋_GB2312"/>
          <w:sz w:val="28"/>
          <w:szCs w:val="28"/>
          <w:lang w:val="en-US" w:eastAsia="zh-CN"/>
        </w:rPr>
        <w:t>[1]</w:t>
      </w:r>
      <w:r>
        <w:rPr>
          <w:rFonts w:hint="eastAsia" w:ascii="仿宋_GB2312" w:hAnsi="仿宋_GB2312" w:eastAsia="仿宋_GB2312" w:cs="仿宋_GB2312"/>
          <w:sz w:val="28"/>
          <w:szCs w:val="28"/>
        </w:rPr>
        <w:t>《中华人民共和国药品管理法》（2019年修订）</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afterAutospacing="0" w:line="560" w:lineRule="exact"/>
        <w:ind w:firstLine="0"/>
        <w:textAlignment w:val="auto"/>
        <w:rPr>
          <w:rFonts w:hint="eastAsia" w:ascii="仿宋_GB2312" w:hAnsi="仿宋_GB2312" w:eastAsia="仿宋_GB2312" w:cs="仿宋_GB2312"/>
          <w:sz w:val="28"/>
          <w:szCs w:val="28"/>
        </w:rPr>
      </w:pPr>
      <w:r>
        <w:rPr>
          <w:rFonts w:hint="eastAsia" w:cs="仿宋_GB2312"/>
          <w:sz w:val="28"/>
          <w:szCs w:val="28"/>
          <w:lang w:val="en-US" w:eastAsia="zh-CN"/>
        </w:rPr>
        <w:t>[2]</w:t>
      </w:r>
      <w:r>
        <w:rPr>
          <w:rFonts w:hint="eastAsia" w:ascii="仿宋_GB2312" w:hAnsi="仿宋_GB2312" w:eastAsia="仿宋_GB2312" w:cs="仿宋_GB2312"/>
          <w:sz w:val="28"/>
          <w:szCs w:val="28"/>
        </w:rPr>
        <w:t>《中华人民共和国药品管理法实施条例》（2026年修订，国务院令第828号）</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afterAutospacing="0" w:line="560" w:lineRule="exact"/>
        <w:ind w:firstLine="0"/>
        <w:textAlignment w:val="auto"/>
        <w:rPr>
          <w:rFonts w:hint="eastAsia" w:ascii="仿宋_GB2312" w:hAnsi="仿宋_GB2312" w:eastAsia="仿宋_GB2312" w:cs="仿宋_GB2312"/>
          <w:sz w:val="28"/>
          <w:szCs w:val="28"/>
        </w:rPr>
      </w:pPr>
      <w:r>
        <w:rPr>
          <w:rFonts w:hint="eastAsia" w:cs="仿宋_GB2312"/>
          <w:sz w:val="28"/>
          <w:szCs w:val="28"/>
          <w:lang w:val="en-US" w:eastAsia="zh-CN"/>
        </w:rPr>
        <w:t>[3]</w:t>
      </w:r>
      <w:r>
        <w:rPr>
          <w:rFonts w:hint="eastAsia" w:ascii="仿宋_GB2312" w:hAnsi="仿宋_GB2312" w:eastAsia="仿宋_GB2312" w:cs="仿宋_GB2312"/>
          <w:sz w:val="28"/>
          <w:szCs w:val="28"/>
        </w:rPr>
        <w:t>《药品经营质量管理规范》（国家食品药品监督管理总局令第13号，2016年）</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afterAutospacing="0" w:line="560" w:lineRule="exact"/>
        <w:ind w:firstLine="0"/>
        <w:textAlignment w:val="auto"/>
        <w:rPr>
          <w:rFonts w:hint="eastAsia" w:ascii="仿宋_GB2312" w:hAnsi="仿宋_GB2312" w:eastAsia="仿宋_GB2312" w:cs="仿宋_GB2312"/>
          <w:sz w:val="28"/>
          <w:szCs w:val="28"/>
        </w:rPr>
      </w:pPr>
      <w:r>
        <w:rPr>
          <w:rFonts w:hint="eastAsia" w:cs="仿宋_GB2312"/>
          <w:sz w:val="28"/>
          <w:szCs w:val="28"/>
          <w:lang w:val="en-US" w:eastAsia="zh-CN"/>
        </w:rPr>
        <w:t>[4]</w:t>
      </w:r>
      <w:r>
        <w:rPr>
          <w:rFonts w:hint="eastAsia" w:ascii="仿宋_GB2312" w:hAnsi="仿宋_GB2312" w:eastAsia="仿宋_GB2312" w:cs="仿宋_GB2312"/>
          <w:sz w:val="28"/>
          <w:szCs w:val="28"/>
        </w:rPr>
        <w:t>《药品经营和使用质量监督管理办法》（国家市场监督管理总局令第84号，2024年1月1日起施行）</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afterAutospacing="0" w:line="560" w:lineRule="exact"/>
        <w:ind w:firstLine="0"/>
        <w:textAlignment w:val="auto"/>
        <w:rPr>
          <w:rFonts w:hint="eastAsia" w:ascii="仿宋_GB2312" w:hAnsi="仿宋_GB2312" w:eastAsia="仿宋_GB2312" w:cs="仿宋_GB2312"/>
          <w:sz w:val="28"/>
          <w:szCs w:val="28"/>
        </w:rPr>
      </w:pPr>
      <w:r>
        <w:rPr>
          <w:rFonts w:hint="eastAsia" w:cs="仿宋_GB2312"/>
          <w:sz w:val="28"/>
          <w:szCs w:val="28"/>
          <w:lang w:val="en-US" w:eastAsia="zh-CN"/>
        </w:rPr>
        <w:t>[5]</w:t>
      </w:r>
      <w:r>
        <w:rPr>
          <w:rFonts w:hint="eastAsia" w:ascii="仿宋_GB2312" w:hAnsi="仿宋_GB2312" w:eastAsia="仿宋_GB2312" w:cs="仿宋_GB2312"/>
          <w:sz w:val="28"/>
          <w:szCs w:val="28"/>
        </w:rPr>
        <w:t>商务部等9部门《关于促进药品零售行业高质量发展的意见》（商消费函〔2026〕第12号，2026年1月15日）</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afterAutospacing="0" w:line="560" w:lineRule="exact"/>
        <w:ind w:firstLine="0"/>
        <w:textAlignment w:val="auto"/>
        <w:rPr>
          <w:rFonts w:hint="eastAsia" w:ascii="仿宋_GB2312" w:hAnsi="仿宋_GB2312" w:eastAsia="仿宋_GB2312" w:cs="仿宋_GB2312"/>
          <w:sz w:val="28"/>
          <w:szCs w:val="28"/>
        </w:rPr>
      </w:pPr>
      <w:r>
        <w:rPr>
          <w:rFonts w:hint="eastAsia" w:cs="仿宋_GB2312"/>
          <w:sz w:val="28"/>
          <w:szCs w:val="28"/>
          <w:lang w:val="en-US" w:eastAsia="zh-CN"/>
        </w:rPr>
        <w:t>[6]</w:t>
      </w:r>
      <w:r>
        <w:rPr>
          <w:rFonts w:hint="eastAsia" w:ascii="仿宋_GB2312" w:hAnsi="仿宋_GB2312" w:eastAsia="仿宋_GB2312" w:cs="仿宋_GB2312"/>
          <w:sz w:val="28"/>
          <w:szCs w:val="28"/>
        </w:rPr>
        <w:t>《海南自由贸易港市场主体登记管理条例》（海南省人大常委会，2023年）</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afterAutospacing="0" w:line="560" w:lineRule="exact"/>
        <w:ind w:firstLine="0"/>
        <w:textAlignment w:val="auto"/>
        <w:rPr>
          <w:rFonts w:hint="eastAsia" w:ascii="仿宋_GB2312" w:hAnsi="仿宋_GB2312" w:eastAsia="仿宋_GB2312" w:cs="仿宋_GB2312"/>
          <w:sz w:val="28"/>
          <w:szCs w:val="28"/>
        </w:rPr>
      </w:pPr>
      <w:r>
        <w:rPr>
          <w:rFonts w:hint="eastAsia" w:cs="仿宋_GB2312"/>
          <w:sz w:val="28"/>
          <w:szCs w:val="28"/>
          <w:lang w:val="en-US" w:eastAsia="zh-CN"/>
        </w:rPr>
        <w:t>[7]</w:t>
      </w:r>
      <w:r>
        <w:rPr>
          <w:rFonts w:hint="eastAsia" w:ascii="仿宋_GB2312" w:hAnsi="仿宋_GB2312" w:eastAsia="仿宋_GB2312" w:cs="仿宋_GB2312"/>
          <w:sz w:val="28"/>
          <w:szCs w:val="28"/>
        </w:rPr>
        <w:t>《以药品安全高水平监管促进医药产业高质量发展行动方案》（海南省药品监督管理局，2026年3月23日）</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afterAutospacing="0" w:line="560" w:lineRule="exact"/>
        <w:ind w:firstLine="0"/>
        <w:textAlignment w:val="auto"/>
        <w:rPr>
          <w:rFonts w:hint="eastAsia" w:ascii="仿宋_GB2312" w:hAnsi="仿宋_GB2312" w:eastAsia="仿宋_GB2312" w:cs="仿宋_GB2312"/>
          <w:sz w:val="28"/>
          <w:szCs w:val="28"/>
        </w:rPr>
      </w:pPr>
      <w:r>
        <w:rPr>
          <w:rFonts w:hint="eastAsia" w:cs="仿宋_GB2312"/>
          <w:sz w:val="28"/>
          <w:szCs w:val="28"/>
          <w:lang w:val="en-US" w:eastAsia="zh-CN"/>
        </w:rPr>
        <w:t>[8]</w:t>
      </w:r>
      <w:r>
        <w:rPr>
          <w:rFonts w:hint="eastAsia" w:ascii="仿宋_GB2312" w:hAnsi="仿宋_GB2312" w:eastAsia="仿宋_GB2312" w:cs="仿宋_GB2312"/>
          <w:sz w:val="28"/>
          <w:szCs w:val="28"/>
        </w:rPr>
        <w:t>《关于规范药品经营质量管理促进流通企业高质量发展的若干措施》（海南省药品监督管理局，2026年3月24日）</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afterAutospacing="0" w:line="560" w:lineRule="exact"/>
        <w:ind w:firstLine="0"/>
        <w:textAlignment w:val="auto"/>
        <w:rPr>
          <w:rFonts w:hint="eastAsia" w:ascii="仿宋_GB2312" w:hAnsi="仿宋_GB2312" w:eastAsia="仿宋_GB2312" w:cs="仿宋_GB2312"/>
          <w:sz w:val="28"/>
          <w:szCs w:val="28"/>
        </w:rPr>
      </w:pPr>
      <w:r>
        <w:rPr>
          <w:rFonts w:hint="eastAsia" w:cs="仿宋_GB2312"/>
          <w:sz w:val="28"/>
          <w:szCs w:val="28"/>
          <w:lang w:val="en-US" w:eastAsia="zh-CN"/>
        </w:rPr>
        <w:t>[9]</w:t>
      </w:r>
      <w:r>
        <w:rPr>
          <w:rFonts w:hint="eastAsia" w:ascii="仿宋_GB2312" w:hAnsi="仿宋_GB2312" w:eastAsia="仿宋_GB2312" w:cs="仿宋_GB2312"/>
          <w:sz w:val="28"/>
          <w:szCs w:val="28"/>
        </w:rPr>
        <w:t>《海南省抗菌药物流通监督管理规定》（2025年6月）</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afterAutospacing="0" w:line="560" w:lineRule="exact"/>
        <w:ind w:firstLine="0"/>
        <w:textAlignment w:val="auto"/>
        <w:rPr>
          <w:rFonts w:hint="eastAsia" w:ascii="仿宋_GB2312" w:hAnsi="仿宋_GB2312" w:eastAsia="仿宋_GB2312" w:cs="仿宋_GB2312"/>
          <w:sz w:val="28"/>
          <w:szCs w:val="28"/>
        </w:rPr>
      </w:pPr>
      <w:r>
        <w:rPr>
          <w:rFonts w:hint="eastAsia" w:cs="仿宋_GB2312"/>
          <w:sz w:val="28"/>
          <w:szCs w:val="28"/>
          <w:lang w:val="en-US" w:eastAsia="zh-CN"/>
        </w:rPr>
        <w:t>[10]</w:t>
      </w:r>
      <w:r>
        <w:rPr>
          <w:rFonts w:hint="eastAsia" w:ascii="仿宋_GB2312" w:hAnsi="仿宋_GB2312" w:eastAsia="仿宋_GB2312" w:cs="仿宋_GB2312"/>
          <w:sz w:val="28"/>
          <w:szCs w:val="28"/>
        </w:rPr>
        <w:t>国家药监局执业药师资格认证中心《执业药师业务规范》（2016年）</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afterAutospacing="0" w:line="560" w:lineRule="exact"/>
        <w:ind w:firstLine="0"/>
        <w:textAlignment w:val="auto"/>
        <w:rPr>
          <w:rFonts w:hint="eastAsia" w:ascii="仿宋_GB2312" w:hAnsi="仿宋_GB2312" w:eastAsia="仿宋_GB2312" w:cs="仿宋_GB2312"/>
          <w:sz w:val="28"/>
          <w:szCs w:val="28"/>
        </w:rPr>
      </w:pPr>
      <w:r>
        <w:rPr>
          <w:rFonts w:hint="eastAsia" w:cs="仿宋_GB2312"/>
          <w:sz w:val="28"/>
          <w:szCs w:val="28"/>
          <w:lang w:val="en-US" w:eastAsia="zh-CN"/>
        </w:rPr>
        <w:t>[11]</w:t>
      </w:r>
      <w:r>
        <w:rPr>
          <w:rFonts w:hint="eastAsia" w:ascii="仿宋_GB2312" w:hAnsi="仿宋_GB2312" w:eastAsia="仿宋_GB2312" w:cs="仿宋_GB2312"/>
          <w:sz w:val="28"/>
          <w:szCs w:val="28"/>
        </w:rPr>
        <w:t>《常见轻微病症健康管理专家共识（2025版）》（中华医学会全科医学分会等，2025年）</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afterAutospacing="0" w:line="560" w:lineRule="exact"/>
        <w:ind w:firstLine="0"/>
        <w:textAlignment w:val="auto"/>
        <w:rPr>
          <w:rFonts w:hint="eastAsia" w:ascii="仿宋_GB2312" w:hAnsi="仿宋_GB2312" w:eastAsia="仿宋_GB2312" w:cs="仿宋_GB2312"/>
          <w:sz w:val="28"/>
          <w:szCs w:val="28"/>
        </w:rPr>
      </w:pPr>
      <w:r>
        <w:rPr>
          <w:rFonts w:hint="eastAsia" w:cs="仿宋_GB2312"/>
          <w:sz w:val="28"/>
          <w:szCs w:val="28"/>
          <w:lang w:val="en-US" w:eastAsia="zh-CN"/>
        </w:rPr>
        <w:t>[12]</w:t>
      </w:r>
      <w:r>
        <w:rPr>
          <w:rFonts w:hint="eastAsia" w:ascii="仿宋_GB2312" w:hAnsi="仿宋_GB2312" w:eastAsia="仿宋_GB2312" w:cs="仿宋_GB2312"/>
          <w:sz w:val="28"/>
          <w:szCs w:val="28"/>
        </w:rPr>
        <w:t>国家药品监督管理局非处方药适应证范围（化学药品部分）及OTC药品适应证目录</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afterAutospacing="0" w:line="560" w:lineRule="exact"/>
        <w:ind w:firstLine="0"/>
        <w:textAlignment w:val="auto"/>
        <w:rPr>
          <w:rFonts w:hint="eastAsia" w:ascii="仿宋_GB2312" w:hAnsi="仿宋_GB2312" w:eastAsia="仿宋_GB2312" w:cs="仿宋_GB2312"/>
          <w:sz w:val="28"/>
          <w:szCs w:val="28"/>
        </w:rPr>
      </w:pPr>
      <w:r>
        <w:rPr>
          <w:rFonts w:hint="eastAsia" w:cs="仿宋_GB2312"/>
          <w:sz w:val="28"/>
          <w:szCs w:val="28"/>
          <w:lang w:val="en-US" w:eastAsia="zh-CN"/>
        </w:rPr>
        <w:t>[13]</w:t>
      </w:r>
      <w:r>
        <w:rPr>
          <w:rFonts w:hint="eastAsia" w:ascii="仿宋_GB2312" w:hAnsi="仿宋_GB2312" w:eastAsia="仿宋_GB2312" w:cs="仿宋_GB2312"/>
          <w:sz w:val="28"/>
          <w:szCs w:val="28"/>
        </w:rPr>
        <w:t>世界卫生组织（WHO）《优良药房工作规范》（Good Pharmacy Practice， WHO-PHARM-DAP-96-1， 1996）</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afterAutospacing="0" w:line="560" w:lineRule="exact"/>
        <w:ind w:firstLine="0"/>
        <w:textAlignment w:val="auto"/>
        <w:rPr>
          <w:rFonts w:hint="eastAsia" w:ascii="仿宋_GB2312" w:hAnsi="仿宋_GB2312" w:eastAsia="仿宋_GB2312" w:cs="仿宋_GB2312"/>
          <w:sz w:val="28"/>
          <w:szCs w:val="28"/>
        </w:rPr>
      </w:pPr>
      <w:r>
        <w:rPr>
          <w:rFonts w:hint="eastAsia" w:cs="仿宋_GB2312"/>
          <w:sz w:val="28"/>
          <w:szCs w:val="28"/>
          <w:lang w:val="en-US" w:eastAsia="zh-CN"/>
        </w:rPr>
        <w:t>[14]</w:t>
      </w:r>
      <w:r>
        <w:rPr>
          <w:rFonts w:hint="eastAsia" w:ascii="仿宋_GB2312" w:hAnsi="仿宋_GB2312" w:eastAsia="仿宋_GB2312" w:cs="仿宋_GB2312"/>
          <w:sz w:val="28"/>
          <w:szCs w:val="28"/>
        </w:rPr>
        <w:t>国际药学联合会（FIP）《改变全球药学FIP发展目标》（The FIP Development Goals</w:t>
      </w:r>
      <w:r>
        <w:rPr>
          <w:rFonts w:hint="eastAsia" w:cs="仿宋_GB2312"/>
          <w:sz w:val="28"/>
          <w:szCs w:val="28"/>
          <w:lang w:eastAsia="zh-CN"/>
        </w:rPr>
        <w:t>：</w:t>
      </w:r>
      <w:r>
        <w:rPr>
          <w:rFonts w:hint="eastAsia" w:ascii="仿宋_GB2312" w:hAnsi="仿宋_GB2312" w:eastAsia="仿宋_GB2312" w:cs="仿宋_GB2312"/>
          <w:sz w:val="28"/>
          <w:szCs w:val="28"/>
        </w:rPr>
        <w:t xml:space="preserve"> Transforming Global Pharmacy， FIP， 2020）</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afterAutospacing="0" w:line="560" w:lineRule="exact"/>
        <w:ind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[15]《中国公民健康素养——基本知识与技能》（国家卫健委）</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afterAutospacing="0" w:line="560" w:lineRule="exact"/>
        <w:textAlignment w:val="auto"/>
        <w:rPr>
          <w:rFonts w:hint="eastAsia" w:ascii="仿宋_GB2312" w:hAnsi="仿宋_GB2312" w:eastAsia="仿宋_GB2312" w:cs="仿宋_GB2312"/>
          <w:sz w:val="32"/>
          <w:szCs w:val="32"/>
        </w:rPr>
      </w:pPr>
    </w:p>
    <w:sectPr>
      <w:footerReference r:id="rId5" w:type="default"/>
      <w:footerReference r:id="rId6" w:type="even"/>
      <w:pgSz w:w="11906" w:h="16838"/>
      <w:pgMar w:top="1701" w:right="1417" w:bottom="1417" w:left="1417" w:header="851" w:footer="1134"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1" w:fontKey="{F5489585-4E1A-4B65-82DE-0584958B3E68}"/>
  </w:font>
  <w:font w:name="Times New Roman (正文 CS 字体)">
    <w:altName w:val="宋体"/>
    <w:panose1 w:val="020B0604020202020204"/>
    <w:charset w:val="86"/>
    <w:family w:val="roman"/>
    <w:pitch w:val="default"/>
    <w:sig w:usb0="00000000" w:usb1="00000000" w:usb2="00000000" w:usb3="00000000" w:csb0="00000000" w:csb1="00000000"/>
    <w:embedRegular r:id="rId2" w:fontKey="{3F17F906-899A-4D48-8360-E217CD977FE2}"/>
  </w:font>
  <w:font w:name="方正黑体_GBK">
    <w:panose1 w:val="03000509000000000000"/>
    <w:charset w:val="86"/>
    <w:family w:val="auto"/>
    <w:pitch w:val="default"/>
    <w:sig w:usb0="00000001" w:usb1="080E0000" w:usb2="00000000" w:usb3="00000000" w:csb0="00040000" w:csb1="00000000"/>
    <w:embedRegular r:id="rId3" w:fontKey="{277F6B9B-ADE0-4E1F-AEC5-E42010B549EA}"/>
  </w:font>
  <w:font w:name="方正小标宋简体">
    <w:panose1 w:val="03000509000000000000"/>
    <w:charset w:val="86"/>
    <w:family w:val="auto"/>
    <w:pitch w:val="default"/>
    <w:sig w:usb0="00000001" w:usb1="080E0000" w:usb2="00000000" w:usb3="00000000" w:csb0="00040000" w:csb1="00000000"/>
    <w:embedRegular r:id="rId4" w:fontKey="{29BF1E60-8A21-43BE-90DA-4B0DDE5C11A0}"/>
  </w:font>
  <w:font w:name="Cambria">
    <w:panose1 w:val="02040503050406030204"/>
    <w:charset w:val="00"/>
    <w:family w:val="roman"/>
    <w:pitch w:val="default"/>
    <w:sig w:usb0="E00002FF" w:usb1="400004FF" w:usb2="00000000" w:usb3="00000000" w:csb0="2000019F" w:csb1="00000000"/>
    <w:embedRegular r:id="rId5" w:fontKey="{A760D60B-DF04-43F6-8E6C-5AA8EBB3B202}"/>
  </w:font>
  <w:font w:name="方正书宋_GBK">
    <w:panose1 w:val="03000509000000000000"/>
    <w:charset w:val="86"/>
    <w:family w:val="auto"/>
    <w:pitch w:val="default"/>
    <w:sig w:usb0="00000001" w:usb1="080E0000" w:usb2="00000000" w:usb3="00000000" w:csb0="00040000" w:csb1="00000000"/>
    <w:embedRegular r:id="rId6" w:fontKey="{36B25281-7CDC-4AC7-A542-D650372B958F}"/>
  </w:font>
  <w:font w:name="仿宋">
    <w:altName w:val="方正仿宋_GBK"/>
    <w:panose1 w:val="02010609060101010101"/>
    <w:charset w:val="86"/>
    <w:family w:val="auto"/>
    <w:pitch w:val="default"/>
    <w:sig w:usb0="00000000" w:usb1="00000000" w:usb2="00000016" w:usb3="00000000" w:csb0="00040001" w:csb1="00000000"/>
    <w:embedRegular r:id="rId7" w:fontKey="{6D3D802F-8595-40F1-A33E-37D06B2CCB30}"/>
  </w:font>
  <w:font w:name="方正仿宋_GBK">
    <w:panose1 w:val="03000509000000000000"/>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embedRegular r:id="rId8" w:fontKey="{E94E69ED-A3E0-4457-A68B-6FA41035FA46}"/>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2"/>
      </w:rPr>
      <w:id w:val="1076170507"/>
      <w:docPartObj>
        <w:docPartGallery w:val="autotext"/>
      </w:docPartObj>
    </w:sdtPr>
    <w:sdtEndPr>
      <w:rPr>
        <w:rStyle w:val="12"/>
      </w:rPr>
    </w:sdtEndPr>
    <w:sdtContent>
      <w:p>
        <w:pPr>
          <w:pStyle w:val="6"/>
          <w:framePr w:wrap="auto" w:vAnchor="text" w:hAnchor="margin" w:xAlign="center" w:y="1"/>
          <w:rPr>
            <w:rStyle w:val="12"/>
          </w:rPr>
        </w:pPr>
        <w:r>
          <w:rPr>
            <w:rStyle w:val="12"/>
          </w:rPr>
          <w:fldChar w:fldCharType="begin"/>
        </w:r>
        <w:r>
          <w:rPr>
            <w:rStyle w:val="12"/>
          </w:rPr>
          <w:instrText xml:space="preserve"> PAGE </w:instrText>
        </w:r>
        <w:r>
          <w:rPr>
            <w:rStyle w:val="12"/>
          </w:rPr>
          <w:fldChar w:fldCharType="end"/>
        </w:r>
      </w:p>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5B5CF7"/>
    <w:multiLevelType w:val="singleLevel"/>
    <w:tmpl w:val="0A5B5CF7"/>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EDB"/>
    <w:rsid w:val="0001486E"/>
    <w:rsid w:val="000177AF"/>
    <w:rsid w:val="00017AEF"/>
    <w:rsid w:val="00062D75"/>
    <w:rsid w:val="00097CFD"/>
    <w:rsid w:val="000C5062"/>
    <w:rsid w:val="000E1C59"/>
    <w:rsid w:val="00110932"/>
    <w:rsid w:val="00133DBB"/>
    <w:rsid w:val="00157724"/>
    <w:rsid w:val="0017418D"/>
    <w:rsid w:val="00195FF9"/>
    <w:rsid w:val="001C17CE"/>
    <w:rsid w:val="001D5274"/>
    <w:rsid w:val="002306DA"/>
    <w:rsid w:val="00236AF8"/>
    <w:rsid w:val="00244179"/>
    <w:rsid w:val="002A1CA5"/>
    <w:rsid w:val="002A5EC4"/>
    <w:rsid w:val="002D4A14"/>
    <w:rsid w:val="002D65EA"/>
    <w:rsid w:val="002F051C"/>
    <w:rsid w:val="00304EDB"/>
    <w:rsid w:val="0031005D"/>
    <w:rsid w:val="003203CE"/>
    <w:rsid w:val="003278AD"/>
    <w:rsid w:val="00333A95"/>
    <w:rsid w:val="003478E9"/>
    <w:rsid w:val="00380810"/>
    <w:rsid w:val="00392F27"/>
    <w:rsid w:val="003A719A"/>
    <w:rsid w:val="003F0A9C"/>
    <w:rsid w:val="00456C10"/>
    <w:rsid w:val="004B2AD1"/>
    <w:rsid w:val="004B580A"/>
    <w:rsid w:val="004D4AEB"/>
    <w:rsid w:val="004D6936"/>
    <w:rsid w:val="004D794F"/>
    <w:rsid w:val="004E6FE9"/>
    <w:rsid w:val="00526C1B"/>
    <w:rsid w:val="00535880"/>
    <w:rsid w:val="00595544"/>
    <w:rsid w:val="005973AC"/>
    <w:rsid w:val="005A2AC1"/>
    <w:rsid w:val="005D10D1"/>
    <w:rsid w:val="005D596B"/>
    <w:rsid w:val="005D6140"/>
    <w:rsid w:val="00615DEE"/>
    <w:rsid w:val="006211D3"/>
    <w:rsid w:val="00621C19"/>
    <w:rsid w:val="00630B5E"/>
    <w:rsid w:val="00674BC6"/>
    <w:rsid w:val="006E5237"/>
    <w:rsid w:val="007062E6"/>
    <w:rsid w:val="007312A2"/>
    <w:rsid w:val="00740E0A"/>
    <w:rsid w:val="00770AD1"/>
    <w:rsid w:val="00776FE0"/>
    <w:rsid w:val="00784534"/>
    <w:rsid w:val="007E62CE"/>
    <w:rsid w:val="007F0377"/>
    <w:rsid w:val="0081186D"/>
    <w:rsid w:val="008502E4"/>
    <w:rsid w:val="00873E92"/>
    <w:rsid w:val="00895827"/>
    <w:rsid w:val="008A3419"/>
    <w:rsid w:val="008A38D2"/>
    <w:rsid w:val="0092162C"/>
    <w:rsid w:val="00940BBE"/>
    <w:rsid w:val="00945D61"/>
    <w:rsid w:val="0097434D"/>
    <w:rsid w:val="009749DC"/>
    <w:rsid w:val="009A32C6"/>
    <w:rsid w:val="009F07B2"/>
    <w:rsid w:val="00A1562B"/>
    <w:rsid w:val="00A16685"/>
    <w:rsid w:val="00A33B6D"/>
    <w:rsid w:val="00A52B09"/>
    <w:rsid w:val="00A57FAF"/>
    <w:rsid w:val="00A816D7"/>
    <w:rsid w:val="00A928F4"/>
    <w:rsid w:val="00AA24F5"/>
    <w:rsid w:val="00B00FDC"/>
    <w:rsid w:val="00B31ED4"/>
    <w:rsid w:val="00B50D90"/>
    <w:rsid w:val="00B73F6E"/>
    <w:rsid w:val="00BC59E9"/>
    <w:rsid w:val="00C97648"/>
    <w:rsid w:val="00CB401B"/>
    <w:rsid w:val="00CD3712"/>
    <w:rsid w:val="00CD6E0F"/>
    <w:rsid w:val="00D536A9"/>
    <w:rsid w:val="00D54EB8"/>
    <w:rsid w:val="00D65298"/>
    <w:rsid w:val="00D810BE"/>
    <w:rsid w:val="00DB4248"/>
    <w:rsid w:val="00E32C21"/>
    <w:rsid w:val="00E42DEF"/>
    <w:rsid w:val="00E506AC"/>
    <w:rsid w:val="00E87F6E"/>
    <w:rsid w:val="00EC2E52"/>
    <w:rsid w:val="00EC787B"/>
    <w:rsid w:val="00ED7D0E"/>
    <w:rsid w:val="00F10E69"/>
    <w:rsid w:val="00F11385"/>
    <w:rsid w:val="00F31A6F"/>
    <w:rsid w:val="00F34049"/>
    <w:rsid w:val="00F431B9"/>
    <w:rsid w:val="00F5099C"/>
    <w:rsid w:val="00F526D9"/>
    <w:rsid w:val="00F5562F"/>
    <w:rsid w:val="00F627B7"/>
    <w:rsid w:val="00F92041"/>
    <w:rsid w:val="00FA4A98"/>
    <w:rsid w:val="00FA5233"/>
    <w:rsid w:val="00FA56C5"/>
    <w:rsid w:val="01422176"/>
    <w:rsid w:val="01611BDD"/>
    <w:rsid w:val="016814B1"/>
    <w:rsid w:val="01B42948"/>
    <w:rsid w:val="023D0B8F"/>
    <w:rsid w:val="02B80216"/>
    <w:rsid w:val="02CC3DD3"/>
    <w:rsid w:val="03194FAD"/>
    <w:rsid w:val="03BE360A"/>
    <w:rsid w:val="03CB7B24"/>
    <w:rsid w:val="03CC21CB"/>
    <w:rsid w:val="04385A96"/>
    <w:rsid w:val="053E2C54"/>
    <w:rsid w:val="05DE7F94"/>
    <w:rsid w:val="06581AF4"/>
    <w:rsid w:val="066A0C59"/>
    <w:rsid w:val="068E3768"/>
    <w:rsid w:val="06AB4159"/>
    <w:rsid w:val="075852F4"/>
    <w:rsid w:val="07BD2872"/>
    <w:rsid w:val="08050761"/>
    <w:rsid w:val="08114650"/>
    <w:rsid w:val="082D0D5E"/>
    <w:rsid w:val="0831084F"/>
    <w:rsid w:val="0858402D"/>
    <w:rsid w:val="08CE42EF"/>
    <w:rsid w:val="08D062B9"/>
    <w:rsid w:val="08E21B49"/>
    <w:rsid w:val="08F00FB1"/>
    <w:rsid w:val="08FD1E97"/>
    <w:rsid w:val="090B72F2"/>
    <w:rsid w:val="09630EDC"/>
    <w:rsid w:val="09BE6112"/>
    <w:rsid w:val="09DF68E3"/>
    <w:rsid w:val="09FA3227"/>
    <w:rsid w:val="0A825391"/>
    <w:rsid w:val="0AA25A34"/>
    <w:rsid w:val="0AED7AD8"/>
    <w:rsid w:val="0AFA761E"/>
    <w:rsid w:val="0BCD4D32"/>
    <w:rsid w:val="0C2C2F6F"/>
    <w:rsid w:val="0C637445"/>
    <w:rsid w:val="0D6C6771"/>
    <w:rsid w:val="0F2033CB"/>
    <w:rsid w:val="0F5903DB"/>
    <w:rsid w:val="0FA91612"/>
    <w:rsid w:val="108D683E"/>
    <w:rsid w:val="10C009C2"/>
    <w:rsid w:val="10E741A0"/>
    <w:rsid w:val="10F863AD"/>
    <w:rsid w:val="114535BD"/>
    <w:rsid w:val="117F087D"/>
    <w:rsid w:val="119B4F8B"/>
    <w:rsid w:val="11ED1C8A"/>
    <w:rsid w:val="125F420A"/>
    <w:rsid w:val="12E0534B"/>
    <w:rsid w:val="130B4FD3"/>
    <w:rsid w:val="138A3509"/>
    <w:rsid w:val="139B74C4"/>
    <w:rsid w:val="148B578A"/>
    <w:rsid w:val="14974078"/>
    <w:rsid w:val="14EA24B1"/>
    <w:rsid w:val="160F7CF5"/>
    <w:rsid w:val="16276F3E"/>
    <w:rsid w:val="16D30451"/>
    <w:rsid w:val="17626C76"/>
    <w:rsid w:val="178F82FD"/>
    <w:rsid w:val="18090EA0"/>
    <w:rsid w:val="188E3A9B"/>
    <w:rsid w:val="18D771F0"/>
    <w:rsid w:val="196A3BC0"/>
    <w:rsid w:val="1A435CA4"/>
    <w:rsid w:val="1A913C1C"/>
    <w:rsid w:val="1AA93212"/>
    <w:rsid w:val="1AFC2F3E"/>
    <w:rsid w:val="1B43291B"/>
    <w:rsid w:val="1B5A1A13"/>
    <w:rsid w:val="1BF921D0"/>
    <w:rsid w:val="1C5648D0"/>
    <w:rsid w:val="1CA23671"/>
    <w:rsid w:val="1CD00BDB"/>
    <w:rsid w:val="1D63299D"/>
    <w:rsid w:val="1D85546D"/>
    <w:rsid w:val="1E162569"/>
    <w:rsid w:val="1E27126F"/>
    <w:rsid w:val="1E2C58E8"/>
    <w:rsid w:val="1E340C41"/>
    <w:rsid w:val="1EE6018D"/>
    <w:rsid w:val="1F0B5BFD"/>
    <w:rsid w:val="1F464788"/>
    <w:rsid w:val="1FDB84A5"/>
    <w:rsid w:val="1FDC50EC"/>
    <w:rsid w:val="1FFE7F1A"/>
    <w:rsid w:val="1FFF52FE"/>
    <w:rsid w:val="20CF69FF"/>
    <w:rsid w:val="2149055F"/>
    <w:rsid w:val="215D5409"/>
    <w:rsid w:val="220A23E4"/>
    <w:rsid w:val="22A939AB"/>
    <w:rsid w:val="231177A3"/>
    <w:rsid w:val="234C38D6"/>
    <w:rsid w:val="23AC3615"/>
    <w:rsid w:val="23B245A0"/>
    <w:rsid w:val="23CB16FF"/>
    <w:rsid w:val="244B0A92"/>
    <w:rsid w:val="2458636E"/>
    <w:rsid w:val="246B10FD"/>
    <w:rsid w:val="24EC5DD1"/>
    <w:rsid w:val="251068DF"/>
    <w:rsid w:val="25164BFC"/>
    <w:rsid w:val="25B34B41"/>
    <w:rsid w:val="25F024D2"/>
    <w:rsid w:val="260809E9"/>
    <w:rsid w:val="261F54A4"/>
    <w:rsid w:val="26BE19EF"/>
    <w:rsid w:val="27765E26"/>
    <w:rsid w:val="27A7010D"/>
    <w:rsid w:val="27F0056F"/>
    <w:rsid w:val="27F84A8D"/>
    <w:rsid w:val="28665E9B"/>
    <w:rsid w:val="286F2FA1"/>
    <w:rsid w:val="28DB5305"/>
    <w:rsid w:val="28F65471"/>
    <w:rsid w:val="29323FCF"/>
    <w:rsid w:val="29475CCC"/>
    <w:rsid w:val="296A3769"/>
    <w:rsid w:val="2A7E0F6A"/>
    <w:rsid w:val="2AAB4039"/>
    <w:rsid w:val="2B065713"/>
    <w:rsid w:val="2B1A44FF"/>
    <w:rsid w:val="2BB86A0D"/>
    <w:rsid w:val="2BBB52CE"/>
    <w:rsid w:val="2C7548FE"/>
    <w:rsid w:val="2C8B4122"/>
    <w:rsid w:val="2CAF6062"/>
    <w:rsid w:val="2CD665D3"/>
    <w:rsid w:val="2CEF0ED8"/>
    <w:rsid w:val="2D2307FE"/>
    <w:rsid w:val="2D4A5D8B"/>
    <w:rsid w:val="2D7E5A35"/>
    <w:rsid w:val="2F0E4B96"/>
    <w:rsid w:val="2F7E7F6E"/>
    <w:rsid w:val="2F8D01B1"/>
    <w:rsid w:val="2FAD0853"/>
    <w:rsid w:val="2FFF409D"/>
    <w:rsid w:val="313C3C3D"/>
    <w:rsid w:val="31E56082"/>
    <w:rsid w:val="32044B8C"/>
    <w:rsid w:val="324E1E79"/>
    <w:rsid w:val="32544FB6"/>
    <w:rsid w:val="32F80037"/>
    <w:rsid w:val="33835B53"/>
    <w:rsid w:val="33FE78CF"/>
    <w:rsid w:val="34545741"/>
    <w:rsid w:val="34607C42"/>
    <w:rsid w:val="34B13101"/>
    <w:rsid w:val="34CC4FAF"/>
    <w:rsid w:val="34CC6788"/>
    <w:rsid w:val="34DA79F4"/>
    <w:rsid w:val="34E72111"/>
    <w:rsid w:val="34F61DB1"/>
    <w:rsid w:val="35B2271F"/>
    <w:rsid w:val="36315173"/>
    <w:rsid w:val="36810032"/>
    <w:rsid w:val="36974E43"/>
    <w:rsid w:val="36A05164"/>
    <w:rsid w:val="36CA5847"/>
    <w:rsid w:val="36D72D27"/>
    <w:rsid w:val="36E25286"/>
    <w:rsid w:val="36E556BA"/>
    <w:rsid w:val="3747CBFA"/>
    <w:rsid w:val="37593795"/>
    <w:rsid w:val="378FE418"/>
    <w:rsid w:val="37E147E2"/>
    <w:rsid w:val="37EB7CF5"/>
    <w:rsid w:val="37FEE8CB"/>
    <w:rsid w:val="38173168"/>
    <w:rsid w:val="382A0C93"/>
    <w:rsid w:val="38B64909"/>
    <w:rsid w:val="38F45B4D"/>
    <w:rsid w:val="38FD63A7"/>
    <w:rsid w:val="38FE5535"/>
    <w:rsid w:val="3A287454"/>
    <w:rsid w:val="3A86417A"/>
    <w:rsid w:val="3AFEC77B"/>
    <w:rsid w:val="3B4B164C"/>
    <w:rsid w:val="3B7F780B"/>
    <w:rsid w:val="3B806E1C"/>
    <w:rsid w:val="3B9603ED"/>
    <w:rsid w:val="3BA5016B"/>
    <w:rsid w:val="3BAE5737"/>
    <w:rsid w:val="3C4B742A"/>
    <w:rsid w:val="3CFB4FDE"/>
    <w:rsid w:val="3D001FC2"/>
    <w:rsid w:val="3DDB0FBF"/>
    <w:rsid w:val="3DE24C6F"/>
    <w:rsid w:val="3E1201FF"/>
    <w:rsid w:val="3E2D328B"/>
    <w:rsid w:val="3E5B6F4A"/>
    <w:rsid w:val="3ECD4126"/>
    <w:rsid w:val="3F2A77CA"/>
    <w:rsid w:val="3F3FFE96"/>
    <w:rsid w:val="3F4F5483"/>
    <w:rsid w:val="3F6D1591"/>
    <w:rsid w:val="3FC27A03"/>
    <w:rsid w:val="3FE271D0"/>
    <w:rsid w:val="3FEB64A9"/>
    <w:rsid w:val="3FEF4F15"/>
    <w:rsid w:val="3FEF631E"/>
    <w:rsid w:val="3FFF1F70"/>
    <w:rsid w:val="4041376F"/>
    <w:rsid w:val="40AF442B"/>
    <w:rsid w:val="410302D3"/>
    <w:rsid w:val="41C52874"/>
    <w:rsid w:val="42240501"/>
    <w:rsid w:val="4283791D"/>
    <w:rsid w:val="438374A9"/>
    <w:rsid w:val="452F78E8"/>
    <w:rsid w:val="459534C4"/>
    <w:rsid w:val="45E306D3"/>
    <w:rsid w:val="46256F3D"/>
    <w:rsid w:val="46872C73"/>
    <w:rsid w:val="46E110B6"/>
    <w:rsid w:val="46F54B62"/>
    <w:rsid w:val="4723522B"/>
    <w:rsid w:val="47327A24"/>
    <w:rsid w:val="47D76015"/>
    <w:rsid w:val="4865210C"/>
    <w:rsid w:val="48751DE7"/>
    <w:rsid w:val="48D34406"/>
    <w:rsid w:val="48FA7DB5"/>
    <w:rsid w:val="49D00F6E"/>
    <w:rsid w:val="4A9B5A20"/>
    <w:rsid w:val="4AEA6060"/>
    <w:rsid w:val="4B154506"/>
    <w:rsid w:val="4B2E23F0"/>
    <w:rsid w:val="4B6E6C91"/>
    <w:rsid w:val="4BFC0BA8"/>
    <w:rsid w:val="4C7958ED"/>
    <w:rsid w:val="4D203FBB"/>
    <w:rsid w:val="4D720CBA"/>
    <w:rsid w:val="4D93478D"/>
    <w:rsid w:val="4DA94DAF"/>
    <w:rsid w:val="4DFAB41F"/>
    <w:rsid w:val="4E573A0C"/>
    <w:rsid w:val="4EED5718"/>
    <w:rsid w:val="4F1418FD"/>
    <w:rsid w:val="4F870321"/>
    <w:rsid w:val="4FDD6193"/>
    <w:rsid w:val="4FDF1F0B"/>
    <w:rsid w:val="4FFE1096"/>
    <w:rsid w:val="5060304C"/>
    <w:rsid w:val="50610B72"/>
    <w:rsid w:val="508D0B35"/>
    <w:rsid w:val="50C3182D"/>
    <w:rsid w:val="515626A1"/>
    <w:rsid w:val="51984184"/>
    <w:rsid w:val="51A32600"/>
    <w:rsid w:val="51B6560A"/>
    <w:rsid w:val="52545EA1"/>
    <w:rsid w:val="526633DC"/>
    <w:rsid w:val="52EA42FC"/>
    <w:rsid w:val="532105A3"/>
    <w:rsid w:val="534A1D91"/>
    <w:rsid w:val="53533D66"/>
    <w:rsid w:val="53D0673A"/>
    <w:rsid w:val="53DF0DAF"/>
    <w:rsid w:val="540B1521"/>
    <w:rsid w:val="54176117"/>
    <w:rsid w:val="542776BF"/>
    <w:rsid w:val="542E16B3"/>
    <w:rsid w:val="54680721"/>
    <w:rsid w:val="548E3F00"/>
    <w:rsid w:val="54F46AA7"/>
    <w:rsid w:val="55B7E832"/>
    <w:rsid w:val="55D63DB0"/>
    <w:rsid w:val="56602D41"/>
    <w:rsid w:val="56982E14"/>
    <w:rsid w:val="56B4374D"/>
    <w:rsid w:val="56E46059"/>
    <w:rsid w:val="56FE6DFB"/>
    <w:rsid w:val="57554DCE"/>
    <w:rsid w:val="575C2093"/>
    <w:rsid w:val="57A451D9"/>
    <w:rsid w:val="57EB36D0"/>
    <w:rsid w:val="58346B6C"/>
    <w:rsid w:val="58DF1B90"/>
    <w:rsid w:val="58FC1D80"/>
    <w:rsid w:val="58FC58DC"/>
    <w:rsid w:val="59305585"/>
    <w:rsid w:val="5979517E"/>
    <w:rsid w:val="5980475F"/>
    <w:rsid w:val="5A690D4F"/>
    <w:rsid w:val="5A8A0F99"/>
    <w:rsid w:val="5B136558"/>
    <w:rsid w:val="5B341957"/>
    <w:rsid w:val="5BAD55B3"/>
    <w:rsid w:val="5BC329F6"/>
    <w:rsid w:val="5BE21435"/>
    <w:rsid w:val="5BE43388"/>
    <w:rsid w:val="5D5B5434"/>
    <w:rsid w:val="5DED7EE9"/>
    <w:rsid w:val="5E8E13E1"/>
    <w:rsid w:val="5EA52572"/>
    <w:rsid w:val="5EE035AA"/>
    <w:rsid w:val="5F061262"/>
    <w:rsid w:val="5F2636B2"/>
    <w:rsid w:val="5F66D4FA"/>
    <w:rsid w:val="5F6B37BB"/>
    <w:rsid w:val="5FAF495D"/>
    <w:rsid w:val="5FBBF967"/>
    <w:rsid w:val="5FF84DBC"/>
    <w:rsid w:val="5FFB4B3F"/>
    <w:rsid w:val="5FFFE2A6"/>
    <w:rsid w:val="6065020A"/>
    <w:rsid w:val="611063C8"/>
    <w:rsid w:val="612754C0"/>
    <w:rsid w:val="61DE2022"/>
    <w:rsid w:val="626A0837"/>
    <w:rsid w:val="62A96AD4"/>
    <w:rsid w:val="63785DBF"/>
    <w:rsid w:val="637F937B"/>
    <w:rsid w:val="63A86D8C"/>
    <w:rsid w:val="641E605D"/>
    <w:rsid w:val="642E1B10"/>
    <w:rsid w:val="64505292"/>
    <w:rsid w:val="64D70FAB"/>
    <w:rsid w:val="653D52B2"/>
    <w:rsid w:val="659445DE"/>
    <w:rsid w:val="65BD1F08"/>
    <w:rsid w:val="65F07C46"/>
    <w:rsid w:val="667411A7"/>
    <w:rsid w:val="66B27F22"/>
    <w:rsid w:val="670544F5"/>
    <w:rsid w:val="679F7CE1"/>
    <w:rsid w:val="67CA2B99"/>
    <w:rsid w:val="67F87BB6"/>
    <w:rsid w:val="685B69AF"/>
    <w:rsid w:val="69744E10"/>
    <w:rsid w:val="69A753F0"/>
    <w:rsid w:val="69C02956"/>
    <w:rsid w:val="69DB153D"/>
    <w:rsid w:val="6A935974"/>
    <w:rsid w:val="6AB3289B"/>
    <w:rsid w:val="6AB51D8E"/>
    <w:rsid w:val="6B2F3925"/>
    <w:rsid w:val="6B9CF298"/>
    <w:rsid w:val="6BA37E39"/>
    <w:rsid w:val="6BFCBE3E"/>
    <w:rsid w:val="6C3B7B4C"/>
    <w:rsid w:val="6C7A1884"/>
    <w:rsid w:val="6D090170"/>
    <w:rsid w:val="6D105A96"/>
    <w:rsid w:val="6D9739CD"/>
    <w:rsid w:val="6DBF0984"/>
    <w:rsid w:val="6DDA8951"/>
    <w:rsid w:val="6E3D27C7"/>
    <w:rsid w:val="6ED55363"/>
    <w:rsid w:val="6EF527C3"/>
    <w:rsid w:val="6F096A3B"/>
    <w:rsid w:val="6F1E74B8"/>
    <w:rsid w:val="6F35349E"/>
    <w:rsid w:val="6F40256E"/>
    <w:rsid w:val="6F7264A0"/>
    <w:rsid w:val="6F782DA8"/>
    <w:rsid w:val="6FA32AFD"/>
    <w:rsid w:val="6FD9A825"/>
    <w:rsid w:val="6FEA072C"/>
    <w:rsid w:val="6FF15617"/>
    <w:rsid w:val="6FF62B19"/>
    <w:rsid w:val="6FF738C9"/>
    <w:rsid w:val="6FF79DF9"/>
    <w:rsid w:val="6FFFE9D8"/>
    <w:rsid w:val="701A2DBF"/>
    <w:rsid w:val="709F453F"/>
    <w:rsid w:val="70AC59E2"/>
    <w:rsid w:val="711A0B9D"/>
    <w:rsid w:val="71B42DA0"/>
    <w:rsid w:val="71B56BE8"/>
    <w:rsid w:val="7238577F"/>
    <w:rsid w:val="72FD2525"/>
    <w:rsid w:val="7306587D"/>
    <w:rsid w:val="735A8406"/>
    <w:rsid w:val="73927111"/>
    <w:rsid w:val="73AD7AA7"/>
    <w:rsid w:val="747B4785"/>
    <w:rsid w:val="74A94712"/>
    <w:rsid w:val="74DD43BC"/>
    <w:rsid w:val="74F17E67"/>
    <w:rsid w:val="74FF1E61"/>
    <w:rsid w:val="75842A89"/>
    <w:rsid w:val="75D6B85F"/>
    <w:rsid w:val="767D3D78"/>
    <w:rsid w:val="768D2575"/>
    <w:rsid w:val="769E7B7B"/>
    <w:rsid w:val="76C959EF"/>
    <w:rsid w:val="76D6CF40"/>
    <w:rsid w:val="774C5829"/>
    <w:rsid w:val="775E6DE3"/>
    <w:rsid w:val="77677F5C"/>
    <w:rsid w:val="77BC650A"/>
    <w:rsid w:val="77EE3475"/>
    <w:rsid w:val="78412EB3"/>
    <w:rsid w:val="78DCF7BE"/>
    <w:rsid w:val="795445DD"/>
    <w:rsid w:val="79B9002E"/>
    <w:rsid w:val="79E9555D"/>
    <w:rsid w:val="79F39B98"/>
    <w:rsid w:val="79FFAC5E"/>
    <w:rsid w:val="7A2D1941"/>
    <w:rsid w:val="7A3D73C1"/>
    <w:rsid w:val="7B273AB1"/>
    <w:rsid w:val="7B3C60AA"/>
    <w:rsid w:val="7BF20384"/>
    <w:rsid w:val="7BFFA63C"/>
    <w:rsid w:val="7C06244A"/>
    <w:rsid w:val="7C833A9B"/>
    <w:rsid w:val="7CD10CAA"/>
    <w:rsid w:val="7CE81B50"/>
    <w:rsid w:val="7D0821F2"/>
    <w:rsid w:val="7D126BCC"/>
    <w:rsid w:val="7D50024E"/>
    <w:rsid w:val="7D547DC5"/>
    <w:rsid w:val="7DA0067C"/>
    <w:rsid w:val="7DB52379"/>
    <w:rsid w:val="7DEE90A2"/>
    <w:rsid w:val="7E0E6A9A"/>
    <w:rsid w:val="7E3A462D"/>
    <w:rsid w:val="7E3C0982"/>
    <w:rsid w:val="7E90249F"/>
    <w:rsid w:val="7E936BB7"/>
    <w:rsid w:val="7EBD7AF1"/>
    <w:rsid w:val="7ECD54A1"/>
    <w:rsid w:val="7ED625A7"/>
    <w:rsid w:val="7ED76320"/>
    <w:rsid w:val="7EF30292"/>
    <w:rsid w:val="7EFFD682"/>
    <w:rsid w:val="7F7C1AB2"/>
    <w:rsid w:val="7F802513"/>
    <w:rsid w:val="7F945FBF"/>
    <w:rsid w:val="7F961D37"/>
    <w:rsid w:val="7FABE404"/>
    <w:rsid w:val="7FEF3DF4"/>
    <w:rsid w:val="7FEF7492"/>
    <w:rsid w:val="7FF54CAF"/>
    <w:rsid w:val="7FFE117D"/>
    <w:rsid w:val="7FFFABA1"/>
    <w:rsid w:val="937AD7DF"/>
    <w:rsid w:val="9655339E"/>
    <w:rsid w:val="998BE7C6"/>
    <w:rsid w:val="9DF14881"/>
    <w:rsid w:val="A3EE5225"/>
    <w:rsid w:val="A47FBF6A"/>
    <w:rsid w:val="A5C74A25"/>
    <w:rsid w:val="A6EF3AEF"/>
    <w:rsid w:val="A7BB3FC1"/>
    <w:rsid w:val="ABBF19E4"/>
    <w:rsid w:val="AFD798A9"/>
    <w:rsid w:val="B6FC7004"/>
    <w:rsid w:val="B727551F"/>
    <w:rsid w:val="B9DD1D4D"/>
    <w:rsid w:val="BAA08A6C"/>
    <w:rsid w:val="BAD21F58"/>
    <w:rsid w:val="BBFF75D7"/>
    <w:rsid w:val="BE763CE6"/>
    <w:rsid w:val="BFBFE5F1"/>
    <w:rsid w:val="BFDF80F2"/>
    <w:rsid w:val="BFF56D08"/>
    <w:rsid w:val="CAEF81E5"/>
    <w:rsid w:val="CE7F81DF"/>
    <w:rsid w:val="CFFAD3C5"/>
    <w:rsid w:val="D92775A8"/>
    <w:rsid w:val="D9FF2489"/>
    <w:rsid w:val="DAF79084"/>
    <w:rsid w:val="DB75EBDB"/>
    <w:rsid w:val="DD2BAB2E"/>
    <w:rsid w:val="DD9F457B"/>
    <w:rsid w:val="DDDBF1A6"/>
    <w:rsid w:val="DEE991C7"/>
    <w:rsid w:val="DFDF1E16"/>
    <w:rsid w:val="DFDF45D3"/>
    <w:rsid w:val="DFFDF573"/>
    <w:rsid w:val="DFFF0E79"/>
    <w:rsid w:val="E6A96772"/>
    <w:rsid w:val="E7E7AB8D"/>
    <w:rsid w:val="E7FF707D"/>
    <w:rsid w:val="ECDFB2A7"/>
    <w:rsid w:val="ED7E2C60"/>
    <w:rsid w:val="EE7F1534"/>
    <w:rsid w:val="EEDB221C"/>
    <w:rsid w:val="EF37BB7B"/>
    <w:rsid w:val="EF9D622A"/>
    <w:rsid w:val="EFAF1127"/>
    <w:rsid w:val="EFCDAE39"/>
    <w:rsid w:val="F1DF7B9B"/>
    <w:rsid w:val="F1EE51F2"/>
    <w:rsid w:val="F36FE22F"/>
    <w:rsid w:val="F3B96BE4"/>
    <w:rsid w:val="F5D5272A"/>
    <w:rsid w:val="F5FF3A0C"/>
    <w:rsid w:val="F7930194"/>
    <w:rsid w:val="F7DCE316"/>
    <w:rsid w:val="F7F79B4E"/>
    <w:rsid w:val="F9EACCC6"/>
    <w:rsid w:val="FA27936B"/>
    <w:rsid w:val="FA7C3F83"/>
    <w:rsid w:val="FA7D2BB0"/>
    <w:rsid w:val="FACB81D2"/>
    <w:rsid w:val="FAFE4FDD"/>
    <w:rsid w:val="FBAFB6B5"/>
    <w:rsid w:val="FBEB663B"/>
    <w:rsid w:val="FBED566B"/>
    <w:rsid w:val="FBEF2015"/>
    <w:rsid w:val="FC7D5FA3"/>
    <w:rsid w:val="FC9FF5CD"/>
    <w:rsid w:val="FDDFD54D"/>
    <w:rsid w:val="FDFEA12C"/>
    <w:rsid w:val="FDFFCF7B"/>
    <w:rsid w:val="FE75AC36"/>
    <w:rsid w:val="FEBFD4F2"/>
    <w:rsid w:val="FED752DD"/>
    <w:rsid w:val="FEEFCDEC"/>
    <w:rsid w:val="FF0D1580"/>
    <w:rsid w:val="FF6524DD"/>
    <w:rsid w:val="FF7FA6A3"/>
    <w:rsid w:val="FFAD9946"/>
    <w:rsid w:val="FFC9A9A2"/>
    <w:rsid w:val="FFCF6C0E"/>
    <w:rsid w:val="FFE91955"/>
    <w:rsid w:val="FFED6EE1"/>
    <w:rsid w:val="FFF144DF"/>
    <w:rsid w:val="FFF78EB2"/>
    <w:rsid w:val="FFFDE9B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ascii="仿宋_GB2312" w:hAnsi="仿宋_GB2312" w:eastAsia="仿宋_GB2312" w:cs="Times New Roman (正文 CS 字体)"/>
      <w:kern w:val="2"/>
      <w:sz w:val="32"/>
      <w:szCs w:val="24"/>
      <w:lang w:val="en-US" w:eastAsia="zh-CN" w:bidi="ar-SA"/>
    </w:rPr>
  </w:style>
  <w:style w:type="paragraph" w:styleId="2">
    <w:name w:val="heading 1"/>
    <w:basedOn w:val="1"/>
    <w:next w:val="1"/>
    <w:qFormat/>
    <w:uiPriority w:val="9"/>
    <w:pPr>
      <w:keepNext/>
      <w:keepLines/>
      <w:spacing w:beforeLines="0" w:beforeAutospacing="0" w:afterLines="0" w:afterAutospacing="0" w:line="560" w:lineRule="exact"/>
      <w:ind w:firstLine="0" w:firstLineChars="0"/>
      <w:outlineLvl w:val="0"/>
    </w:pPr>
    <w:rPr>
      <w:rFonts w:eastAsia="黑体"/>
      <w:b/>
      <w:kern w:val="44"/>
      <w:sz w:val="32"/>
    </w:rPr>
  </w:style>
  <w:style w:type="paragraph" w:styleId="3">
    <w:name w:val="heading 2"/>
    <w:basedOn w:val="1"/>
    <w:next w:val="1"/>
    <w:link w:val="16"/>
    <w:unhideWhenUsed/>
    <w:qFormat/>
    <w:uiPriority w:val="9"/>
    <w:pPr>
      <w:keepNext/>
      <w:keepLines/>
      <w:spacing w:beforeLines="0" w:beforeAutospacing="0" w:afterLines="0" w:afterAutospacing="0" w:line="560" w:lineRule="exact"/>
      <w:ind w:firstLine="0" w:firstLineChars="0"/>
      <w:outlineLvl w:val="1"/>
    </w:pPr>
    <w:rPr>
      <w:rFonts w:ascii="仿宋_GB2312" w:hAnsi="仿宋_GB2312"/>
      <w:b/>
    </w:rPr>
  </w:style>
  <w:style w:type="paragraph" w:styleId="4">
    <w:name w:val="heading 3"/>
    <w:basedOn w:val="1"/>
    <w:next w:val="1"/>
    <w:unhideWhenUsed/>
    <w:qFormat/>
    <w:uiPriority w:val="9"/>
    <w:pPr>
      <w:keepNext/>
      <w:keepLines/>
      <w:spacing w:beforeLines="0" w:beforeAutospacing="0" w:afterLines="0" w:afterAutospacing="0" w:line="560" w:lineRule="exact"/>
      <w:ind w:firstLine="0" w:firstLineChars="0"/>
      <w:outlineLvl w:val="2"/>
    </w:pPr>
    <w:rPr>
      <w:rFonts w:ascii="仿宋_GB2312" w:hAnsi="仿宋_GB2312"/>
      <w:b/>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page number"/>
    <w:basedOn w:val="10"/>
    <w:semiHidden/>
    <w:unhideWhenUsed/>
    <w:qFormat/>
    <w:uiPriority w:val="99"/>
  </w:style>
  <w:style w:type="paragraph" w:styleId="13">
    <w:name w:val="List Paragraph"/>
    <w:basedOn w:val="1"/>
    <w:qFormat/>
    <w:uiPriority w:val="34"/>
    <w:pPr>
      <w:ind w:firstLine="420" w:firstLineChars="200"/>
    </w:pPr>
  </w:style>
  <w:style w:type="table" w:customStyle="1" w:styleId="14">
    <w:name w:val="网格表 1 浅色 - 着色 11"/>
    <w:basedOn w:val="8"/>
    <w:qFormat/>
    <w:uiPriority w:val="46"/>
    <w:tblPr>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2" w:space="0"/>
        </w:tcBorders>
      </w:tcPr>
    </w:tblStylePr>
    <w:tblStylePr w:type="firstCol">
      <w:rPr>
        <w:b/>
        <w:bCs/>
      </w:rPr>
    </w:tblStylePr>
    <w:tblStylePr w:type="lastCol">
      <w:rPr>
        <w:b/>
        <w:bCs/>
      </w:rPr>
    </w:tblStylePr>
  </w:style>
  <w:style w:type="character" w:customStyle="1" w:styleId="15">
    <w:name w:val="页脚 字符"/>
    <w:basedOn w:val="10"/>
    <w:link w:val="6"/>
    <w:qFormat/>
    <w:uiPriority w:val="99"/>
    <w:rPr>
      <w:sz w:val="18"/>
      <w:szCs w:val="18"/>
    </w:rPr>
  </w:style>
  <w:style w:type="character" w:customStyle="1" w:styleId="16">
    <w:name w:val="标题 2 Char"/>
    <w:link w:val="3"/>
    <w:qFormat/>
    <w:uiPriority w:val="0"/>
    <w:rPr>
      <w:rFonts w:ascii="仿宋_GB2312" w:hAnsi="仿宋_GB2312" w:eastAsia="仿宋_GB2312"/>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3204</Words>
  <Characters>3568</Characters>
  <Lines>108</Lines>
  <Paragraphs>30</Paragraphs>
  <TotalTime>97</TotalTime>
  <ScaleCrop>false</ScaleCrop>
  <LinksUpToDate>false</LinksUpToDate>
  <CharactersWithSpaces>3628</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2026-06-26T03:25:00Z</dcterms:created>
  <dc:creator>Microsoft Office User</dc:creator>
  <cp:lastModifiedBy>龙惠贞</cp:lastModifiedBy>
  <cp:lastPrinted>2026-07-02T01:41:00Z</cp:lastPrinted>
  <dcterms:modified xsi:type="dcterms:W3CDTF">2026-07-06T02:22:50Z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eyJoZGlkIjoiOTUxZjYxMmU4N2RmODZhNmJlOTAwMzMyNmY3NjQ4Y2MiLCJ1c2VySWQiOiI0NjA1MjY4NzMifQ==</vt:lpwstr>
  </property>
  <property fmtid="{D5CDD505-2E9C-101B-9397-08002B2CF9AE}" pid="3" name="KSOProductBuildVer">
    <vt:lpwstr>2052-11.8.2.11019</vt:lpwstr>
  </property>
  <property fmtid="{D5CDD505-2E9C-101B-9397-08002B2CF9AE}" pid="4" name="ICV">
    <vt:lpwstr>3D27FB6B8E854DBF8834511B31487252</vt:lpwstr>
  </property>
</Properties>
</file>