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ind w:firstLine="34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附件9</w:t>
      </w:r>
    </w:p>
    <w:p>
      <w:pPr>
        <w:pStyle w:val="9"/>
        <w:keepNext/>
        <w:keepLines/>
        <w:spacing w:after="0" w:line="240" w:lineRule="auto"/>
        <w:rPr>
          <w:rFonts w:ascii="方正小标宋_GBK" w:hAnsi="Calibri" w:eastAsia="方正小标宋_GBK" w:cs="Times New Roman"/>
          <w:spacing w:val="-20"/>
          <w:lang w:val="en-US" w:eastAsia="zh-CN" w:bidi="ar-SA"/>
        </w:rPr>
      </w:pPr>
      <w:bookmarkStart w:id="0" w:name="bookmark56"/>
      <w:bookmarkStart w:id="1" w:name="bookmark57"/>
      <w:bookmarkStart w:id="2" w:name="bookmark58"/>
      <w:r>
        <w:rPr>
          <w:rFonts w:ascii="方正小标宋_GBK" w:hAnsi="Calibri" w:eastAsia="方正小标宋_GBK" w:cs="Times New Roman"/>
          <w:spacing w:val="-20"/>
          <w:lang w:val="en-US" w:eastAsia="zh-CN" w:bidi="ar-SA"/>
        </w:rPr>
        <w:t>药品安全突发事件分级标准</w:t>
      </w:r>
      <w:bookmarkEnd w:id="0"/>
      <w:bookmarkEnd w:id="1"/>
      <w:bookmarkEnd w:id="2"/>
    </w:p>
    <w:tbl>
      <w:tblPr>
        <w:tblStyle w:val="4"/>
        <w:tblW w:w="968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06"/>
        <w:gridCol w:w="75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事件类别</w:t>
            </w:r>
          </w:p>
        </w:tc>
        <w:tc>
          <w:tcPr>
            <w:tcW w:w="7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分级标准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8" w:hRule="exac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特别重大</w:t>
            </w:r>
          </w:p>
        </w:tc>
        <w:tc>
          <w:tcPr>
            <w:tcW w:w="7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7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符合下列情形之一的与药品质量相关事件：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40" w:line="240" w:lineRule="auto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在相对集中的时间和区域内，批号相对集中的同一药品引起临床表现相似的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且罕见的或非预期的不良反应的人数超过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50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人（含）；或者引起特别严重不良反应（可能对人体造成永久性伤残、对器官功能造成永久性损伤或危及生命）的人数超过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10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人（含）；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40" w:line="240" w:lineRule="auto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同一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批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号药品短期内引起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人（含）以上患者死亡；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93"/>
              </w:tabs>
              <w:spacing w:line="341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短期内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个以上省（区、市）因同一药品发生重大药品安全突发事件；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98"/>
              </w:tabs>
              <w:spacing w:line="307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其他危害特别严重的药品安全突发事件。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7" w:hRule="exac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重大</w:t>
            </w:r>
          </w:p>
        </w:tc>
        <w:tc>
          <w:tcPr>
            <w:tcW w:w="7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2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符合下列情形之一的与药品质量相关事件：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83"/>
              </w:tabs>
              <w:spacing w:line="302" w:lineRule="exact"/>
              <w:ind w:firstLine="27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在相对集中的时间和区域内，批号相对集中的同一药品引起临床表现相似的，且罕见的或非预期的不良反应的人数超过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30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人（含），少于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50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人；或者引起特别严重不良反应（可能对人体造成永久性伤残、对器官功能造成永久性损伤或危及生命）的人数超过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人（含）；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317"/>
              </w:tabs>
              <w:spacing w:line="331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同一批号药品短期内引起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人以上、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5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人以下患者死亡，且在同一区域内同时出现其他类似病例；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 w:eastAsia="zh-CN" w:bidi="en-US"/>
              </w:rPr>
              <w:t>.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93"/>
              </w:tabs>
              <w:spacing w:line="331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短期内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个省（区、市）内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个以上市（地）因同一药品发生较大药品安全突发事件；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312"/>
              </w:tabs>
              <w:spacing w:line="302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其他危害严重的药品安全突发事件。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3" w:hRule="exac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tabs>
                <w:tab w:val="left" w:pos="917"/>
              </w:tabs>
              <w:spacing w:line="240" w:lineRule="auto"/>
              <w:ind w:firstLine="0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较大</w:t>
            </w:r>
          </w:p>
        </w:tc>
        <w:tc>
          <w:tcPr>
            <w:tcW w:w="7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4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符合下列情形之一的与药品质量相关事件：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83"/>
              </w:tabs>
              <w:spacing w:line="304" w:lineRule="exact"/>
              <w:ind w:firstLine="13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在相对集中的时间和区域内，批号相对集中的同一药品引起临床表现相似的，且罕见的或非预期的不良反应的人数超过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人（含），少于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30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人；或者引起特别严重不良反应（可能对人体造成永久性伤残、对器官功能造成永久性损伤或危及生命）的人数超过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人（含）；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307"/>
              </w:tabs>
              <w:spacing w:line="331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同一批号药品短期内引起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人（含）以下患者死亡，且在同一区域内同时岀现其他类似病例；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302"/>
              </w:tabs>
              <w:spacing w:line="331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短期内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个市（地）内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个以上县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zh-CN" w:eastAsia="zh-CN" w:bidi="zh-CN"/>
              </w:rPr>
              <w:t>（市、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区）因同一药品发生一般药品安全突发事件；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98"/>
              </w:tabs>
              <w:spacing w:line="304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其他危害较大的药品安全突发事件。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4" w:hRule="exac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一般</w:t>
            </w:r>
          </w:p>
        </w:tc>
        <w:tc>
          <w:tcPr>
            <w:tcW w:w="7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6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符合下列情形之一的与药品质量相关事件：</w:t>
            </w:r>
          </w:p>
          <w:p>
            <w:pPr>
              <w:pStyle w:val="11"/>
              <w:spacing w:line="306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  <w:lang w:val="en-US" w:eastAsia="zh-CN" w:bidi="en-US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 w:bidi="en-US"/>
              </w:rPr>
              <w:t>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在相对集中的时间和区域内，批号相对集中的同一药品引起临床表现相似的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且罕见的或非预期的不良反应的人数超过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10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人（含），少于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人；或者引起特别严重不良反应（可能对人体造</w:t>
            </w:r>
            <w:bookmarkStart w:id="3" w:name="_GoBack"/>
            <w:bookmarkEnd w:id="3"/>
            <w:r>
              <w:rPr>
                <w:rFonts w:asciiTheme="minorEastAsia" w:hAnsiTheme="minorEastAsia" w:eastAsiaTheme="minorEastAsia"/>
                <w:sz w:val="24"/>
                <w:szCs w:val="24"/>
              </w:rPr>
              <w:t>成永久性伤残、对器官功能造成永久性损伤或危及生命）的人数超过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人（含）；</w:t>
            </w:r>
          </w:p>
          <w:p>
            <w:pPr>
              <w:pStyle w:val="11"/>
              <w:spacing w:line="306" w:lineRule="exact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  <w:lang w:val="en-US" w:eastAsia="zh-CN" w:bidi="en-US"/>
              </w:rPr>
              <w:t>2.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其他一般药品安全突发事件。</w:t>
            </w:r>
          </w:p>
        </w:tc>
      </w:tr>
    </w:tbl>
    <w:p>
      <w:pPr>
        <w:spacing w:line="1" w:lineRule="exact"/>
        <w:rPr>
          <w:rFonts w:asciiTheme="minorEastAsia" w:hAnsiTheme="minorEastAsia" w:eastAsiaTheme="minorEastAsia"/>
          <w:lang w:eastAsia="zh-CN"/>
        </w:rPr>
      </w:pPr>
    </w:p>
    <w:sectPr>
      <w:pgSz w:w="11906" w:h="16838"/>
      <w:pgMar w:top="1361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74A1C"/>
    <w:multiLevelType w:val="multilevel"/>
    <w:tmpl w:val="0EF74A1C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477B070D"/>
    <w:multiLevelType w:val="multilevel"/>
    <w:tmpl w:val="477B070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55AE4638"/>
    <w:multiLevelType w:val="multilevel"/>
    <w:tmpl w:val="55AE4638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ZjI0NDU5N2E3OTQ4ZWU1YjUzZWIxNTgyZTVlY2EifQ=="/>
  </w:docVars>
  <w:rsids>
    <w:rsidRoot w:val="003D3F03"/>
    <w:rsid w:val="002C622C"/>
    <w:rsid w:val="003D3F03"/>
    <w:rsid w:val="008B0912"/>
    <w:rsid w:val="00F158C1"/>
    <w:rsid w:val="01D95F0B"/>
    <w:rsid w:val="1E831280"/>
    <w:rsid w:val="241F37F9"/>
    <w:rsid w:val="24EC4023"/>
    <w:rsid w:val="31CE4856"/>
    <w:rsid w:val="31EF6F01"/>
    <w:rsid w:val="34DC6F10"/>
    <w:rsid w:val="3B5E2A01"/>
    <w:rsid w:val="4E047438"/>
    <w:rsid w:val="4F3D2C02"/>
    <w:rsid w:val="51D81308"/>
    <w:rsid w:val="53AC0356"/>
    <w:rsid w:val="5AEF6DE2"/>
    <w:rsid w:val="6449399F"/>
    <w:rsid w:val="770519A8"/>
    <w:rsid w:val="7EC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spacing w:line="374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8">
    <w:name w:val="Heading #2|1_"/>
    <w:basedOn w:val="5"/>
    <w:link w:val="9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spacing w:after="500" w:line="493" w:lineRule="exact"/>
      <w:jc w:val="center"/>
      <w:outlineLvl w:val="1"/>
    </w:pPr>
    <w:rPr>
      <w:rFonts w:ascii="宋体" w:hAnsi="宋体" w:eastAsia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10">
    <w:name w:val="Other|1_"/>
    <w:basedOn w:val="5"/>
    <w:link w:val="1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spacing w:line="374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12">
    <w:name w:val="页眉 Char"/>
    <w:basedOn w:val="5"/>
    <w:link w:val="3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3">
    <w:name w:val="页脚 Char"/>
    <w:basedOn w:val="5"/>
    <w:link w:val="2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856</Words>
  <Characters>866</Characters>
  <Lines>6</Lines>
  <Paragraphs>1</Paragraphs>
  <TotalTime>10</TotalTime>
  <ScaleCrop>false</ScaleCrop>
  <LinksUpToDate>false</LinksUpToDate>
  <CharactersWithSpaces>868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2021-07-14T14:40:00Z</dcterms:created>
  <dc:creator>lenovo</dc:creator>
  <cp:lastModifiedBy>小小苏</cp:lastModifiedBy>
  <dcterms:modified xsi:type="dcterms:W3CDTF">2022-05-26T09:35:45Z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eyJoZGlkIjoiNjlhZjI0NDU5N2E3OTQ4ZWU1YjUzZWIxNTgyZTVlY2EifQ==</vt:lpwstr>
  </property>
  <property fmtid="{D5CDD505-2E9C-101B-9397-08002B2CF9AE}" pid="3" name="KSOProductBuildVer">
    <vt:lpwstr>2052-11.1.0.11744</vt:lpwstr>
  </property>
  <property fmtid="{D5CDD505-2E9C-101B-9397-08002B2CF9AE}" pid="4" name="ICV">
    <vt:lpwstr>F8934617540443C8A52E28154064CF5C</vt:lpwstr>
  </property>
</Properties>
</file>