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84"/>
          <w:szCs w:val="84"/>
          <w:u w:val="single"/>
        </w:rPr>
      </w:pPr>
    </w:p>
    <w:p>
      <w:pPr>
        <w:rPr>
          <w:sz w:val="84"/>
          <w:szCs w:val="84"/>
          <w:u w:val="single"/>
        </w:rPr>
      </w:pPr>
    </w:p>
    <w:p>
      <w:pPr>
        <w:rPr>
          <w:rFonts w:hint="eastAsia"/>
          <w:sz w:val="84"/>
          <w:szCs w:val="84"/>
          <w:u w:val="single"/>
        </w:rPr>
      </w:pPr>
    </w:p>
    <w:p>
      <w:pPr>
        <w:rPr>
          <w:sz w:val="84"/>
          <w:szCs w:val="84"/>
          <w:u w:val="single"/>
        </w:rPr>
      </w:pPr>
    </w:p>
    <w:p>
      <w:pPr>
        <w:jc w:val="center"/>
        <w:rPr>
          <w:rFonts w:hint="eastAsia" w:ascii="CESI黑体-GB2312" w:hAnsi="CESI黑体-GB2312" w:eastAsia="CESI黑体-GB2312" w:cs="CESI黑体-GB2312"/>
          <w:sz w:val="52"/>
          <w:szCs w:val="52"/>
        </w:rPr>
      </w:pPr>
      <w:r>
        <w:rPr>
          <w:rFonts w:hint="eastAsia" w:ascii="CESI黑体-GB2312" w:hAnsi="CESI黑体-GB2312" w:eastAsia="CESI黑体-GB2312" w:cs="CESI黑体-GB2312"/>
          <w:sz w:val="52"/>
          <w:szCs w:val="52"/>
        </w:rPr>
        <w:t>2022年海南省锅炉压力容器与特种</w:t>
      </w:r>
    </w:p>
    <w:p>
      <w:pPr>
        <w:jc w:val="center"/>
        <w:rPr>
          <w:rFonts w:ascii="CESI黑体-GB2312" w:hAnsi="CESI黑体-GB2312" w:eastAsia="CESI黑体-GB2312" w:cs="CESI黑体-GB2312"/>
          <w:sz w:val="52"/>
          <w:szCs w:val="52"/>
        </w:rPr>
      </w:pPr>
      <w:r>
        <w:rPr>
          <w:rFonts w:hint="eastAsia" w:ascii="CESI黑体-GB2312" w:hAnsi="CESI黑体-GB2312" w:eastAsia="CESI黑体-GB2312" w:cs="CESI黑体-GB2312"/>
          <w:sz w:val="52"/>
          <w:szCs w:val="52"/>
        </w:rPr>
        <w:t>设备检验所预算</w:t>
      </w: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rPr>
          <w:rFonts w:ascii="黑体" w:hAnsi="黑体" w:eastAsia="黑体"/>
          <w:sz w:val="52"/>
          <w:szCs w:val="52"/>
        </w:rPr>
      </w:pPr>
    </w:p>
    <w:p>
      <w:pPr>
        <w:jc w:val="center"/>
        <w:rPr>
          <w:rFonts w:ascii="黑体" w:hAnsi="黑体" w:eastAsia="黑体"/>
          <w:sz w:val="52"/>
          <w:szCs w:val="52"/>
        </w:rPr>
      </w:pPr>
      <w:r>
        <w:rPr>
          <w:rFonts w:hint="eastAsia" w:ascii="黑体" w:hAnsi="黑体" w:eastAsia="黑体"/>
          <w:sz w:val="52"/>
          <w:szCs w:val="52"/>
        </w:rPr>
        <w:t>目录</w:t>
      </w:r>
    </w:p>
    <w:p>
      <w:pPr>
        <w:jc w:val="center"/>
        <w:rPr>
          <w:rFonts w:ascii="黑体" w:hAnsi="黑体" w:eastAsia="黑体"/>
          <w:sz w:val="52"/>
          <w:szCs w:val="52"/>
        </w:rPr>
      </w:pPr>
    </w:p>
    <w:p>
      <w:pPr>
        <w:pStyle w:val="8"/>
        <w:numPr>
          <w:ilvl w:val="0"/>
          <w:numId w:val="1"/>
        </w:numPr>
        <w:ind w:firstLineChars="0"/>
        <w:jc w:val="left"/>
        <w:rPr>
          <w:rFonts w:ascii="CESI黑体-GB2312" w:hAnsi="CESI黑体-GB2312" w:eastAsia="CESI黑体-GB2312" w:cs="CESI黑体-GB2312"/>
          <w:sz w:val="32"/>
          <w:szCs w:val="32"/>
        </w:rPr>
      </w:pPr>
      <w:r>
        <w:rPr>
          <w:rFonts w:hint="eastAsia" w:ascii="CESI黑体-GB2312" w:hAnsi="CESI黑体-GB2312" w:eastAsia="CESI黑体-GB2312" w:cs="CESI黑体-GB2312"/>
          <w:sz w:val="32"/>
          <w:szCs w:val="32"/>
        </w:rPr>
        <w:t xml:space="preserve">  海南省锅炉压力容器与特种设备检验所概况</w:t>
      </w:r>
    </w:p>
    <w:p>
      <w:pPr>
        <w:jc w:val="left"/>
        <w:rPr>
          <w:rFonts w:ascii="黑体" w:hAnsi="黑体" w:eastAsia="黑体" w:cs="仿宋_GB2312"/>
          <w:sz w:val="32"/>
          <w:szCs w:val="32"/>
        </w:rPr>
      </w:pPr>
      <w:r>
        <w:rPr>
          <w:rFonts w:hint="eastAsia" w:ascii="黑体" w:hAnsi="黑体" w:eastAsia="黑体" w:cs="仿宋_GB2312"/>
          <w:sz w:val="32"/>
          <w:szCs w:val="32"/>
        </w:rPr>
        <w:t>主要职能</w:t>
      </w:r>
    </w:p>
    <w:p>
      <w:pPr>
        <w:pStyle w:val="8"/>
        <w:numPr>
          <w:ilvl w:val="0"/>
          <w:numId w:val="1"/>
        </w:numPr>
        <w:ind w:firstLineChars="0"/>
        <w:jc w:val="left"/>
        <w:rPr>
          <w:rFonts w:ascii="CESI黑体-GB2312" w:hAnsi="CESI黑体-GB2312" w:eastAsia="CESI黑体-GB2312" w:cs="CESI黑体-GB2312"/>
          <w:sz w:val="32"/>
          <w:szCs w:val="32"/>
        </w:rPr>
      </w:pPr>
      <w:r>
        <w:rPr>
          <w:rFonts w:hint="eastAsia" w:ascii="黑体" w:hAnsi="黑体" w:eastAsia="黑体" w:cs="仿宋_GB2312"/>
          <w:sz w:val="32"/>
          <w:szCs w:val="32"/>
        </w:rPr>
        <w:t xml:space="preserve">  </w:t>
      </w:r>
      <w:r>
        <w:rPr>
          <w:rFonts w:hint="eastAsia" w:ascii="CESI黑体-GB2312" w:hAnsi="CESI黑体-GB2312" w:eastAsia="CESI黑体-GB2312" w:cs="CESI黑体-GB2312"/>
          <w:sz w:val="32"/>
          <w:szCs w:val="32"/>
        </w:rPr>
        <w:t>海南省锅炉压力容器与特种设备检验所2022年预算表</w:t>
      </w:r>
    </w:p>
    <w:p>
      <w:pPr>
        <w:rPr>
          <w:rFonts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一、财政拨款收支总表</w:t>
      </w:r>
    </w:p>
    <w:p>
      <w:pPr>
        <w:rPr>
          <w:rFonts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二、一般公共预算支出表</w:t>
      </w:r>
    </w:p>
    <w:p>
      <w:pPr>
        <w:rPr>
          <w:rFonts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三、一般公共预算基本支出表</w:t>
      </w:r>
    </w:p>
    <w:p>
      <w:pPr>
        <w:rPr>
          <w:rFonts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四、一般公共预算“三公”经费支出表</w:t>
      </w:r>
    </w:p>
    <w:p>
      <w:pPr>
        <w:rPr>
          <w:rFonts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五、政府性基金预算支出表</w:t>
      </w:r>
    </w:p>
    <w:p>
      <w:pPr>
        <w:rPr>
          <w:rFonts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六、政府性基金预算“三公”经费支出表</w:t>
      </w:r>
    </w:p>
    <w:p>
      <w:pPr>
        <w:jc w:val="left"/>
        <w:rPr>
          <w:rFonts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七、海南省锅炉压力容器与特种设备检验所收支总表</w:t>
      </w:r>
    </w:p>
    <w:p>
      <w:pPr>
        <w:jc w:val="left"/>
        <w:rPr>
          <w:rFonts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八、海南省锅炉压力容器与特种设备检验所收入总表</w:t>
      </w:r>
    </w:p>
    <w:p>
      <w:pPr>
        <w:jc w:val="left"/>
        <w:rPr>
          <w:rFonts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九、海南省锅炉压力容器与特种设备检验所支出总表</w:t>
      </w:r>
    </w:p>
    <w:p>
      <w:pPr>
        <w:jc w:val="left"/>
        <w:rPr>
          <w:rFonts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十、项目支出绩效信息表</w:t>
      </w:r>
    </w:p>
    <w:p>
      <w:pPr>
        <w:pStyle w:val="8"/>
        <w:numPr>
          <w:ilvl w:val="0"/>
          <w:numId w:val="1"/>
        </w:numPr>
        <w:ind w:firstLineChars="0"/>
        <w:jc w:val="left"/>
        <w:rPr>
          <w:rFonts w:ascii="CESI黑体-GB2312" w:hAnsi="CESI黑体-GB2312" w:eastAsia="CESI黑体-GB2312" w:cs="CESI黑体-GB2312"/>
          <w:sz w:val="32"/>
          <w:szCs w:val="32"/>
        </w:rPr>
      </w:pPr>
      <w:r>
        <w:rPr>
          <w:rFonts w:hint="eastAsia" w:ascii="黑体" w:hAnsi="黑体" w:eastAsia="黑体" w:cs="仿宋_GB2312"/>
          <w:sz w:val="32"/>
          <w:szCs w:val="32"/>
        </w:rPr>
        <w:t xml:space="preserve">  </w:t>
      </w:r>
      <w:r>
        <w:rPr>
          <w:rFonts w:hint="eastAsia" w:ascii="CESI黑体-GB2312" w:hAnsi="CESI黑体-GB2312" w:eastAsia="CESI黑体-GB2312" w:cs="CESI黑体-GB2312"/>
          <w:sz w:val="32"/>
          <w:szCs w:val="32"/>
        </w:rPr>
        <w:t>海南省锅炉压力容器与特种设备检验所2022年预算情况说明</w:t>
      </w:r>
    </w:p>
    <w:p>
      <w:pPr>
        <w:pStyle w:val="8"/>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CESI黑体-GB2312" w:hAnsi="CESI黑体-GB2312" w:eastAsia="CESI黑体-GB2312" w:cs="CESI黑体-GB2312"/>
          <w:sz w:val="32"/>
          <w:szCs w:val="32"/>
        </w:rPr>
        <w:t>名词解释</w:t>
      </w:r>
    </w:p>
    <w:p>
      <w:pPr>
        <w:jc w:val="left"/>
        <w:rPr>
          <w:rFonts w:ascii="黑体" w:hAnsi="黑体" w:eastAsia="黑体"/>
          <w:sz w:val="32"/>
          <w:szCs w:val="32"/>
        </w:rPr>
        <w:sectPr>
          <w:footerReference r:id="rId3" w:type="default"/>
          <w:pgSz w:w="11906" w:h="16838"/>
          <w:pgMar w:top="2098" w:right="1474" w:bottom="1985" w:left="1588" w:header="851" w:footer="992" w:gutter="0"/>
          <w:pgNumType w:fmt="numberInDash"/>
          <w:cols w:space="425" w:num="1"/>
          <w:docGrid w:type="lines" w:linePitch="312" w:charSpace="0"/>
        </w:sectPr>
      </w:pPr>
    </w:p>
    <w:p>
      <w:pPr>
        <w:tabs>
          <w:tab w:val="left" w:pos="426"/>
        </w:tabs>
        <w:jc w:val="center"/>
        <w:rPr>
          <w:rFonts w:ascii="CESI黑体-GB2312" w:hAnsi="CESI黑体-GB2312" w:eastAsia="CESI黑体-GB2312" w:cs="CESI黑体-GB2312"/>
          <w:sz w:val="32"/>
          <w:szCs w:val="32"/>
        </w:rPr>
      </w:pPr>
      <w:r>
        <w:rPr>
          <w:rFonts w:hint="eastAsia" w:ascii="CESI黑体-GB2312" w:hAnsi="CESI黑体-GB2312" w:eastAsia="CESI黑体-GB2312" w:cs="CESI黑体-GB2312"/>
          <w:sz w:val="32"/>
          <w:szCs w:val="32"/>
          <w:lang w:val="en-US" w:eastAsia="zh-CN"/>
        </w:rPr>
        <w:t xml:space="preserve">     </w:t>
      </w:r>
      <w:r>
        <w:rPr>
          <w:rFonts w:hint="eastAsia" w:ascii="CESI黑体-GB2312" w:hAnsi="CESI黑体-GB2312" w:eastAsia="CESI黑体-GB2312" w:cs="CESI黑体-GB2312"/>
          <w:sz w:val="32"/>
          <w:szCs w:val="32"/>
        </w:rPr>
        <w:t>第一部分  海南省锅炉压力容器与特种设备检验所概况</w:t>
      </w:r>
    </w:p>
    <w:p>
      <w:pPr>
        <w:jc w:val="left"/>
        <w:rPr>
          <w:rFonts w:ascii="仿宋_GB2312" w:hAnsi="仿宋_GB2312" w:eastAsia="仿宋_GB2312" w:cs="仿宋_GB2312"/>
          <w:sz w:val="32"/>
          <w:szCs w:val="32"/>
        </w:rPr>
      </w:pPr>
    </w:p>
    <w:p>
      <w:pPr>
        <w:spacing w:line="576" w:lineRule="exact"/>
        <w:ind w:firstLine="640" w:firstLineChars="200"/>
        <w:jc w:val="left"/>
        <w:rPr>
          <w:rFonts w:ascii="黑体" w:hAnsi="黑体" w:eastAsia="黑体" w:cs="仿宋_GB2312"/>
          <w:sz w:val="32"/>
          <w:szCs w:val="32"/>
        </w:rPr>
      </w:pPr>
      <w:r>
        <w:rPr>
          <w:rFonts w:hint="eastAsia" w:ascii="黑体" w:hAnsi="黑体" w:eastAsia="黑体" w:cs="仿宋_GB2312"/>
          <w:sz w:val="32"/>
          <w:szCs w:val="32"/>
        </w:rPr>
        <w:t>主要职能</w:t>
      </w:r>
    </w:p>
    <w:p>
      <w:pPr>
        <w:widowControl/>
        <w:shd w:val="clear" w:color="auto" w:fill="FFFFFF"/>
        <w:spacing w:line="576" w:lineRule="exact"/>
        <w:ind w:firstLine="640" w:firstLineChars="200"/>
        <w:jc w:val="left"/>
        <w:rPr>
          <w:rFonts w:ascii="CESI仿宋-GB2312" w:hAnsi="CESI仿宋-GB2312" w:eastAsia="CESI仿宋-GB2312" w:cs="CESI仿宋-GB2312"/>
          <w:kern w:val="0"/>
          <w:sz w:val="32"/>
          <w:szCs w:val="32"/>
        </w:rPr>
      </w:pPr>
      <w:r>
        <w:rPr>
          <w:rFonts w:hint="eastAsia" w:ascii="CESI仿宋-GB2312" w:hAnsi="CESI仿宋-GB2312" w:eastAsia="CESI仿宋-GB2312" w:cs="CESI仿宋-GB2312"/>
          <w:kern w:val="0"/>
          <w:sz w:val="32"/>
          <w:szCs w:val="32"/>
        </w:rPr>
        <w:t>（一）负责全省各类锅炉、压力容器、压力管道、电梯、起重机械、厂内机动车辆、大型游乐设施等特种设备的监督检验和定期检验工作。</w:t>
      </w:r>
      <w:bookmarkStart w:id="0" w:name="_GoBack"/>
      <w:bookmarkEnd w:id="0"/>
    </w:p>
    <w:p>
      <w:pPr>
        <w:widowControl/>
        <w:shd w:val="clear" w:color="auto" w:fill="FFFFFF"/>
        <w:spacing w:line="576" w:lineRule="exact"/>
        <w:ind w:firstLine="640" w:firstLineChars="200"/>
        <w:jc w:val="left"/>
        <w:rPr>
          <w:rFonts w:ascii="CESI仿宋-GB2312" w:hAnsi="CESI仿宋-GB2312" w:eastAsia="CESI仿宋-GB2312" w:cs="CESI仿宋-GB2312"/>
          <w:kern w:val="0"/>
          <w:sz w:val="32"/>
          <w:szCs w:val="32"/>
        </w:rPr>
      </w:pPr>
      <w:r>
        <w:rPr>
          <w:rFonts w:hint="eastAsia" w:ascii="CESI仿宋-GB2312" w:hAnsi="CESI仿宋-GB2312" w:eastAsia="CESI仿宋-GB2312" w:cs="CESI仿宋-GB2312"/>
          <w:kern w:val="0"/>
          <w:sz w:val="32"/>
          <w:szCs w:val="32"/>
        </w:rPr>
        <w:t>（二）负责锅炉给水和锅内水质的监测检验工作。</w:t>
      </w:r>
    </w:p>
    <w:p>
      <w:pPr>
        <w:widowControl/>
        <w:shd w:val="clear" w:color="auto" w:fill="FFFFFF"/>
        <w:spacing w:line="576" w:lineRule="exact"/>
        <w:ind w:firstLine="640" w:firstLineChars="200"/>
        <w:jc w:val="left"/>
        <w:rPr>
          <w:rFonts w:ascii="CESI仿宋-GB2312" w:hAnsi="CESI仿宋-GB2312" w:eastAsia="CESI仿宋-GB2312" w:cs="CESI仿宋-GB2312"/>
          <w:kern w:val="0"/>
          <w:sz w:val="32"/>
          <w:szCs w:val="32"/>
        </w:rPr>
      </w:pPr>
      <w:r>
        <w:rPr>
          <w:rFonts w:hint="eastAsia" w:ascii="CESI仿宋-GB2312" w:hAnsi="CESI仿宋-GB2312" w:eastAsia="CESI仿宋-GB2312" w:cs="CESI仿宋-GB2312"/>
          <w:kern w:val="0"/>
          <w:sz w:val="32"/>
          <w:szCs w:val="32"/>
        </w:rPr>
        <w:t>（三）负责全省特种设备行政许可资质评审。</w:t>
      </w:r>
    </w:p>
    <w:p>
      <w:pPr>
        <w:widowControl/>
        <w:shd w:val="clear" w:color="auto" w:fill="FFFFFF"/>
        <w:spacing w:line="576" w:lineRule="exact"/>
        <w:ind w:firstLine="640" w:firstLineChars="200"/>
        <w:jc w:val="left"/>
        <w:rPr>
          <w:rFonts w:ascii="CESI仿宋-GB2312" w:hAnsi="CESI仿宋-GB2312" w:eastAsia="CESI仿宋-GB2312" w:cs="CESI仿宋-GB2312"/>
          <w:kern w:val="0"/>
          <w:sz w:val="32"/>
          <w:szCs w:val="32"/>
        </w:rPr>
      </w:pPr>
      <w:r>
        <w:rPr>
          <w:rFonts w:hint="eastAsia" w:ascii="CESI仿宋-GB2312" w:hAnsi="CESI仿宋-GB2312" w:eastAsia="CESI仿宋-GB2312" w:cs="CESI仿宋-GB2312"/>
          <w:kern w:val="0"/>
          <w:sz w:val="32"/>
          <w:szCs w:val="32"/>
        </w:rPr>
        <w:t>（四）负责开展委托检验、技术鉴定、节能测试、技术咨询和科学研究。</w:t>
      </w:r>
    </w:p>
    <w:p>
      <w:pPr>
        <w:widowControl/>
        <w:shd w:val="clear" w:color="auto" w:fill="FFFFFF"/>
        <w:spacing w:line="576" w:lineRule="exact"/>
        <w:ind w:firstLine="640" w:firstLineChars="200"/>
        <w:jc w:val="left"/>
        <w:rPr>
          <w:rFonts w:ascii="CESI仿宋-GB2312" w:hAnsi="CESI仿宋-GB2312" w:eastAsia="CESI仿宋-GB2312" w:cs="CESI仿宋-GB2312"/>
          <w:kern w:val="0"/>
          <w:sz w:val="32"/>
          <w:szCs w:val="32"/>
        </w:rPr>
      </w:pPr>
      <w:r>
        <w:rPr>
          <w:rFonts w:hint="eastAsia" w:ascii="CESI仿宋-GB2312" w:hAnsi="CESI仿宋-GB2312" w:eastAsia="CESI仿宋-GB2312" w:cs="CESI仿宋-GB2312"/>
          <w:kern w:val="0"/>
          <w:sz w:val="32"/>
          <w:szCs w:val="32"/>
        </w:rPr>
        <w:t>（五）承担全省重点项目、重大活动、重点场所的特种设备安全保障技术支撑工作。</w:t>
      </w:r>
    </w:p>
    <w:p>
      <w:pPr>
        <w:widowControl/>
        <w:shd w:val="clear" w:color="auto" w:fill="FFFFFF"/>
        <w:spacing w:line="576" w:lineRule="exact"/>
        <w:ind w:firstLine="640" w:firstLineChars="200"/>
        <w:jc w:val="left"/>
        <w:rPr>
          <w:rFonts w:ascii="CESI仿宋-GB2312" w:hAnsi="CESI仿宋-GB2312" w:eastAsia="CESI仿宋-GB2312" w:cs="CESI仿宋-GB2312"/>
          <w:kern w:val="0"/>
          <w:sz w:val="32"/>
          <w:szCs w:val="32"/>
        </w:rPr>
      </w:pPr>
      <w:r>
        <w:rPr>
          <w:rFonts w:hint="eastAsia" w:ascii="CESI仿宋-GB2312" w:hAnsi="CESI仿宋-GB2312" w:eastAsia="CESI仿宋-GB2312" w:cs="CESI仿宋-GB2312"/>
          <w:kern w:val="0"/>
          <w:sz w:val="32"/>
          <w:szCs w:val="32"/>
        </w:rPr>
        <w:t>（六）负责对特种设备作业人员的考核工作，对管理使用特种设备的单位进行使用技能指导。</w:t>
      </w:r>
    </w:p>
    <w:p>
      <w:pPr>
        <w:widowControl/>
        <w:shd w:val="clear" w:color="auto" w:fill="FFFFFF"/>
        <w:spacing w:line="576" w:lineRule="exact"/>
        <w:ind w:firstLine="640" w:firstLineChars="200"/>
        <w:jc w:val="left"/>
        <w:rPr>
          <w:rFonts w:ascii="CESI仿宋-GB2312" w:hAnsi="CESI仿宋-GB2312" w:eastAsia="CESI仿宋-GB2312" w:cs="CESI仿宋-GB2312"/>
          <w:kern w:val="0"/>
          <w:sz w:val="32"/>
          <w:szCs w:val="32"/>
        </w:rPr>
      </w:pPr>
      <w:r>
        <w:rPr>
          <w:rFonts w:hint="eastAsia" w:ascii="CESI仿宋-GB2312" w:hAnsi="CESI仿宋-GB2312" w:eastAsia="CESI仿宋-GB2312" w:cs="CESI仿宋-GB2312"/>
          <w:kern w:val="0"/>
          <w:sz w:val="32"/>
          <w:szCs w:val="32"/>
        </w:rPr>
        <w:t>（七）完成上级交办的其他任务。</w:t>
      </w:r>
    </w:p>
    <w:p>
      <w:pPr>
        <w:spacing w:line="576" w:lineRule="exact"/>
        <w:ind w:left="800"/>
        <w:jc w:val="center"/>
        <w:rPr>
          <w:rFonts w:ascii="仿宋_GB2312" w:hAnsi="黑体" w:eastAsia="仿宋_GB2312" w:cs="仿宋_GB2312"/>
          <w:sz w:val="32"/>
          <w:szCs w:val="32"/>
        </w:rPr>
      </w:pPr>
    </w:p>
    <w:p>
      <w:pPr>
        <w:spacing w:line="576" w:lineRule="exact"/>
        <w:jc w:val="center"/>
        <w:rPr>
          <w:rFonts w:ascii="CESI黑体-GB2312" w:hAnsi="CESI黑体-GB2312" w:eastAsia="CESI黑体-GB2312" w:cs="CESI黑体-GB2312"/>
          <w:sz w:val="32"/>
          <w:szCs w:val="32"/>
        </w:rPr>
      </w:pPr>
      <w:r>
        <w:rPr>
          <w:rFonts w:hint="eastAsia" w:ascii="CESI黑体-GB2312" w:hAnsi="CESI黑体-GB2312" w:eastAsia="CESI黑体-GB2312" w:cs="CESI黑体-GB2312"/>
          <w:sz w:val="32"/>
          <w:szCs w:val="32"/>
        </w:rPr>
        <w:t>第二部分 海南省锅炉压力容器与特种设备检验所</w:t>
      </w:r>
    </w:p>
    <w:p>
      <w:pPr>
        <w:spacing w:line="576" w:lineRule="exact"/>
        <w:jc w:val="center"/>
        <w:rPr>
          <w:rFonts w:ascii="CESI黑体-GB2312" w:hAnsi="CESI黑体-GB2312" w:eastAsia="CESI黑体-GB2312" w:cs="CESI黑体-GB2312"/>
          <w:sz w:val="32"/>
          <w:szCs w:val="32"/>
        </w:rPr>
      </w:pPr>
      <w:r>
        <w:rPr>
          <w:rFonts w:hint="eastAsia" w:ascii="CESI黑体-GB2312" w:hAnsi="CESI黑体-GB2312" w:eastAsia="CESI黑体-GB2312" w:cs="CESI黑体-GB2312"/>
          <w:sz w:val="32"/>
          <w:szCs w:val="32"/>
        </w:rPr>
        <w:t>2022年预算表</w:t>
      </w:r>
    </w:p>
    <w:p>
      <w:pPr>
        <w:spacing w:line="576" w:lineRule="exact"/>
        <w:ind w:left="800"/>
        <w:jc w:val="left"/>
        <w:rPr>
          <w:rFonts w:ascii="黑体" w:hAnsi="黑体" w:eastAsia="黑体"/>
          <w:sz w:val="32"/>
          <w:szCs w:val="32"/>
        </w:rPr>
      </w:pPr>
    </w:p>
    <w:p>
      <w:pPr>
        <w:spacing w:line="576" w:lineRule="exact"/>
        <w:jc w:val="center"/>
        <w:rPr>
          <w:rFonts w:ascii="仿宋_GB2312" w:hAnsi="黑体" w:eastAsia="仿宋_GB2312"/>
          <w:b/>
          <w:sz w:val="32"/>
          <w:szCs w:val="32"/>
        </w:rPr>
      </w:pPr>
      <w:r>
        <w:rPr>
          <w:rFonts w:hint="eastAsia" w:ascii="仿宋_GB2312" w:hAnsi="黑体" w:eastAsia="仿宋_GB2312"/>
          <w:b/>
          <w:sz w:val="32"/>
          <w:szCs w:val="32"/>
        </w:rPr>
        <w:t>（此部分内容即为本所预算公开表）</w:t>
      </w:r>
    </w:p>
    <w:p>
      <w:pPr>
        <w:spacing w:line="576" w:lineRule="exact"/>
        <w:rPr>
          <w:rFonts w:ascii="黑体" w:hAnsi="黑体" w:eastAsia="黑体"/>
          <w:sz w:val="32"/>
          <w:szCs w:val="32"/>
        </w:rPr>
      </w:pPr>
    </w:p>
    <w:p>
      <w:pPr>
        <w:spacing w:line="576" w:lineRule="exact"/>
        <w:jc w:val="center"/>
        <w:rPr>
          <w:rFonts w:hint="eastAsia" w:ascii="CESI黑体-GB2312" w:hAnsi="CESI黑体-GB2312" w:eastAsia="CESI黑体-GB2312" w:cs="CESI黑体-GB2312"/>
          <w:sz w:val="32"/>
          <w:szCs w:val="32"/>
        </w:rPr>
      </w:pPr>
      <w:r>
        <w:rPr>
          <w:rFonts w:hint="eastAsia" w:ascii="CESI黑体-GB2312" w:hAnsi="CESI黑体-GB2312" w:eastAsia="CESI黑体-GB2312" w:cs="CESI黑体-GB2312"/>
          <w:sz w:val="32"/>
          <w:szCs w:val="32"/>
        </w:rPr>
        <w:t>第三部分 海南省锅炉压力容器与特种设备检验所</w:t>
      </w:r>
    </w:p>
    <w:p>
      <w:pPr>
        <w:spacing w:line="576" w:lineRule="exact"/>
        <w:jc w:val="center"/>
        <w:rPr>
          <w:rFonts w:ascii="CESI黑体-GB2312" w:hAnsi="CESI黑体-GB2312" w:eastAsia="CESI黑体-GB2312" w:cs="CESI黑体-GB2312"/>
          <w:sz w:val="32"/>
          <w:szCs w:val="32"/>
        </w:rPr>
      </w:pPr>
      <w:r>
        <w:rPr>
          <w:rFonts w:hint="eastAsia" w:ascii="CESI黑体-GB2312" w:hAnsi="CESI黑体-GB2312" w:eastAsia="CESI黑体-GB2312" w:cs="CESI黑体-GB2312"/>
          <w:sz w:val="32"/>
          <w:szCs w:val="32"/>
          <w:lang w:val="en-US" w:eastAsia="zh-CN"/>
        </w:rPr>
        <w:t xml:space="preserve">     </w:t>
      </w:r>
      <w:r>
        <w:rPr>
          <w:rFonts w:hint="eastAsia" w:ascii="CESI黑体-GB2312" w:hAnsi="CESI黑体-GB2312" w:eastAsia="CESI黑体-GB2312" w:cs="CESI黑体-GB2312"/>
          <w:sz w:val="32"/>
          <w:szCs w:val="32"/>
        </w:rPr>
        <w:t>2022年预算情况说明</w:t>
      </w:r>
    </w:p>
    <w:p>
      <w:pPr>
        <w:spacing w:line="576" w:lineRule="exact"/>
        <w:jc w:val="center"/>
        <w:rPr>
          <w:rFonts w:ascii="黑体" w:hAnsi="黑体" w:eastAsia="黑体"/>
          <w:sz w:val="32"/>
          <w:szCs w:val="32"/>
        </w:rPr>
      </w:pPr>
    </w:p>
    <w:p>
      <w:pPr>
        <w:widowControl/>
        <w:shd w:val="clear" w:color="auto" w:fill="FFFFFF"/>
        <w:spacing w:line="576" w:lineRule="exact"/>
        <w:ind w:firstLine="640" w:firstLineChars="200"/>
        <w:jc w:val="left"/>
        <w:rPr>
          <w:rFonts w:hint="eastAsia" w:ascii="CESI仿宋-GB2312" w:hAnsi="CESI仿宋-GB2312" w:eastAsia="CESI仿宋-GB2312" w:cs="CESI仿宋-GB2312"/>
          <w:kern w:val="0"/>
          <w:sz w:val="32"/>
          <w:szCs w:val="32"/>
        </w:rPr>
      </w:pPr>
      <w:r>
        <w:rPr>
          <w:rFonts w:hint="eastAsia" w:ascii="黑体" w:hAnsi="黑体" w:eastAsia="黑体" w:cs="黑体"/>
          <w:kern w:val="0"/>
          <w:sz w:val="32"/>
          <w:szCs w:val="32"/>
        </w:rPr>
        <w:t>一、关于海南省锅炉压力容器与特种设备检验所2022年财政拨款收支预算情况的总体说明</w:t>
      </w:r>
    </w:p>
    <w:p>
      <w:pPr>
        <w:widowControl/>
        <w:shd w:val="clear" w:color="auto" w:fill="FFFFFF"/>
        <w:spacing w:line="576" w:lineRule="exact"/>
        <w:ind w:firstLine="640" w:firstLineChars="200"/>
        <w:jc w:val="left"/>
        <w:rPr>
          <w:rFonts w:hint="eastAsia" w:ascii="CESI仿宋-GB2312" w:hAnsi="CESI仿宋-GB2312" w:eastAsia="CESI仿宋-GB2312" w:cs="CESI仿宋-GB2312"/>
          <w:kern w:val="0"/>
          <w:sz w:val="32"/>
          <w:szCs w:val="32"/>
        </w:rPr>
      </w:pPr>
      <w:r>
        <w:rPr>
          <w:rFonts w:hint="eastAsia" w:ascii="CESI仿宋-GB2312" w:hAnsi="CESI仿宋-GB2312" w:eastAsia="CESI仿宋-GB2312" w:cs="CESI仿宋-GB2312"/>
          <w:kern w:val="0"/>
          <w:sz w:val="32"/>
          <w:szCs w:val="32"/>
        </w:rPr>
        <w:t>海南省锅炉压力容器与特种设备检验所2022年财政拨款收支总预算2,826.64万元。比上年预算数减少11.47万元，主要是2022年增加了基本支出预算24.73万元，但项目支出预算减少了36.2万元。其中，收入总计2,826.64万元，包括一般公共预算本年收入2,826.64万元；支出总计2,826.64万元，包括一般公共服务支出2,643.82万元、社会保障和就业支出65.82万元、卫生健康支出74.75万元、住房保障支出42.24万元。</w:t>
      </w:r>
    </w:p>
    <w:p>
      <w:pPr>
        <w:widowControl/>
        <w:shd w:val="clear" w:color="auto" w:fill="FFFFFF"/>
        <w:spacing w:line="576" w:lineRule="exact"/>
        <w:ind w:firstLine="640" w:firstLineChars="200"/>
        <w:jc w:val="left"/>
        <w:rPr>
          <w:rFonts w:hint="eastAsia" w:ascii="CESI仿宋-GB2312" w:hAnsi="CESI仿宋-GB2312" w:eastAsia="CESI仿宋-GB2312" w:cs="CESI仿宋-GB2312"/>
          <w:kern w:val="0"/>
          <w:sz w:val="32"/>
          <w:szCs w:val="32"/>
        </w:rPr>
      </w:pPr>
      <w:r>
        <w:rPr>
          <w:rFonts w:hint="eastAsia" w:ascii="黑体" w:hAnsi="黑体" w:eastAsia="黑体" w:cs="黑体"/>
          <w:kern w:val="0"/>
          <w:sz w:val="32"/>
          <w:szCs w:val="32"/>
        </w:rPr>
        <w:t>二、关于海南省锅炉压力容器与特种设备检验所2022年一般公共预算当年拨款情况说明</w:t>
      </w:r>
    </w:p>
    <w:p>
      <w:pPr>
        <w:spacing w:line="576" w:lineRule="exact"/>
        <w:ind w:firstLine="640"/>
        <w:jc w:val="left"/>
        <w:rPr>
          <w:rFonts w:ascii="楷体" w:hAnsi="楷体" w:eastAsia="楷体"/>
          <w:sz w:val="32"/>
          <w:szCs w:val="32"/>
        </w:rPr>
      </w:pPr>
      <w:r>
        <w:rPr>
          <w:rFonts w:hint="eastAsia" w:ascii="楷体" w:hAnsi="楷体" w:eastAsia="楷体"/>
          <w:sz w:val="32"/>
          <w:szCs w:val="32"/>
        </w:rPr>
        <w:t>（一）一般公共预算当年规模变化情况</w:t>
      </w:r>
    </w:p>
    <w:p>
      <w:pPr>
        <w:spacing w:line="576" w:lineRule="exact"/>
        <w:ind w:firstLine="640" w:firstLineChars="200"/>
        <w:rPr>
          <w:rFonts w:ascii="CESI仿宋-GB2312" w:hAnsi="CESI仿宋-GB2312" w:eastAsia="CESI仿宋-GB2312" w:cs="CESI仿宋-GB2312"/>
          <w:sz w:val="32"/>
          <w:szCs w:val="32"/>
        </w:rPr>
      </w:pPr>
      <w:r>
        <w:rPr>
          <w:rFonts w:hint="eastAsia" w:ascii="CESI仿宋-GB2312" w:hAnsi="CESI仿宋-GB2312" w:eastAsia="CESI仿宋-GB2312" w:cs="CESI仿宋-GB2312"/>
          <w:kern w:val="0"/>
          <w:sz w:val="32"/>
          <w:szCs w:val="32"/>
        </w:rPr>
        <w:t>海南省锅炉压力容器与特种设备检验所2022年一般公共预算当年拨款2,826.64万元，比上年预算数减少11.47万元，主要是2022年增加了基本支出预算24.73万元，但项目支出预算减少了36.2万元。</w:t>
      </w:r>
    </w:p>
    <w:p>
      <w:pPr>
        <w:spacing w:line="576" w:lineRule="exact"/>
        <w:ind w:firstLine="640" w:firstLineChars="200"/>
        <w:rPr>
          <w:rFonts w:ascii="楷体" w:hAnsi="楷体" w:eastAsia="楷体"/>
          <w:sz w:val="32"/>
          <w:szCs w:val="32"/>
        </w:rPr>
      </w:pPr>
      <w:r>
        <w:rPr>
          <w:rFonts w:hint="eastAsia" w:ascii="楷体" w:hAnsi="楷体" w:eastAsia="楷体"/>
          <w:sz w:val="32"/>
          <w:szCs w:val="32"/>
        </w:rPr>
        <w:t>（二）一般公共预算当年拨款结构情况</w:t>
      </w:r>
    </w:p>
    <w:p>
      <w:pPr>
        <w:spacing w:line="576" w:lineRule="exact"/>
        <w:ind w:firstLine="800" w:firstLineChars="250"/>
        <w:rPr>
          <w:rFonts w:ascii="CESI仿宋-GB2312" w:hAnsi="CESI仿宋-GB2312" w:eastAsia="CESI仿宋-GB2312" w:cs="CESI仿宋-GB2312"/>
          <w:sz w:val="32"/>
          <w:szCs w:val="32"/>
        </w:rPr>
      </w:pPr>
      <w:r>
        <w:rPr>
          <w:rFonts w:hint="eastAsia" w:ascii="CESI仿宋-GB2312" w:hAnsi="CESI仿宋-GB2312" w:eastAsia="CESI仿宋-GB2312" w:cs="CESI仿宋-GB2312"/>
          <w:kern w:val="0"/>
          <w:sz w:val="32"/>
          <w:szCs w:val="32"/>
        </w:rPr>
        <w:t>一般公共服务（类）支出2,643.82万元，占93.53%；社会保障和就业支出65.82万元，占2.33%；卫生健康支出74.75万元，占2.64%；住房保障支出42.24万元，占1.50%。</w:t>
      </w:r>
    </w:p>
    <w:p>
      <w:pPr>
        <w:spacing w:line="576" w:lineRule="exact"/>
        <w:ind w:firstLine="640"/>
        <w:jc w:val="left"/>
        <w:rPr>
          <w:rFonts w:ascii="楷体" w:hAnsi="楷体" w:eastAsia="楷体"/>
          <w:sz w:val="32"/>
          <w:szCs w:val="32"/>
        </w:rPr>
      </w:pPr>
      <w:r>
        <w:rPr>
          <w:rFonts w:hint="eastAsia" w:ascii="楷体" w:hAnsi="楷体" w:eastAsia="楷体"/>
          <w:sz w:val="32"/>
          <w:szCs w:val="32"/>
        </w:rPr>
        <w:t>（三）一般公共预算当年拨款具体使用情况</w:t>
      </w:r>
    </w:p>
    <w:p>
      <w:pPr>
        <w:widowControl/>
        <w:shd w:val="clear" w:color="auto" w:fill="FFFFFF"/>
        <w:spacing w:line="576" w:lineRule="exact"/>
        <w:ind w:firstLine="640" w:firstLineChars="200"/>
        <w:jc w:val="left"/>
        <w:rPr>
          <w:rFonts w:hint="eastAsia" w:ascii="CESI仿宋-GB2312" w:hAnsi="CESI仿宋-GB2312" w:eastAsia="CESI仿宋-GB2312" w:cs="CESI仿宋-GB2312"/>
          <w:kern w:val="0"/>
          <w:sz w:val="32"/>
          <w:szCs w:val="32"/>
        </w:rPr>
      </w:pPr>
      <w:r>
        <w:rPr>
          <w:rFonts w:hint="eastAsia" w:ascii="CESI仿宋-GB2312" w:hAnsi="CESI仿宋-GB2312" w:eastAsia="CESI仿宋-GB2312" w:cs="CESI仿宋-GB2312"/>
          <w:kern w:val="0"/>
          <w:sz w:val="32"/>
          <w:szCs w:val="32"/>
        </w:rPr>
        <w:t xml:space="preserve">1.一般公共服务（类）市场监督管理事务（款）事业运行（项）2022年预算数为2,577.70万元，比上年预算数增加552.88万元，主要是2022年按照省财政厅下达的经常性项目目录，本单位新增事业运行预算。 </w:t>
      </w:r>
    </w:p>
    <w:p>
      <w:pPr>
        <w:widowControl/>
        <w:shd w:val="clear" w:color="auto" w:fill="FFFFFF"/>
        <w:spacing w:line="576" w:lineRule="exact"/>
        <w:ind w:firstLine="640" w:firstLineChars="200"/>
        <w:jc w:val="left"/>
        <w:rPr>
          <w:rFonts w:ascii="CESI仿宋-GB2312" w:hAnsi="CESI仿宋-GB2312" w:eastAsia="CESI仿宋-GB2312" w:cs="CESI仿宋-GB2312"/>
          <w:sz w:val="32"/>
          <w:szCs w:val="32"/>
        </w:rPr>
      </w:pPr>
      <w:r>
        <w:rPr>
          <w:rFonts w:hint="eastAsia" w:ascii="CESI仿宋-GB2312" w:hAnsi="CESI仿宋-GB2312" w:eastAsia="CESI仿宋-GB2312" w:cs="CESI仿宋-GB2312"/>
          <w:kern w:val="0"/>
          <w:sz w:val="32"/>
          <w:szCs w:val="32"/>
        </w:rPr>
        <w:t>2.一般公共服务（类）市场监督管理事务（款）其他市场监督管理事务（项）2022年预算数为66.12万元，比上年预算数减少506.02万元，主要原因是根据年度工作任务，各项目之间预算安排有调整。</w:t>
      </w:r>
    </w:p>
    <w:p>
      <w:pPr>
        <w:widowControl/>
        <w:shd w:val="clear" w:color="auto" w:fill="FFFFFF"/>
        <w:spacing w:line="576" w:lineRule="exact"/>
        <w:ind w:firstLine="640" w:firstLineChars="200"/>
        <w:jc w:val="left"/>
        <w:rPr>
          <w:rFonts w:hint="eastAsia" w:ascii="CESI仿宋-GB2312" w:hAnsi="CESI仿宋-GB2312" w:eastAsia="CESI仿宋-GB2312" w:cs="CESI仿宋-GB2312"/>
          <w:kern w:val="0"/>
          <w:sz w:val="32"/>
          <w:szCs w:val="32"/>
        </w:rPr>
      </w:pPr>
      <w:r>
        <w:rPr>
          <w:rFonts w:hint="eastAsia" w:ascii="CESI仿宋-GB2312" w:hAnsi="CESI仿宋-GB2312" w:eastAsia="CESI仿宋-GB2312" w:cs="CESI仿宋-GB2312"/>
          <w:kern w:val="0"/>
          <w:sz w:val="32"/>
          <w:szCs w:val="32"/>
        </w:rPr>
        <w:t>3.社会保障和就业支出（类）行政事业单位养老支出（款）机关事业单位基本养老保险缴费支出（项）2022年预算数为53.17万元，与上年度持平。</w:t>
      </w:r>
    </w:p>
    <w:p>
      <w:pPr>
        <w:widowControl/>
        <w:shd w:val="clear" w:color="auto" w:fill="FFFFFF"/>
        <w:spacing w:line="576" w:lineRule="exact"/>
        <w:ind w:firstLine="640" w:firstLineChars="200"/>
        <w:jc w:val="left"/>
        <w:rPr>
          <w:rFonts w:ascii="CESI仿宋-GB2312" w:hAnsi="CESI仿宋-GB2312" w:eastAsia="CESI仿宋-GB2312" w:cs="CESI仿宋-GB2312"/>
          <w:sz w:val="32"/>
          <w:szCs w:val="32"/>
        </w:rPr>
      </w:pPr>
      <w:r>
        <w:rPr>
          <w:rFonts w:hint="eastAsia" w:ascii="CESI仿宋-GB2312" w:hAnsi="CESI仿宋-GB2312" w:eastAsia="CESI仿宋-GB2312" w:cs="CESI仿宋-GB2312"/>
          <w:kern w:val="0"/>
          <w:sz w:val="32"/>
          <w:szCs w:val="32"/>
        </w:rPr>
        <w:t>4.社会保障和就业支出（类）行政事业单位养老支出（款）机关事业单位职业年金缴费支出（项）2022年预算数为11.02万元，比上年预算数减少11.37万元，主要原因是2022年度退休人员减少。</w:t>
      </w:r>
    </w:p>
    <w:p>
      <w:pPr>
        <w:widowControl/>
        <w:shd w:val="clear" w:color="auto" w:fill="FFFFFF"/>
        <w:spacing w:line="576" w:lineRule="exact"/>
        <w:ind w:firstLine="640" w:firstLineChars="200"/>
        <w:jc w:val="left"/>
        <w:rPr>
          <w:rFonts w:hint="eastAsia" w:ascii="CESI仿宋-GB2312" w:hAnsi="CESI仿宋-GB2312" w:eastAsia="CESI仿宋-GB2312" w:cs="CESI仿宋-GB2312"/>
          <w:kern w:val="0"/>
          <w:sz w:val="32"/>
          <w:szCs w:val="32"/>
        </w:rPr>
      </w:pPr>
      <w:r>
        <w:rPr>
          <w:rFonts w:hint="eastAsia" w:ascii="CESI仿宋-GB2312" w:hAnsi="CESI仿宋-GB2312" w:eastAsia="CESI仿宋-GB2312" w:cs="CESI仿宋-GB2312"/>
          <w:kern w:val="0"/>
          <w:sz w:val="32"/>
          <w:szCs w:val="32"/>
        </w:rPr>
        <w:t>5.社会保障和就业支出（类）抚恤（款）其他优抚支出（项）2022年预算数为1.63万元，与上年预算数持平。</w:t>
      </w:r>
    </w:p>
    <w:p>
      <w:pPr>
        <w:widowControl/>
        <w:shd w:val="clear" w:color="auto" w:fill="FFFFFF"/>
        <w:spacing w:line="576" w:lineRule="exact"/>
        <w:ind w:firstLine="640" w:firstLineChars="200"/>
        <w:jc w:val="left"/>
        <w:rPr>
          <w:rFonts w:hint="eastAsia" w:ascii="CESI仿宋-GB2312" w:hAnsi="CESI仿宋-GB2312" w:eastAsia="CESI仿宋-GB2312" w:cs="CESI仿宋-GB2312"/>
          <w:kern w:val="0"/>
          <w:sz w:val="32"/>
          <w:szCs w:val="32"/>
        </w:rPr>
      </w:pPr>
      <w:r>
        <w:rPr>
          <w:rFonts w:hint="eastAsia" w:ascii="CESI仿宋-GB2312" w:hAnsi="CESI仿宋-GB2312" w:eastAsia="CESI仿宋-GB2312" w:cs="CESI仿宋-GB2312"/>
          <w:kern w:val="0"/>
          <w:sz w:val="32"/>
          <w:szCs w:val="32"/>
        </w:rPr>
        <w:t>6.卫生健康支出（类）行政事业单位医疗（款）事业单位医疗（项）2022年预算数为28.25万元，与上年预算数持平。</w:t>
      </w:r>
    </w:p>
    <w:p>
      <w:pPr>
        <w:widowControl/>
        <w:shd w:val="clear" w:color="auto" w:fill="FFFFFF"/>
        <w:spacing w:line="576" w:lineRule="exact"/>
        <w:ind w:firstLine="640" w:firstLineChars="200"/>
        <w:jc w:val="left"/>
        <w:rPr>
          <w:rFonts w:hint="eastAsia" w:ascii="CESI仿宋-GB2312" w:hAnsi="CESI仿宋-GB2312" w:eastAsia="CESI仿宋-GB2312" w:cs="CESI仿宋-GB2312"/>
          <w:kern w:val="0"/>
          <w:sz w:val="32"/>
          <w:szCs w:val="32"/>
        </w:rPr>
      </w:pPr>
      <w:r>
        <w:rPr>
          <w:rFonts w:hint="eastAsia" w:ascii="CESI仿宋-GB2312" w:hAnsi="CESI仿宋-GB2312" w:eastAsia="CESI仿宋-GB2312" w:cs="CESI仿宋-GB2312"/>
          <w:kern w:val="0"/>
          <w:sz w:val="32"/>
          <w:szCs w:val="32"/>
        </w:rPr>
        <w:t>7.住房保障支出（类）住房改革支出（款）住房公积金（项）2022年预算数为42.24万元，与上年预算数持平。</w:t>
      </w:r>
    </w:p>
    <w:p>
      <w:pPr>
        <w:widowControl/>
        <w:shd w:val="clear" w:color="auto" w:fill="FFFFFF"/>
        <w:spacing w:line="576" w:lineRule="exact"/>
        <w:ind w:firstLine="640" w:firstLineChars="200"/>
        <w:jc w:val="left"/>
        <w:rPr>
          <w:rFonts w:hint="eastAsia" w:ascii="CESI仿宋-GB2312" w:hAnsi="CESI仿宋-GB2312" w:eastAsia="CESI仿宋-GB2312" w:cs="CESI仿宋-GB2312"/>
          <w:kern w:val="0"/>
          <w:sz w:val="32"/>
          <w:szCs w:val="32"/>
        </w:rPr>
      </w:pPr>
      <w:r>
        <w:rPr>
          <w:rFonts w:hint="eastAsia" w:ascii="黑体" w:hAnsi="黑体" w:eastAsia="黑体" w:cs="黑体"/>
          <w:kern w:val="0"/>
          <w:sz w:val="32"/>
          <w:szCs w:val="32"/>
        </w:rPr>
        <w:t>三、关于海南省锅炉压力容器与特种设备检验所2022年一般公共预算基本支出情况说明</w:t>
      </w:r>
    </w:p>
    <w:p>
      <w:pPr>
        <w:widowControl/>
        <w:shd w:val="clear" w:color="auto" w:fill="FFFFFF"/>
        <w:spacing w:line="576" w:lineRule="exact"/>
        <w:ind w:firstLine="640" w:firstLineChars="200"/>
        <w:jc w:val="left"/>
        <w:rPr>
          <w:rFonts w:hint="eastAsia" w:ascii="CESI仿宋-GB2312" w:hAnsi="CESI仿宋-GB2312" w:eastAsia="CESI仿宋-GB2312" w:cs="CESI仿宋-GB2312"/>
          <w:kern w:val="0"/>
          <w:sz w:val="32"/>
          <w:szCs w:val="32"/>
        </w:rPr>
      </w:pPr>
      <w:r>
        <w:rPr>
          <w:rFonts w:hint="eastAsia" w:ascii="CESI仿宋-GB2312" w:hAnsi="CESI仿宋-GB2312" w:eastAsia="CESI仿宋-GB2312" w:cs="CESI仿宋-GB2312"/>
          <w:kern w:val="0"/>
          <w:sz w:val="32"/>
          <w:szCs w:val="32"/>
        </w:rPr>
        <w:t>海南省锅炉压力容器与特种设备检验所2022年一般公共预算基本支出为1,847.64万元，其中：</w:t>
      </w:r>
    </w:p>
    <w:p>
      <w:pPr>
        <w:widowControl/>
        <w:shd w:val="clear" w:color="auto" w:fill="FFFFFF"/>
        <w:spacing w:line="576" w:lineRule="exact"/>
        <w:ind w:firstLine="640" w:firstLineChars="200"/>
        <w:jc w:val="left"/>
        <w:rPr>
          <w:rFonts w:hint="eastAsia" w:ascii="CESI仿宋-GB2312" w:hAnsi="CESI仿宋-GB2312" w:eastAsia="CESI仿宋-GB2312" w:cs="CESI仿宋-GB2312"/>
          <w:kern w:val="0"/>
          <w:sz w:val="32"/>
          <w:szCs w:val="32"/>
        </w:rPr>
      </w:pPr>
      <w:r>
        <w:rPr>
          <w:rFonts w:hint="eastAsia" w:ascii="CESI仿宋-GB2312" w:hAnsi="CESI仿宋-GB2312" w:eastAsia="CESI仿宋-GB2312" w:cs="CESI仿宋-GB2312"/>
          <w:kern w:val="0"/>
          <w:sz w:val="32"/>
          <w:szCs w:val="32"/>
        </w:rPr>
        <w:t>人员经费1,594.10万元，主要包括：基本工资、津贴补贴、绩效工资、机关事业单位基本养老保险缴费、职业年金缴费、职工基本医疗保险缴费、公务员医疗补助缴费、其他社会保障缴费、住房公积金、医疗费、其他工资福利支出、邮电费、生活补助、奖励金、其他对个人和家庭的补助。</w:t>
      </w:r>
    </w:p>
    <w:p>
      <w:pPr>
        <w:widowControl/>
        <w:shd w:val="clear" w:color="auto" w:fill="FFFFFF"/>
        <w:spacing w:line="576" w:lineRule="exact"/>
        <w:ind w:firstLine="640" w:firstLineChars="200"/>
        <w:jc w:val="left"/>
        <w:rPr>
          <w:rFonts w:ascii="仿宋_GB2312" w:hAnsi="黑体" w:eastAsia="仿宋_GB2312"/>
          <w:sz w:val="32"/>
          <w:szCs w:val="32"/>
        </w:rPr>
      </w:pPr>
      <w:r>
        <w:rPr>
          <w:rFonts w:hint="eastAsia" w:ascii="CESI仿宋-GB2312" w:hAnsi="CESI仿宋-GB2312" w:eastAsia="CESI仿宋-GB2312" w:cs="CESI仿宋-GB2312"/>
          <w:kern w:val="0"/>
          <w:sz w:val="32"/>
          <w:szCs w:val="32"/>
        </w:rPr>
        <w:t>公用经费253.54万元，主要包括：办公费、印刷费、咨询费、手续费、水费、电费、邮电费、物业管理费、差旅费、维修（护）费、会议费、培训费、公务接待费、劳务费、工会经费、公务用车运行维护费、其他商品和服务支出、生活补助、其他对个人和家庭的补助、办公设备购置、其他社会保障缴费。</w:t>
      </w:r>
    </w:p>
    <w:p>
      <w:pPr>
        <w:widowControl/>
        <w:shd w:val="clear" w:color="auto" w:fill="FFFFFF"/>
        <w:spacing w:line="576" w:lineRule="exact"/>
        <w:ind w:firstLine="640" w:firstLineChars="200"/>
        <w:jc w:val="left"/>
        <w:rPr>
          <w:rFonts w:hint="eastAsia" w:ascii="黑体" w:hAnsi="黑体" w:eastAsia="黑体" w:cs="黑体"/>
          <w:kern w:val="0"/>
          <w:sz w:val="32"/>
          <w:szCs w:val="32"/>
        </w:rPr>
      </w:pPr>
      <w:r>
        <w:rPr>
          <w:rFonts w:hint="eastAsia" w:ascii="黑体" w:hAnsi="黑体" w:eastAsia="黑体" w:cs="黑体"/>
          <w:kern w:val="0"/>
          <w:sz w:val="32"/>
          <w:szCs w:val="32"/>
        </w:rPr>
        <w:t>四、海南省锅炉压力容器与特种设备检验所2022年“三公”经费预算情况说明</w:t>
      </w:r>
    </w:p>
    <w:p>
      <w:pPr>
        <w:spacing w:line="576" w:lineRule="exact"/>
        <w:ind w:firstLine="640" w:firstLineChars="200"/>
        <w:rPr>
          <w:rFonts w:ascii="CESI仿宋-GB2312" w:hAnsi="CESI仿宋-GB2312" w:eastAsia="CESI仿宋-GB2312" w:cs="CESI仿宋-GB2312"/>
          <w:sz w:val="32"/>
          <w:szCs w:val="32"/>
        </w:rPr>
      </w:pPr>
      <w:r>
        <w:rPr>
          <w:rFonts w:hint="eastAsia" w:ascii="楷体" w:hAnsi="楷体" w:eastAsia="楷体"/>
          <w:sz w:val="32"/>
          <w:szCs w:val="32"/>
        </w:rPr>
        <w:t>（一）海南省锅炉压力容器与特种设备检验所2022年一般公共预算“三公”经费预算数为34.17万元，其中：</w:t>
      </w:r>
    </w:p>
    <w:p>
      <w:pPr>
        <w:spacing w:line="576" w:lineRule="exact"/>
        <w:ind w:firstLine="640" w:firstLineChars="200"/>
        <w:rPr>
          <w:rFonts w:hint="eastAsia" w:ascii="CESI仿宋-GB2312" w:hAnsi="CESI仿宋-GB2312" w:eastAsia="CESI仿宋-GB2312" w:cs="CESI仿宋-GB2312"/>
          <w:kern w:val="0"/>
          <w:sz w:val="32"/>
          <w:szCs w:val="32"/>
        </w:rPr>
      </w:pPr>
      <w:r>
        <w:rPr>
          <w:rFonts w:hint="eastAsia" w:ascii="CESI仿宋-GB2312" w:hAnsi="CESI仿宋-GB2312" w:eastAsia="CESI仿宋-GB2312" w:cs="CESI仿宋-GB2312"/>
          <w:kern w:val="0"/>
          <w:sz w:val="32"/>
          <w:szCs w:val="32"/>
        </w:rPr>
        <w:t>因公出国（境）经费0万元，与上年持平;公务用车购置及运行费33.17万元（其中，公务用车购置费0万元，公务用车运行费33.17万元），与上年预算数持平。公务车保有量4辆，计划购置2辆；公务接待费1万元，与上年预算数持平。计划接待7批21人次。</w:t>
      </w:r>
    </w:p>
    <w:p>
      <w:pPr>
        <w:spacing w:line="576" w:lineRule="exact"/>
        <w:ind w:firstLine="630"/>
        <w:rPr>
          <w:rFonts w:ascii="CESI仿宋-GB2312" w:hAnsi="CESI仿宋-GB2312" w:eastAsia="CESI仿宋-GB2312" w:cs="CESI仿宋-GB2312"/>
          <w:sz w:val="32"/>
          <w:szCs w:val="32"/>
        </w:rPr>
      </w:pPr>
      <w:r>
        <w:rPr>
          <w:rFonts w:hint="eastAsia" w:ascii="楷体" w:hAnsi="楷体" w:eastAsia="楷体"/>
          <w:sz w:val="32"/>
          <w:szCs w:val="32"/>
        </w:rPr>
        <w:t>（二）海南省锅炉压力容器与特种设备检验所2022年政府性基金预算“三公”经费预算数为0万元。</w:t>
      </w:r>
    </w:p>
    <w:p>
      <w:pPr>
        <w:spacing w:line="576" w:lineRule="exact"/>
        <w:ind w:firstLine="640" w:firstLineChars="200"/>
        <w:rPr>
          <w:rFonts w:ascii="CESI黑体-GB2312" w:hAnsi="CESI黑体-GB2312" w:eastAsia="CESI黑体-GB2312" w:cs="CESI黑体-GB2312"/>
          <w:sz w:val="32"/>
          <w:szCs w:val="32"/>
        </w:rPr>
      </w:pPr>
      <w:r>
        <w:rPr>
          <w:rFonts w:hint="eastAsia" w:ascii="黑体" w:hAnsi="黑体" w:eastAsia="黑体" w:cs="黑体"/>
          <w:kern w:val="0"/>
          <w:sz w:val="32"/>
          <w:szCs w:val="32"/>
        </w:rPr>
        <w:t>五、关于海南省锅炉压力容器与特种设备检验所2022年政府性基金预算当年拨款情况说明</w:t>
      </w:r>
    </w:p>
    <w:p>
      <w:pPr>
        <w:spacing w:line="576" w:lineRule="exact"/>
        <w:ind w:firstLine="640" w:firstLineChars="200"/>
        <w:rPr>
          <w:rFonts w:ascii="CESI仿宋-GB2312" w:hAnsi="CESI仿宋-GB2312" w:eastAsia="CESI仿宋-GB2312" w:cs="CESI仿宋-GB2312"/>
          <w:sz w:val="32"/>
          <w:szCs w:val="32"/>
        </w:rPr>
      </w:pPr>
      <w:r>
        <w:rPr>
          <w:rFonts w:hint="eastAsia" w:ascii="CESI仿宋-GB2312" w:hAnsi="CESI仿宋-GB2312" w:eastAsia="CESI仿宋-GB2312" w:cs="CESI仿宋-GB2312"/>
          <w:kern w:val="0"/>
          <w:sz w:val="32"/>
          <w:szCs w:val="32"/>
        </w:rPr>
        <w:t>海南省锅炉压力容器与特种设备检验所2022年无政府性基金预算。</w:t>
      </w:r>
    </w:p>
    <w:p>
      <w:pPr>
        <w:spacing w:line="576" w:lineRule="exact"/>
        <w:ind w:firstLine="640" w:firstLineChars="200"/>
        <w:rPr>
          <w:rFonts w:ascii="CESI黑体-GB2312" w:hAnsi="CESI黑体-GB2312" w:eastAsia="CESI黑体-GB2312" w:cs="CESI黑体-GB2312"/>
          <w:sz w:val="32"/>
          <w:szCs w:val="32"/>
        </w:rPr>
      </w:pPr>
      <w:r>
        <w:rPr>
          <w:rFonts w:hint="eastAsia" w:ascii="黑体" w:hAnsi="黑体" w:eastAsia="黑体" w:cs="黑体"/>
          <w:kern w:val="0"/>
          <w:sz w:val="32"/>
          <w:szCs w:val="32"/>
        </w:rPr>
        <w:t>六、关于海南省锅炉压力容器与特种设备检验所2022年收支预算情况的总体说明</w:t>
      </w:r>
    </w:p>
    <w:p>
      <w:pPr>
        <w:spacing w:line="576" w:lineRule="exact"/>
        <w:ind w:firstLine="640" w:firstLineChars="200"/>
        <w:rPr>
          <w:rFonts w:ascii="CESI仿宋-GB2312" w:hAnsi="CESI仿宋-GB2312" w:eastAsia="CESI仿宋-GB2312" w:cs="CESI仿宋-GB2312"/>
          <w:sz w:val="32"/>
          <w:szCs w:val="32"/>
        </w:rPr>
      </w:pPr>
      <w:r>
        <w:rPr>
          <w:rFonts w:hint="eastAsia" w:ascii="CESI仿宋-GB2312" w:hAnsi="CESI仿宋-GB2312" w:eastAsia="CESI仿宋-GB2312" w:cs="CESI仿宋-GB2312"/>
          <w:kern w:val="0"/>
          <w:sz w:val="32"/>
          <w:szCs w:val="32"/>
        </w:rPr>
        <w:t>按照综合预算原则，海南省锅炉压力容器与特种设备检验所所有收入和支出均纳入预算管理。收入包括：一般公共预算拨款收入2826.64万元，上年结转11.8万元；支出包括：一般公共服务支出2655.62万元，社会保障和就业支出65.82万元，卫生健康支出74.75万元，住房保障支出42.24万元。海南省锅炉压力容器与特种设备检验所2022年收支总预算2,838.44万元。</w:t>
      </w:r>
    </w:p>
    <w:p>
      <w:pPr>
        <w:spacing w:line="576" w:lineRule="exact"/>
        <w:ind w:firstLine="640" w:firstLineChars="200"/>
        <w:rPr>
          <w:rFonts w:ascii="CESI黑体-GB2312" w:hAnsi="CESI黑体-GB2312" w:eastAsia="CESI黑体-GB2312" w:cs="CESI黑体-GB2312"/>
          <w:sz w:val="32"/>
          <w:szCs w:val="32"/>
        </w:rPr>
      </w:pPr>
      <w:r>
        <w:rPr>
          <w:rFonts w:hint="eastAsia" w:ascii="黑体" w:hAnsi="黑体" w:eastAsia="黑体" w:cs="黑体"/>
          <w:kern w:val="0"/>
          <w:sz w:val="32"/>
          <w:szCs w:val="32"/>
        </w:rPr>
        <w:t>七、关于海南省锅炉压力容器与特种设备检验所2022年收入预算情况说明</w:t>
      </w:r>
    </w:p>
    <w:p>
      <w:pPr>
        <w:spacing w:line="576" w:lineRule="exact"/>
        <w:ind w:firstLine="640" w:firstLineChars="200"/>
        <w:rPr>
          <w:rFonts w:ascii="CESI仿宋-GB2312" w:hAnsi="CESI仿宋-GB2312" w:eastAsia="CESI仿宋-GB2312" w:cs="CESI仿宋-GB2312"/>
          <w:sz w:val="32"/>
          <w:szCs w:val="32"/>
        </w:rPr>
      </w:pPr>
      <w:r>
        <w:rPr>
          <w:rFonts w:hint="eastAsia" w:ascii="CESI仿宋-GB2312" w:hAnsi="CESI仿宋-GB2312" w:eastAsia="CESI仿宋-GB2312" w:cs="CESI仿宋-GB2312"/>
          <w:kern w:val="0"/>
          <w:sz w:val="32"/>
          <w:szCs w:val="32"/>
        </w:rPr>
        <w:t>海南省锅炉压力容器与特种设备检验所2022年收入预算2,838.44万元，其中：上年结转11.8万元，占0.42%，一般公共经费拨款收入2,826.64万元，占99.58%；与上年预算数持平。</w:t>
      </w:r>
    </w:p>
    <w:p>
      <w:pPr>
        <w:spacing w:line="576" w:lineRule="exact"/>
        <w:ind w:firstLine="640" w:firstLineChars="200"/>
        <w:jc w:val="left"/>
        <w:rPr>
          <w:rFonts w:ascii="CESI黑体-GB2312" w:hAnsi="CESI黑体-GB2312" w:eastAsia="CESI黑体-GB2312" w:cs="CESI黑体-GB2312"/>
          <w:sz w:val="32"/>
          <w:szCs w:val="32"/>
        </w:rPr>
      </w:pPr>
      <w:r>
        <w:rPr>
          <w:rFonts w:hint="eastAsia" w:ascii="黑体" w:hAnsi="黑体" w:eastAsia="黑体" w:cs="黑体"/>
          <w:kern w:val="0"/>
          <w:sz w:val="32"/>
          <w:szCs w:val="32"/>
        </w:rPr>
        <w:t>八、关于海南省锅炉压力容器与特种设备检验所2022年支出预算情况说明</w:t>
      </w:r>
    </w:p>
    <w:p>
      <w:pPr>
        <w:spacing w:line="576" w:lineRule="exact"/>
        <w:ind w:firstLine="640" w:firstLineChars="200"/>
        <w:jc w:val="left"/>
        <w:rPr>
          <w:rFonts w:ascii="CESI仿宋-GB2312" w:hAnsi="CESI仿宋-GB2312" w:eastAsia="CESI仿宋-GB2312" w:cs="CESI仿宋-GB2312"/>
          <w:sz w:val="32"/>
          <w:szCs w:val="32"/>
        </w:rPr>
      </w:pPr>
      <w:r>
        <w:rPr>
          <w:rFonts w:hint="eastAsia" w:ascii="CESI仿宋-GB2312" w:hAnsi="CESI仿宋-GB2312" w:eastAsia="CESI仿宋-GB2312" w:cs="CESI仿宋-GB2312"/>
          <w:kern w:val="0"/>
          <w:sz w:val="32"/>
          <w:szCs w:val="32"/>
        </w:rPr>
        <w:t>海南省锅炉压力容器与特种设备检验所2022年支出预算2,838.43万元，其中：基本支出1,847.64万元，占65.09%；项目支出990.79万元，占34.91%。与上年预算数持平。</w:t>
      </w:r>
    </w:p>
    <w:p>
      <w:pPr>
        <w:pStyle w:val="8"/>
        <w:numPr>
          <w:ilvl w:val="0"/>
          <w:numId w:val="0"/>
        </w:numPr>
        <w:spacing w:line="576" w:lineRule="exact"/>
        <w:ind w:left="640" w:leftChars="0"/>
        <w:rPr>
          <w:rFonts w:ascii="CESI黑体-GB2312" w:hAnsi="CESI黑体-GB2312" w:eastAsia="CESI黑体-GB2312" w:cs="CESI黑体-GB2312"/>
          <w:sz w:val="32"/>
          <w:szCs w:val="32"/>
        </w:rPr>
      </w:pPr>
      <w:r>
        <w:rPr>
          <w:rFonts w:hint="eastAsia" w:ascii="黑体" w:hAnsi="黑体" w:eastAsia="黑体" w:cs="黑体"/>
          <w:kern w:val="0"/>
          <w:sz w:val="32"/>
          <w:szCs w:val="32"/>
          <w:lang w:val="en-US" w:eastAsia="zh-CN" w:bidi="ar-SA"/>
        </w:rPr>
        <w:t>九、其他重要事项的情况说明</w:t>
      </w:r>
    </w:p>
    <w:p>
      <w:pPr>
        <w:spacing w:line="576" w:lineRule="exact"/>
        <w:ind w:firstLine="480" w:firstLineChars="150"/>
        <w:rPr>
          <w:rFonts w:ascii="楷体" w:hAnsi="楷体" w:eastAsia="楷体"/>
          <w:color w:val="FF0000"/>
          <w:sz w:val="32"/>
          <w:szCs w:val="32"/>
        </w:rPr>
      </w:pPr>
      <w:r>
        <w:rPr>
          <w:rFonts w:hint="eastAsia" w:ascii="楷体" w:hAnsi="楷体" w:eastAsia="楷体"/>
          <w:sz w:val="32"/>
          <w:szCs w:val="32"/>
        </w:rPr>
        <w:t>（一）机关运行经费</w:t>
      </w:r>
    </w:p>
    <w:p>
      <w:pPr>
        <w:pStyle w:val="8"/>
        <w:spacing w:line="576" w:lineRule="exact"/>
        <w:ind w:firstLine="640"/>
        <w:jc w:val="left"/>
        <w:rPr>
          <w:rFonts w:ascii="CESI仿宋-GB2312" w:hAnsi="CESI仿宋-GB2312" w:eastAsia="CESI仿宋-GB2312" w:cs="CESI仿宋-GB2312"/>
          <w:sz w:val="32"/>
          <w:szCs w:val="32"/>
        </w:rPr>
      </w:pPr>
      <w:r>
        <w:rPr>
          <w:rFonts w:hint="eastAsia" w:ascii="CESI仿宋-GB2312" w:hAnsi="CESI仿宋-GB2312" w:eastAsia="CESI仿宋-GB2312" w:cs="CESI仿宋-GB2312"/>
          <w:kern w:val="0"/>
          <w:sz w:val="32"/>
          <w:szCs w:val="32"/>
          <w:lang w:val="en-US" w:eastAsia="zh-CN" w:bidi="ar-SA"/>
        </w:rPr>
        <w:t>2022年海南省锅炉压力容器与特种设备检验所无机关运行经费。</w:t>
      </w:r>
    </w:p>
    <w:p>
      <w:pPr>
        <w:spacing w:line="576" w:lineRule="exact"/>
        <w:ind w:firstLine="640" w:firstLineChars="200"/>
        <w:rPr>
          <w:rFonts w:ascii="楷体" w:hAnsi="楷体" w:eastAsia="楷体"/>
          <w:sz w:val="32"/>
          <w:szCs w:val="32"/>
        </w:rPr>
      </w:pPr>
      <w:r>
        <w:rPr>
          <w:rFonts w:hint="eastAsia" w:ascii="楷体" w:hAnsi="楷体" w:eastAsia="楷体"/>
          <w:sz w:val="32"/>
          <w:szCs w:val="32"/>
        </w:rPr>
        <w:t>（二）政府采购情况</w:t>
      </w:r>
    </w:p>
    <w:p>
      <w:pPr>
        <w:spacing w:line="576" w:lineRule="exact"/>
        <w:ind w:firstLine="640"/>
        <w:rPr>
          <w:rFonts w:ascii="CESI仿宋-GB2312" w:hAnsi="CESI仿宋-GB2312" w:eastAsia="CESI仿宋-GB2312" w:cs="CESI仿宋-GB2312"/>
          <w:sz w:val="32"/>
          <w:szCs w:val="32"/>
        </w:rPr>
      </w:pPr>
      <w:r>
        <w:rPr>
          <w:rFonts w:hint="eastAsia" w:ascii="CESI仿宋-GB2312" w:hAnsi="CESI仿宋-GB2312" w:eastAsia="CESI仿宋-GB2312" w:cs="CESI仿宋-GB2312"/>
          <w:kern w:val="0"/>
          <w:sz w:val="32"/>
          <w:szCs w:val="32"/>
        </w:rPr>
        <w:t>2022年海南省锅炉压力容器与特种设备检验所政府采购预算总额279.22万元，其中：政府采购货物预算279.22万元，政府采购工程预算0万元，政府采购服务预算0万元。</w:t>
      </w:r>
    </w:p>
    <w:p>
      <w:pPr>
        <w:spacing w:line="576" w:lineRule="exact"/>
        <w:ind w:firstLine="640" w:firstLineChars="200"/>
        <w:rPr>
          <w:rFonts w:ascii="楷体" w:hAnsi="楷体" w:eastAsia="楷体"/>
          <w:sz w:val="32"/>
          <w:szCs w:val="32"/>
        </w:rPr>
      </w:pPr>
      <w:r>
        <w:rPr>
          <w:rFonts w:hint="eastAsia" w:ascii="楷体" w:hAnsi="楷体" w:eastAsia="楷体"/>
          <w:sz w:val="32"/>
          <w:szCs w:val="32"/>
        </w:rPr>
        <w:t>（三）国有资产占有使用情况</w:t>
      </w:r>
    </w:p>
    <w:p>
      <w:pPr>
        <w:spacing w:line="576" w:lineRule="exact"/>
        <w:ind w:firstLine="640" w:firstLineChars="200"/>
        <w:rPr>
          <w:rFonts w:ascii="CESI仿宋-GB2312" w:hAnsi="CESI仿宋-GB2312" w:eastAsia="CESI仿宋-GB2312" w:cs="CESI仿宋-GB2312"/>
          <w:sz w:val="32"/>
          <w:szCs w:val="32"/>
        </w:rPr>
      </w:pPr>
      <w:r>
        <w:rPr>
          <w:rFonts w:hint="eastAsia" w:ascii="CESI仿宋-GB2312" w:hAnsi="CESI仿宋-GB2312" w:eastAsia="CESI仿宋-GB2312" w:cs="CESI仿宋-GB2312"/>
          <w:kern w:val="0"/>
          <w:sz w:val="32"/>
          <w:szCs w:val="32"/>
        </w:rPr>
        <w:t>截至2021年12月31日，海南省锅炉压力容器与特种设备检验所共有车辆4辆，其中特种专业技术用车3辆，其他用车1辆。单位价值100万元以上设备2台（套）。</w:t>
      </w:r>
    </w:p>
    <w:p>
      <w:pPr>
        <w:spacing w:line="576" w:lineRule="exact"/>
        <w:ind w:firstLine="640" w:firstLineChars="200"/>
        <w:rPr>
          <w:rFonts w:ascii="楷体" w:hAnsi="楷体" w:eastAsia="楷体"/>
          <w:sz w:val="32"/>
          <w:szCs w:val="32"/>
        </w:rPr>
      </w:pPr>
      <w:r>
        <w:rPr>
          <w:rFonts w:hint="eastAsia" w:ascii="楷体" w:hAnsi="楷体" w:eastAsia="楷体"/>
          <w:sz w:val="32"/>
          <w:szCs w:val="32"/>
        </w:rPr>
        <w:t>（四）绩效目标设置情况</w:t>
      </w:r>
    </w:p>
    <w:p>
      <w:pPr>
        <w:spacing w:line="576"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kern w:val="0"/>
          <w:sz w:val="32"/>
          <w:szCs w:val="32"/>
        </w:rPr>
        <w:t>2022年海南省锅炉压力容器与特种设备检验所 20个项目实行绩效目标管理，涉及一般公共预算2,826.64万元,单位其他自有资金11.8万元。</w:t>
      </w:r>
    </w:p>
    <w:p>
      <w:pPr>
        <w:widowControl/>
        <w:shd w:val="clear" w:color="auto" w:fill="FFFFFF"/>
        <w:spacing w:line="576" w:lineRule="exact"/>
        <w:ind w:firstLine="640" w:firstLineChars="200"/>
        <w:jc w:val="left"/>
        <w:rPr>
          <w:rFonts w:hint="eastAsia" w:ascii="CESI仿宋-GB2312" w:hAnsi="CESI仿宋-GB2312" w:eastAsia="CESI仿宋-GB2312" w:cs="CESI仿宋-GB2312"/>
          <w:kern w:val="0"/>
          <w:sz w:val="32"/>
          <w:szCs w:val="32"/>
        </w:rPr>
      </w:pPr>
      <w:r>
        <w:rPr>
          <w:rFonts w:hint="eastAsia" w:ascii="CESI仿宋-GB2312" w:hAnsi="CESI仿宋-GB2312" w:eastAsia="CESI仿宋-GB2312" w:cs="CESI仿宋-GB2312"/>
          <w:kern w:val="0"/>
          <w:sz w:val="32"/>
          <w:szCs w:val="32"/>
        </w:rPr>
        <w:t>其中，重点项目预算绩效情况：</w:t>
      </w:r>
    </w:p>
    <w:p>
      <w:pPr>
        <w:widowControl/>
        <w:shd w:val="clear" w:color="auto" w:fill="FFFFFF"/>
        <w:spacing w:line="576" w:lineRule="exact"/>
        <w:ind w:firstLine="640" w:firstLineChars="200"/>
        <w:jc w:val="left"/>
        <w:rPr>
          <w:rFonts w:hint="eastAsia" w:ascii="CESI仿宋-GB2312" w:hAnsi="CESI仿宋-GB2312" w:eastAsia="CESI仿宋-GB2312" w:cs="CESI仿宋-GB2312"/>
          <w:sz w:val="32"/>
          <w:szCs w:val="32"/>
        </w:rPr>
      </w:pPr>
      <w:r>
        <w:rPr>
          <w:rFonts w:hint="eastAsia" w:ascii="CESI仿宋-GB2312" w:hAnsi="CESI仿宋-GB2312" w:eastAsia="CESI仿宋-GB2312" w:cs="CESI仿宋-GB2312"/>
          <w:kern w:val="0"/>
          <w:sz w:val="32"/>
          <w:szCs w:val="32"/>
        </w:rPr>
        <w:t>1.事业运行项目，预算安排633.66万元，主要用于特种设备检验检测及检验相关业务培训费。绩效目标：对全省特种设备进行检验检测，特种设备检验数量达60000台/套，接受检验相关业务培训达80人次以上，提高检验人员的检验能力及水平，检验员持证上岗率100%，确保特种设备能够在安全状态下运行，为企业安全生产及财产安全提供保障，有效防范各种特种设备事故的发生，为海南自贸港建设保驾护航。</w:t>
      </w:r>
    </w:p>
    <w:p>
      <w:pPr>
        <w:widowControl/>
        <w:shd w:val="clear" w:color="auto" w:fill="FFFFFF"/>
        <w:spacing w:line="576" w:lineRule="exact"/>
        <w:ind w:firstLine="640" w:firstLineChars="200"/>
        <w:jc w:val="left"/>
        <w:rPr>
          <w:rFonts w:hint="eastAsia" w:ascii="CESI仿宋-GB2312" w:hAnsi="CESI仿宋-GB2312" w:eastAsia="CESI仿宋-GB2312" w:cs="CESI仿宋-GB2312"/>
          <w:kern w:val="0"/>
          <w:sz w:val="32"/>
          <w:szCs w:val="32"/>
        </w:rPr>
      </w:pPr>
      <w:r>
        <w:rPr>
          <w:rFonts w:hint="eastAsia" w:ascii="CESI仿宋-GB2312" w:hAnsi="CESI仿宋-GB2312" w:eastAsia="CESI仿宋-GB2312" w:cs="CESI仿宋-GB2312"/>
          <w:kern w:val="0"/>
          <w:sz w:val="32"/>
          <w:szCs w:val="32"/>
        </w:rPr>
        <w:t>2.检验检测能力建设项目，预算安排279.22万元，主要用于购置更新检验专用设备，提高检验检测能力水平。绩效目标：检验专用设备的购置通过政府采购完成，设备政府采购率100%，设备使用年限大于5年，设备利用率达98%。</w:t>
      </w:r>
    </w:p>
    <w:p>
      <w:pPr>
        <w:widowControl/>
        <w:shd w:val="clear" w:color="auto" w:fill="FFFFFF"/>
        <w:spacing w:line="576" w:lineRule="exact"/>
        <w:ind w:firstLine="640" w:firstLineChars="200"/>
        <w:jc w:val="left"/>
        <w:rPr>
          <w:rFonts w:ascii="CESI仿宋-GB2312" w:hAnsi="CESI仿宋-GB2312" w:eastAsia="CESI仿宋-GB2312" w:cs="CESI仿宋-GB2312"/>
          <w:sz w:val="32"/>
          <w:szCs w:val="32"/>
        </w:rPr>
      </w:pPr>
      <w:r>
        <w:rPr>
          <w:rFonts w:hint="eastAsia" w:ascii="CESI仿宋-GB2312" w:hAnsi="CESI仿宋-GB2312" w:eastAsia="CESI仿宋-GB2312" w:cs="CESI仿宋-GB2312"/>
          <w:kern w:val="0"/>
          <w:sz w:val="32"/>
          <w:szCs w:val="32"/>
        </w:rPr>
        <w:t>3.设施维护与改造项目，预算安排15.18万元，主要用于单位设施的维修维护。绩效目标：确保单位设施完好、可使用，故障设施及时维修，为特种设备检验检测提供良好的后勤保障。</w:t>
      </w:r>
    </w:p>
    <w:p>
      <w:pPr>
        <w:spacing w:line="576" w:lineRule="exact"/>
        <w:rPr>
          <w:rFonts w:ascii="黑体" w:hAnsi="黑体" w:eastAsia="黑体"/>
          <w:sz w:val="32"/>
          <w:szCs w:val="32"/>
        </w:rPr>
      </w:pPr>
    </w:p>
    <w:p>
      <w:pPr>
        <w:spacing w:line="576" w:lineRule="exact"/>
        <w:jc w:val="center"/>
        <w:rPr>
          <w:rFonts w:ascii="黑体" w:hAnsi="黑体" w:eastAsia="黑体"/>
          <w:b/>
          <w:sz w:val="32"/>
          <w:szCs w:val="32"/>
        </w:rPr>
      </w:pPr>
      <w:r>
        <w:rPr>
          <w:rFonts w:hint="eastAsia" w:ascii="CESI黑体-GB2312" w:hAnsi="CESI黑体-GB2312" w:eastAsia="CESI黑体-GB2312" w:cs="CESI黑体-GB2312"/>
          <w:sz w:val="32"/>
          <w:szCs w:val="32"/>
        </w:rPr>
        <w:t>第四部分  名词解释</w:t>
      </w:r>
    </w:p>
    <w:p>
      <w:pPr>
        <w:spacing w:line="576" w:lineRule="exact"/>
        <w:ind w:firstLine="640" w:firstLineChars="200"/>
        <w:jc w:val="left"/>
        <w:rPr>
          <w:rFonts w:ascii="仿宋_GB2312" w:eastAsia="仿宋_GB2312" w:cs="宋体"/>
          <w:bCs/>
          <w:color w:val="000000"/>
          <w:kern w:val="0"/>
          <w:sz w:val="32"/>
          <w:szCs w:val="32"/>
          <w:lang w:val="zh-CN"/>
        </w:rPr>
      </w:pPr>
    </w:p>
    <w:p>
      <w:pPr>
        <w:widowControl/>
        <w:shd w:val="clear" w:color="auto" w:fill="FFFFFF"/>
        <w:spacing w:line="576" w:lineRule="exact"/>
        <w:ind w:firstLine="640" w:firstLineChars="200"/>
        <w:jc w:val="left"/>
        <w:rPr>
          <w:rFonts w:hint="eastAsia" w:ascii="CESI仿宋-GB2312" w:hAnsi="CESI仿宋-GB2312" w:eastAsia="CESI仿宋-GB2312" w:cs="CESI仿宋-GB2312"/>
          <w:kern w:val="0"/>
          <w:sz w:val="32"/>
          <w:szCs w:val="32"/>
        </w:rPr>
      </w:pPr>
      <w:r>
        <w:rPr>
          <w:rFonts w:hint="eastAsia" w:ascii="黑体" w:hAnsi="黑体" w:eastAsia="黑体" w:cs="黑体"/>
          <w:kern w:val="0"/>
          <w:sz w:val="32"/>
          <w:szCs w:val="32"/>
        </w:rPr>
        <w:t>一、财政拨款收入</w:t>
      </w:r>
      <w:r>
        <w:rPr>
          <w:rFonts w:hint="eastAsia" w:ascii="CESI仿宋-GB2312" w:hAnsi="CESI仿宋-GB2312" w:eastAsia="CESI仿宋-GB2312" w:cs="CESI仿宋-GB2312"/>
          <w:kern w:val="0"/>
          <w:sz w:val="32"/>
          <w:szCs w:val="32"/>
        </w:rPr>
        <w:t>：指本级财政当年拨付的资金。</w:t>
      </w:r>
    </w:p>
    <w:p>
      <w:pPr>
        <w:widowControl/>
        <w:shd w:val="clear" w:color="auto" w:fill="FFFFFF"/>
        <w:spacing w:line="576" w:lineRule="exact"/>
        <w:ind w:firstLine="640" w:firstLineChars="200"/>
        <w:jc w:val="left"/>
        <w:rPr>
          <w:rFonts w:hint="eastAsia" w:ascii="CESI仿宋-GB2312" w:hAnsi="CESI仿宋-GB2312" w:eastAsia="CESI仿宋-GB2312" w:cs="CESI仿宋-GB2312"/>
          <w:kern w:val="0"/>
          <w:sz w:val="32"/>
          <w:szCs w:val="32"/>
        </w:rPr>
      </w:pPr>
      <w:r>
        <w:rPr>
          <w:rFonts w:hint="eastAsia" w:ascii="黑体" w:hAnsi="黑体" w:eastAsia="黑体" w:cs="黑体"/>
          <w:kern w:val="0"/>
          <w:sz w:val="32"/>
          <w:szCs w:val="32"/>
        </w:rPr>
        <w:t>二、事业收入</w:t>
      </w:r>
      <w:r>
        <w:rPr>
          <w:rFonts w:hint="eastAsia" w:ascii="CESI仿宋-GB2312" w:hAnsi="CESI仿宋-GB2312" w:eastAsia="CESI仿宋-GB2312" w:cs="CESI仿宋-GB2312"/>
          <w:kern w:val="0"/>
          <w:sz w:val="32"/>
          <w:szCs w:val="32"/>
        </w:rPr>
        <w:t>：指事业单位开展专业业务活动及辅助活动取得的收入。</w:t>
      </w:r>
    </w:p>
    <w:p>
      <w:pPr>
        <w:widowControl/>
        <w:shd w:val="clear" w:color="auto" w:fill="FFFFFF"/>
        <w:spacing w:line="576" w:lineRule="exact"/>
        <w:ind w:firstLine="640" w:firstLineChars="200"/>
        <w:jc w:val="left"/>
        <w:rPr>
          <w:rFonts w:hint="eastAsia" w:ascii="CESI仿宋-GB2312" w:hAnsi="CESI仿宋-GB2312" w:eastAsia="CESI仿宋-GB2312" w:cs="CESI仿宋-GB2312"/>
          <w:kern w:val="0"/>
          <w:sz w:val="32"/>
          <w:szCs w:val="32"/>
        </w:rPr>
      </w:pPr>
      <w:r>
        <w:rPr>
          <w:rFonts w:hint="eastAsia" w:ascii="黑体" w:hAnsi="黑体" w:eastAsia="黑体" w:cs="黑体"/>
          <w:kern w:val="0"/>
          <w:sz w:val="32"/>
          <w:szCs w:val="32"/>
        </w:rPr>
        <w:t>三、经营收入</w:t>
      </w:r>
      <w:r>
        <w:rPr>
          <w:rFonts w:hint="eastAsia" w:ascii="CESI仿宋-GB2312" w:hAnsi="CESI仿宋-GB2312" w:eastAsia="CESI仿宋-GB2312" w:cs="CESI仿宋-GB2312"/>
          <w:kern w:val="0"/>
          <w:sz w:val="32"/>
          <w:szCs w:val="32"/>
        </w:rPr>
        <w:t>：指事业单位在专业业务活动及其辅助活动之外开展非独立核算经营活动取得的收入。</w:t>
      </w:r>
    </w:p>
    <w:p>
      <w:pPr>
        <w:widowControl/>
        <w:shd w:val="clear" w:color="auto" w:fill="FFFFFF"/>
        <w:spacing w:line="576" w:lineRule="exact"/>
        <w:ind w:firstLine="640" w:firstLineChars="200"/>
        <w:jc w:val="left"/>
        <w:rPr>
          <w:rFonts w:ascii="CESI仿宋-GB2312" w:hAnsi="CESI仿宋-GB2312" w:eastAsia="CESI仿宋-GB2312" w:cs="CESI仿宋-GB2312"/>
          <w:sz w:val="32"/>
          <w:szCs w:val="32"/>
        </w:rPr>
      </w:pPr>
      <w:r>
        <w:rPr>
          <w:rFonts w:hint="eastAsia" w:ascii="黑体" w:hAnsi="黑体" w:eastAsia="黑体" w:cs="黑体"/>
          <w:kern w:val="0"/>
          <w:sz w:val="32"/>
          <w:szCs w:val="32"/>
        </w:rPr>
        <w:t>四、其他收入</w:t>
      </w:r>
      <w:r>
        <w:rPr>
          <w:rFonts w:hint="eastAsia" w:ascii="CESI仿宋-GB2312" w:hAnsi="CESI仿宋-GB2312" w:eastAsia="CESI仿宋-GB2312" w:cs="CESI仿宋-GB2312"/>
          <w:kern w:val="0"/>
          <w:sz w:val="32"/>
          <w:szCs w:val="32"/>
        </w:rPr>
        <w:t>：指除上述“财政拨款收入”“事业收入”“经营收入”等以</w:t>
      </w:r>
      <w:r>
        <w:rPr>
          <w:rFonts w:hint="eastAsia" w:ascii="CESI仿宋-GB2312" w:hAnsi="CESI仿宋-GB2312" w:eastAsia="CESI仿宋-GB2312" w:cs="CESI仿宋-GB2312"/>
          <w:sz w:val="32"/>
          <w:szCs w:val="32"/>
        </w:rPr>
        <w:t>外的收入。</w:t>
      </w:r>
    </w:p>
    <w:p>
      <w:pPr>
        <w:spacing w:line="576" w:lineRule="exact"/>
        <w:ind w:firstLine="640" w:firstLineChars="200"/>
        <w:jc w:val="left"/>
        <w:rPr>
          <w:rFonts w:ascii="CESI仿宋-GB2312" w:hAnsi="CESI仿宋-GB2312" w:eastAsia="CESI仿宋-GB2312" w:cs="CESI仿宋-GB2312"/>
          <w:sz w:val="32"/>
          <w:szCs w:val="32"/>
        </w:rPr>
      </w:pPr>
      <w:r>
        <w:rPr>
          <w:rFonts w:hint="eastAsia" w:ascii="黑体" w:hAnsi="黑体" w:eastAsia="黑体" w:cs="黑体"/>
          <w:kern w:val="0"/>
          <w:sz w:val="32"/>
          <w:szCs w:val="32"/>
        </w:rPr>
        <w:t>五、年初结转和结余</w:t>
      </w:r>
      <w:r>
        <w:rPr>
          <w:rFonts w:hint="eastAsia" w:ascii="CESI仿宋-GB2312" w:hAnsi="CESI仿宋-GB2312" w:eastAsia="CESI仿宋-GB2312" w:cs="CESI仿宋-GB2312"/>
          <w:sz w:val="32"/>
          <w:szCs w:val="32"/>
        </w:rPr>
        <w:t>：指以前年度尚未完成、结转到本年按有关规定继续使用的资金。</w:t>
      </w:r>
    </w:p>
    <w:p>
      <w:pPr>
        <w:spacing w:line="576" w:lineRule="exact"/>
        <w:ind w:firstLine="640" w:firstLineChars="200"/>
        <w:jc w:val="left"/>
        <w:rPr>
          <w:rFonts w:ascii="CESI仿宋-GB2312" w:hAnsi="CESI仿宋-GB2312" w:eastAsia="CESI仿宋-GB2312" w:cs="CESI仿宋-GB2312"/>
          <w:sz w:val="32"/>
          <w:szCs w:val="32"/>
        </w:rPr>
      </w:pPr>
      <w:r>
        <w:rPr>
          <w:rFonts w:hint="eastAsia" w:ascii="黑体" w:hAnsi="黑体" w:eastAsia="黑体" w:cs="黑体"/>
          <w:kern w:val="0"/>
          <w:sz w:val="32"/>
          <w:szCs w:val="32"/>
        </w:rPr>
        <w:t>六、基本支出</w:t>
      </w:r>
      <w:r>
        <w:rPr>
          <w:rFonts w:hint="eastAsia" w:ascii="CESI仿宋-GB2312" w:hAnsi="CESI仿宋-GB2312" w:eastAsia="CESI仿宋-GB2312" w:cs="CESI仿宋-GB2312"/>
          <w:sz w:val="32"/>
          <w:szCs w:val="32"/>
        </w:rPr>
        <w:t xml:space="preserve">：指行政事业单位用于为保障其机构正常运转、完成日常工作任务而发生的人员支出和公用支出。   </w:t>
      </w:r>
    </w:p>
    <w:p>
      <w:pPr>
        <w:spacing w:line="576" w:lineRule="exact"/>
        <w:ind w:firstLine="640" w:firstLineChars="200"/>
        <w:jc w:val="left"/>
        <w:rPr>
          <w:rFonts w:ascii="CESI仿宋-GB2312" w:hAnsi="CESI仿宋-GB2312" w:eastAsia="CESI仿宋-GB2312" w:cs="CESI仿宋-GB2312"/>
          <w:sz w:val="32"/>
          <w:szCs w:val="32"/>
        </w:rPr>
      </w:pPr>
      <w:r>
        <w:rPr>
          <w:rFonts w:hint="eastAsia" w:ascii="黑体" w:hAnsi="黑体" w:eastAsia="黑体" w:cs="黑体"/>
          <w:kern w:val="0"/>
          <w:sz w:val="32"/>
          <w:szCs w:val="32"/>
        </w:rPr>
        <w:t>七、工资福利支出</w:t>
      </w:r>
      <w:r>
        <w:rPr>
          <w:rFonts w:hint="eastAsia" w:ascii="CESI仿宋-GB2312" w:hAnsi="CESI仿宋-GB2312" w:eastAsia="CESI仿宋-GB2312" w:cs="CESI仿宋-GB2312"/>
          <w:sz w:val="32"/>
          <w:szCs w:val="32"/>
        </w:rPr>
        <w:t>：反映单位开支的在职职工和编制外长期聘用人员的各类劳动报酬，以及为上述人员缴纳的各项社会保险费等。</w:t>
      </w:r>
    </w:p>
    <w:p>
      <w:pPr>
        <w:spacing w:line="576" w:lineRule="exact"/>
        <w:ind w:firstLine="640" w:firstLineChars="200"/>
        <w:jc w:val="left"/>
        <w:rPr>
          <w:rFonts w:ascii="CESI仿宋-GB2312" w:hAnsi="CESI仿宋-GB2312" w:eastAsia="CESI仿宋-GB2312" w:cs="CESI仿宋-GB2312"/>
          <w:sz w:val="32"/>
          <w:szCs w:val="32"/>
        </w:rPr>
      </w:pPr>
      <w:r>
        <w:rPr>
          <w:rFonts w:hint="eastAsia" w:ascii="黑体" w:hAnsi="黑体" w:eastAsia="黑体" w:cs="黑体"/>
          <w:kern w:val="0"/>
          <w:sz w:val="32"/>
          <w:szCs w:val="32"/>
        </w:rPr>
        <w:t>八、对个人和家庭的补助支出</w:t>
      </w:r>
      <w:r>
        <w:rPr>
          <w:rFonts w:hint="eastAsia" w:ascii="CESI仿宋-GB2312" w:hAnsi="CESI仿宋-GB2312" w:eastAsia="CESI仿宋-GB2312" w:cs="CESI仿宋-GB2312"/>
          <w:sz w:val="32"/>
          <w:szCs w:val="32"/>
        </w:rPr>
        <w:t>：反映政府用于对个人和家庭的补助支出，包括离休费、退休费、退职（役）费、抚恤金、生活补助、救济费、医疗费补助、助学金、独生子女奖励金、其他等。</w:t>
      </w:r>
    </w:p>
    <w:p>
      <w:pPr>
        <w:spacing w:line="576" w:lineRule="exact"/>
        <w:ind w:firstLine="640" w:firstLineChars="200"/>
        <w:jc w:val="left"/>
        <w:rPr>
          <w:rFonts w:ascii="CESI仿宋-GB2312" w:hAnsi="CESI仿宋-GB2312" w:eastAsia="CESI仿宋-GB2312" w:cs="CESI仿宋-GB2312"/>
          <w:sz w:val="32"/>
          <w:szCs w:val="32"/>
        </w:rPr>
      </w:pPr>
      <w:r>
        <w:rPr>
          <w:rFonts w:hint="eastAsia" w:ascii="黑体" w:hAnsi="黑体" w:eastAsia="黑体" w:cs="黑体"/>
          <w:kern w:val="0"/>
          <w:sz w:val="32"/>
          <w:szCs w:val="32"/>
        </w:rPr>
        <w:t>九、商品和服务支出</w:t>
      </w:r>
      <w:r>
        <w:rPr>
          <w:rFonts w:hint="eastAsia" w:ascii="CESI仿宋-GB2312" w:hAnsi="CESI仿宋-GB2312" w:eastAsia="CESI仿宋-GB2312" w:cs="CESI仿宋-GB2312"/>
          <w:sz w:val="32"/>
          <w:szCs w:val="32"/>
        </w:rPr>
        <w:t>：反映单位购买商品和服务的支出，包括办公费、水费、电费、邮电费、培训费、公务用车运行维护费、差旅费、因公出国（境）费用、公务接待费、工会经费、会议费、福利费、物业管理费、维修（护）费、其他等。</w:t>
      </w:r>
    </w:p>
    <w:p>
      <w:pPr>
        <w:spacing w:line="576" w:lineRule="exact"/>
        <w:ind w:firstLine="640" w:firstLineChars="200"/>
        <w:jc w:val="left"/>
        <w:rPr>
          <w:rFonts w:ascii="CESI仿宋-GB2312" w:hAnsi="CESI仿宋-GB2312" w:eastAsia="CESI仿宋-GB2312" w:cs="CESI仿宋-GB2312"/>
          <w:sz w:val="32"/>
          <w:szCs w:val="32"/>
        </w:rPr>
      </w:pPr>
      <w:r>
        <w:rPr>
          <w:rFonts w:hint="eastAsia" w:ascii="黑体" w:hAnsi="黑体" w:eastAsia="黑体" w:cs="黑体"/>
          <w:kern w:val="0"/>
          <w:sz w:val="32"/>
          <w:szCs w:val="32"/>
        </w:rPr>
        <w:t>十、项目支出</w:t>
      </w:r>
      <w:r>
        <w:rPr>
          <w:rFonts w:hint="eastAsia" w:ascii="CESI仿宋-GB2312" w:hAnsi="CESI仿宋-GB2312" w:eastAsia="CESI仿宋-GB2312" w:cs="CESI仿宋-GB2312"/>
          <w:sz w:val="32"/>
          <w:szCs w:val="32"/>
        </w:rPr>
        <w:t>：指各本级、各单位为完成其特定的工作任务和事业发展目标所发生的支出。</w:t>
      </w:r>
    </w:p>
    <w:p>
      <w:pPr>
        <w:spacing w:line="576" w:lineRule="exact"/>
        <w:ind w:firstLine="640" w:firstLineChars="200"/>
        <w:jc w:val="left"/>
        <w:rPr>
          <w:rFonts w:ascii="CESI仿宋-GB2312" w:hAnsi="CESI仿宋-GB2312" w:eastAsia="CESI仿宋-GB2312" w:cs="CESI仿宋-GB2312"/>
          <w:sz w:val="32"/>
          <w:szCs w:val="32"/>
        </w:rPr>
      </w:pPr>
      <w:r>
        <w:rPr>
          <w:rFonts w:hint="eastAsia" w:ascii="黑体" w:hAnsi="黑体" w:eastAsia="黑体" w:cs="黑体"/>
          <w:kern w:val="0"/>
          <w:sz w:val="32"/>
          <w:szCs w:val="32"/>
        </w:rPr>
        <w:t>十一、“三公”经费</w:t>
      </w:r>
      <w:r>
        <w:rPr>
          <w:rFonts w:hint="eastAsia" w:ascii="CESI仿宋-GB2312" w:hAnsi="CESI仿宋-GB2312" w:eastAsia="CESI仿宋-GB2312" w:cs="CESI仿宋-GB2312"/>
          <w:sz w:val="32"/>
          <w:szCs w:val="32"/>
        </w:rPr>
        <w:t>：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pPr>
        <w:spacing w:line="576" w:lineRule="exact"/>
        <w:ind w:firstLine="640" w:firstLineChars="200"/>
        <w:jc w:val="left"/>
        <w:rPr>
          <w:rFonts w:ascii="CESI仿宋-GB2312" w:hAnsi="CESI仿宋-GB2312" w:eastAsia="CESI仿宋-GB2312" w:cs="CESI仿宋-GB2312"/>
          <w:sz w:val="32"/>
          <w:szCs w:val="32"/>
        </w:rPr>
      </w:pPr>
      <w:r>
        <w:rPr>
          <w:rFonts w:hint="eastAsia" w:ascii="黑体" w:hAnsi="黑体" w:eastAsia="黑体" w:cs="黑体"/>
          <w:kern w:val="0"/>
          <w:sz w:val="32"/>
          <w:szCs w:val="32"/>
        </w:rPr>
        <w:t>十二、机关运行经费</w:t>
      </w:r>
      <w:r>
        <w:rPr>
          <w:rFonts w:hint="eastAsia" w:ascii="CESI仿宋-GB2312" w:hAnsi="CESI仿宋-GB2312" w:eastAsia="CESI仿宋-GB2312" w:cs="CESI仿宋-GB2312"/>
          <w:sz w:val="32"/>
          <w:szCs w:val="32"/>
        </w:rPr>
        <w:t>：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pPr>
        <w:spacing w:line="576" w:lineRule="exact"/>
        <w:ind w:firstLine="640" w:firstLineChars="200"/>
        <w:rPr>
          <w:rFonts w:ascii="CESI仿宋-GB2312" w:hAnsi="CESI仿宋-GB2312" w:eastAsia="CESI仿宋-GB2312" w:cs="CESI仿宋-GB2312"/>
          <w:sz w:val="32"/>
          <w:szCs w:val="32"/>
        </w:rPr>
      </w:pPr>
    </w:p>
    <w:p>
      <w:pPr>
        <w:spacing w:line="576" w:lineRule="exact"/>
        <w:ind w:firstLine="640" w:firstLineChars="200"/>
        <w:rPr>
          <w:rFonts w:ascii="仿宋_GB2312" w:hAnsi="黑体" w:eastAsia="仿宋_GB2312" w:cs="仿宋_GB2312"/>
          <w:sz w:val="32"/>
          <w:szCs w:val="32"/>
        </w:rPr>
      </w:pPr>
    </w:p>
    <w:p>
      <w:pPr>
        <w:spacing w:line="576" w:lineRule="exact"/>
        <w:ind w:firstLine="640" w:firstLineChars="200"/>
        <w:rPr>
          <w:rFonts w:ascii="仿宋_GB2312" w:hAnsi="黑体" w:eastAsia="仿宋_GB2312" w:cs="仿宋_GB2312"/>
          <w:sz w:val="32"/>
          <w:szCs w:val="32"/>
        </w:rPr>
      </w:pPr>
    </w:p>
    <w:sectPr>
      <w:footerReference r:id="rId4" w:type="default"/>
      <w:pgSz w:w="11906" w:h="16838"/>
      <w:pgMar w:top="2098" w:right="1474" w:bottom="1985" w:left="1588"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ESI黑体-GB2312">
    <w:altName w:val="微软雅黑"/>
    <w:panose1 w:val="00000000000000000000"/>
    <w:charset w:val="86"/>
    <w:family w:val="auto"/>
    <w:pitch w:val="default"/>
    <w:sig w:usb0="00000000" w:usb1="00000000" w:usb2="00000012" w:usb3="00000000" w:csb0="0004000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ESI仿宋-GB2312">
    <w:altName w:val="微软雅黑"/>
    <w:panose1 w:val="00000000000000000000"/>
    <w:charset w:val="86"/>
    <w:family w:val="auto"/>
    <w:pitch w:val="default"/>
    <w:sig w:usb0="00000000" w:usb1="00000000" w:usb2="00000010" w:usb3="00000000" w:csb0="0004000F"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08094906"/>
      <w:docPartObj>
        <w:docPartGallery w:val="autotext"/>
      </w:docPartObj>
    </w:sdtPr>
    <w:sdtContent>
      <w:p>
        <w:pPr>
          <w:pStyle w:val="3"/>
          <w:jc w:val="cente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1 -</w:t>
        </w:r>
        <w:r>
          <w:rPr>
            <w:rFonts w:asciiTheme="minorEastAsia" w:hAnsiTheme="minorEastAsia"/>
            <w:sz w:val="28"/>
            <w:szCs w:val="28"/>
          </w:rP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theme="minorBid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91B44"/>
    <w:rsid w:val="00003088"/>
    <w:rsid w:val="00007EF7"/>
    <w:rsid w:val="00040038"/>
    <w:rsid w:val="000417BF"/>
    <w:rsid w:val="000572DB"/>
    <w:rsid w:val="000669B5"/>
    <w:rsid w:val="00075A39"/>
    <w:rsid w:val="0007798A"/>
    <w:rsid w:val="000837D8"/>
    <w:rsid w:val="000912F3"/>
    <w:rsid w:val="00093B8F"/>
    <w:rsid w:val="000A6EE2"/>
    <w:rsid w:val="000A79FB"/>
    <w:rsid w:val="000B08D0"/>
    <w:rsid w:val="000C15AB"/>
    <w:rsid w:val="000E7089"/>
    <w:rsid w:val="000F1BDB"/>
    <w:rsid w:val="00104CD1"/>
    <w:rsid w:val="00120061"/>
    <w:rsid w:val="0013021A"/>
    <w:rsid w:val="001326C1"/>
    <w:rsid w:val="00133301"/>
    <w:rsid w:val="0014198A"/>
    <w:rsid w:val="00146E03"/>
    <w:rsid w:val="00150ACA"/>
    <w:rsid w:val="00151CC5"/>
    <w:rsid w:val="0015659B"/>
    <w:rsid w:val="00165588"/>
    <w:rsid w:val="00173B57"/>
    <w:rsid w:val="00173FC1"/>
    <w:rsid w:val="001825E1"/>
    <w:rsid w:val="0018573A"/>
    <w:rsid w:val="00191C06"/>
    <w:rsid w:val="00192F38"/>
    <w:rsid w:val="001B615A"/>
    <w:rsid w:val="001E78DB"/>
    <w:rsid w:val="001F4D6E"/>
    <w:rsid w:val="00201895"/>
    <w:rsid w:val="0020792B"/>
    <w:rsid w:val="00212F39"/>
    <w:rsid w:val="00216B86"/>
    <w:rsid w:val="0021738D"/>
    <w:rsid w:val="00230545"/>
    <w:rsid w:val="00232CB2"/>
    <w:rsid w:val="0023361C"/>
    <w:rsid w:val="002436A3"/>
    <w:rsid w:val="002530AD"/>
    <w:rsid w:val="00270A7C"/>
    <w:rsid w:val="002729A7"/>
    <w:rsid w:val="00276FDE"/>
    <w:rsid w:val="002770E7"/>
    <w:rsid w:val="00277629"/>
    <w:rsid w:val="00285DE5"/>
    <w:rsid w:val="00293316"/>
    <w:rsid w:val="00293C8B"/>
    <w:rsid w:val="002956BC"/>
    <w:rsid w:val="002A59FA"/>
    <w:rsid w:val="002B0ADF"/>
    <w:rsid w:val="002B18BF"/>
    <w:rsid w:val="002D112B"/>
    <w:rsid w:val="002D11DB"/>
    <w:rsid w:val="002D24C5"/>
    <w:rsid w:val="002D5849"/>
    <w:rsid w:val="002E7344"/>
    <w:rsid w:val="002E73B0"/>
    <w:rsid w:val="002E7B7B"/>
    <w:rsid w:val="00305488"/>
    <w:rsid w:val="003172EC"/>
    <w:rsid w:val="00321827"/>
    <w:rsid w:val="003311D5"/>
    <w:rsid w:val="00333CFA"/>
    <w:rsid w:val="0033615F"/>
    <w:rsid w:val="00336398"/>
    <w:rsid w:val="003404D9"/>
    <w:rsid w:val="0034221F"/>
    <w:rsid w:val="003426D9"/>
    <w:rsid w:val="00344CAE"/>
    <w:rsid w:val="0036456D"/>
    <w:rsid w:val="00364965"/>
    <w:rsid w:val="00365FF6"/>
    <w:rsid w:val="003847B6"/>
    <w:rsid w:val="003A274F"/>
    <w:rsid w:val="003B2FCF"/>
    <w:rsid w:val="003C0A75"/>
    <w:rsid w:val="003D136B"/>
    <w:rsid w:val="003D3AFD"/>
    <w:rsid w:val="003E0FB2"/>
    <w:rsid w:val="003E1F82"/>
    <w:rsid w:val="003E7F00"/>
    <w:rsid w:val="00405C65"/>
    <w:rsid w:val="00426D63"/>
    <w:rsid w:val="004275CC"/>
    <w:rsid w:val="004307BB"/>
    <w:rsid w:val="004522A5"/>
    <w:rsid w:val="00454ADC"/>
    <w:rsid w:val="00467D46"/>
    <w:rsid w:val="004702A2"/>
    <w:rsid w:val="00474F12"/>
    <w:rsid w:val="0048444F"/>
    <w:rsid w:val="00484AB2"/>
    <w:rsid w:val="0049604A"/>
    <w:rsid w:val="004A4906"/>
    <w:rsid w:val="004B26D9"/>
    <w:rsid w:val="004B683F"/>
    <w:rsid w:val="004C1399"/>
    <w:rsid w:val="004C1B0C"/>
    <w:rsid w:val="004C5734"/>
    <w:rsid w:val="004E153C"/>
    <w:rsid w:val="004E3617"/>
    <w:rsid w:val="00501595"/>
    <w:rsid w:val="00503A4F"/>
    <w:rsid w:val="005072AA"/>
    <w:rsid w:val="005142AE"/>
    <w:rsid w:val="00525863"/>
    <w:rsid w:val="005464B4"/>
    <w:rsid w:val="00546B43"/>
    <w:rsid w:val="005569EE"/>
    <w:rsid w:val="0056496E"/>
    <w:rsid w:val="005737A9"/>
    <w:rsid w:val="00581D7B"/>
    <w:rsid w:val="0059423F"/>
    <w:rsid w:val="005A254C"/>
    <w:rsid w:val="005B5210"/>
    <w:rsid w:val="005C415C"/>
    <w:rsid w:val="005C4CF0"/>
    <w:rsid w:val="005C66FA"/>
    <w:rsid w:val="005C6A4C"/>
    <w:rsid w:val="005D1CF0"/>
    <w:rsid w:val="005E6FA1"/>
    <w:rsid w:val="005F2DDA"/>
    <w:rsid w:val="005F3F00"/>
    <w:rsid w:val="005F46E8"/>
    <w:rsid w:val="005F760D"/>
    <w:rsid w:val="005F78BD"/>
    <w:rsid w:val="00610FB9"/>
    <w:rsid w:val="0062557A"/>
    <w:rsid w:val="00626419"/>
    <w:rsid w:val="00640059"/>
    <w:rsid w:val="00646A2C"/>
    <w:rsid w:val="006472E7"/>
    <w:rsid w:val="006575CD"/>
    <w:rsid w:val="00662F94"/>
    <w:rsid w:val="00663804"/>
    <w:rsid w:val="00670067"/>
    <w:rsid w:val="006871F7"/>
    <w:rsid w:val="00690769"/>
    <w:rsid w:val="0069775D"/>
    <w:rsid w:val="006B1FB3"/>
    <w:rsid w:val="006B6DD9"/>
    <w:rsid w:val="006C1B62"/>
    <w:rsid w:val="006D0CF6"/>
    <w:rsid w:val="006D40C8"/>
    <w:rsid w:val="006E6F54"/>
    <w:rsid w:val="006F1336"/>
    <w:rsid w:val="006F183D"/>
    <w:rsid w:val="006F33A2"/>
    <w:rsid w:val="006F46FD"/>
    <w:rsid w:val="00710B4D"/>
    <w:rsid w:val="007122CB"/>
    <w:rsid w:val="00726BD4"/>
    <w:rsid w:val="00734334"/>
    <w:rsid w:val="00743003"/>
    <w:rsid w:val="00745210"/>
    <w:rsid w:val="0075151D"/>
    <w:rsid w:val="007635B4"/>
    <w:rsid w:val="007652FD"/>
    <w:rsid w:val="00767BFA"/>
    <w:rsid w:val="00771E44"/>
    <w:rsid w:val="00780487"/>
    <w:rsid w:val="00783ED3"/>
    <w:rsid w:val="0078430E"/>
    <w:rsid w:val="00786240"/>
    <w:rsid w:val="00790474"/>
    <w:rsid w:val="007905C9"/>
    <w:rsid w:val="00792530"/>
    <w:rsid w:val="00793A7F"/>
    <w:rsid w:val="007A348D"/>
    <w:rsid w:val="007B3322"/>
    <w:rsid w:val="007C2961"/>
    <w:rsid w:val="007C31BA"/>
    <w:rsid w:val="007E0105"/>
    <w:rsid w:val="007E3B90"/>
    <w:rsid w:val="007E4EAF"/>
    <w:rsid w:val="007F1970"/>
    <w:rsid w:val="007F1EA5"/>
    <w:rsid w:val="007F253A"/>
    <w:rsid w:val="007F7F04"/>
    <w:rsid w:val="008030DE"/>
    <w:rsid w:val="00810B32"/>
    <w:rsid w:val="00816A87"/>
    <w:rsid w:val="0081705C"/>
    <w:rsid w:val="00817178"/>
    <w:rsid w:val="00831C1C"/>
    <w:rsid w:val="0084355A"/>
    <w:rsid w:val="00851CB3"/>
    <w:rsid w:val="008640FA"/>
    <w:rsid w:val="00864A16"/>
    <w:rsid w:val="00864DF2"/>
    <w:rsid w:val="00884615"/>
    <w:rsid w:val="0089269C"/>
    <w:rsid w:val="00896B34"/>
    <w:rsid w:val="008A3298"/>
    <w:rsid w:val="008A6B53"/>
    <w:rsid w:val="008C1502"/>
    <w:rsid w:val="008C7419"/>
    <w:rsid w:val="008F1EAC"/>
    <w:rsid w:val="00904D2C"/>
    <w:rsid w:val="0090560E"/>
    <w:rsid w:val="00912AA6"/>
    <w:rsid w:val="00914809"/>
    <w:rsid w:val="009262C2"/>
    <w:rsid w:val="009266F6"/>
    <w:rsid w:val="00926751"/>
    <w:rsid w:val="0093261C"/>
    <w:rsid w:val="009340FF"/>
    <w:rsid w:val="009421BF"/>
    <w:rsid w:val="00947538"/>
    <w:rsid w:val="0096266B"/>
    <w:rsid w:val="009646E3"/>
    <w:rsid w:val="00973C70"/>
    <w:rsid w:val="009800FC"/>
    <w:rsid w:val="00987922"/>
    <w:rsid w:val="00993B41"/>
    <w:rsid w:val="009945A1"/>
    <w:rsid w:val="00995DA5"/>
    <w:rsid w:val="00995E3F"/>
    <w:rsid w:val="009A32DB"/>
    <w:rsid w:val="009C3F52"/>
    <w:rsid w:val="009C489C"/>
    <w:rsid w:val="009D7EB1"/>
    <w:rsid w:val="009F52FB"/>
    <w:rsid w:val="00A05EEE"/>
    <w:rsid w:val="00A061B6"/>
    <w:rsid w:val="00A10688"/>
    <w:rsid w:val="00A17EC5"/>
    <w:rsid w:val="00A20E50"/>
    <w:rsid w:val="00A2324F"/>
    <w:rsid w:val="00A26239"/>
    <w:rsid w:val="00A313F8"/>
    <w:rsid w:val="00A324AA"/>
    <w:rsid w:val="00A50A59"/>
    <w:rsid w:val="00A545A0"/>
    <w:rsid w:val="00A82FC2"/>
    <w:rsid w:val="00A83B71"/>
    <w:rsid w:val="00A86C05"/>
    <w:rsid w:val="00A90E85"/>
    <w:rsid w:val="00A9190F"/>
    <w:rsid w:val="00A94D59"/>
    <w:rsid w:val="00AA3106"/>
    <w:rsid w:val="00AA730A"/>
    <w:rsid w:val="00AE1D69"/>
    <w:rsid w:val="00AE4D39"/>
    <w:rsid w:val="00AF3CBE"/>
    <w:rsid w:val="00B11742"/>
    <w:rsid w:val="00B13C04"/>
    <w:rsid w:val="00B22760"/>
    <w:rsid w:val="00B573CB"/>
    <w:rsid w:val="00B574D1"/>
    <w:rsid w:val="00B5763A"/>
    <w:rsid w:val="00B727DE"/>
    <w:rsid w:val="00B90060"/>
    <w:rsid w:val="00B91434"/>
    <w:rsid w:val="00BB2C05"/>
    <w:rsid w:val="00BB76FB"/>
    <w:rsid w:val="00BC3AE3"/>
    <w:rsid w:val="00BF4B76"/>
    <w:rsid w:val="00C0275F"/>
    <w:rsid w:val="00C1176B"/>
    <w:rsid w:val="00C13244"/>
    <w:rsid w:val="00C16C63"/>
    <w:rsid w:val="00C22B8B"/>
    <w:rsid w:val="00C27B6A"/>
    <w:rsid w:val="00C32009"/>
    <w:rsid w:val="00C60DF3"/>
    <w:rsid w:val="00C72C36"/>
    <w:rsid w:val="00C73201"/>
    <w:rsid w:val="00C745BA"/>
    <w:rsid w:val="00C7535C"/>
    <w:rsid w:val="00C82DCE"/>
    <w:rsid w:val="00C91D51"/>
    <w:rsid w:val="00C9405C"/>
    <w:rsid w:val="00CA2682"/>
    <w:rsid w:val="00CA7DBE"/>
    <w:rsid w:val="00CB321F"/>
    <w:rsid w:val="00CB3DE4"/>
    <w:rsid w:val="00CC2956"/>
    <w:rsid w:val="00CD7757"/>
    <w:rsid w:val="00D02D95"/>
    <w:rsid w:val="00D06946"/>
    <w:rsid w:val="00D11314"/>
    <w:rsid w:val="00D22953"/>
    <w:rsid w:val="00D418FA"/>
    <w:rsid w:val="00D53818"/>
    <w:rsid w:val="00D62CE1"/>
    <w:rsid w:val="00D806CB"/>
    <w:rsid w:val="00D922FF"/>
    <w:rsid w:val="00D97CC7"/>
    <w:rsid w:val="00DA05C4"/>
    <w:rsid w:val="00DA0695"/>
    <w:rsid w:val="00DB10ED"/>
    <w:rsid w:val="00DB2091"/>
    <w:rsid w:val="00DB22FA"/>
    <w:rsid w:val="00DC26A7"/>
    <w:rsid w:val="00DC4726"/>
    <w:rsid w:val="00DC65EF"/>
    <w:rsid w:val="00DD103E"/>
    <w:rsid w:val="00DD3FD8"/>
    <w:rsid w:val="00DD4862"/>
    <w:rsid w:val="00DE3206"/>
    <w:rsid w:val="00DE578D"/>
    <w:rsid w:val="00DF3525"/>
    <w:rsid w:val="00E12A95"/>
    <w:rsid w:val="00E27401"/>
    <w:rsid w:val="00E3389C"/>
    <w:rsid w:val="00E34415"/>
    <w:rsid w:val="00E36DA9"/>
    <w:rsid w:val="00E7035D"/>
    <w:rsid w:val="00E71B06"/>
    <w:rsid w:val="00E73F73"/>
    <w:rsid w:val="00E802B2"/>
    <w:rsid w:val="00E91981"/>
    <w:rsid w:val="00E93DE3"/>
    <w:rsid w:val="00EA5631"/>
    <w:rsid w:val="00EA7FAB"/>
    <w:rsid w:val="00EB13B5"/>
    <w:rsid w:val="00EB47E4"/>
    <w:rsid w:val="00EB780E"/>
    <w:rsid w:val="00EC4A69"/>
    <w:rsid w:val="00ED50D0"/>
    <w:rsid w:val="00ED6580"/>
    <w:rsid w:val="00ED74B2"/>
    <w:rsid w:val="00EE30DB"/>
    <w:rsid w:val="00F25292"/>
    <w:rsid w:val="00F31179"/>
    <w:rsid w:val="00F3474B"/>
    <w:rsid w:val="00F36978"/>
    <w:rsid w:val="00F71237"/>
    <w:rsid w:val="00F732AE"/>
    <w:rsid w:val="00F83E2B"/>
    <w:rsid w:val="00F91B44"/>
    <w:rsid w:val="00FB0A31"/>
    <w:rsid w:val="00FB2A47"/>
    <w:rsid w:val="00FC038F"/>
    <w:rsid w:val="00FC1322"/>
    <w:rsid w:val="00FC2442"/>
    <w:rsid w:val="00FE2328"/>
    <w:rsid w:val="00FF71ED"/>
    <w:rsid w:val="00FF7AF7"/>
    <w:rsid w:val="269404CF"/>
    <w:rsid w:val="33B77E2D"/>
    <w:rsid w:val="373B4B09"/>
    <w:rsid w:val="39E75A27"/>
    <w:rsid w:val="57F4379D"/>
    <w:rsid w:val="6E73747A"/>
    <w:rsid w:val="70935BF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uiPriority w:val="99"/>
    <w:rPr>
      <w:sz w:val="18"/>
      <w:szCs w:val="18"/>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List Paragraph"/>
    <w:basedOn w:val="1"/>
    <w:qFormat/>
    <w:uiPriority w:val="99"/>
    <w:pPr>
      <w:ind w:firstLine="420" w:firstLineChars="200"/>
    </w:pPr>
  </w:style>
  <w:style w:type="character" w:customStyle="1" w:styleId="9">
    <w:name w:val="页眉 Char"/>
    <w:basedOn w:val="7"/>
    <w:link w:val="4"/>
    <w:uiPriority w:val="99"/>
    <w:rPr>
      <w:sz w:val="18"/>
      <w:szCs w:val="18"/>
    </w:rPr>
  </w:style>
  <w:style w:type="character" w:customStyle="1" w:styleId="10">
    <w:name w:val="页脚 Char"/>
    <w:basedOn w:val="7"/>
    <w:link w:val="3"/>
    <w:uiPriority w:val="99"/>
    <w:rPr>
      <w:sz w:val="18"/>
      <w:szCs w:val="18"/>
    </w:rPr>
  </w:style>
  <w:style w:type="character" w:customStyle="1" w:styleId="11">
    <w:name w:val="批注框文本 Char"/>
    <w:basedOn w:val="7"/>
    <w:link w:val="2"/>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8922A9-098C-487F-B713-67BCF44DFB55}">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3935</Words>
  <Characters>4385</Characters>
  <Lines>32</Lines>
  <Paragraphs>9</Paragraphs>
  <TotalTime>2037</TotalTime>
  <ScaleCrop>false</ScaleCrop>
  <LinksUpToDate>false</LinksUpToDate>
  <CharactersWithSpaces>4414</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2022-02-14T07:14:00Z</dcterms:created>
  <dc:creator>null,null,总收发</dc:creator>
  <cp:lastModifiedBy>Administrator</cp:lastModifiedBy>
  <dcterms:modified xsi:type="dcterms:W3CDTF">2022-02-18T08:45:33Z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A1BF62AD245B43BDB40980BD7B8D8A80</vt:lpwstr>
  </property>
</Properties>
</file>