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15C0">
      <w:pPr>
        <w:widowControl w:val="0"/>
        <w:autoSpaceDE w:val="0"/>
        <w:spacing w:line="660" w:lineRule="exact"/>
        <w:ind w:firstLine="880" w:firstLineChars="200"/>
        <w:jc w:val="both"/>
        <w:rPr>
          <w:rFonts w:ascii="黑体" w:hAnsi="黑体" w:eastAsia="黑体"/>
          <w:sz w:val="44"/>
          <w:szCs w:val="44"/>
        </w:rPr>
      </w:pPr>
      <w:bookmarkStart w:id="0" w:name="_Toc11440_WPSOffice_Type2"/>
    </w:p>
    <w:p w14:paraId="62E998A8">
      <w:pPr>
        <w:widowControl w:val="0"/>
        <w:autoSpaceDE w:val="0"/>
        <w:spacing w:line="660" w:lineRule="exact"/>
        <w:jc w:val="center"/>
        <w:rPr>
          <w:rFonts w:ascii="黑体" w:hAnsi="黑体" w:eastAsia="黑体"/>
          <w:sz w:val="44"/>
          <w:szCs w:val="44"/>
        </w:rPr>
      </w:pPr>
      <w:r>
        <w:rPr>
          <w:rFonts w:hint="eastAsia" w:ascii="黑体" w:hAnsi="黑体" w:eastAsia="黑体"/>
          <w:sz w:val="44"/>
          <w:szCs w:val="44"/>
        </w:rPr>
        <w:t xml:space="preserve">海南省锅炉压力容器与特种设备检验所    </w:t>
      </w:r>
      <w:r>
        <w:rPr>
          <w:rFonts w:hint="eastAsia" w:ascii="黑体" w:hAnsi="ˎ̥" w:eastAsia="黑体"/>
          <w:sz w:val="44"/>
          <w:szCs w:val="44"/>
        </w:rPr>
        <w:t>2023</w:t>
      </w:r>
      <w:r>
        <w:rPr>
          <w:rFonts w:hint="eastAsia" w:ascii="黑体" w:hAnsi="黑体" w:eastAsia="黑体"/>
          <w:sz w:val="44"/>
          <w:szCs w:val="44"/>
        </w:rPr>
        <w:t>年度决算公开报告</w:t>
      </w:r>
    </w:p>
    <w:p w14:paraId="55F8AFBA">
      <w:pPr>
        <w:spacing w:line="560" w:lineRule="exact"/>
        <w:jc w:val="center"/>
        <w:rPr>
          <w:rFonts w:ascii="黑体" w:hAnsi="黑体" w:eastAsia="黑体" w:cs="黑体"/>
          <w:color w:val="000000"/>
          <w:sz w:val="44"/>
          <w:szCs w:val="44"/>
        </w:rPr>
      </w:pPr>
    </w:p>
    <w:p w14:paraId="069ABC98">
      <w:pPr>
        <w:spacing w:line="560" w:lineRule="exact"/>
        <w:jc w:val="center"/>
        <w:rPr>
          <w:rFonts w:ascii="黑体" w:hAnsi="黑体" w:eastAsia="黑体" w:cs="黑体"/>
          <w:color w:val="000000"/>
          <w:sz w:val="44"/>
          <w:szCs w:val="44"/>
        </w:rPr>
      </w:pPr>
      <w:r>
        <w:rPr>
          <w:rFonts w:hint="eastAsia" w:ascii="黑体" w:hAnsi="黑体" w:eastAsia="黑体" w:cs="黑体"/>
          <w:color w:val="000000"/>
          <w:sz w:val="44"/>
          <w:szCs w:val="44"/>
        </w:rPr>
        <w:t>目  录</w:t>
      </w:r>
    </w:p>
    <w:p w14:paraId="1A52FE42">
      <w:pPr>
        <w:pStyle w:val="34"/>
        <w:tabs>
          <w:tab w:val="right" w:leader="dot" w:pos="8306"/>
        </w:tabs>
        <w:spacing w:line="560" w:lineRule="exact"/>
        <w:rPr>
          <w:color w:val="000000"/>
          <w:sz w:val="32"/>
          <w:szCs w:val="32"/>
        </w:rPr>
      </w:pPr>
      <w:r>
        <w:fldChar w:fldCharType="begin"/>
      </w:r>
      <w:r>
        <w:instrText xml:space="preserve"> HYPERLINK \l "_Toc1704_WPSOffice_Level1" </w:instrText>
      </w:r>
      <w:r>
        <w:fldChar w:fldCharType="separate"/>
      </w:r>
      <w:r>
        <w:rPr>
          <w:rFonts w:hint="eastAsia" w:ascii="黑体" w:hAnsi="ˎ̥" w:eastAsia="黑体"/>
          <w:color w:val="000000"/>
          <w:sz w:val="32"/>
          <w:szCs w:val="32"/>
        </w:rPr>
        <w:t>第一部分 基本情况</w:t>
      </w:r>
      <w:r>
        <w:rPr>
          <w:color w:val="000000"/>
          <w:sz w:val="32"/>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rPr>
        <w:fldChar w:fldCharType="end"/>
      </w:r>
    </w:p>
    <w:p w14:paraId="09B44C91">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"_Toc20274_WPSOffice_Level2" </w:instrText>
      </w:r>
      <w:r>
        <w:fldChar w:fldCharType="separate"/>
      </w:r>
      <w:r>
        <w:rPr>
          <w:rFonts w:hint="eastAsia" w:ascii="仿宋" w:hAnsi="仿宋" w:eastAsia="仿宋" w:cs="仿宋"/>
          <w:color w:val="000000"/>
          <w:sz w:val="32"/>
          <w:szCs w:val="32"/>
        </w:rPr>
        <w:t>一、单位职责</w:t>
      </w:r>
      <w:r>
        <w:rPr>
          <w:rFonts w:hint="eastAsia" w:ascii="仿宋" w:hAnsi="仿宋" w:eastAsia="仿宋" w:cs="仿宋"/>
          <w:color w:val="000000"/>
          <w:sz w:val="32"/>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rPr>
        <w:fldChar w:fldCharType="end"/>
      </w:r>
    </w:p>
    <w:p w14:paraId="031C4493">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"_Toc4833_WPSOffice_Level2" </w:instrText>
      </w:r>
      <w:r>
        <w:fldChar w:fldCharType="separate"/>
      </w:r>
      <w:r>
        <w:rPr>
          <w:rFonts w:hint="eastAsia" w:ascii="仿宋" w:hAnsi="仿宋" w:eastAsia="仿宋" w:cs="仿宋"/>
          <w:color w:val="000000"/>
          <w:sz w:val="32"/>
          <w:szCs w:val="32"/>
        </w:rPr>
        <w:t>二、机构设置</w:t>
      </w:r>
      <w:r>
        <w:rPr>
          <w:rFonts w:hint="eastAsia" w:ascii="仿宋" w:hAnsi="仿宋" w:eastAsia="仿宋" w:cs="仿宋"/>
          <w:color w:val="000000"/>
          <w:sz w:val="32"/>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rPr>
        <w:fldChar w:fldCharType="end"/>
      </w:r>
    </w:p>
    <w:p w14:paraId="49EC3E54">
      <w:pPr>
        <w:pStyle w:val="34"/>
        <w:tabs>
          <w:tab w:val="right" w:leader="dot" w:pos="8306"/>
        </w:tabs>
        <w:spacing w:line="560" w:lineRule="exact"/>
        <w:rPr>
          <w:color w:val="000000"/>
          <w:sz w:val="32"/>
          <w:szCs w:val="32"/>
        </w:rPr>
      </w:pPr>
      <w:r>
        <w:fldChar w:fldCharType="begin"/>
      </w:r>
      <w:r>
        <w:instrText xml:space="preserve"> HYPERLINK \l "_Toc28253_WPSOffice_Level1" </w:instrText>
      </w:r>
      <w:r>
        <w:fldChar w:fldCharType="separate"/>
      </w:r>
      <w:r>
        <w:rPr>
          <w:rFonts w:hint="eastAsia" w:ascii="黑体" w:hAnsi="ˎ̥" w:eastAsia="黑体"/>
          <w:color w:val="000000"/>
          <w:sz w:val="32"/>
          <w:szCs w:val="32"/>
        </w:rPr>
        <w:t>第二部分 2023年度单位决算公开表</w:t>
      </w:r>
      <w:r>
        <w:rPr>
          <w:color w:val="000000"/>
          <w:sz w:val="32"/>
          <w:szCs w:val="32"/>
        </w:rPr>
        <w:tab/>
      </w:r>
      <w:r>
        <w:rPr>
          <w:rFonts w:hint="eastAsia" w:ascii="仿宋" w:hAnsi="仿宋" w:eastAsia="仿宋" w:cs="仿宋"/>
          <w:color w:val="000000"/>
          <w:sz w:val="32"/>
          <w:szCs w:val="32"/>
        </w:rPr>
        <w:t>2</w:t>
      </w:r>
      <w:r>
        <w:rPr>
          <w:rFonts w:hint="eastAsia" w:ascii="仿宋" w:hAnsi="仿宋" w:eastAsia="仿宋" w:cs="仿宋"/>
          <w:color w:val="000000"/>
          <w:sz w:val="32"/>
          <w:szCs w:val="32"/>
        </w:rPr>
        <w:fldChar w:fldCharType="end"/>
      </w:r>
    </w:p>
    <w:p w14:paraId="469774FC">
      <w:pPr>
        <w:pStyle w:val="34"/>
        <w:tabs>
          <w:tab w:val="right" w:leader="dot" w:pos="8306"/>
        </w:tabs>
        <w:spacing w:line="560" w:lineRule="exact"/>
        <w:rPr>
          <w:color w:val="000000"/>
          <w:sz w:val="32"/>
          <w:szCs w:val="32"/>
        </w:rPr>
      </w:pPr>
      <w:r>
        <w:fldChar w:fldCharType="begin"/>
      </w:r>
      <w:r>
        <w:instrText xml:space="preserve"> HYPERLINK \l "_Toc27590_WPSOffice_Level1" </w:instrText>
      </w:r>
      <w:r>
        <w:fldChar w:fldCharType="separate"/>
      </w:r>
      <w:r>
        <w:rPr>
          <w:rFonts w:hint="eastAsia" w:ascii="黑体" w:hAnsi="黑体" w:eastAsia="黑体" w:cs="黑体"/>
          <w:color w:val="000000"/>
          <w:sz w:val="32"/>
          <w:szCs w:val="32"/>
        </w:rPr>
        <w:t>第三部分</w:t>
      </w:r>
      <w:r>
        <w:rPr>
          <w:rFonts w:hint="eastAsia"/>
          <w:color w:val="000000"/>
          <w:sz w:val="32"/>
          <w:szCs w:val="32"/>
        </w:rPr>
        <w:t xml:space="preserve"> </w:t>
      </w:r>
      <w:r>
        <w:rPr>
          <w:rFonts w:hint="eastAsia" w:ascii="黑体" w:hAnsi="ˎ̥" w:eastAsia="黑体"/>
          <w:color w:val="000000"/>
          <w:sz w:val="32"/>
          <w:szCs w:val="32"/>
        </w:rPr>
        <w:t>2023年度单位决算情况说明</w:t>
      </w:r>
      <w:r>
        <w:rPr>
          <w:color w:val="000000"/>
          <w:sz w:val="32"/>
          <w:szCs w:val="32"/>
        </w:rPr>
        <w:tab/>
      </w:r>
      <w:r>
        <w:rPr>
          <w:rFonts w:hint="eastAsia" w:ascii="仿宋" w:hAnsi="仿宋" w:eastAsia="仿宋" w:cs="仿宋"/>
          <w:color w:val="000000"/>
          <w:sz w:val="32"/>
          <w:szCs w:val="32"/>
        </w:rPr>
        <w:t>2</w:t>
      </w:r>
      <w:r>
        <w:rPr>
          <w:rFonts w:hint="eastAsia" w:ascii="仿宋" w:hAnsi="仿宋" w:eastAsia="仿宋" w:cs="仿宋"/>
          <w:color w:val="000000"/>
          <w:sz w:val="32"/>
          <w:szCs w:val="32"/>
        </w:rPr>
        <w:fldChar w:fldCharType="end"/>
      </w:r>
    </w:p>
    <w:p w14:paraId="4EA81B9F">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"_Toc21737_WPSOffice_Level2" </w:instrText>
      </w:r>
      <w:r>
        <w:fldChar w:fldCharType="separate"/>
      </w:r>
      <w:r>
        <w:rPr>
          <w:rFonts w:hint="eastAsia" w:ascii="仿宋" w:hAnsi="仿宋" w:eastAsia="仿宋" w:cs="仿宋"/>
          <w:bCs/>
          <w:color w:val="000000"/>
          <w:sz w:val="32"/>
          <w:szCs w:val="32"/>
        </w:rPr>
        <w:t>一、收入支出总体情况说明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2</w:t>
      </w:r>
      <w:r>
        <w:rPr>
          <w:rFonts w:hint="eastAsia" w:ascii="仿宋" w:hAnsi="仿宋" w:eastAsia="仿宋" w:cs="仿宋"/>
          <w:color w:val="000000"/>
          <w:sz w:val="32"/>
          <w:szCs w:val="32"/>
        </w:rPr>
        <w:fldChar w:fldCharType="end"/>
      </w:r>
    </w:p>
    <w:p w14:paraId="75A3E61B">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二、收入决算情况说明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14:paraId="3144DC8C">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三、支出决算情况说明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14:paraId="7B1BF2FD">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四、财政拨款收入支出决算情况说明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4</w:t>
      </w:r>
      <w:r>
        <w:rPr>
          <w:rFonts w:hint="eastAsia" w:ascii="仿宋" w:hAnsi="仿宋" w:eastAsia="仿宋" w:cs="仿宋"/>
          <w:color w:val="000000"/>
          <w:sz w:val="32"/>
          <w:szCs w:val="32"/>
        </w:rPr>
        <w:fldChar w:fldCharType="end"/>
      </w:r>
    </w:p>
    <w:p w14:paraId="42384E7E">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五、一般公共预算财政拨款支出决算情况说明</w:t>
      </w:r>
      <w:r>
        <w:rPr>
          <w:rFonts w:hint="eastAsia" w:ascii="仿宋" w:hAnsi="仿宋" w:eastAsia="仿宋" w:cs="仿宋"/>
          <w:bCs/>
          <w:color w:val="000000"/>
          <w:sz w:val="32"/>
          <w:szCs w:val="32"/>
        </w:rPr>
        <w:tab/>
      </w:r>
      <w:r>
        <w:rPr>
          <w:rFonts w:ascii="仿宋" w:hAnsi="仿宋" w:eastAsia="仿宋" w:cs="仿宋"/>
          <w:color w:val="000000"/>
          <w:sz w:val="32"/>
          <w:szCs w:val="32"/>
        </w:rPr>
        <w:t>4</w:t>
      </w:r>
      <w:r>
        <w:rPr>
          <w:rFonts w:ascii="仿宋" w:hAnsi="仿宋" w:eastAsia="仿宋" w:cs="仿宋"/>
          <w:color w:val="000000"/>
          <w:sz w:val="32"/>
          <w:szCs w:val="32"/>
        </w:rPr>
        <w:fldChar w:fldCharType="end"/>
      </w:r>
    </w:p>
    <w:p w14:paraId="3AA87A83">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六、一般公共预算财政拨款基本支出决算情况说明</w:t>
      </w:r>
      <w:r>
        <w:rPr>
          <w:rFonts w:hint="eastAsia" w:ascii="仿宋" w:hAnsi="仿宋" w:eastAsia="仿宋" w:cs="仿宋"/>
          <w:bCs/>
          <w:color w:val="000000"/>
          <w:sz w:val="32"/>
          <w:szCs w:val="32"/>
        </w:rPr>
        <w:fldChar w:fldCharType="end"/>
      </w:r>
      <w:r>
        <w:rPr>
          <w:rFonts w:hint="eastAsia" w:ascii="仿宋" w:hAnsi="仿宋" w:eastAsia="仿宋" w:cs="仿宋"/>
          <w:color w:val="000000"/>
          <w:sz w:val="32"/>
          <w:szCs w:val="32"/>
        </w:rPr>
        <w:tab/>
      </w:r>
      <w:r>
        <w:rPr>
          <w:rFonts w:ascii="仿宋" w:hAnsi="仿宋" w:eastAsia="仿宋" w:cs="仿宋"/>
          <w:color w:val="000000"/>
          <w:sz w:val="32"/>
          <w:szCs w:val="32"/>
        </w:rPr>
        <w:t>6</w:t>
      </w:r>
    </w:p>
    <w:p w14:paraId="67272668">
      <w:pPr>
        <w:pStyle w:val="35"/>
        <w:numPr>
          <w:ilvl w:val="0"/>
          <w:numId w:val="1"/>
        </w:numPr>
        <w:tabs>
          <w:tab w:val="right" w:leader="dot" w:pos="8306"/>
        </w:tabs>
        <w:spacing w:line="560" w:lineRule="exact"/>
        <w:ind w:leftChars="0"/>
        <w:rPr>
          <w:rFonts w:ascii="仿宋" w:hAnsi="仿宋" w:eastAsia="仿宋" w:cs="仿宋"/>
          <w:color w:val="000000"/>
          <w:sz w:val="32"/>
          <w:szCs w:val="32"/>
        </w:rPr>
      </w:pPr>
      <w:r>
        <w:rPr>
          <w:rFonts w:hint="eastAsia" w:ascii="仿宋" w:hAnsi="仿宋" w:eastAsia="仿宋" w:cs="仿宋"/>
          <w:bCs/>
          <w:color w:val="000000"/>
          <w:sz w:val="32"/>
          <w:szCs w:val="32"/>
        </w:rPr>
        <w:t>政府性基金预算财政拨款支出决算情况说明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7</w:t>
      </w:r>
    </w:p>
    <w:p w14:paraId="41586EB4">
      <w:pPr>
        <w:pStyle w:val="35"/>
        <w:numPr>
          <w:ilvl w:val="0"/>
          <w:numId w:val="1"/>
        </w:numPr>
        <w:tabs>
          <w:tab w:val="right" w:leader="dot" w:pos="8306"/>
        </w:tabs>
        <w:spacing w:line="560" w:lineRule="exact"/>
        <w:ind w:leftChars="0"/>
        <w:rPr>
          <w:rFonts w:ascii="仿宋" w:hAnsi="仿宋" w:eastAsia="仿宋" w:cs="仿宋"/>
          <w:color w:val="000000"/>
          <w:sz w:val="32"/>
          <w:szCs w:val="32"/>
        </w:rPr>
      </w:pPr>
      <w:r>
        <w:rPr>
          <w:rFonts w:hint="eastAsia" w:ascii="仿宋" w:hAnsi="仿宋" w:eastAsia="仿宋" w:cs="仿宋"/>
          <w:bCs/>
          <w:color w:val="000000"/>
          <w:sz w:val="32"/>
          <w:szCs w:val="32"/>
        </w:rPr>
        <w:t>国有资本经营预算财政拨款支出决算情况说明</w:t>
      </w:r>
      <w:r>
        <w:rPr>
          <w:rFonts w:hint="eastAsia" w:ascii="仿宋" w:hAnsi="仿宋" w:eastAsia="仿宋" w:cs="仿宋"/>
          <w:color w:val="000000"/>
          <w:sz w:val="32"/>
          <w:szCs w:val="32"/>
        </w:rPr>
        <w:tab/>
      </w:r>
      <w:r>
        <w:rPr>
          <w:rFonts w:ascii="仿宋" w:hAnsi="仿宋" w:eastAsia="仿宋" w:cs="仿宋"/>
          <w:color w:val="000000"/>
          <w:sz w:val="32"/>
          <w:szCs w:val="32"/>
        </w:rPr>
        <w:t>7</w:t>
      </w:r>
    </w:p>
    <w:p w14:paraId="461B1806">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九、财政拨款“三公”经费支出决算情况说明</w:t>
      </w:r>
      <w:r>
        <w:rPr>
          <w:rFonts w:hint="eastAsia" w:ascii="仿宋" w:hAnsi="仿宋" w:eastAsia="仿宋" w:cs="仿宋"/>
          <w:color w:val="000000"/>
          <w:sz w:val="32"/>
          <w:szCs w:val="32"/>
        </w:rPr>
        <w:tab/>
      </w:r>
      <w:r>
        <w:rPr>
          <w:rFonts w:ascii="仿宋" w:hAnsi="仿宋" w:eastAsia="仿宋" w:cs="仿宋"/>
          <w:color w:val="000000"/>
          <w:sz w:val="32"/>
          <w:szCs w:val="32"/>
        </w:rPr>
        <w:t>8</w:t>
      </w:r>
      <w:r>
        <w:rPr>
          <w:rFonts w:ascii="仿宋" w:hAnsi="仿宋" w:eastAsia="仿宋" w:cs="仿宋"/>
          <w:color w:val="000000"/>
          <w:sz w:val="32"/>
          <w:szCs w:val="32"/>
        </w:rPr>
        <w:fldChar w:fldCharType="end"/>
      </w:r>
    </w:p>
    <w:p w14:paraId="2D59A254">
      <w:pPr>
        <w:pStyle w:val="35"/>
        <w:tabs>
          <w:tab w:val="right" w:leader="dot" w:pos="8306"/>
        </w:tabs>
        <w:spacing w:line="560" w:lineRule="exact"/>
        <w:ind w:leftChars="0"/>
        <w:rPr>
          <w:rFonts w:ascii="仿宋" w:hAnsi="仿宋" w:eastAsia="仿宋" w:cs="仿宋"/>
          <w:color w:val="000000"/>
          <w:sz w:val="32"/>
          <w:szCs w:val="32"/>
        </w:rPr>
      </w:pPr>
      <w:r>
        <w:fldChar w:fldCharType="begin"/>
      </w:r>
      <w:r>
        <w:instrText xml:space="preserve"> HYPERLINK \l "_Toc19535_WPSOffice_Level2" </w:instrText>
      </w:r>
      <w:r>
        <w:fldChar w:fldCharType="separate"/>
      </w:r>
      <w:r>
        <w:rPr>
          <w:rFonts w:hint="eastAsia" w:ascii="仿宋" w:hAnsi="仿宋" w:eastAsia="仿宋" w:cs="仿宋"/>
          <w:bCs/>
          <w:color w:val="000000"/>
          <w:sz w:val="32"/>
          <w:szCs w:val="32"/>
        </w:rPr>
        <w:t>十、预算绩效情况说明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end"/>
      </w:r>
      <w:r>
        <w:rPr>
          <w:rFonts w:ascii="仿宋" w:hAnsi="仿宋" w:eastAsia="仿宋" w:cs="仿宋"/>
          <w:color w:val="000000"/>
          <w:sz w:val="32"/>
          <w:szCs w:val="32"/>
        </w:rPr>
        <w:t>9</w:t>
      </w:r>
    </w:p>
    <w:p w14:paraId="7488C012">
      <w:pPr>
        <w:pStyle w:val="35"/>
        <w:tabs>
          <w:tab w:val="right" w:leader="dot" w:pos="8306"/>
        </w:tabs>
        <w:spacing w:line="560" w:lineRule="exact"/>
        <w:ind w:leftChars="0"/>
        <w:rPr>
          <w:rFonts w:ascii="仿宋" w:hAnsi="仿宋" w:eastAsia="仿宋" w:cs="仿宋"/>
          <w:color w:val="000000"/>
          <w:sz w:val="32"/>
          <w:szCs w:val="32"/>
        </w:rPr>
      </w:pPr>
      <w:r>
        <w:rPr>
          <w:rFonts w:hint="eastAsia" w:ascii="仿宋" w:hAnsi="仿宋" w:eastAsia="仿宋" w:cs="仿宋"/>
          <w:bCs/>
          <w:color w:val="000000"/>
          <w:sz w:val="32"/>
          <w:szCs w:val="32"/>
        </w:rPr>
        <w:t>十一、其他重要事项情况说明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11</w:t>
      </w:r>
    </w:p>
    <w:p w14:paraId="2E2D2A75">
      <w:pPr>
        <w:pStyle w:val="34"/>
        <w:tabs>
          <w:tab w:val="right" w:leader="dot" w:pos="8306"/>
        </w:tabs>
        <w:spacing w:line="560" w:lineRule="exact"/>
        <w:rPr>
          <w:rFonts w:hint="eastAsia" w:ascii="黑体" w:hAnsi="ˎ̥"/>
          <w:b/>
          <w:color w:val="000000"/>
          <w:sz w:val="32"/>
          <w:szCs w:val="32"/>
        </w:rPr>
      </w:pPr>
      <w:r>
        <w:fldChar w:fldCharType="begin"/>
      </w:r>
      <w:r>
        <w:instrText xml:space="preserve"> HYPERLINK \l "_Toc15425_WPSOffice_Level1" </w:instrText>
      </w:r>
      <w:r>
        <w:fldChar w:fldCharType="separate"/>
      </w:r>
      <w:r>
        <w:rPr>
          <w:rFonts w:hint="eastAsia" w:ascii="黑体" w:hAnsi="ˎ̥" w:eastAsia="黑体"/>
          <w:color w:val="000000"/>
          <w:sz w:val="32"/>
          <w:szCs w:val="32"/>
        </w:rPr>
        <w:t>第四部分  名词解释</w:t>
      </w:r>
      <w:r>
        <w:rPr>
          <w:color w:val="000000"/>
          <w:sz w:val="32"/>
          <w:szCs w:val="32"/>
        </w:rPr>
        <w:tab/>
      </w:r>
      <w:bookmarkStart w:id="1" w:name="_Toc15425_WPSOffice_Level1Page"/>
      <w:r>
        <w:rPr>
          <w:rFonts w:hint="eastAsia" w:ascii="仿宋" w:hAnsi="仿宋" w:eastAsia="仿宋" w:cs="仿宋"/>
          <w:color w:val="000000"/>
          <w:sz w:val="32"/>
          <w:szCs w:val="32"/>
        </w:rPr>
        <w:t>1</w:t>
      </w:r>
      <w:bookmarkEnd w:id="1"/>
      <w:r>
        <w:rPr>
          <w:rFonts w:hint="eastAsia" w:ascii="仿宋" w:hAnsi="仿宋" w:eastAsia="仿宋" w:cs="仿宋"/>
          <w:color w:val="000000"/>
          <w:sz w:val="32"/>
          <w:szCs w:val="32"/>
        </w:rPr>
        <w:fldChar w:fldCharType="end"/>
      </w:r>
      <w:bookmarkEnd w:id="0"/>
      <w:r>
        <w:rPr>
          <w:rFonts w:hint="eastAsia" w:ascii="仿宋" w:hAnsi="仿宋" w:eastAsia="仿宋" w:cs="仿宋"/>
          <w:color w:val="000000"/>
          <w:sz w:val="32"/>
          <w:szCs w:val="32"/>
        </w:rPr>
        <w:t>2</w:t>
      </w:r>
    </w:p>
    <w:p w14:paraId="0BE48DF3">
      <w:pPr>
        <w:pStyle w:val="28"/>
        <w:widowControl w:val="0"/>
        <w:autoSpaceDE w:val="0"/>
        <w:spacing w:before="0" w:beforeAutospacing="0" w:after="0" w:afterAutospacing="0" w:line="520" w:lineRule="exact"/>
        <w:rPr>
          <w:rFonts w:ascii="黑体" w:hAnsi="黑体" w:eastAsia="黑体"/>
          <w:sz w:val="32"/>
          <w:szCs w:val="32"/>
        </w:rPr>
        <w:sectPr>
          <w:headerReference r:id="rId3" w:type="default"/>
          <w:footerReference r:id="rId4" w:type="default"/>
          <w:pgSz w:w="11915" w:h="16840"/>
          <w:pgMar w:top="1440" w:right="1797" w:bottom="1440" w:left="1797" w:header="851" w:footer="794" w:gutter="0"/>
          <w:pgNumType w:fmt="numberInDash"/>
          <w:cols w:space="425" w:num="1"/>
          <w:docGrid w:type="lines" w:linePitch="326" w:charSpace="0"/>
        </w:sectPr>
      </w:pPr>
      <w:r>
        <w:rPr>
          <w:rFonts w:hint="eastAsia"/>
          <w:sz w:val="32"/>
          <w:szCs w:val="32"/>
        </w:rPr>
        <w:t xml:space="preserve">        </w:t>
      </w:r>
      <w:r>
        <w:rPr>
          <w:rFonts w:hint="eastAsia" w:ascii="黑体" w:eastAsia="黑体"/>
          <w:sz w:val="32"/>
          <w:szCs w:val="32"/>
        </w:rPr>
        <w:t xml:space="preserve"> </w:t>
      </w:r>
    </w:p>
    <w:p w14:paraId="738DD427">
      <w:pPr>
        <w:widowControl w:val="0"/>
        <w:numPr>
          <w:ilvl w:val="0"/>
          <w:numId w:val="2"/>
        </w:numPr>
        <w:autoSpaceDE w:val="0"/>
        <w:spacing w:line="576" w:lineRule="exact"/>
        <w:jc w:val="center"/>
        <w:rPr>
          <w:rFonts w:ascii="黑体" w:hAnsi="黑体" w:eastAsia="黑体"/>
          <w:sz w:val="32"/>
          <w:szCs w:val="32"/>
        </w:rPr>
      </w:pPr>
      <w:r>
        <w:rPr>
          <w:rFonts w:hint="eastAsia" w:ascii="黑体" w:hAnsi="ˎ̥" w:eastAsia="黑体"/>
          <w:sz w:val="32"/>
          <w:szCs w:val="32"/>
        </w:rPr>
        <w:t xml:space="preserve"> </w:t>
      </w:r>
      <w:r>
        <w:rPr>
          <w:rFonts w:hint="eastAsia" w:ascii="黑体" w:hAnsi="黑体" w:eastAsia="黑体"/>
          <w:sz w:val="32"/>
          <w:szCs w:val="32"/>
        </w:rPr>
        <w:t>基本情况</w:t>
      </w:r>
    </w:p>
    <w:p w14:paraId="27EE71A5">
      <w:pPr>
        <w:pStyle w:val="2"/>
      </w:pPr>
    </w:p>
    <w:p w14:paraId="6555453F">
      <w:pPr>
        <w:widowControl w:val="0"/>
        <w:autoSpaceDE w:val="0"/>
        <w:spacing w:line="576" w:lineRule="exact"/>
        <w:ind w:firstLine="640" w:firstLineChars="200"/>
        <w:rPr>
          <w:rFonts w:ascii="黑体" w:eastAsia="黑体"/>
          <w:sz w:val="32"/>
          <w:szCs w:val="32"/>
        </w:rPr>
      </w:pPr>
      <w:r>
        <w:rPr>
          <w:rFonts w:hint="eastAsia" w:ascii="黑体" w:hAnsi="黑体" w:eastAsia="黑体"/>
          <w:sz w:val="32"/>
          <w:szCs w:val="32"/>
        </w:rPr>
        <w:t>一、单位职责</w:t>
      </w:r>
    </w:p>
    <w:p w14:paraId="1324F8DB">
      <w:pPr>
        <w:shd w:val="clear" w:color="auto" w:fill="FFFFFF"/>
        <w:spacing w:line="576" w:lineRule="exact"/>
        <w:ind w:firstLine="640" w:firstLineChars="200"/>
        <w:rPr>
          <w:rFonts w:hint="eastAsia" w:ascii="仿宋_GB2312" w:hAnsi="ˎ̥" w:eastAsia="仿宋_GB2312" w:cs="Times New Roman"/>
          <w:color w:val="000000"/>
          <w:kern w:val="2"/>
          <w:sz w:val="32"/>
          <w:szCs w:val="32"/>
        </w:rPr>
      </w:pPr>
      <w:r>
        <w:rPr>
          <w:rFonts w:hint="eastAsia" w:ascii="楷体" w:hAnsi="楷体" w:eastAsia="楷体"/>
          <w:color w:val="000000"/>
          <w:sz w:val="32"/>
          <w:szCs w:val="32"/>
        </w:rPr>
        <w:t>（一）</w:t>
      </w:r>
      <w:r>
        <w:rPr>
          <w:rFonts w:hint="eastAsia" w:ascii="仿宋_GB2312" w:hAnsi="ˎ̥" w:eastAsia="仿宋_GB2312" w:cs="Times New Roman"/>
          <w:color w:val="000000"/>
          <w:kern w:val="2"/>
          <w:sz w:val="32"/>
          <w:szCs w:val="32"/>
        </w:rPr>
        <w:t>负责全省各类锅炉、压力容器、压力管道、电梯、起重机械、厂内机动车辆、大型游乐设施等特种设备的监督检验和定期检验工作。</w:t>
      </w:r>
    </w:p>
    <w:p w14:paraId="4E09CAFF">
      <w:pPr>
        <w:pStyle w:val="13"/>
        <w:widowControl w:val="0"/>
        <w:autoSpaceDE w:val="0"/>
        <w:spacing w:before="0" w:beforeAutospacing="0" w:after="0" w:afterAutospacing="0" w:line="576" w:lineRule="exact"/>
        <w:ind w:firstLine="641"/>
        <w:rPr>
          <w:rFonts w:ascii="仿宋_GB2312" w:eastAsia="仿宋_GB2312"/>
          <w:sz w:val="32"/>
          <w:szCs w:val="32"/>
        </w:rPr>
      </w:pPr>
      <w:r>
        <w:rPr>
          <w:rFonts w:hint="eastAsia" w:ascii="楷体" w:hAnsi="楷体" w:eastAsia="楷体"/>
          <w:color w:val="000000"/>
          <w:sz w:val="32"/>
          <w:szCs w:val="32"/>
        </w:rPr>
        <w:t>（二）</w:t>
      </w:r>
      <w:r>
        <w:rPr>
          <w:rFonts w:hint="eastAsia" w:ascii="仿宋_GB2312" w:hAnsi="ˎ̥" w:eastAsia="仿宋_GB2312" w:cs="Times New Roman"/>
          <w:color w:val="000000"/>
          <w:kern w:val="2"/>
          <w:sz w:val="32"/>
          <w:szCs w:val="32"/>
        </w:rPr>
        <w:t>负责锅炉给水和锅内水质的监测检验工作。</w:t>
      </w:r>
    </w:p>
    <w:p w14:paraId="55778CCD">
      <w:pPr>
        <w:shd w:val="clear" w:color="auto" w:fill="FFFFFF"/>
        <w:spacing w:line="576" w:lineRule="exact"/>
        <w:ind w:firstLine="640" w:firstLineChars="200"/>
        <w:rPr>
          <w:rFonts w:ascii="仿宋_GB2312" w:eastAsia="仿宋_GB2312"/>
          <w:sz w:val="32"/>
          <w:szCs w:val="32"/>
        </w:rPr>
      </w:pPr>
      <w:r>
        <w:rPr>
          <w:rFonts w:hint="eastAsia" w:ascii="楷体" w:hAnsi="楷体" w:eastAsia="楷体"/>
          <w:color w:val="000000"/>
          <w:sz w:val="32"/>
          <w:szCs w:val="32"/>
        </w:rPr>
        <w:t>（三）</w:t>
      </w:r>
      <w:r>
        <w:rPr>
          <w:rFonts w:hint="eastAsia" w:ascii="仿宋_GB2312" w:eastAsia="仿宋_GB2312"/>
          <w:sz w:val="32"/>
          <w:szCs w:val="32"/>
        </w:rPr>
        <w:t>负</w:t>
      </w:r>
      <w:r>
        <w:rPr>
          <w:rFonts w:hint="eastAsia" w:ascii="仿宋_GB2312" w:hAnsi="ˎ̥" w:eastAsia="仿宋_GB2312" w:cs="Times New Roman"/>
          <w:color w:val="000000"/>
          <w:kern w:val="2"/>
          <w:sz w:val="32"/>
          <w:szCs w:val="32"/>
        </w:rPr>
        <w:t>责全省特种设备行政许可资质评审。</w:t>
      </w:r>
    </w:p>
    <w:p w14:paraId="1C1C0647">
      <w:pPr>
        <w:shd w:val="clear" w:color="auto" w:fill="FFFFFF"/>
        <w:spacing w:line="576" w:lineRule="exact"/>
        <w:ind w:firstLine="640" w:firstLineChars="200"/>
        <w:rPr>
          <w:rFonts w:ascii="仿宋_GB2312" w:eastAsia="仿宋_GB2312"/>
          <w:sz w:val="32"/>
          <w:szCs w:val="32"/>
        </w:rPr>
      </w:pPr>
      <w:r>
        <w:rPr>
          <w:rFonts w:hint="eastAsia" w:ascii="楷体" w:hAnsi="楷体" w:eastAsia="楷体"/>
          <w:color w:val="000000"/>
          <w:sz w:val="32"/>
          <w:szCs w:val="32"/>
        </w:rPr>
        <w:t>（四）</w:t>
      </w:r>
      <w:r>
        <w:rPr>
          <w:rFonts w:hint="eastAsia" w:ascii="仿宋_GB2312" w:eastAsia="仿宋_GB2312"/>
          <w:sz w:val="32"/>
          <w:szCs w:val="32"/>
        </w:rPr>
        <w:t>负责开展委托检验、技术鉴定、节能测试、技术咨询和科学研究。</w:t>
      </w:r>
    </w:p>
    <w:p w14:paraId="2AB5E256">
      <w:pPr>
        <w:shd w:val="clear" w:color="auto" w:fill="FFFFFF"/>
        <w:spacing w:line="576" w:lineRule="exact"/>
        <w:ind w:firstLine="640" w:firstLineChars="200"/>
        <w:rPr>
          <w:rFonts w:ascii="仿宋_GB2312" w:eastAsia="仿宋_GB2312"/>
          <w:sz w:val="32"/>
          <w:szCs w:val="32"/>
        </w:rPr>
      </w:pPr>
      <w:r>
        <w:rPr>
          <w:rFonts w:hint="eastAsia" w:ascii="楷体" w:hAnsi="楷体" w:eastAsia="楷体"/>
          <w:color w:val="000000"/>
          <w:sz w:val="32"/>
          <w:szCs w:val="32"/>
        </w:rPr>
        <w:t>（五）</w:t>
      </w:r>
      <w:r>
        <w:rPr>
          <w:rFonts w:hint="eastAsia" w:ascii="仿宋_GB2312" w:eastAsia="仿宋_GB2312"/>
          <w:sz w:val="32"/>
          <w:szCs w:val="32"/>
        </w:rPr>
        <w:t>承担全省重点项目、重大活动、重点场所的特种设备安全保障技术支撑工作。</w:t>
      </w:r>
    </w:p>
    <w:p w14:paraId="7C2D1264">
      <w:pPr>
        <w:shd w:val="clear" w:color="auto" w:fill="FFFFFF"/>
        <w:spacing w:line="536" w:lineRule="exact"/>
        <w:ind w:firstLine="640" w:firstLineChars="200"/>
        <w:rPr>
          <w:rFonts w:ascii="仿宋_GB2312" w:eastAsia="仿宋_GB2312"/>
          <w:sz w:val="32"/>
          <w:szCs w:val="32"/>
        </w:rPr>
      </w:pPr>
      <w:r>
        <w:rPr>
          <w:rFonts w:hint="eastAsia" w:ascii="楷体" w:hAnsi="楷体" w:eastAsia="楷体"/>
          <w:color w:val="000000"/>
          <w:sz w:val="32"/>
          <w:szCs w:val="32"/>
        </w:rPr>
        <w:t>（六）</w:t>
      </w:r>
      <w:r>
        <w:rPr>
          <w:rFonts w:hint="eastAsia" w:ascii="仿宋_GB2312" w:eastAsia="仿宋_GB2312"/>
          <w:sz w:val="32"/>
          <w:szCs w:val="32"/>
        </w:rPr>
        <w:t>负责对特种设备作业人员的考核工作，对管理使用特种设备的单位进行使用技能指导。</w:t>
      </w:r>
    </w:p>
    <w:p w14:paraId="2EFAF4C9">
      <w:pPr>
        <w:shd w:val="clear" w:color="auto" w:fill="FFFFFF"/>
        <w:spacing w:line="536" w:lineRule="exact"/>
        <w:ind w:firstLine="640" w:firstLineChars="200"/>
        <w:rPr>
          <w:rFonts w:ascii="仿宋_GB2312" w:eastAsia="仿宋_GB2312"/>
          <w:sz w:val="32"/>
          <w:szCs w:val="32"/>
        </w:rPr>
      </w:pPr>
      <w:r>
        <w:rPr>
          <w:rFonts w:hint="eastAsia" w:ascii="楷体" w:hAnsi="楷体" w:eastAsia="楷体"/>
          <w:color w:val="000000"/>
          <w:sz w:val="32"/>
          <w:szCs w:val="32"/>
        </w:rPr>
        <w:t>（七）</w:t>
      </w:r>
      <w:r>
        <w:rPr>
          <w:rFonts w:hint="eastAsia" w:ascii="仿宋_GB2312" w:eastAsia="仿宋_GB2312"/>
          <w:sz w:val="32"/>
          <w:szCs w:val="32"/>
        </w:rPr>
        <w:t>完成上级交办的其他任务。</w:t>
      </w:r>
    </w:p>
    <w:p w14:paraId="5D007DCF">
      <w:pPr>
        <w:widowControl w:val="0"/>
        <w:autoSpaceDE w:val="0"/>
        <w:spacing w:line="576" w:lineRule="exact"/>
        <w:ind w:firstLine="640" w:firstLineChars="200"/>
        <w:rPr>
          <w:rFonts w:ascii="黑体" w:eastAsia="黑体"/>
          <w:sz w:val="32"/>
          <w:szCs w:val="32"/>
        </w:rPr>
      </w:pPr>
      <w:r>
        <w:rPr>
          <w:rFonts w:hint="eastAsia" w:ascii="黑体" w:hAnsi="黑体" w:eastAsia="黑体"/>
          <w:sz w:val="32"/>
          <w:szCs w:val="32"/>
        </w:rPr>
        <w:t>二、机构设置</w:t>
      </w:r>
    </w:p>
    <w:p w14:paraId="329675B9">
      <w:pPr>
        <w:shd w:val="clear" w:color="auto" w:fill="FFFFFF"/>
        <w:spacing w:line="576" w:lineRule="exact"/>
        <w:rPr>
          <w:rFonts w:ascii="仿宋_GB2312" w:eastAsia="仿宋_GB2312"/>
          <w:sz w:val="32"/>
          <w:szCs w:val="32"/>
        </w:rPr>
      </w:pPr>
      <w:r>
        <w:rPr>
          <w:rFonts w:hint="eastAsia" w:ascii="仿宋_GB2312" w:eastAsia="仿宋_GB2312"/>
          <w:sz w:val="32"/>
          <w:szCs w:val="32"/>
        </w:rPr>
        <w:t>海南省锅炉压力容器与特种设备检验所下设7个科室，包括：</w:t>
      </w:r>
    </w:p>
    <w:p w14:paraId="2DF7C195">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（一）办公室</w:t>
      </w:r>
    </w:p>
    <w:p w14:paraId="2A944452">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（二）管道科</w:t>
      </w:r>
    </w:p>
    <w:p w14:paraId="00CB15F6">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（三）压力容器科</w:t>
      </w:r>
    </w:p>
    <w:p w14:paraId="3126269E">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（四）锅炉科</w:t>
      </w:r>
    </w:p>
    <w:p w14:paraId="272FF630">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（五）质量监督科</w:t>
      </w:r>
    </w:p>
    <w:p w14:paraId="0B19FCEE">
      <w:pPr>
        <w:pStyle w:val="26"/>
        <w:autoSpaceDE w:val="0"/>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（六）电梯检测科</w:t>
      </w:r>
    </w:p>
    <w:p w14:paraId="539B9DA1">
      <w:pPr>
        <w:pStyle w:val="26"/>
        <w:autoSpaceDE w:val="0"/>
        <w:spacing w:line="576" w:lineRule="exact"/>
        <w:ind w:firstLine="640"/>
        <w:jc w:val="left"/>
        <w:rPr>
          <w:rFonts w:ascii="仿宋_GB2312" w:hAnsi="宋体" w:eastAsia="仿宋_GB2312"/>
          <w:sz w:val="32"/>
          <w:szCs w:val="32"/>
        </w:rPr>
      </w:pPr>
      <w:r>
        <w:rPr>
          <w:rFonts w:hint="eastAsia" w:ascii="仿宋_GB2312" w:hAnsi="宋体" w:eastAsia="仿宋_GB2312"/>
          <w:sz w:val="32"/>
          <w:szCs w:val="32"/>
        </w:rPr>
        <w:t>（七）综合检测科</w:t>
      </w:r>
    </w:p>
    <w:p w14:paraId="694D27A2">
      <w:pPr>
        <w:pStyle w:val="26"/>
        <w:autoSpaceDE w:val="0"/>
        <w:spacing w:line="576" w:lineRule="exact"/>
        <w:ind w:firstLine="640"/>
        <w:jc w:val="left"/>
        <w:rPr>
          <w:rFonts w:ascii="仿宋_GB2312" w:hAnsi="宋体" w:eastAsia="仿宋_GB2312"/>
          <w:sz w:val="32"/>
          <w:szCs w:val="32"/>
        </w:rPr>
      </w:pPr>
    </w:p>
    <w:p w14:paraId="46312BB3">
      <w:pPr>
        <w:widowControl w:val="0"/>
        <w:numPr>
          <w:ilvl w:val="0"/>
          <w:numId w:val="3"/>
        </w:numPr>
        <w:autoSpaceDE w:val="0"/>
        <w:spacing w:line="576" w:lineRule="exact"/>
        <w:jc w:val="center"/>
        <w:rPr>
          <w:rFonts w:ascii="黑体" w:hAnsi="黑体" w:eastAsia="黑体"/>
          <w:sz w:val="32"/>
          <w:szCs w:val="32"/>
        </w:rPr>
      </w:pPr>
      <w:r>
        <w:rPr>
          <w:rFonts w:hint="eastAsia" w:ascii="黑体" w:hAnsi="ˎ̥" w:eastAsia="黑体"/>
          <w:sz w:val="32"/>
          <w:szCs w:val="32"/>
        </w:rPr>
        <w:t>2023</w:t>
      </w:r>
      <w:r>
        <w:rPr>
          <w:rFonts w:hint="eastAsia" w:ascii="黑体" w:hAnsi="黑体" w:eastAsia="黑体"/>
          <w:sz w:val="32"/>
          <w:szCs w:val="32"/>
        </w:rPr>
        <w:t>年度单位决算公开报表</w:t>
      </w:r>
    </w:p>
    <w:p w14:paraId="58D6F293">
      <w:pPr>
        <w:widowControl w:val="0"/>
        <w:autoSpaceDE w:val="0"/>
        <w:spacing w:line="576" w:lineRule="exact"/>
        <w:ind w:left="546"/>
        <w:jc w:val="both"/>
        <w:rPr>
          <w:rFonts w:ascii="黑体" w:hAnsi="黑体" w:eastAsia="黑体"/>
          <w:sz w:val="32"/>
          <w:szCs w:val="32"/>
        </w:rPr>
      </w:pPr>
    </w:p>
    <w:p w14:paraId="0F781EDC">
      <w:pPr>
        <w:widowControl w:val="0"/>
        <w:autoSpaceDE w:val="0"/>
        <w:spacing w:line="576" w:lineRule="exact"/>
        <w:ind w:firstLine="645"/>
        <w:rPr>
          <w:rFonts w:ascii="黑体" w:eastAsia="黑体"/>
          <w:sz w:val="32"/>
          <w:szCs w:val="32"/>
        </w:rPr>
      </w:pPr>
      <w:r>
        <w:rPr>
          <w:rFonts w:hint="eastAsia" w:ascii="黑体" w:hAnsi="黑体" w:eastAsia="黑体"/>
          <w:sz w:val="32"/>
          <w:szCs w:val="32"/>
        </w:rPr>
        <w:t>一、收入支出决算公开表</w:t>
      </w:r>
    </w:p>
    <w:p w14:paraId="6CD45018">
      <w:pPr>
        <w:widowControl w:val="0"/>
        <w:autoSpaceDE w:val="0"/>
        <w:spacing w:line="576" w:lineRule="exact"/>
        <w:ind w:firstLine="645"/>
        <w:rPr>
          <w:rFonts w:ascii="黑体" w:eastAsia="黑体"/>
          <w:sz w:val="32"/>
          <w:szCs w:val="32"/>
        </w:rPr>
      </w:pPr>
      <w:r>
        <w:rPr>
          <w:rFonts w:hint="eastAsia" w:ascii="黑体" w:hAnsi="黑体" w:eastAsia="黑体"/>
          <w:sz w:val="32"/>
          <w:szCs w:val="32"/>
        </w:rPr>
        <w:t>二、收入决算公开表</w:t>
      </w:r>
    </w:p>
    <w:p w14:paraId="21A7F3CB">
      <w:pPr>
        <w:widowControl w:val="0"/>
        <w:autoSpaceDE w:val="0"/>
        <w:spacing w:line="576" w:lineRule="exact"/>
        <w:ind w:firstLine="645"/>
        <w:rPr>
          <w:rFonts w:ascii="黑体" w:eastAsia="黑体"/>
          <w:sz w:val="32"/>
          <w:szCs w:val="32"/>
        </w:rPr>
      </w:pPr>
      <w:r>
        <w:rPr>
          <w:rFonts w:hint="eastAsia" w:ascii="黑体" w:hAnsi="黑体" w:eastAsia="黑体"/>
          <w:sz w:val="32"/>
          <w:szCs w:val="32"/>
        </w:rPr>
        <w:t>三、支出决算公开表</w:t>
      </w:r>
    </w:p>
    <w:p w14:paraId="6174064F">
      <w:pPr>
        <w:widowControl w:val="0"/>
        <w:autoSpaceDE w:val="0"/>
        <w:spacing w:line="576" w:lineRule="exact"/>
        <w:ind w:firstLine="645"/>
        <w:rPr>
          <w:rFonts w:ascii="黑体" w:eastAsia="黑体"/>
          <w:sz w:val="32"/>
          <w:szCs w:val="32"/>
        </w:rPr>
      </w:pPr>
      <w:r>
        <w:rPr>
          <w:rFonts w:hint="eastAsia" w:ascii="黑体" w:hAnsi="黑体" w:eastAsia="黑体"/>
          <w:sz w:val="32"/>
          <w:szCs w:val="32"/>
        </w:rPr>
        <w:t>四、财政拨款收入支出决算公开表</w:t>
      </w:r>
    </w:p>
    <w:p w14:paraId="79DFEDD1">
      <w:pPr>
        <w:widowControl w:val="0"/>
        <w:autoSpaceDE w:val="0"/>
        <w:spacing w:line="576" w:lineRule="exact"/>
        <w:ind w:firstLine="645"/>
        <w:rPr>
          <w:rFonts w:ascii="黑体" w:eastAsia="黑体"/>
          <w:sz w:val="32"/>
          <w:szCs w:val="32"/>
        </w:rPr>
      </w:pPr>
      <w:r>
        <w:rPr>
          <w:rFonts w:hint="eastAsia" w:ascii="黑体" w:hAnsi="黑体" w:eastAsia="黑体"/>
          <w:sz w:val="32"/>
          <w:szCs w:val="32"/>
        </w:rPr>
        <w:t>五、一般公共预算财政拨款收入支出决算公开表</w:t>
      </w:r>
    </w:p>
    <w:p w14:paraId="1AB25891">
      <w:pPr>
        <w:widowControl w:val="0"/>
        <w:autoSpaceDE w:val="0"/>
        <w:spacing w:line="576" w:lineRule="exact"/>
        <w:ind w:firstLine="645"/>
        <w:rPr>
          <w:rFonts w:ascii="黑体" w:eastAsia="黑体"/>
          <w:sz w:val="32"/>
          <w:szCs w:val="32"/>
        </w:rPr>
      </w:pPr>
      <w:r>
        <w:rPr>
          <w:rFonts w:hint="eastAsia" w:ascii="黑体" w:hAnsi="黑体" w:eastAsia="黑体"/>
          <w:sz w:val="32"/>
          <w:szCs w:val="32"/>
        </w:rPr>
        <w:t>六、一般公共预算财政拨款基本支出决算公开表</w:t>
      </w:r>
    </w:p>
    <w:p w14:paraId="3829DAEE">
      <w:pPr>
        <w:widowControl w:val="0"/>
        <w:autoSpaceDE w:val="0"/>
        <w:spacing w:line="576" w:lineRule="exact"/>
        <w:ind w:firstLine="640" w:firstLineChars="200"/>
        <w:rPr>
          <w:rFonts w:ascii="黑体" w:eastAsia="黑体"/>
          <w:sz w:val="32"/>
          <w:szCs w:val="32"/>
        </w:rPr>
      </w:pPr>
      <w:r>
        <w:rPr>
          <w:rFonts w:hint="eastAsia" w:ascii="黑体" w:hAnsi="黑体" w:eastAsia="黑体"/>
          <w:sz w:val="32"/>
          <w:szCs w:val="32"/>
        </w:rPr>
        <w:t>七、政府性基金预算财政拨款收入支出决算公开表</w:t>
      </w:r>
    </w:p>
    <w:p w14:paraId="7D42CE2D">
      <w:pPr>
        <w:widowControl w:val="0"/>
        <w:autoSpaceDE w:val="0"/>
        <w:spacing w:line="576" w:lineRule="exact"/>
        <w:ind w:firstLine="640" w:firstLineChars="200"/>
        <w:rPr>
          <w:rFonts w:ascii="黑体" w:eastAsia="黑体"/>
          <w:sz w:val="32"/>
          <w:szCs w:val="32"/>
        </w:rPr>
      </w:pPr>
      <w:r>
        <w:rPr>
          <w:rFonts w:hint="eastAsia" w:ascii="黑体" w:hAnsi="黑体" w:eastAsia="黑体"/>
          <w:sz w:val="32"/>
          <w:szCs w:val="32"/>
        </w:rPr>
        <w:t>八、国有资本经营预算财政拨款收入支出决算公开表</w:t>
      </w:r>
    </w:p>
    <w:p w14:paraId="6FABFB4D">
      <w:pPr>
        <w:widowControl w:val="0"/>
        <w:autoSpaceDE w:val="0"/>
        <w:spacing w:line="576" w:lineRule="exact"/>
        <w:ind w:left="1120" w:hanging="1120" w:hangingChars="350"/>
        <w:rPr>
          <w:rFonts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九、财政拨款</w:t>
      </w:r>
      <w:r>
        <w:rPr>
          <w:rFonts w:hint="eastAsia" w:ascii="黑体" w:eastAsia="黑体"/>
          <w:sz w:val="32"/>
          <w:szCs w:val="32"/>
        </w:rPr>
        <w:t>“三公”经费支出决算</w:t>
      </w:r>
      <w:r>
        <w:rPr>
          <w:rFonts w:hint="eastAsia" w:ascii="黑体" w:hAnsi="黑体" w:eastAsia="黑体"/>
          <w:sz w:val="32"/>
          <w:szCs w:val="32"/>
        </w:rPr>
        <w:t>公开表</w:t>
      </w:r>
    </w:p>
    <w:p w14:paraId="3D96E1AF">
      <w:pPr>
        <w:widowControl w:val="0"/>
        <w:autoSpaceDE w:val="0"/>
        <w:spacing w:line="576" w:lineRule="exact"/>
        <w:rPr>
          <w:rFonts w:hint="eastAsia" w:ascii="黑体" w:eastAsia="黑体"/>
          <w:sz w:val="32"/>
          <w:szCs w:val="32"/>
        </w:rPr>
      </w:pPr>
      <w:r>
        <w:rPr>
          <w:rFonts w:hint="eastAsia" w:ascii="黑体" w:eastAsia="黑体"/>
          <w:sz w:val="32"/>
          <w:szCs w:val="32"/>
        </w:rPr>
        <w:t xml:space="preserve">    </w:t>
      </w:r>
      <w:r>
        <w:rPr>
          <w:rFonts w:hint="eastAsia" w:ascii="黑体" w:hAnsi="黑体" w:eastAsia="黑体" w:cs="黑体"/>
          <w:color w:val="000000"/>
          <w:w w:val="96"/>
          <w:sz w:val="32"/>
          <w:szCs w:val="32"/>
        </w:rPr>
        <w:t>以上报表见附件1。</w:t>
      </w:r>
    </w:p>
    <w:p w14:paraId="1EB5D9BB">
      <w:pPr>
        <w:widowControl w:val="0"/>
        <w:autoSpaceDE w:val="0"/>
        <w:spacing w:line="576" w:lineRule="exact"/>
        <w:jc w:val="center"/>
        <w:rPr>
          <w:rFonts w:ascii="黑体" w:hAnsi="黑体" w:eastAsia="黑体"/>
          <w:sz w:val="32"/>
          <w:szCs w:val="32"/>
        </w:rPr>
      </w:pPr>
      <w:r>
        <w:rPr>
          <w:rFonts w:hint="eastAsia" w:ascii="黑体" w:hAnsi="黑体" w:eastAsia="黑体"/>
          <w:sz w:val="32"/>
          <w:szCs w:val="32"/>
        </w:rPr>
        <w:t xml:space="preserve"> </w:t>
      </w:r>
    </w:p>
    <w:p w14:paraId="658FB190">
      <w:pPr>
        <w:widowControl w:val="0"/>
        <w:numPr>
          <w:ilvl w:val="0"/>
          <w:numId w:val="3"/>
        </w:numPr>
        <w:autoSpaceDE w:val="0"/>
        <w:spacing w:line="576" w:lineRule="exact"/>
        <w:jc w:val="center"/>
        <w:rPr>
          <w:rFonts w:hint="eastAsia" w:ascii="黑体" w:hAnsi="ˎ̥" w:eastAsia="黑体"/>
          <w:sz w:val="32"/>
          <w:szCs w:val="32"/>
        </w:rPr>
      </w:pPr>
      <w:r>
        <w:rPr>
          <w:rFonts w:hint="eastAsia" w:ascii="黑体" w:hAnsi="ˎ̥" w:eastAsia="黑体"/>
          <w:sz w:val="32"/>
          <w:szCs w:val="32"/>
        </w:rPr>
        <w:t xml:space="preserve"> 2023</w:t>
      </w:r>
      <w:r>
        <w:rPr>
          <w:rFonts w:hint="eastAsia" w:ascii="黑体" w:hAnsi="黑体" w:eastAsia="黑体"/>
          <w:sz w:val="32"/>
          <w:szCs w:val="32"/>
        </w:rPr>
        <w:t>年度单位决算情况说明</w:t>
      </w:r>
      <w:r>
        <w:rPr>
          <w:rFonts w:hint="eastAsia" w:ascii="黑体" w:hAnsi="ˎ̥" w:eastAsia="黑体"/>
          <w:sz w:val="32"/>
          <w:szCs w:val="32"/>
        </w:rPr>
        <w:t xml:space="preserve"> </w:t>
      </w:r>
    </w:p>
    <w:p w14:paraId="3D92D65C">
      <w:pPr>
        <w:widowControl w:val="0"/>
        <w:autoSpaceDE w:val="0"/>
        <w:spacing w:line="576" w:lineRule="exact"/>
        <w:ind w:left="546"/>
        <w:jc w:val="both"/>
        <w:rPr>
          <w:rFonts w:ascii="黑体" w:hAnsi="黑体" w:eastAsia="黑体"/>
          <w:sz w:val="32"/>
          <w:szCs w:val="32"/>
        </w:rPr>
      </w:pPr>
    </w:p>
    <w:p w14:paraId="00EC19C0">
      <w:pPr>
        <w:widowControl w:val="0"/>
        <w:autoSpaceDE w:val="0"/>
        <w:spacing w:line="576" w:lineRule="exact"/>
        <w:ind w:left="546"/>
        <w:jc w:val="both"/>
        <w:rPr>
          <w:rFonts w:ascii="黑体" w:eastAsia="黑体"/>
          <w:sz w:val="32"/>
          <w:szCs w:val="32"/>
        </w:rPr>
      </w:pPr>
      <w:r>
        <w:rPr>
          <w:rFonts w:hint="eastAsia" w:ascii="黑体" w:hAnsi="黑体" w:eastAsia="黑体"/>
          <w:sz w:val="32"/>
          <w:szCs w:val="32"/>
        </w:rPr>
        <w:t>一、收入支出决算总体情况说明</w:t>
      </w:r>
    </w:p>
    <w:p w14:paraId="3564FBBA">
      <w:pPr>
        <w:spacing w:line="560" w:lineRule="exact"/>
        <w:ind w:firstLine="640"/>
        <w:jc w:val="both"/>
        <w:rPr>
          <w:rFonts w:hint="eastAsia" w:ascii="仿宋_GB2312" w:hAnsi="ˎ̥" w:eastAsia="仿宋_GB2312"/>
          <w:sz w:val="32"/>
          <w:szCs w:val="32"/>
        </w:rPr>
      </w:pPr>
      <w:r>
        <w:rPr>
          <w:rFonts w:hint="eastAsia" w:ascii="仿宋_GB2312" w:hAnsi="ˎ̥" w:eastAsia="仿宋_GB2312"/>
          <w:sz w:val="32"/>
          <w:szCs w:val="32"/>
        </w:rPr>
        <w:t>2023年度收入总计</w:t>
      </w:r>
      <w:bookmarkStart w:id="2" w:name="OLE_LINK1"/>
      <w:r>
        <w:rPr>
          <w:rFonts w:hint="eastAsia" w:ascii="仿宋_GB2312" w:hAnsi="ˎ̥" w:eastAsia="仿宋_GB2312"/>
          <w:sz w:val="32"/>
          <w:szCs w:val="32"/>
        </w:rPr>
        <w:t>2,915.09</w:t>
      </w:r>
      <w:bookmarkEnd w:id="2"/>
      <w:r>
        <w:rPr>
          <w:rFonts w:hint="eastAsia" w:ascii="仿宋_GB2312" w:hAnsi="ˎ̥" w:eastAsia="仿宋_GB2312"/>
          <w:sz w:val="32"/>
          <w:szCs w:val="32"/>
        </w:rPr>
        <w:t>万元，支出总计2,915.09万元，与2022年度相比，收入、支出总计各增加79.68万元。主要原因一是一般公共服务预算财政拨款</w:t>
      </w:r>
      <w:bookmarkStart w:id="3" w:name="OLE_LINK2"/>
      <w:r>
        <w:rPr>
          <w:rFonts w:hint="eastAsia" w:ascii="仿宋_GB2312" w:hAnsi="ˎ̥" w:eastAsia="仿宋_GB2312"/>
          <w:sz w:val="32"/>
          <w:szCs w:val="32"/>
        </w:rPr>
        <w:t>收入比2022年</w:t>
      </w:r>
      <w:bookmarkEnd w:id="3"/>
      <w:r>
        <w:rPr>
          <w:rFonts w:hint="eastAsia" w:ascii="仿宋_GB2312" w:hAnsi="ˎ̥" w:eastAsia="仿宋_GB2312"/>
          <w:sz w:val="32"/>
          <w:szCs w:val="32"/>
        </w:rPr>
        <w:t>增加93.65万元；</w:t>
      </w:r>
      <w:r>
        <w:rPr>
          <w:rFonts w:ascii="仿宋_GB2312" w:hAnsi="ˎ̥" w:eastAsia="仿宋_GB2312"/>
          <w:sz w:val="32"/>
          <w:szCs w:val="32"/>
        </w:rPr>
        <w:t>二是</w:t>
      </w:r>
      <w:r>
        <w:rPr>
          <w:rFonts w:hint="eastAsia" w:ascii="仿宋_GB2312" w:hAnsi="ˎ̥" w:eastAsia="仿宋_GB2312"/>
          <w:sz w:val="32"/>
          <w:szCs w:val="32"/>
        </w:rPr>
        <w:t>2023年度年末结转结余为0万元，比2022年减少13.97万元。</w:t>
      </w:r>
    </w:p>
    <w:p w14:paraId="6B931632">
      <w:pPr>
        <w:widowControl w:val="0"/>
        <w:spacing w:line="578" w:lineRule="exact"/>
        <w:ind w:firstLine="640" w:firstLineChars="200"/>
        <w:jc w:val="both"/>
        <w:rPr>
          <w:rFonts w:ascii="楷体" w:hAnsi="楷体" w:eastAsia="楷体" w:cs="楷体"/>
          <w:sz w:val="32"/>
          <w:szCs w:val="32"/>
        </w:rPr>
      </w:pPr>
      <w:r>
        <w:rPr>
          <w:rFonts w:hint="eastAsia" w:ascii="楷体" w:hAnsi="楷体" w:eastAsia="楷体" w:cs="楷体"/>
          <w:kern w:val="2"/>
          <w:sz w:val="32"/>
          <w:szCs w:val="32"/>
          <w:lang w:bidi="ar"/>
        </w:rPr>
        <w:t>（一）收入总计主要构成。</w:t>
      </w:r>
    </w:p>
    <w:p w14:paraId="38F9BC56">
      <w:pPr>
        <w:widowControl w:val="0"/>
        <w:spacing w:line="578" w:lineRule="exact"/>
        <w:ind w:firstLine="600" w:firstLineChars="200"/>
        <w:jc w:val="both"/>
        <w:rPr>
          <w:rFonts w:hint="eastAsia" w:ascii="仿宋_GB2312" w:hAnsi="ˎ̥" w:eastAsia="仿宋_GB2312"/>
          <w:spacing w:val="-10"/>
          <w:sz w:val="32"/>
          <w:szCs w:val="32"/>
        </w:rPr>
      </w:pPr>
      <w:r>
        <w:rPr>
          <w:rFonts w:hint="eastAsia" w:ascii="仿宋_GB2312" w:hAnsi="ˎ̥" w:eastAsia="仿宋_GB2312"/>
          <w:spacing w:val="-10"/>
          <w:sz w:val="32"/>
          <w:szCs w:val="32"/>
        </w:rPr>
        <w:t>本年收入</w:t>
      </w:r>
      <w:bookmarkStart w:id="4" w:name="OLE_LINK3"/>
      <w:r>
        <w:rPr>
          <w:rFonts w:hint="eastAsia" w:ascii="仿宋_GB2312" w:hAnsi="ˎ̥" w:eastAsia="仿宋_GB2312"/>
          <w:sz w:val="32"/>
          <w:szCs w:val="32"/>
        </w:rPr>
        <w:t>2,915.09</w:t>
      </w:r>
      <w:bookmarkEnd w:id="4"/>
      <w:r>
        <w:rPr>
          <w:rFonts w:hint="eastAsia" w:ascii="仿宋_GB2312" w:hAnsi="ˎ̥" w:eastAsia="仿宋_GB2312"/>
          <w:spacing w:val="-10"/>
          <w:sz w:val="32"/>
          <w:szCs w:val="32"/>
        </w:rPr>
        <w:t>万元。</w:t>
      </w:r>
    </w:p>
    <w:p w14:paraId="34A58C60">
      <w:pPr>
        <w:widowControl w:val="0"/>
        <w:spacing w:line="578" w:lineRule="exact"/>
        <w:ind w:firstLine="640" w:firstLineChars="200"/>
        <w:jc w:val="both"/>
        <w:rPr>
          <w:rFonts w:hint="eastAsia" w:ascii="仿宋_GB2312" w:hAnsi="ˎ̥" w:eastAsia="仿宋_GB2312" w:cs="仿宋_GB2312"/>
          <w:kern w:val="2"/>
          <w:sz w:val="32"/>
          <w:szCs w:val="32"/>
          <w:lang w:bidi="ar"/>
        </w:rPr>
      </w:pPr>
      <w:r>
        <w:rPr>
          <w:rFonts w:hint="eastAsia" w:ascii="仿宋_GB2312" w:hAnsi="ˎ̥" w:eastAsia="仿宋_GB2312" w:cs="仿宋_GB2312"/>
          <w:kern w:val="2"/>
          <w:sz w:val="32"/>
          <w:szCs w:val="32"/>
          <w:lang w:bidi="ar"/>
        </w:rPr>
        <w:t>使用非财政拨款</w:t>
      </w:r>
      <w:r>
        <w:rPr>
          <w:rFonts w:hint="eastAsia" w:ascii="仿宋_GB2312" w:hAnsi="ˎ̥" w:eastAsia="仿宋_GB2312"/>
          <w:sz w:val="32"/>
          <w:szCs w:val="32"/>
        </w:rPr>
        <w:t>结余为0万元</w:t>
      </w:r>
      <w:r>
        <w:rPr>
          <w:rFonts w:hint="eastAsia" w:ascii="仿宋_GB2312" w:hAnsi="ˎ̥" w:eastAsia="仿宋_GB2312" w:cs="仿宋_GB2312"/>
          <w:kern w:val="2"/>
          <w:sz w:val="32"/>
          <w:szCs w:val="32"/>
          <w:lang w:bidi="ar"/>
        </w:rPr>
        <w:t>。主</w:t>
      </w:r>
      <w:r>
        <w:rPr>
          <w:rFonts w:ascii="仿宋_GB2312" w:hAnsi="ˎ̥" w:eastAsia="仿宋_GB2312" w:cs="仿宋_GB2312"/>
          <w:kern w:val="2"/>
          <w:sz w:val="32"/>
          <w:szCs w:val="32"/>
          <w:lang w:bidi="ar"/>
        </w:rPr>
        <w:t>要原因</w:t>
      </w:r>
      <w:r>
        <w:rPr>
          <w:rFonts w:hint="eastAsia" w:ascii="仿宋_GB2312" w:hAnsi="ˎ̥" w:eastAsia="仿宋_GB2312" w:cs="仿宋_GB2312"/>
          <w:kern w:val="2"/>
          <w:sz w:val="32"/>
          <w:szCs w:val="32"/>
          <w:lang w:bidi="ar"/>
        </w:rPr>
        <w:t>是</w:t>
      </w:r>
      <w:r>
        <w:rPr>
          <w:rFonts w:ascii="仿宋_GB2312" w:hAnsi="ˎ̥" w:eastAsia="仿宋_GB2312" w:cs="仿宋_GB2312"/>
          <w:kern w:val="2"/>
          <w:sz w:val="32"/>
          <w:szCs w:val="32"/>
          <w:lang w:bidi="ar"/>
        </w:rPr>
        <w:t>我单位无非财政拨款</w:t>
      </w:r>
      <w:r>
        <w:rPr>
          <w:rFonts w:hint="eastAsia" w:ascii="仿宋_GB2312" w:hAnsi="ˎ̥" w:eastAsia="仿宋_GB2312" w:cs="仿宋_GB2312"/>
          <w:kern w:val="2"/>
          <w:sz w:val="32"/>
          <w:szCs w:val="32"/>
          <w:lang w:bidi="ar"/>
        </w:rPr>
        <w:t>。</w:t>
      </w:r>
    </w:p>
    <w:p w14:paraId="5C308898">
      <w:pPr>
        <w:spacing w:line="578" w:lineRule="exact"/>
        <w:ind w:firstLine="480" w:firstLineChars="200"/>
        <w:rPr>
          <w:rFonts w:hint="eastAsia" w:ascii="仿宋_GB2312" w:hAnsi="ˎ̥" w:eastAsia="仿宋_GB2312"/>
          <w:sz w:val="32"/>
          <w:szCs w:val="32"/>
        </w:rPr>
      </w:pPr>
      <w:r>
        <w:rPr>
          <w:rFonts w:hint="eastAsia"/>
          <w:lang w:bidi="ar"/>
        </w:rPr>
        <w:t xml:space="preserve"> </w:t>
      </w:r>
      <w:r>
        <w:rPr>
          <w:rFonts w:hint="eastAsia" w:ascii="仿宋_GB2312" w:hAnsi="ˎ̥" w:eastAsia="仿宋_GB2312"/>
          <w:sz w:val="32"/>
          <w:szCs w:val="32"/>
        </w:rPr>
        <w:t>年初结转结余</w:t>
      </w:r>
      <w:r>
        <w:rPr>
          <w:rFonts w:ascii="仿宋_GB2312" w:hAnsi="ˎ̥" w:eastAsia="仿宋_GB2312"/>
          <w:sz w:val="32"/>
          <w:szCs w:val="32"/>
        </w:rPr>
        <w:t>0</w:t>
      </w:r>
      <w:r>
        <w:rPr>
          <w:rFonts w:hint="eastAsia" w:ascii="仿宋_GB2312" w:hAnsi="ˎ̥" w:eastAsia="仿宋_GB2312"/>
          <w:sz w:val="32"/>
          <w:szCs w:val="32"/>
        </w:rPr>
        <w:t>万元，</w:t>
      </w:r>
      <w:r>
        <w:rPr>
          <w:rFonts w:hint="eastAsia" w:ascii="仿宋_GB2312" w:hAnsi="ˎ̥" w:eastAsia="仿宋_GB2312" w:cs="仿宋_GB2312"/>
          <w:kern w:val="2"/>
          <w:sz w:val="32"/>
          <w:szCs w:val="32"/>
          <w:lang w:bidi="ar"/>
        </w:rPr>
        <w:t>较2022年度决算数减少</w:t>
      </w:r>
      <w:bookmarkStart w:id="5" w:name="OLE_LINK4"/>
      <w:r>
        <w:rPr>
          <w:rFonts w:hint="eastAsia" w:ascii="仿宋_GB2312" w:hAnsi="ˎ̥" w:eastAsia="仿宋_GB2312" w:cs="仿宋_GB2312"/>
          <w:kern w:val="2"/>
          <w:sz w:val="32"/>
          <w:szCs w:val="32"/>
          <w:lang w:bidi="ar"/>
        </w:rPr>
        <w:t>13.97</w:t>
      </w:r>
      <w:bookmarkEnd w:id="5"/>
      <w:r>
        <w:rPr>
          <w:rFonts w:hint="eastAsia" w:ascii="仿宋_GB2312" w:hAnsi="ˎ̥" w:eastAsia="仿宋_GB2312" w:cs="仿宋_GB2312"/>
          <w:kern w:val="2"/>
          <w:sz w:val="32"/>
          <w:szCs w:val="32"/>
          <w:lang w:bidi="ar"/>
        </w:rPr>
        <w:t>万元，主要原因是2022年以前年度的科研项目已完成。</w:t>
      </w:r>
    </w:p>
    <w:p w14:paraId="63F4DE0C">
      <w:pPr>
        <w:widowControl w:val="0"/>
        <w:spacing w:line="578" w:lineRule="exact"/>
        <w:ind w:firstLine="640" w:firstLineChars="200"/>
        <w:jc w:val="both"/>
        <w:rPr>
          <w:rFonts w:ascii="楷体" w:hAnsi="楷体" w:eastAsia="楷体" w:cs="楷体"/>
          <w:sz w:val="32"/>
          <w:szCs w:val="32"/>
        </w:rPr>
      </w:pPr>
      <w:r>
        <w:rPr>
          <w:rFonts w:hint="eastAsia" w:ascii="楷体" w:hAnsi="楷体" w:eastAsia="楷体" w:cs="楷体"/>
          <w:kern w:val="2"/>
          <w:sz w:val="32"/>
          <w:szCs w:val="32"/>
          <w:lang w:bidi="ar"/>
        </w:rPr>
        <w:t>（二）支出总计主要构成。</w:t>
      </w:r>
    </w:p>
    <w:p w14:paraId="3C551E92">
      <w:pPr>
        <w:widowControl w:val="0"/>
        <w:spacing w:line="578" w:lineRule="exact"/>
        <w:ind w:firstLine="640" w:firstLineChars="200"/>
        <w:jc w:val="both"/>
        <w:rPr>
          <w:rFonts w:hint="eastAsia" w:ascii="仿宋_GB2312" w:hAnsi="ˎ̥" w:eastAsia="仿宋_GB2312" w:cs="仿宋_GB2312"/>
          <w:kern w:val="2"/>
          <w:sz w:val="32"/>
          <w:szCs w:val="32"/>
          <w:lang w:bidi="ar"/>
        </w:rPr>
      </w:pPr>
      <w:r>
        <w:rPr>
          <w:rFonts w:hint="eastAsia" w:ascii="仿宋_GB2312" w:hAnsi="ˎ̥" w:eastAsia="仿宋_GB2312" w:cs="仿宋_GB2312"/>
          <w:kern w:val="2"/>
          <w:sz w:val="32"/>
          <w:szCs w:val="32"/>
          <w:lang w:bidi="ar"/>
        </w:rPr>
        <w:t>本年支出</w:t>
      </w:r>
      <w:r>
        <w:rPr>
          <w:rFonts w:hint="eastAsia" w:ascii="仿宋_GB2312" w:hAnsi="ˎ̥" w:eastAsia="仿宋_GB2312"/>
          <w:sz w:val="32"/>
          <w:szCs w:val="32"/>
        </w:rPr>
        <w:t>2,915.09</w:t>
      </w:r>
      <w:r>
        <w:rPr>
          <w:rFonts w:hint="eastAsia" w:ascii="仿宋_GB2312" w:hAnsi="ˎ̥" w:eastAsia="仿宋_GB2312" w:cs="仿宋_GB2312"/>
          <w:kern w:val="2"/>
          <w:sz w:val="32"/>
          <w:szCs w:val="32"/>
          <w:lang w:bidi="ar"/>
        </w:rPr>
        <w:t>万元。</w:t>
      </w:r>
    </w:p>
    <w:p w14:paraId="11AA9D26">
      <w:pPr>
        <w:widowControl w:val="0"/>
        <w:spacing w:line="578" w:lineRule="exact"/>
        <w:ind w:firstLine="480" w:firstLineChars="200"/>
        <w:jc w:val="both"/>
        <w:rPr>
          <w:rFonts w:hint="eastAsia" w:ascii="仿宋_GB2312" w:hAnsi="ˎ̥" w:eastAsia="仿宋_GB2312" w:cs="仿宋_GB2312"/>
          <w:kern w:val="2"/>
          <w:sz w:val="32"/>
          <w:szCs w:val="32"/>
          <w:lang w:bidi="ar"/>
        </w:rPr>
      </w:pPr>
      <w:r>
        <w:rPr>
          <w:rFonts w:hint="eastAsia"/>
          <w:lang w:bidi="ar"/>
        </w:rPr>
        <w:t xml:space="preserve"> </w:t>
      </w:r>
      <w:r>
        <w:rPr>
          <w:rFonts w:hint="eastAsia" w:ascii="仿宋_GB2312" w:hAnsi="ˎ̥" w:eastAsia="仿宋_GB2312"/>
          <w:sz w:val="32"/>
          <w:szCs w:val="32"/>
        </w:rPr>
        <w:t>结余分配</w:t>
      </w:r>
      <w:r>
        <w:rPr>
          <w:rFonts w:ascii="仿宋_GB2312" w:hAnsi="ˎ̥" w:eastAsia="仿宋_GB2312"/>
          <w:sz w:val="32"/>
          <w:szCs w:val="32"/>
        </w:rPr>
        <w:t>0</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cs="仿宋_GB2312"/>
          <w:kern w:val="2"/>
          <w:sz w:val="32"/>
          <w:szCs w:val="32"/>
          <w:lang w:bidi="ar"/>
        </w:rPr>
        <w:t>主</w:t>
      </w:r>
      <w:r>
        <w:rPr>
          <w:rFonts w:ascii="仿宋_GB2312" w:hAnsi="ˎ̥" w:eastAsia="仿宋_GB2312" w:cs="仿宋_GB2312"/>
          <w:kern w:val="2"/>
          <w:sz w:val="32"/>
          <w:szCs w:val="32"/>
          <w:lang w:bidi="ar"/>
        </w:rPr>
        <w:t>要原因</w:t>
      </w:r>
      <w:r>
        <w:rPr>
          <w:rFonts w:hint="eastAsia" w:ascii="仿宋_GB2312" w:hAnsi="ˎ̥" w:eastAsia="仿宋_GB2312" w:cs="仿宋_GB2312"/>
          <w:kern w:val="2"/>
          <w:sz w:val="32"/>
          <w:szCs w:val="32"/>
          <w:lang w:bidi="ar"/>
        </w:rPr>
        <w:t>是</w:t>
      </w:r>
      <w:r>
        <w:rPr>
          <w:rFonts w:ascii="仿宋_GB2312" w:hAnsi="ˎ̥" w:eastAsia="仿宋_GB2312" w:cs="仿宋_GB2312"/>
          <w:kern w:val="2"/>
          <w:sz w:val="32"/>
          <w:szCs w:val="32"/>
          <w:lang w:bidi="ar"/>
        </w:rPr>
        <w:t>我单位无</w:t>
      </w:r>
      <w:r>
        <w:rPr>
          <w:rFonts w:hint="eastAsia" w:ascii="仿宋_GB2312" w:hAnsi="ˎ̥" w:eastAsia="仿宋_GB2312" w:cs="仿宋_GB2312"/>
          <w:kern w:val="2"/>
          <w:sz w:val="32"/>
          <w:szCs w:val="32"/>
          <w:lang w:bidi="ar"/>
        </w:rPr>
        <w:t>经</w:t>
      </w:r>
      <w:r>
        <w:rPr>
          <w:rFonts w:ascii="仿宋_GB2312" w:hAnsi="ˎ̥" w:eastAsia="仿宋_GB2312" w:cs="仿宋_GB2312"/>
          <w:kern w:val="2"/>
          <w:sz w:val="32"/>
          <w:szCs w:val="32"/>
          <w:lang w:bidi="ar"/>
        </w:rPr>
        <w:t>营活动收入和专用基金项目</w:t>
      </w:r>
      <w:r>
        <w:rPr>
          <w:rFonts w:hint="eastAsia" w:ascii="仿宋_GB2312" w:hAnsi="ˎ̥" w:eastAsia="仿宋_GB2312" w:cs="仿宋_GB2312"/>
          <w:kern w:val="2"/>
          <w:sz w:val="32"/>
          <w:szCs w:val="32"/>
          <w:lang w:bidi="ar"/>
        </w:rPr>
        <w:t>。</w:t>
      </w:r>
    </w:p>
    <w:p w14:paraId="73B106F4">
      <w:pPr>
        <w:pStyle w:val="2"/>
        <w:ind w:firstLine="640" w:firstLineChars="200"/>
        <w:rPr>
          <w:lang w:bidi="ar"/>
        </w:rPr>
      </w:pPr>
      <w:r>
        <w:rPr>
          <w:rFonts w:hint="eastAsia" w:ascii="仿宋_GB2312" w:hAnsi="ˎ̥" w:eastAsia="仿宋_GB2312" w:cs="仿宋_GB2312"/>
          <w:kern w:val="2"/>
          <w:sz w:val="32"/>
          <w:szCs w:val="32"/>
          <w:lang w:bidi="ar"/>
        </w:rPr>
        <w:t>年末结转结余0万元，较2022年度决算数减少13.97万元，下降100%，主要原因是2023年度没有科研项目开展。</w:t>
      </w:r>
    </w:p>
    <w:p w14:paraId="2B388FB0">
      <w:pPr>
        <w:widowControl w:val="0"/>
        <w:autoSpaceDE w:val="0"/>
        <w:spacing w:line="560" w:lineRule="exact"/>
        <w:ind w:firstLine="640" w:firstLineChars="200"/>
        <w:jc w:val="both"/>
        <w:rPr>
          <w:rFonts w:hint="eastAsia" w:ascii="仿宋_GB2312" w:hAnsi="ˎ̥" w:eastAsia="仿宋_GB2312"/>
          <w:sz w:val="32"/>
          <w:szCs w:val="32"/>
        </w:rPr>
      </w:pPr>
      <w:r>
        <w:rPr>
          <w:rFonts w:hint="eastAsia" w:ascii="黑体" w:hAnsi="黑体" w:eastAsia="黑体"/>
          <w:sz w:val="32"/>
          <w:szCs w:val="32"/>
        </w:rPr>
        <w:t>二、收入决算情况说明</w:t>
      </w:r>
      <w:r>
        <w:rPr>
          <w:rFonts w:hint="eastAsia" w:ascii="黑体" w:eastAsia="黑体"/>
          <w:sz w:val="32"/>
          <w:szCs w:val="32"/>
        </w:rPr>
        <w:br w:type="textWrapping"/>
      </w:r>
      <w:r>
        <w:rPr>
          <w:rFonts w:hint="eastAsia" w:ascii="仿宋_GB2312" w:hAnsi="ˎ̥" w:eastAsia="仿宋_GB2312"/>
          <w:sz w:val="32"/>
          <w:szCs w:val="32"/>
        </w:rPr>
        <w:t xml:space="preserve">    </w:t>
      </w:r>
      <w:r>
        <w:rPr>
          <w:rFonts w:hint="eastAsia" w:ascii="仿宋_GB2312" w:hAnsi="ˎ̥" w:eastAsia="仿宋_GB2312"/>
          <w:spacing w:val="-10"/>
          <w:sz w:val="32"/>
          <w:szCs w:val="32"/>
        </w:rPr>
        <w:t>本年收入合计</w:t>
      </w:r>
      <w:r>
        <w:rPr>
          <w:rFonts w:hint="eastAsia" w:ascii="仿宋_GB2312" w:hAnsi="ˎ̥" w:eastAsia="仿宋_GB2312"/>
          <w:sz w:val="32"/>
          <w:szCs w:val="32"/>
        </w:rPr>
        <w:t>2,915.09</w:t>
      </w:r>
      <w:r>
        <w:rPr>
          <w:rFonts w:hint="eastAsia" w:ascii="仿宋_GB2312" w:hAnsi="ˎ̥" w:eastAsia="仿宋_GB2312"/>
          <w:spacing w:val="-10"/>
          <w:sz w:val="32"/>
          <w:szCs w:val="32"/>
        </w:rPr>
        <w:t>万元，其中：财政拨款收入</w:t>
      </w:r>
      <w:r>
        <w:rPr>
          <w:rFonts w:hint="eastAsia" w:ascii="仿宋_GB2312" w:hAnsi="ˎ̥" w:eastAsia="仿宋_GB2312"/>
          <w:sz w:val="32"/>
          <w:szCs w:val="32"/>
        </w:rPr>
        <w:t>2,915.09</w:t>
      </w:r>
      <w:r>
        <w:rPr>
          <w:rFonts w:hint="eastAsia" w:ascii="仿宋_GB2312" w:hAnsi="ˎ̥" w:eastAsia="仿宋_GB2312"/>
          <w:spacing w:val="-20"/>
          <w:sz w:val="32"/>
          <w:szCs w:val="32"/>
        </w:rPr>
        <w:t>万</w:t>
      </w:r>
      <w:r>
        <w:rPr>
          <w:rFonts w:hint="eastAsia" w:ascii="仿宋_GB2312" w:hAnsi="ˎ̥" w:eastAsia="仿宋_GB2312"/>
          <w:sz w:val="32"/>
          <w:szCs w:val="32"/>
        </w:rPr>
        <w:t>元，占100%；上级补助收入0万元，占0%；</w:t>
      </w:r>
      <w:r>
        <w:rPr>
          <w:rFonts w:hint="eastAsia" w:ascii="仿宋_GB2312" w:hAnsi="ˎ̥" w:eastAsia="仿宋_GB2312"/>
          <w:spacing w:val="-10"/>
          <w:sz w:val="32"/>
          <w:szCs w:val="32"/>
        </w:rPr>
        <w:t>事业收入0万元，占0%；经营收入0万元，占0%；其他收入0万元，占</w:t>
      </w:r>
      <w:r>
        <w:rPr>
          <w:rFonts w:hint="eastAsia" w:ascii="仿宋_GB2312" w:hAnsi="ˎ̥" w:eastAsia="仿宋_GB2312"/>
          <w:sz w:val="32"/>
          <w:szCs w:val="32"/>
        </w:rPr>
        <w:t>0%。</w:t>
      </w:r>
    </w:p>
    <w:p w14:paraId="208297A7">
      <w:pPr>
        <w:widowControl w:val="0"/>
        <w:autoSpaceDE w:val="0"/>
        <w:spacing w:line="576" w:lineRule="exact"/>
        <w:ind w:firstLine="627" w:firstLineChars="196"/>
        <w:rPr>
          <w:rFonts w:ascii="黑体" w:eastAsia="黑体"/>
          <w:sz w:val="32"/>
          <w:szCs w:val="32"/>
        </w:rPr>
      </w:pPr>
      <w:r>
        <w:rPr>
          <w:rFonts w:hint="eastAsia" w:ascii="黑体" w:hAnsi="黑体" w:eastAsia="黑体"/>
          <w:sz w:val="32"/>
          <w:szCs w:val="32"/>
        </w:rPr>
        <w:t>三、支出决算情况说明</w:t>
      </w:r>
    </w:p>
    <w:p w14:paraId="66CF79DD">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本年支出合计2,915.09万元，其中：基本支出</w:t>
      </w:r>
      <w:r>
        <w:rPr>
          <w:rFonts w:ascii="仿宋_GB2312" w:hAnsi="ˎ̥" w:eastAsia="仿宋_GB2312"/>
          <w:sz w:val="32"/>
          <w:szCs w:val="32"/>
        </w:rPr>
        <w:t>2</w:t>
      </w:r>
      <w:r>
        <w:rPr>
          <w:rFonts w:hint="eastAsia" w:ascii="仿宋_GB2312" w:hAnsi="ˎ̥" w:eastAsia="仿宋_GB2312"/>
          <w:sz w:val="32"/>
          <w:szCs w:val="32"/>
        </w:rPr>
        <w:t>,</w:t>
      </w:r>
      <w:r>
        <w:rPr>
          <w:rFonts w:ascii="仿宋_GB2312" w:hAnsi="ˎ̥" w:eastAsia="仿宋_GB2312"/>
          <w:sz w:val="32"/>
          <w:szCs w:val="32"/>
        </w:rPr>
        <w:t>092</w:t>
      </w:r>
      <w:r>
        <w:rPr>
          <w:rFonts w:hint="eastAsia" w:ascii="仿宋_GB2312" w:hAnsi="ˎ̥" w:eastAsia="仿宋_GB2312"/>
          <w:sz w:val="32"/>
          <w:szCs w:val="32"/>
        </w:rPr>
        <w:t>.</w:t>
      </w:r>
      <w:r>
        <w:rPr>
          <w:rFonts w:ascii="仿宋_GB2312" w:hAnsi="ˎ̥" w:eastAsia="仿宋_GB2312"/>
          <w:sz w:val="32"/>
          <w:szCs w:val="32"/>
        </w:rPr>
        <w:t>44</w:t>
      </w:r>
      <w:r>
        <w:rPr>
          <w:rFonts w:hint="eastAsia" w:ascii="仿宋_GB2312" w:hAnsi="ˎ̥" w:eastAsia="仿宋_GB2312"/>
          <w:sz w:val="32"/>
          <w:szCs w:val="32"/>
        </w:rPr>
        <w:t>万元，占</w:t>
      </w:r>
      <w:r>
        <w:rPr>
          <w:rFonts w:ascii="仿宋_GB2312" w:hAnsi="ˎ̥" w:eastAsia="仿宋_GB2312"/>
          <w:sz w:val="32"/>
          <w:szCs w:val="32"/>
        </w:rPr>
        <w:t>71</w:t>
      </w:r>
      <w:r>
        <w:rPr>
          <w:rFonts w:hint="eastAsia" w:ascii="仿宋_GB2312" w:hAnsi="ˎ̥" w:eastAsia="仿宋_GB2312"/>
          <w:sz w:val="32"/>
          <w:szCs w:val="32"/>
        </w:rPr>
        <w:t>.</w:t>
      </w:r>
      <w:r>
        <w:rPr>
          <w:rFonts w:ascii="仿宋_GB2312" w:hAnsi="ˎ̥" w:eastAsia="仿宋_GB2312"/>
          <w:sz w:val="32"/>
          <w:szCs w:val="32"/>
        </w:rPr>
        <w:t>78</w:t>
      </w:r>
      <w:r>
        <w:rPr>
          <w:rFonts w:hint="eastAsia" w:ascii="仿宋_GB2312" w:hAnsi="ˎ̥" w:eastAsia="仿宋_GB2312"/>
          <w:sz w:val="32"/>
          <w:szCs w:val="32"/>
        </w:rPr>
        <w:t>%；项目支出</w:t>
      </w:r>
      <w:r>
        <w:rPr>
          <w:rFonts w:ascii="仿宋_GB2312" w:hAnsi="ˎ̥" w:eastAsia="仿宋_GB2312"/>
          <w:sz w:val="32"/>
          <w:szCs w:val="32"/>
        </w:rPr>
        <w:t>822</w:t>
      </w:r>
      <w:r>
        <w:rPr>
          <w:rFonts w:hint="eastAsia" w:ascii="仿宋_GB2312" w:hAnsi="ˎ̥" w:eastAsia="仿宋_GB2312"/>
          <w:sz w:val="32"/>
          <w:szCs w:val="32"/>
        </w:rPr>
        <w:t>.</w:t>
      </w:r>
      <w:r>
        <w:rPr>
          <w:rFonts w:ascii="仿宋_GB2312" w:hAnsi="ˎ̥" w:eastAsia="仿宋_GB2312"/>
          <w:sz w:val="32"/>
          <w:szCs w:val="32"/>
        </w:rPr>
        <w:t>65</w:t>
      </w:r>
      <w:r>
        <w:rPr>
          <w:rFonts w:hint="eastAsia" w:ascii="仿宋_GB2312" w:hAnsi="ˎ̥" w:eastAsia="仿宋_GB2312"/>
          <w:sz w:val="32"/>
          <w:szCs w:val="32"/>
        </w:rPr>
        <w:t>万元，占</w:t>
      </w:r>
      <w:r>
        <w:rPr>
          <w:rFonts w:ascii="仿宋_GB2312" w:hAnsi="ˎ̥" w:eastAsia="仿宋_GB2312"/>
          <w:sz w:val="32"/>
          <w:szCs w:val="32"/>
        </w:rPr>
        <w:t>28</w:t>
      </w:r>
      <w:r>
        <w:rPr>
          <w:rFonts w:hint="eastAsia" w:ascii="仿宋_GB2312" w:hAnsi="ˎ̥" w:eastAsia="仿宋_GB2312"/>
          <w:sz w:val="32"/>
          <w:szCs w:val="32"/>
        </w:rPr>
        <w:t>.</w:t>
      </w:r>
      <w:r>
        <w:rPr>
          <w:rFonts w:ascii="仿宋_GB2312" w:hAnsi="ˎ̥" w:eastAsia="仿宋_GB2312"/>
          <w:sz w:val="32"/>
          <w:szCs w:val="32"/>
        </w:rPr>
        <w:t>22</w:t>
      </w:r>
      <w:r>
        <w:rPr>
          <w:rFonts w:hint="eastAsia" w:ascii="仿宋_GB2312" w:hAnsi="ˎ̥" w:eastAsia="仿宋_GB2312"/>
          <w:sz w:val="32"/>
          <w:szCs w:val="32"/>
        </w:rPr>
        <w:t>%；上缴上级支出0万元，占0%；经营支出0万元，占0%；对附属单位补助支出0万元，占0%。</w:t>
      </w:r>
    </w:p>
    <w:p w14:paraId="3C87A372">
      <w:pPr>
        <w:widowControl w:val="0"/>
        <w:autoSpaceDE w:val="0"/>
        <w:spacing w:line="576" w:lineRule="exact"/>
        <w:ind w:firstLine="627" w:firstLineChars="196"/>
        <w:rPr>
          <w:rFonts w:ascii="黑体" w:eastAsia="黑体"/>
          <w:sz w:val="32"/>
          <w:szCs w:val="32"/>
        </w:rPr>
      </w:pPr>
      <w:r>
        <w:rPr>
          <w:rFonts w:hint="eastAsia" w:ascii="黑体" w:hAnsi="黑体" w:eastAsia="黑体"/>
          <w:sz w:val="32"/>
          <w:szCs w:val="32"/>
        </w:rPr>
        <w:t>四、财政拨款收入支出决算总体情况说明</w:t>
      </w:r>
    </w:p>
    <w:p w14:paraId="7BDA272B">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2023年度财政拨款收入2,915.09万元，支出2,915.09万元。与2022年度相比，财政拨款收入增加</w:t>
      </w:r>
      <w:r>
        <w:rPr>
          <w:rFonts w:ascii="仿宋_GB2312" w:hAnsi="ˎ̥" w:eastAsia="仿宋_GB2312"/>
          <w:sz w:val="32"/>
          <w:szCs w:val="32"/>
        </w:rPr>
        <w:t>79.68</w:t>
      </w:r>
      <w:r>
        <w:rPr>
          <w:rFonts w:hint="eastAsia" w:ascii="仿宋_GB2312" w:hAnsi="ˎ̥" w:eastAsia="仿宋_GB2312"/>
          <w:sz w:val="32"/>
          <w:szCs w:val="32"/>
        </w:rPr>
        <w:t>万元，增长</w:t>
      </w:r>
      <w:r>
        <w:rPr>
          <w:rFonts w:ascii="仿宋_GB2312" w:hAnsi="ˎ̥" w:eastAsia="仿宋_GB2312"/>
          <w:sz w:val="32"/>
          <w:szCs w:val="32"/>
        </w:rPr>
        <w:t>2</w:t>
      </w:r>
      <w:r>
        <w:rPr>
          <w:rFonts w:hint="eastAsia" w:ascii="仿宋_GB2312" w:hAnsi="ˎ̥" w:eastAsia="仿宋_GB2312"/>
          <w:sz w:val="32"/>
          <w:szCs w:val="32"/>
        </w:rPr>
        <w:t>.</w:t>
      </w:r>
      <w:r>
        <w:rPr>
          <w:rFonts w:ascii="仿宋_GB2312" w:hAnsi="ˎ̥" w:eastAsia="仿宋_GB2312"/>
          <w:sz w:val="32"/>
          <w:szCs w:val="32"/>
        </w:rPr>
        <w:t>28</w:t>
      </w:r>
      <w:r>
        <w:rPr>
          <w:rFonts w:hint="eastAsia" w:ascii="仿宋_GB2312" w:hAnsi="ˎ̥" w:eastAsia="仿宋_GB2312"/>
          <w:sz w:val="32"/>
          <w:szCs w:val="32"/>
        </w:rPr>
        <w:t>%，主要原因是一般公共预算财政拨款收</w:t>
      </w:r>
      <w:r>
        <w:rPr>
          <w:rFonts w:ascii="仿宋_GB2312" w:hAnsi="ˎ̥" w:eastAsia="仿宋_GB2312"/>
          <w:sz w:val="32"/>
          <w:szCs w:val="32"/>
        </w:rPr>
        <w:t>入</w:t>
      </w:r>
      <w:r>
        <w:rPr>
          <w:rFonts w:hint="eastAsia" w:ascii="仿宋_GB2312" w:hAnsi="ˎ̥" w:eastAsia="仿宋_GB2312"/>
          <w:sz w:val="32"/>
          <w:szCs w:val="32"/>
        </w:rPr>
        <w:t>增加；支出增加</w:t>
      </w:r>
      <w:r>
        <w:rPr>
          <w:rFonts w:ascii="仿宋_GB2312" w:hAnsi="ˎ̥" w:eastAsia="仿宋_GB2312"/>
          <w:sz w:val="32"/>
          <w:szCs w:val="32"/>
        </w:rPr>
        <w:t>79.68</w:t>
      </w:r>
      <w:r>
        <w:rPr>
          <w:rFonts w:hint="eastAsia" w:ascii="仿宋_GB2312" w:hAnsi="ˎ̥" w:eastAsia="仿宋_GB2312"/>
          <w:sz w:val="32"/>
          <w:szCs w:val="32"/>
        </w:rPr>
        <w:t>万元，增长</w:t>
      </w:r>
      <w:r>
        <w:rPr>
          <w:rFonts w:ascii="仿宋_GB2312" w:hAnsi="ˎ̥" w:eastAsia="仿宋_GB2312"/>
          <w:sz w:val="32"/>
          <w:szCs w:val="32"/>
        </w:rPr>
        <w:t>2</w:t>
      </w:r>
      <w:r>
        <w:rPr>
          <w:rFonts w:hint="eastAsia" w:ascii="仿宋_GB2312" w:hAnsi="ˎ̥" w:eastAsia="仿宋_GB2312"/>
          <w:sz w:val="32"/>
          <w:szCs w:val="32"/>
        </w:rPr>
        <w:t>.</w:t>
      </w:r>
      <w:r>
        <w:rPr>
          <w:rFonts w:ascii="仿宋_GB2312" w:hAnsi="ˎ̥" w:eastAsia="仿宋_GB2312"/>
          <w:sz w:val="32"/>
          <w:szCs w:val="32"/>
        </w:rPr>
        <w:t>28</w:t>
      </w:r>
      <w:r>
        <w:rPr>
          <w:rFonts w:hint="eastAsia" w:ascii="仿宋_GB2312" w:hAnsi="ˎ̥" w:eastAsia="仿宋_GB2312"/>
          <w:sz w:val="32"/>
          <w:szCs w:val="32"/>
        </w:rPr>
        <w:t>%，主要原因一</w:t>
      </w:r>
      <w:r>
        <w:rPr>
          <w:rFonts w:ascii="仿宋_GB2312" w:hAnsi="ˎ̥" w:eastAsia="仿宋_GB2312"/>
          <w:sz w:val="32"/>
          <w:szCs w:val="32"/>
        </w:rPr>
        <w:t>是</w:t>
      </w:r>
      <w:r>
        <w:rPr>
          <w:rFonts w:hint="eastAsia" w:ascii="仿宋_GB2312" w:hAnsi="ˎ̥" w:eastAsia="仿宋_GB2312"/>
          <w:sz w:val="32"/>
          <w:szCs w:val="32"/>
        </w:rPr>
        <w:t>2023年一</w:t>
      </w:r>
      <w:r>
        <w:rPr>
          <w:rFonts w:ascii="仿宋_GB2312" w:hAnsi="ˎ̥" w:eastAsia="仿宋_GB2312"/>
          <w:sz w:val="32"/>
          <w:szCs w:val="32"/>
        </w:rPr>
        <w:t>般公共服务减少</w:t>
      </w:r>
      <w:r>
        <w:rPr>
          <w:rFonts w:hint="eastAsia" w:ascii="仿宋_GB2312" w:hAnsi="ˎ̥" w:eastAsia="仿宋_GB2312"/>
          <w:sz w:val="32"/>
          <w:szCs w:val="32"/>
        </w:rPr>
        <w:t>26.10万</w:t>
      </w:r>
      <w:r>
        <w:rPr>
          <w:rFonts w:ascii="仿宋_GB2312" w:hAnsi="ˎ̥" w:eastAsia="仿宋_GB2312"/>
          <w:sz w:val="32"/>
          <w:szCs w:val="32"/>
        </w:rPr>
        <w:t>元，二是</w:t>
      </w:r>
      <w:r>
        <w:rPr>
          <w:rFonts w:hint="eastAsia" w:ascii="仿宋_GB2312" w:hAnsi="ˎ̥" w:eastAsia="仿宋_GB2312"/>
          <w:sz w:val="32"/>
          <w:szCs w:val="32"/>
        </w:rPr>
        <w:t>社会</w:t>
      </w:r>
      <w:r>
        <w:rPr>
          <w:rFonts w:ascii="仿宋_GB2312" w:hAnsi="ˎ̥" w:eastAsia="仿宋_GB2312"/>
          <w:sz w:val="32"/>
          <w:szCs w:val="32"/>
        </w:rPr>
        <w:t>保障和就业支出</w:t>
      </w:r>
      <w:r>
        <w:rPr>
          <w:rFonts w:hint="eastAsia" w:ascii="仿宋_GB2312" w:hAnsi="ˎ̥" w:eastAsia="仿宋_GB2312"/>
          <w:sz w:val="32"/>
          <w:szCs w:val="32"/>
        </w:rPr>
        <w:t>增加</w:t>
      </w:r>
      <w:r>
        <w:rPr>
          <w:rFonts w:ascii="仿宋_GB2312" w:hAnsi="ˎ̥" w:eastAsia="仿宋_GB2312"/>
          <w:sz w:val="32"/>
          <w:szCs w:val="32"/>
        </w:rPr>
        <w:t>91.41</w:t>
      </w:r>
      <w:r>
        <w:rPr>
          <w:rFonts w:hint="eastAsia" w:ascii="仿宋_GB2312" w:hAnsi="ˎ̥" w:eastAsia="仿宋_GB2312"/>
          <w:sz w:val="32"/>
          <w:szCs w:val="32"/>
        </w:rPr>
        <w:t>万元；三</w:t>
      </w:r>
      <w:r>
        <w:rPr>
          <w:rFonts w:ascii="仿宋_GB2312" w:hAnsi="ˎ̥" w:eastAsia="仿宋_GB2312"/>
          <w:sz w:val="32"/>
          <w:szCs w:val="32"/>
        </w:rPr>
        <w:t>是</w:t>
      </w:r>
      <w:r>
        <w:rPr>
          <w:rFonts w:hint="eastAsia" w:ascii="仿宋_GB2312" w:hAnsi="ˎ̥" w:eastAsia="仿宋_GB2312"/>
          <w:sz w:val="32"/>
          <w:szCs w:val="32"/>
        </w:rPr>
        <w:t>卫生</w:t>
      </w:r>
      <w:r>
        <w:rPr>
          <w:rFonts w:ascii="仿宋_GB2312" w:hAnsi="ˎ̥" w:eastAsia="仿宋_GB2312"/>
          <w:sz w:val="32"/>
          <w:szCs w:val="32"/>
        </w:rPr>
        <w:t>健康支出增加</w:t>
      </w:r>
      <w:r>
        <w:rPr>
          <w:rFonts w:hint="eastAsia" w:ascii="仿宋_GB2312" w:hAnsi="ˎ̥" w:eastAsia="仿宋_GB2312"/>
          <w:sz w:val="32"/>
          <w:szCs w:val="32"/>
        </w:rPr>
        <w:t>11.42万</w:t>
      </w:r>
      <w:r>
        <w:rPr>
          <w:rFonts w:ascii="仿宋_GB2312" w:hAnsi="ˎ̥" w:eastAsia="仿宋_GB2312"/>
          <w:sz w:val="32"/>
          <w:szCs w:val="32"/>
        </w:rPr>
        <w:t>元</w:t>
      </w:r>
      <w:r>
        <w:rPr>
          <w:rFonts w:hint="eastAsia" w:ascii="仿宋_GB2312" w:hAnsi="ˎ̥" w:eastAsia="仿宋_GB2312"/>
          <w:sz w:val="32"/>
          <w:szCs w:val="32"/>
        </w:rPr>
        <w:t>。</w:t>
      </w:r>
    </w:p>
    <w:p w14:paraId="56A23A8B">
      <w:pPr>
        <w:pStyle w:val="2"/>
        <w:spacing w:line="560" w:lineRule="exact"/>
        <w:ind w:firstLine="640" w:firstLineChars="200"/>
        <w:rPr>
          <w:rFonts w:hint="eastAsia" w:ascii="仿宋_GB2312" w:hAnsi="ˎ̥" w:eastAsia="仿宋_GB2312" w:cs="仿宋_GB2312"/>
          <w:kern w:val="2"/>
          <w:sz w:val="32"/>
          <w:szCs w:val="32"/>
          <w:lang w:bidi="ar"/>
        </w:rPr>
      </w:pPr>
      <w:r>
        <w:rPr>
          <w:rFonts w:hint="eastAsia" w:ascii="仿宋_GB2312" w:hAnsi="ˎ̥" w:eastAsia="仿宋_GB2312"/>
          <w:sz w:val="32"/>
          <w:szCs w:val="32"/>
        </w:rPr>
        <w:t>财政拨</w:t>
      </w:r>
      <w:r>
        <w:rPr>
          <w:rFonts w:ascii="仿宋_GB2312" w:hAnsi="ˎ̥" w:eastAsia="仿宋_GB2312"/>
          <w:sz w:val="32"/>
          <w:szCs w:val="32"/>
        </w:rPr>
        <w:t>款</w:t>
      </w:r>
      <w:r>
        <w:rPr>
          <w:rFonts w:hint="eastAsia" w:ascii="仿宋_GB2312" w:hAnsi="ˎ̥" w:eastAsia="仿宋_GB2312"/>
          <w:sz w:val="32"/>
          <w:szCs w:val="32"/>
        </w:rPr>
        <w:t>年</w:t>
      </w:r>
      <w:r>
        <w:rPr>
          <w:rFonts w:ascii="仿宋_GB2312" w:hAnsi="ˎ̥" w:eastAsia="仿宋_GB2312"/>
          <w:sz w:val="32"/>
          <w:szCs w:val="32"/>
        </w:rPr>
        <w:t>初结</w:t>
      </w:r>
      <w:r>
        <w:rPr>
          <w:rFonts w:hint="eastAsia" w:ascii="仿宋_GB2312" w:hAnsi="ˎ̥" w:eastAsia="仿宋_GB2312"/>
          <w:sz w:val="32"/>
          <w:szCs w:val="32"/>
        </w:rPr>
        <w:t>转</w:t>
      </w:r>
      <w:r>
        <w:rPr>
          <w:rFonts w:ascii="仿宋_GB2312" w:hAnsi="ˎ̥" w:eastAsia="仿宋_GB2312"/>
          <w:sz w:val="32"/>
          <w:szCs w:val="32"/>
        </w:rPr>
        <w:t>结余</w:t>
      </w:r>
      <w:r>
        <w:rPr>
          <w:rFonts w:hint="eastAsia" w:ascii="仿宋_GB2312" w:hAnsi="ˎ̥" w:eastAsia="仿宋_GB2312"/>
          <w:sz w:val="32"/>
          <w:szCs w:val="32"/>
        </w:rPr>
        <w:t>0万</w:t>
      </w:r>
      <w:r>
        <w:rPr>
          <w:rFonts w:ascii="仿宋_GB2312" w:hAnsi="ˎ̥" w:eastAsia="仿宋_GB2312"/>
          <w:sz w:val="32"/>
          <w:szCs w:val="32"/>
        </w:rPr>
        <w:t>元</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年度决算数减少</w:t>
      </w:r>
      <w:r>
        <w:rPr>
          <w:rFonts w:hint="eastAsia" w:ascii="仿宋_GB2312" w:hAnsi="ˎ̥" w:eastAsia="仿宋_GB2312" w:cs="仿宋_GB2312"/>
          <w:kern w:val="2"/>
          <w:sz w:val="32"/>
          <w:szCs w:val="32"/>
          <w:lang w:bidi="ar"/>
        </w:rPr>
        <w:t>13.97万元，下降100%，主要原因是2023年度没有科研项目开展。</w:t>
      </w:r>
    </w:p>
    <w:p w14:paraId="56E125FC">
      <w:pPr>
        <w:pStyle w:val="2"/>
        <w:spacing w:line="560" w:lineRule="exact"/>
        <w:ind w:firstLine="640" w:firstLineChars="200"/>
        <w:rPr>
          <w:rFonts w:hint="eastAsia" w:ascii="仿宋_GB2312" w:hAnsi="ˎ̥" w:eastAsia="仿宋_GB2312" w:cs="仿宋_GB2312"/>
          <w:kern w:val="2"/>
          <w:sz w:val="32"/>
          <w:szCs w:val="32"/>
          <w:lang w:bidi="ar"/>
        </w:rPr>
      </w:pPr>
      <w:r>
        <w:rPr>
          <w:rFonts w:hint="eastAsia" w:ascii="仿宋_GB2312" w:hAnsi="ˎ̥" w:eastAsia="仿宋_GB2312"/>
          <w:sz w:val="32"/>
          <w:szCs w:val="32"/>
        </w:rPr>
        <w:t>财政拨</w:t>
      </w:r>
      <w:r>
        <w:rPr>
          <w:rFonts w:ascii="仿宋_GB2312" w:hAnsi="ˎ̥" w:eastAsia="仿宋_GB2312"/>
          <w:sz w:val="32"/>
          <w:szCs w:val="32"/>
        </w:rPr>
        <w:t>款</w:t>
      </w:r>
      <w:r>
        <w:rPr>
          <w:rFonts w:hint="eastAsia" w:ascii="仿宋_GB2312" w:hAnsi="ˎ̥" w:eastAsia="仿宋_GB2312"/>
          <w:sz w:val="32"/>
          <w:szCs w:val="32"/>
        </w:rPr>
        <w:t>年末</w:t>
      </w:r>
      <w:r>
        <w:rPr>
          <w:rFonts w:ascii="仿宋_GB2312" w:hAnsi="ˎ̥" w:eastAsia="仿宋_GB2312"/>
          <w:sz w:val="32"/>
          <w:szCs w:val="32"/>
        </w:rPr>
        <w:t>结</w:t>
      </w:r>
      <w:r>
        <w:rPr>
          <w:rFonts w:hint="eastAsia" w:ascii="仿宋_GB2312" w:hAnsi="ˎ̥" w:eastAsia="仿宋_GB2312"/>
          <w:sz w:val="32"/>
          <w:szCs w:val="32"/>
        </w:rPr>
        <w:t>转</w:t>
      </w:r>
      <w:r>
        <w:rPr>
          <w:rFonts w:ascii="仿宋_GB2312" w:hAnsi="ˎ̥" w:eastAsia="仿宋_GB2312"/>
          <w:sz w:val="32"/>
          <w:szCs w:val="32"/>
        </w:rPr>
        <w:t>结余</w:t>
      </w:r>
      <w:r>
        <w:rPr>
          <w:rFonts w:hint="eastAsia" w:ascii="仿宋_GB2312" w:hAnsi="ˎ̥" w:eastAsia="仿宋_GB2312"/>
          <w:sz w:val="32"/>
          <w:szCs w:val="32"/>
        </w:rPr>
        <w:t>0万元</w:t>
      </w:r>
      <w:r>
        <w:rPr>
          <w:rFonts w:ascii="仿宋_GB2312" w:hAnsi="ˎ̥" w:eastAsia="仿宋_GB2312"/>
          <w:sz w:val="32"/>
          <w:szCs w:val="32"/>
        </w:rPr>
        <w:t>，</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年度决算数减少</w:t>
      </w:r>
      <w:r>
        <w:rPr>
          <w:rFonts w:ascii="仿宋_GB2312" w:hAnsi="ˎ̥" w:eastAsia="仿宋_GB2312" w:cs="仿宋_GB2312"/>
          <w:kern w:val="2"/>
          <w:sz w:val="32"/>
          <w:szCs w:val="32"/>
          <w:lang w:bidi="ar"/>
        </w:rPr>
        <w:t>2.44</w:t>
      </w:r>
      <w:r>
        <w:rPr>
          <w:rFonts w:hint="eastAsia" w:ascii="仿宋_GB2312" w:hAnsi="ˎ̥" w:eastAsia="仿宋_GB2312" w:cs="仿宋_GB2312"/>
          <w:kern w:val="2"/>
          <w:sz w:val="32"/>
          <w:szCs w:val="32"/>
          <w:lang w:bidi="ar"/>
        </w:rPr>
        <w:t>万元，下降100%，主要原因是202</w:t>
      </w:r>
      <w:r>
        <w:rPr>
          <w:rFonts w:ascii="仿宋_GB2312" w:hAnsi="ˎ̥" w:eastAsia="仿宋_GB2312" w:cs="仿宋_GB2312"/>
          <w:kern w:val="2"/>
          <w:sz w:val="32"/>
          <w:szCs w:val="32"/>
          <w:lang w:bidi="ar"/>
        </w:rPr>
        <w:t>2</w:t>
      </w:r>
      <w:r>
        <w:rPr>
          <w:rFonts w:hint="eastAsia" w:ascii="仿宋_GB2312" w:hAnsi="ˎ̥" w:eastAsia="仿宋_GB2312" w:cs="仿宋_GB2312"/>
          <w:kern w:val="2"/>
          <w:sz w:val="32"/>
          <w:szCs w:val="32"/>
          <w:lang w:bidi="ar"/>
        </w:rPr>
        <w:t>年以</w:t>
      </w:r>
      <w:r>
        <w:rPr>
          <w:rFonts w:ascii="仿宋_GB2312" w:hAnsi="ˎ̥" w:eastAsia="仿宋_GB2312" w:cs="仿宋_GB2312"/>
          <w:kern w:val="2"/>
          <w:sz w:val="32"/>
          <w:szCs w:val="32"/>
          <w:lang w:bidi="ar"/>
        </w:rPr>
        <w:t>前年</w:t>
      </w:r>
      <w:r>
        <w:rPr>
          <w:rFonts w:hint="eastAsia" w:ascii="仿宋_GB2312" w:hAnsi="ˎ̥" w:eastAsia="仿宋_GB2312" w:cs="仿宋_GB2312"/>
          <w:kern w:val="2"/>
          <w:sz w:val="32"/>
          <w:szCs w:val="32"/>
          <w:lang w:bidi="ar"/>
        </w:rPr>
        <w:t>度的科研项目已</w:t>
      </w:r>
      <w:r>
        <w:rPr>
          <w:rFonts w:ascii="仿宋_GB2312" w:hAnsi="ˎ̥" w:eastAsia="仿宋_GB2312" w:cs="仿宋_GB2312"/>
          <w:kern w:val="2"/>
          <w:sz w:val="32"/>
          <w:szCs w:val="32"/>
          <w:lang w:bidi="ar"/>
        </w:rPr>
        <w:t>完成。</w:t>
      </w:r>
    </w:p>
    <w:p w14:paraId="42BA433D">
      <w:pPr>
        <w:widowControl w:val="0"/>
        <w:autoSpaceDE w:val="0"/>
        <w:spacing w:line="576" w:lineRule="exact"/>
        <w:ind w:firstLine="627" w:firstLineChars="196"/>
        <w:rPr>
          <w:rFonts w:ascii="黑体" w:eastAsia="黑体"/>
          <w:sz w:val="32"/>
          <w:szCs w:val="32"/>
        </w:rPr>
      </w:pPr>
      <w:r>
        <w:rPr>
          <w:rFonts w:hint="eastAsia" w:ascii="黑体" w:hAnsi="黑体" w:eastAsia="黑体"/>
          <w:sz w:val="32"/>
          <w:szCs w:val="32"/>
        </w:rPr>
        <w:t>五、一般公共预算财政拨款支出决算情况说明</w:t>
      </w:r>
    </w:p>
    <w:p w14:paraId="33C139DA">
      <w:pPr>
        <w:widowControl w:val="0"/>
        <w:autoSpaceDE w:val="0"/>
        <w:spacing w:line="576" w:lineRule="exact"/>
        <w:ind w:firstLine="640" w:firstLineChars="200"/>
        <w:rPr>
          <w:rFonts w:ascii="楷体" w:hAnsi="楷体" w:eastAsia="楷体"/>
          <w:sz w:val="32"/>
          <w:szCs w:val="32"/>
        </w:rPr>
      </w:pPr>
      <w:r>
        <w:rPr>
          <w:rFonts w:hint="eastAsia" w:ascii="楷体" w:hAnsi="楷体" w:eastAsia="楷体"/>
          <w:sz w:val="32"/>
          <w:szCs w:val="32"/>
        </w:rPr>
        <w:t>（一）一般公共预算财政拨款支出决算总体情况。</w:t>
      </w:r>
    </w:p>
    <w:p w14:paraId="7393EEAC">
      <w:pPr>
        <w:widowControl w:val="0"/>
        <w:autoSpaceDE w:val="0"/>
        <w:spacing w:line="576"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2023年度一般公共预算财政拨款支出2,915.09万元，占本年支出合计的100%。与2022年度相比，一般公共预算财政拨款支出增加93.65万元，增长</w:t>
      </w:r>
      <w:r>
        <w:rPr>
          <w:rFonts w:ascii="仿宋_GB2312" w:hAnsi="ˎ̥" w:eastAsia="仿宋_GB2312"/>
          <w:sz w:val="32"/>
          <w:szCs w:val="32"/>
        </w:rPr>
        <w:t>3</w:t>
      </w:r>
      <w:r>
        <w:rPr>
          <w:rFonts w:hint="eastAsia" w:ascii="仿宋_GB2312" w:hAnsi="ˎ̥" w:eastAsia="仿宋_GB2312"/>
          <w:sz w:val="32"/>
          <w:szCs w:val="32"/>
        </w:rPr>
        <w:t>.</w:t>
      </w:r>
      <w:r>
        <w:rPr>
          <w:rFonts w:ascii="仿宋_GB2312" w:hAnsi="ˎ̥" w:eastAsia="仿宋_GB2312"/>
          <w:sz w:val="32"/>
          <w:szCs w:val="32"/>
        </w:rPr>
        <w:t>30</w:t>
      </w:r>
      <w:r>
        <w:rPr>
          <w:rFonts w:hint="eastAsia" w:ascii="仿宋_GB2312" w:hAnsi="ˎ̥" w:eastAsia="仿宋_GB2312"/>
          <w:sz w:val="32"/>
          <w:szCs w:val="32"/>
        </w:rPr>
        <w:t>%，主要原因是2023年人员经费、</w:t>
      </w:r>
      <w:r>
        <w:rPr>
          <w:rFonts w:hint="eastAsia" w:ascii="仿宋_GB2312" w:hAnsi="ˎ̥" w:eastAsia="仿宋_GB2312" w:cs="仿宋_GB2312"/>
          <w:sz w:val="32"/>
          <w:szCs w:val="32"/>
          <w:lang w:bidi="ar"/>
        </w:rPr>
        <w:t>社会保障和就业和</w:t>
      </w:r>
      <w:r>
        <w:rPr>
          <w:rFonts w:hint="eastAsia" w:ascii="仿宋_GB2312" w:hAnsi="ˎ̥" w:eastAsia="仿宋_GB2312"/>
          <w:sz w:val="32"/>
          <w:szCs w:val="32"/>
        </w:rPr>
        <w:t>卫生</w:t>
      </w:r>
      <w:r>
        <w:rPr>
          <w:rFonts w:ascii="仿宋_GB2312" w:hAnsi="ˎ̥" w:eastAsia="仿宋_GB2312"/>
          <w:sz w:val="32"/>
          <w:szCs w:val="32"/>
        </w:rPr>
        <w:t>健康</w:t>
      </w:r>
      <w:r>
        <w:rPr>
          <w:rFonts w:hint="eastAsia" w:ascii="仿宋_GB2312" w:hAnsi="ˎ̥" w:eastAsia="仿宋_GB2312" w:cs="仿宋_GB2312"/>
          <w:sz w:val="32"/>
          <w:szCs w:val="32"/>
          <w:lang w:bidi="ar"/>
        </w:rPr>
        <w:t>支出</w:t>
      </w:r>
      <w:r>
        <w:rPr>
          <w:rFonts w:hint="eastAsia" w:ascii="仿宋_GB2312" w:hAnsi="ˎ̥" w:eastAsia="仿宋_GB2312"/>
          <w:sz w:val="32"/>
          <w:szCs w:val="32"/>
        </w:rPr>
        <w:t>增加。</w:t>
      </w:r>
    </w:p>
    <w:p w14:paraId="7CFF3123">
      <w:pPr>
        <w:widowControl w:val="0"/>
        <w:autoSpaceDE w:val="0"/>
        <w:spacing w:line="576" w:lineRule="exact"/>
        <w:ind w:firstLine="640" w:firstLineChars="200"/>
        <w:jc w:val="both"/>
        <w:rPr>
          <w:rFonts w:ascii="楷体" w:hAnsi="楷体" w:eastAsia="楷体"/>
          <w:sz w:val="32"/>
          <w:szCs w:val="32"/>
        </w:rPr>
      </w:pPr>
      <w:r>
        <w:rPr>
          <w:rFonts w:hint="eastAsia" w:ascii="楷体" w:hAnsi="楷体" w:eastAsia="楷体"/>
          <w:sz w:val="32"/>
          <w:szCs w:val="32"/>
        </w:rPr>
        <w:t>（二）一般公共预算财政拨款支出决算结构情况。</w:t>
      </w:r>
    </w:p>
    <w:p w14:paraId="6302DF60">
      <w:pPr>
        <w:widowControl w:val="0"/>
        <w:autoSpaceDE w:val="0"/>
        <w:spacing w:line="576"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2023年度一般公共预算财政拨款支出2,915.09万元，主要用于以下方面：</w:t>
      </w:r>
      <w:r>
        <w:rPr>
          <w:rFonts w:hint="eastAsia" w:ascii="仿宋_GB2312" w:hAnsi="ˎ̥" w:eastAsia="仿宋_GB2312"/>
          <w:b/>
          <w:bCs/>
          <w:sz w:val="32"/>
          <w:szCs w:val="32"/>
        </w:rPr>
        <w:t>一般公共服务（类）</w:t>
      </w:r>
      <w:r>
        <w:rPr>
          <w:rFonts w:hint="eastAsia" w:ascii="仿宋_GB2312" w:hAnsi="ˎ̥" w:eastAsia="仿宋_GB2312"/>
          <w:sz w:val="32"/>
          <w:szCs w:val="32"/>
        </w:rPr>
        <w:t>支出2,5</w:t>
      </w:r>
      <w:r>
        <w:rPr>
          <w:rFonts w:ascii="仿宋_GB2312" w:hAnsi="ˎ̥" w:eastAsia="仿宋_GB2312"/>
          <w:sz w:val="32"/>
          <w:szCs w:val="32"/>
        </w:rPr>
        <w:t>68</w:t>
      </w:r>
      <w:r>
        <w:rPr>
          <w:rFonts w:hint="eastAsia" w:ascii="仿宋_GB2312" w:hAnsi="ˎ̥" w:eastAsia="仿宋_GB2312"/>
          <w:sz w:val="32"/>
          <w:szCs w:val="32"/>
        </w:rPr>
        <w:t>.</w:t>
      </w:r>
      <w:r>
        <w:rPr>
          <w:rFonts w:ascii="仿宋_GB2312" w:hAnsi="ˎ̥" w:eastAsia="仿宋_GB2312"/>
          <w:sz w:val="32"/>
          <w:szCs w:val="32"/>
        </w:rPr>
        <w:t>34</w:t>
      </w:r>
      <w:r>
        <w:rPr>
          <w:rFonts w:hint="eastAsia" w:ascii="仿宋_GB2312" w:hAnsi="ˎ̥" w:eastAsia="仿宋_GB2312"/>
          <w:sz w:val="32"/>
          <w:szCs w:val="32"/>
        </w:rPr>
        <w:t>万元，占</w:t>
      </w:r>
      <w:r>
        <w:rPr>
          <w:rFonts w:ascii="仿宋_GB2312" w:hAnsi="ˎ̥" w:eastAsia="仿宋_GB2312"/>
          <w:sz w:val="32"/>
          <w:szCs w:val="32"/>
        </w:rPr>
        <w:t>88</w:t>
      </w:r>
      <w:r>
        <w:rPr>
          <w:rFonts w:hint="eastAsia" w:ascii="仿宋_GB2312" w:hAnsi="ˎ̥" w:eastAsia="仿宋_GB2312"/>
          <w:sz w:val="32"/>
          <w:szCs w:val="32"/>
        </w:rPr>
        <w:t>.</w:t>
      </w:r>
      <w:r>
        <w:rPr>
          <w:rFonts w:ascii="仿宋_GB2312" w:hAnsi="ˎ̥" w:eastAsia="仿宋_GB2312"/>
          <w:sz w:val="32"/>
          <w:szCs w:val="32"/>
        </w:rPr>
        <w:t>10</w:t>
      </w:r>
      <w:r>
        <w:rPr>
          <w:rFonts w:hint="eastAsia" w:ascii="仿宋_GB2312" w:hAnsi="ˎ̥" w:eastAsia="仿宋_GB2312"/>
          <w:sz w:val="32"/>
          <w:szCs w:val="32"/>
        </w:rPr>
        <w:t>%；</w:t>
      </w:r>
      <w:r>
        <w:rPr>
          <w:rFonts w:hint="eastAsia" w:ascii="仿宋_GB2312" w:hAnsi="ˎ̥" w:eastAsia="仿宋_GB2312"/>
          <w:b/>
          <w:bCs/>
          <w:sz w:val="32"/>
          <w:szCs w:val="32"/>
        </w:rPr>
        <w:t>社会保障和就业（类）</w:t>
      </w:r>
      <w:r>
        <w:rPr>
          <w:rFonts w:hint="eastAsia" w:ascii="仿宋_GB2312" w:hAnsi="ˎ̥" w:eastAsia="仿宋_GB2312"/>
          <w:sz w:val="32"/>
          <w:szCs w:val="32"/>
        </w:rPr>
        <w:t>支出1</w:t>
      </w:r>
      <w:r>
        <w:rPr>
          <w:rFonts w:ascii="仿宋_GB2312" w:hAnsi="ˎ̥" w:eastAsia="仿宋_GB2312"/>
          <w:sz w:val="32"/>
          <w:szCs w:val="32"/>
        </w:rPr>
        <w:t>93</w:t>
      </w:r>
      <w:r>
        <w:rPr>
          <w:rFonts w:hint="eastAsia" w:ascii="仿宋_GB2312" w:hAnsi="ˎ̥" w:eastAsia="仿宋_GB2312"/>
          <w:sz w:val="32"/>
          <w:szCs w:val="32"/>
        </w:rPr>
        <w:t>.39万元，占</w:t>
      </w:r>
      <w:r>
        <w:rPr>
          <w:rFonts w:ascii="仿宋_GB2312" w:hAnsi="ˎ̥" w:eastAsia="仿宋_GB2312"/>
          <w:sz w:val="32"/>
          <w:szCs w:val="32"/>
        </w:rPr>
        <w:t>6</w:t>
      </w:r>
      <w:r>
        <w:rPr>
          <w:rFonts w:hint="eastAsia" w:ascii="仿宋_GB2312" w:hAnsi="ˎ̥" w:eastAsia="仿宋_GB2312"/>
          <w:sz w:val="32"/>
          <w:szCs w:val="32"/>
        </w:rPr>
        <w:t>.64%；</w:t>
      </w:r>
      <w:r>
        <w:rPr>
          <w:rFonts w:hint="eastAsia" w:ascii="仿宋_GB2312" w:hAnsi="ˎ̥" w:eastAsia="仿宋_GB2312"/>
          <w:b/>
          <w:bCs/>
          <w:sz w:val="32"/>
          <w:szCs w:val="32"/>
        </w:rPr>
        <w:t>卫生健康</w:t>
      </w:r>
      <w:r>
        <w:rPr>
          <w:rFonts w:hint="eastAsia" w:ascii="仿宋_GB2312" w:hAnsi="ˎ̥" w:eastAsia="仿宋_GB2312"/>
          <w:sz w:val="32"/>
          <w:szCs w:val="32"/>
        </w:rPr>
        <w:t>支出</w:t>
      </w:r>
      <w:r>
        <w:rPr>
          <w:rFonts w:ascii="仿宋_GB2312" w:hAnsi="ˎ̥" w:eastAsia="仿宋_GB2312"/>
          <w:sz w:val="32"/>
          <w:szCs w:val="32"/>
        </w:rPr>
        <w:t>96</w:t>
      </w:r>
      <w:r>
        <w:rPr>
          <w:rFonts w:hint="eastAsia" w:ascii="仿宋_GB2312" w:hAnsi="ˎ̥" w:eastAsia="仿宋_GB2312"/>
          <w:sz w:val="32"/>
          <w:szCs w:val="32"/>
        </w:rPr>
        <w:t>.07万元，占3</w:t>
      </w:r>
      <w:r>
        <w:rPr>
          <w:rFonts w:ascii="仿宋_GB2312" w:hAnsi="ˎ̥" w:eastAsia="仿宋_GB2312"/>
          <w:sz w:val="32"/>
          <w:szCs w:val="32"/>
        </w:rPr>
        <w:t>.30</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支出57.28万元，占1.96%。</w:t>
      </w:r>
    </w:p>
    <w:p w14:paraId="22B4AEB9">
      <w:pPr>
        <w:widowControl w:val="0"/>
        <w:autoSpaceDE w:val="0"/>
        <w:spacing w:line="576" w:lineRule="exact"/>
        <w:ind w:firstLine="640" w:firstLineChars="200"/>
        <w:rPr>
          <w:rFonts w:ascii="楷体" w:hAnsi="楷体" w:eastAsia="楷体"/>
          <w:sz w:val="32"/>
          <w:szCs w:val="32"/>
        </w:rPr>
      </w:pPr>
      <w:r>
        <w:rPr>
          <w:rFonts w:hint="eastAsia" w:ascii="楷体" w:hAnsi="楷体" w:eastAsia="楷体"/>
          <w:sz w:val="32"/>
          <w:szCs w:val="32"/>
        </w:rPr>
        <w:t>（三）一般公共预算财政拨款支出决算具体情况。</w:t>
      </w:r>
    </w:p>
    <w:p w14:paraId="02171818">
      <w:pPr>
        <w:widowControl w:val="0"/>
        <w:autoSpaceDE w:val="0"/>
        <w:spacing w:line="576"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2023年度一般公共预算财政拨款支出年初预算为2,8</w:t>
      </w:r>
      <w:r>
        <w:rPr>
          <w:rFonts w:ascii="仿宋_GB2312" w:hAnsi="ˎ̥" w:eastAsia="仿宋_GB2312"/>
          <w:sz w:val="32"/>
          <w:szCs w:val="32"/>
        </w:rPr>
        <w:t>35</w:t>
      </w:r>
      <w:r>
        <w:rPr>
          <w:rFonts w:hint="eastAsia" w:ascii="仿宋_GB2312" w:hAnsi="ˎ̥" w:eastAsia="仿宋_GB2312"/>
          <w:sz w:val="32"/>
          <w:szCs w:val="32"/>
        </w:rPr>
        <w:t>.</w:t>
      </w:r>
      <w:r>
        <w:rPr>
          <w:rFonts w:ascii="仿宋_GB2312" w:hAnsi="ˎ̥" w:eastAsia="仿宋_GB2312"/>
          <w:sz w:val="32"/>
          <w:szCs w:val="32"/>
        </w:rPr>
        <w:t>72</w:t>
      </w:r>
      <w:r>
        <w:rPr>
          <w:rFonts w:hint="eastAsia" w:ascii="仿宋_GB2312" w:hAnsi="ˎ̥" w:eastAsia="仿宋_GB2312"/>
          <w:sz w:val="32"/>
          <w:szCs w:val="32"/>
        </w:rPr>
        <w:t>万元，支出决算为2,</w:t>
      </w:r>
      <w:r>
        <w:rPr>
          <w:rFonts w:ascii="仿宋_GB2312" w:hAnsi="ˎ̥" w:eastAsia="仿宋_GB2312"/>
          <w:sz w:val="32"/>
          <w:szCs w:val="32"/>
        </w:rPr>
        <w:t>915</w:t>
      </w:r>
      <w:r>
        <w:rPr>
          <w:rFonts w:hint="eastAsia" w:ascii="仿宋_GB2312" w:hAnsi="ˎ̥" w:eastAsia="仿宋_GB2312"/>
          <w:sz w:val="32"/>
          <w:szCs w:val="32"/>
        </w:rPr>
        <w:t>.</w:t>
      </w:r>
      <w:r>
        <w:rPr>
          <w:rFonts w:ascii="仿宋_GB2312" w:hAnsi="ˎ̥" w:eastAsia="仿宋_GB2312"/>
          <w:sz w:val="32"/>
          <w:szCs w:val="32"/>
        </w:rPr>
        <w:t>09</w:t>
      </w:r>
      <w:r>
        <w:rPr>
          <w:rFonts w:hint="eastAsia" w:ascii="仿宋_GB2312" w:hAnsi="ˎ̥" w:eastAsia="仿宋_GB2312"/>
          <w:sz w:val="32"/>
          <w:szCs w:val="32"/>
        </w:rPr>
        <w:t>万元，完成年初预算的</w:t>
      </w:r>
      <w:r>
        <w:rPr>
          <w:rFonts w:ascii="仿宋_GB2312" w:hAnsi="ˎ̥" w:eastAsia="仿宋_GB2312"/>
          <w:sz w:val="32"/>
          <w:szCs w:val="32"/>
        </w:rPr>
        <w:t>102.80</w:t>
      </w:r>
      <w:r>
        <w:rPr>
          <w:rFonts w:hint="eastAsia" w:ascii="仿宋_GB2312" w:hAnsi="ˎ̥" w:eastAsia="仿宋_GB2312"/>
          <w:sz w:val="32"/>
          <w:szCs w:val="32"/>
        </w:rPr>
        <w:t>%。其中：</w:t>
      </w:r>
    </w:p>
    <w:p w14:paraId="491822A0">
      <w:pPr>
        <w:widowControl w:val="0"/>
        <w:numPr>
          <w:ilvl w:val="0"/>
          <w:numId w:val="4"/>
        </w:numPr>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一般公共服务（类）市场监督管理事务（款）事业运行(项)</w:t>
      </w:r>
      <w:r>
        <w:rPr>
          <w:rFonts w:hint="eastAsia" w:ascii="仿宋_GB2312" w:hAnsi="ˎ̥" w:eastAsia="仿宋_GB2312"/>
          <w:sz w:val="32"/>
          <w:szCs w:val="32"/>
        </w:rPr>
        <w:t>年初预算为</w:t>
      </w:r>
      <w:r>
        <w:rPr>
          <w:rFonts w:ascii="仿宋_GB2312" w:hAnsi="ˎ̥" w:eastAsia="仿宋_GB2312"/>
          <w:sz w:val="32"/>
          <w:szCs w:val="32"/>
        </w:rPr>
        <w:t>1</w:t>
      </w:r>
      <w:r>
        <w:rPr>
          <w:rFonts w:hint="eastAsia" w:ascii="仿宋_GB2312" w:hAnsi="ˎ̥" w:eastAsia="仿宋_GB2312"/>
          <w:sz w:val="32"/>
          <w:szCs w:val="32"/>
        </w:rPr>
        <w:t>,</w:t>
      </w:r>
      <w:r>
        <w:rPr>
          <w:rFonts w:ascii="仿宋_GB2312" w:hAnsi="ˎ̥" w:eastAsia="仿宋_GB2312"/>
          <w:sz w:val="32"/>
          <w:szCs w:val="32"/>
        </w:rPr>
        <w:t>666</w:t>
      </w:r>
      <w:r>
        <w:rPr>
          <w:rFonts w:hint="eastAsia" w:ascii="仿宋_GB2312" w:hAnsi="ˎ̥" w:eastAsia="仿宋_GB2312"/>
          <w:sz w:val="32"/>
          <w:szCs w:val="32"/>
        </w:rPr>
        <w:t>.</w:t>
      </w:r>
      <w:r>
        <w:rPr>
          <w:rFonts w:ascii="仿宋_GB2312" w:hAnsi="ˎ̥" w:eastAsia="仿宋_GB2312"/>
          <w:sz w:val="32"/>
          <w:szCs w:val="32"/>
        </w:rPr>
        <w:t>36</w:t>
      </w:r>
      <w:r>
        <w:rPr>
          <w:rFonts w:hint="eastAsia" w:ascii="仿宋_GB2312" w:hAnsi="ˎ̥" w:eastAsia="仿宋_GB2312"/>
          <w:sz w:val="32"/>
          <w:szCs w:val="32"/>
        </w:rPr>
        <w:t>万元，支出决算为</w:t>
      </w:r>
      <w:r>
        <w:rPr>
          <w:rFonts w:ascii="仿宋_GB2312" w:hAnsi="ˎ̥" w:eastAsia="仿宋_GB2312"/>
          <w:sz w:val="32"/>
          <w:szCs w:val="32"/>
        </w:rPr>
        <w:t>1</w:t>
      </w:r>
      <w:r>
        <w:rPr>
          <w:rFonts w:hint="eastAsia" w:ascii="仿宋_GB2312" w:hAnsi="ˎ̥" w:eastAsia="仿宋_GB2312"/>
          <w:sz w:val="32"/>
          <w:szCs w:val="32"/>
        </w:rPr>
        <w:t>,745.70万元，完成年初预算的</w:t>
      </w:r>
      <w:r>
        <w:rPr>
          <w:rFonts w:ascii="仿宋_GB2312" w:hAnsi="ˎ̥" w:eastAsia="仿宋_GB2312"/>
          <w:sz w:val="32"/>
          <w:szCs w:val="32"/>
        </w:rPr>
        <w:t>10</w:t>
      </w:r>
      <w:r>
        <w:rPr>
          <w:rFonts w:hint="eastAsia" w:ascii="仿宋_GB2312" w:hAnsi="ˎ̥" w:eastAsia="仿宋_GB2312"/>
          <w:sz w:val="32"/>
          <w:szCs w:val="32"/>
        </w:rPr>
        <w:t>4</w:t>
      </w:r>
      <w:r>
        <w:rPr>
          <w:rFonts w:ascii="仿宋_GB2312" w:hAnsi="ˎ̥" w:eastAsia="仿宋_GB2312"/>
          <w:sz w:val="32"/>
          <w:szCs w:val="32"/>
        </w:rPr>
        <w:t>.</w:t>
      </w:r>
      <w:r>
        <w:rPr>
          <w:rFonts w:hint="eastAsia" w:ascii="仿宋_GB2312" w:hAnsi="ˎ̥" w:eastAsia="仿宋_GB2312"/>
          <w:sz w:val="32"/>
          <w:szCs w:val="32"/>
        </w:rPr>
        <w:t>7</w:t>
      </w:r>
      <w:r>
        <w:rPr>
          <w:rFonts w:ascii="仿宋_GB2312" w:hAnsi="ˎ̥" w:eastAsia="仿宋_GB2312"/>
          <w:sz w:val="32"/>
          <w:szCs w:val="32"/>
        </w:rPr>
        <w:t>6</w:t>
      </w:r>
      <w:r>
        <w:rPr>
          <w:rFonts w:hint="eastAsia" w:ascii="仿宋_GB2312" w:hAnsi="ˎ̥" w:eastAsia="仿宋_GB2312"/>
          <w:sz w:val="32"/>
          <w:szCs w:val="32"/>
        </w:rPr>
        <w:t>%。决算数大</w:t>
      </w:r>
      <w:r>
        <w:rPr>
          <w:rFonts w:ascii="仿宋_GB2312" w:hAnsi="ˎ̥" w:eastAsia="仿宋_GB2312"/>
          <w:sz w:val="32"/>
          <w:szCs w:val="32"/>
        </w:rPr>
        <w:t>于</w:t>
      </w:r>
      <w:r>
        <w:rPr>
          <w:rFonts w:hint="eastAsia" w:ascii="仿宋_GB2312" w:hAnsi="ˎ̥" w:eastAsia="仿宋_GB2312"/>
          <w:sz w:val="32"/>
          <w:szCs w:val="32"/>
        </w:rPr>
        <w:t>预算数的</w:t>
      </w:r>
      <w:r>
        <w:rPr>
          <w:rFonts w:ascii="仿宋_GB2312" w:hAnsi="ˎ̥" w:eastAsia="仿宋_GB2312"/>
          <w:sz w:val="32"/>
          <w:szCs w:val="32"/>
        </w:rPr>
        <w:t>主要原因</w:t>
      </w:r>
      <w:r>
        <w:rPr>
          <w:rFonts w:hint="eastAsia" w:ascii="仿宋_GB2312" w:hAnsi="ˎ̥" w:eastAsia="仿宋_GB2312"/>
          <w:sz w:val="32"/>
          <w:szCs w:val="32"/>
        </w:rPr>
        <w:t>是工</w:t>
      </w:r>
      <w:r>
        <w:rPr>
          <w:rFonts w:ascii="仿宋_GB2312" w:hAnsi="ˎ̥" w:eastAsia="仿宋_GB2312"/>
          <w:sz w:val="32"/>
          <w:szCs w:val="32"/>
        </w:rPr>
        <w:t>资调整，</w:t>
      </w:r>
      <w:r>
        <w:rPr>
          <w:rFonts w:hint="eastAsia" w:ascii="仿宋_GB2312" w:hAnsi="ˎ̥" w:eastAsia="仿宋_GB2312"/>
          <w:sz w:val="32"/>
          <w:szCs w:val="32"/>
        </w:rPr>
        <w:t>人</w:t>
      </w:r>
      <w:r>
        <w:rPr>
          <w:rFonts w:ascii="仿宋_GB2312" w:hAnsi="ˎ̥" w:eastAsia="仿宋_GB2312"/>
          <w:sz w:val="32"/>
          <w:szCs w:val="32"/>
        </w:rPr>
        <w:t>员经费增加。</w:t>
      </w:r>
    </w:p>
    <w:p w14:paraId="0C80FB7A">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2.一般公共服务（类）市场监督管理事务（款）其他市场监督管理事务(项)</w:t>
      </w:r>
      <w:r>
        <w:rPr>
          <w:rFonts w:hint="eastAsia" w:ascii="仿宋_GB2312" w:hAnsi="ˎ̥" w:eastAsia="仿宋_GB2312"/>
          <w:sz w:val="32"/>
          <w:szCs w:val="32"/>
        </w:rPr>
        <w:t>年初预算为</w:t>
      </w:r>
      <w:r>
        <w:rPr>
          <w:rFonts w:ascii="仿宋_GB2312" w:hAnsi="ˎ̥" w:eastAsia="仿宋_GB2312"/>
          <w:sz w:val="32"/>
          <w:szCs w:val="32"/>
        </w:rPr>
        <w:t>811.66</w:t>
      </w:r>
      <w:r>
        <w:rPr>
          <w:rFonts w:hint="eastAsia" w:ascii="仿宋_GB2312" w:hAnsi="ˎ̥" w:eastAsia="仿宋_GB2312"/>
          <w:sz w:val="32"/>
          <w:szCs w:val="32"/>
        </w:rPr>
        <w:t>万元，支出决算为</w:t>
      </w:r>
      <w:r>
        <w:rPr>
          <w:rFonts w:ascii="仿宋_GB2312" w:hAnsi="ˎ̥" w:eastAsia="仿宋_GB2312"/>
          <w:sz w:val="32"/>
          <w:szCs w:val="32"/>
        </w:rPr>
        <w:t>787.64</w:t>
      </w:r>
      <w:r>
        <w:rPr>
          <w:rFonts w:hint="eastAsia" w:ascii="仿宋_GB2312" w:hAnsi="ˎ̥" w:eastAsia="仿宋_GB2312"/>
          <w:sz w:val="32"/>
          <w:szCs w:val="32"/>
        </w:rPr>
        <w:t>万元，完成年初预算的</w:t>
      </w:r>
      <w:r>
        <w:rPr>
          <w:rFonts w:ascii="仿宋_GB2312" w:hAnsi="ˎ̥" w:eastAsia="仿宋_GB2312"/>
          <w:sz w:val="32"/>
          <w:szCs w:val="32"/>
        </w:rPr>
        <w:t>97.04</w:t>
      </w:r>
      <w:r>
        <w:rPr>
          <w:rFonts w:hint="eastAsia" w:ascii="仿宋_GB2312" w:hAnsi="ˎ̥" w:eastAsia="仿宋_GB2312"/>
          <w:sz w:val="32"/>
          <w:szCs w:val="32"/>
        </w:rPr>
        <w:t>%。决算数与预算数持</w:t>
      </w:r>
      <w:r>
        <w:rPr>
          <w:rFonts w:ascii="仿宋_GB2312" w:hAnsi="ˎ̥" w:eastAsia="仿宋_GB2312"/>
          <w:sz w:val="32"/>
          <w:szCs w:val="32"/>
        </w:rPr>
        <w:t>平</w:t>
      </w:r>
      <w:r>
        <w:rPr>
          <w:rFonts w:hint="eastAsia" w:ascii="仿宋_GB2312" w:hAnsi="ˎ̥" w:eastAsia="仿宋_GB2312"/>
          <w:sz w:val="32"/>
          <w:szCs w:val="32"/>
        </w:rPr>
        <w:t>。</w:t>
      </w:r>
    </w:p>
    <w:p w14:paraId="246E8D3F">
      <w:pPr>
        <w:widowControl w:val="0"/>
        <w:spacing w:line="560" w:lineRule="exact"/>
        <w:ind w:firstLine="643" w:firstLineChars="200"/>
        <w:rPr>
          <w:rFonts w:hint="eastAsia" w:ascii="仿宋_GB2312" w:hAnsi="ˎ̥" w:eastAsia="仿宋_GB2312"/>
          <w:b/>
          <w:bCs/>
          <w:sz w:val="32"/>
          <w:szCs w:val="32"/>
        </w:rPr>
      </w:pPr>
      <w:r>
        <w:rPr>
          <w:rFonts w:hint="eastAsia" w:ascii="仿宋_GB2312" w:hAnsi="ˎ̥" w:eastAsia="仿宋_GB2312"/>
          <w:b/>
          <w:bCs/>
          <w:sz w:val="32"/>
          <w:szCs w:val="32"/>
        </w:rPr>
        <w:t xml:space="preserve">3. </w:t>
      </w:r>
      <w:r>
        <w:rPr>
          <w:rFonts w:hint="eastAsia" w:ascii="仿宋_GB2312" w:hAnsi="ˎ̥" w:eastAsia="仿宋_GB2312"/>
          <w:b/>
          <w:bCs/>
          <w:color w:val="000000" w:themeColor="text1"/>
          <w:spacing w:val="-20"/>
          <w:sz w:val="32"/>
          <w:szCs w:val="32"/>
          <w14:textFill>
            <w14:solidFill>
              <w14:schemeClr w14:val="tx1"/>
            </w14:solidFill>
          </w14:textFill>
        </w:rPr>
        <w:t>社会保障和就业支出（类）行政事业单位养老支出（款）</w:t>
      </w:r>
      <w:r>
        <w:rPr>
          <w:rFonts w:hint="eastAsia" w:ascii="仿宋_GB2312" w:hAnsi="ˎ̥" w:eastAsia="仿宋_GB2312"/>
          <w:b/>
          <w:bCs/>
          <w:color w:val="000000" w:themeColor="text1"/>
          <w:sz w:val="32"/>
          <w:szCs w:val="32"/>
          <w14:textFill>
            <w14:solidFill>
              <w14:schemeClr w14:val="tx1"/>
            </w14:solidFill>
          </w14:textFill>
        </w:rPr>
        <w:t>机关事业单位基本养老保险缴费支出（项）</w:t>
      </w:r>
      <w:r>
        <w:rPr>
          <w:rFonts w:hint="eastAsia" w:ascii="仿宋_GB2312" w:hAnsi="ˎ̥" w:eastAsia="仿宋_GB2312"/>
          <w:color w:val="000000" w:themeColor="text1"/>
          <w:sz w:val="32"/>
          <w:szCs w:val="32"/>
          <w14:textFill>
            <w14:solidFill>
              <w14:schemeClr w14:val="tx1"/>
            </w14:solidFill>
          </w14:textFill>
        </w:rPr>
        <w:t>年初预算为</w:t>
      </w:r>
      <w:r>
        <w:rPr>
          <w:rFonts w:ascii="仿宋_GB2312" w:hAnsi="ˎ̥" w:eastAsia="仿宋_GB2312"/>
          <w:color w:val="000000" w:themeColor="text1"/>
          <w:sz w:val="32"/>
          <w:szCs w:val="32"/>
          <w14:textFill>
            <w14:solidFill>
              <w14:schemeClr w14:val="tx1"/>
            </w14:solidFill>
          </w14:textFill>
        </w:rPr>
        <w:t>62.81</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68.61</w:t>
      </w:r>
      <w:r>
        <w:rPr>
          <w:rFonts w:hint="eastAsia" w:ascii="仿宋_GB2312" w:hAnsi="ˎ̥" w:eastAsia="仿宋_GB2312"/>
          <w:color w:val="000000" w:themeColor="text1"/>
          <w:sz w:val="32"/>
          <w:szCs w:val="32"/>
          <w14:textFill>
            <w14:solidFill>
              <w14:schemeClr w14:val="tx1"/>
            </w14:solidFill>
          </w14:textFill>
        </w:rPr>
        <w:t>万元，完成年初预算的1</w:t>
      </w:r>
      <w:r>
        <w:rPr>
          <w:rFonts w:ascii="仿宋_GB2312" w:hAnsi="ˎ̥" w:eastAsia="仿宋_GB2312"/>
          <w:color w:val="000000" w:themeColor="text1"/>
          <w:sz w:val="32"/>
          <w:szCs w:val="32"/>
          <w14:textFill>
            <w14:solidFill>
              <w14:schemeClr w14:val="tx1"/>
            </w14:solidFill>
          </w14:textFill>
        </w:rPr>
        <w:t>09</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23</w:t>
      </w:r>
      <w:r>
        <w:rPr>
          <w:rFonts w:hint="eastAsia" w:ascii="仿宋_GB2312" w:hAnsi="ˎ̥" w:eastAsia="仿宋_GB2312"/>
          <w:color w:val="000000" w:themeColor="text1"/>
          <w:sz w:val="32"/>
          <w:szCs w:val="32"/>
          <w14:textFill>
            <w14:solidFill>
              <w14:schemeClr w14:val="tx1"/>
            </w14:solidFill>
          </w14:textFill>
        </w:rPr>
        <w:t>%。决算数比预算数增加,主要原因是</w:t>
      </w:r>
      <w:r>
        <w:rPr>
          <w:rFonts w:hint="eastAsia" w:ascii="仿宋_GB2312" w:hAnsi="ˎ̥" w:eastAsia="仿宋_GB2312"/>
          <w:sz w:val="32"/>
          <w:szCs w:val="32"/>
        </w:rPr>
        <w:t>工</w:t>
      </w:r>
      <w:r>
        <w:rPr>
          <w:rFonts w:ascii="仿宋_GB2312" w:hAnsi="ˎ̥" w:eastAsia="仿宋_GB2312"/>
          <w:sz w:val="32"/>
          <w:szCs w:val="32"/>
        </w:rPr>
        <w:t>资</w:t>
      </w:r>
      <w:r>
        <w:rPr>
          <w:rFonts w:hint="eastAsia" w:ascii="仿宋_GB2312" w:hAnsi="ˎ̥" w:eastAsia="仿宋_GB2312"/>
          <w:sz w:val="32"/>
          <w:szCs w:val="32"/>
        </w:rPr>
        <w:t>调整</w:t>
      </w:r>
      <w:r>
        <w:rPr>
          <w:rFonts w:ascii="仿宋_GB2312" w:hAnsi="ˎ̥" w:eastAsia="仿宋_GB2312"/>
          <w:sz w:val="32"/>
          <w:szCs w:val="32"/>
        </w:rPr>
        <w:t>，</w:t>
      </w:r>
      <w:r>
        <w:rPr>
          <w:rFonts w:hint="eastAsia" w:ascii="仿宋_GB2312" w:hAnsi="ˎ̥" w:eastAsia="仿宋_GB2312" w:cs="仿宋_GB2312"/>
          <w:sz w:val="32"/>
          <w:szCs w:val="32"/>
        </w:rPr>
        <w:t>机关事业单位基本养老保险缴费基</w:t>
      </w:r>
      <w:r>
        <w:rPr>
          <w:rFonts w:ascii="仿宋_GB2312" w:hAnsi="ˎ̥" w:eastAsia="仿宋_GB2312" w:cs="仿宋_GB2312"/>
          <w:sz w:val="32"/>
          <w:szCs w:val="32"/>
        </w:rPr>
        <w:t>数</w:t>
      </w:r>
      <w:r>
        <w:rPr>
          <w:rFonts w:hint="eastAsia" w:ascii="仿宋_GB2312" w:hAnsi="ˎ̥" w:eastAsia="仿宋_GB2312" w:cs="仿宋_GB2312"/>
          <w:sz w:val="32"/>
          <w:szCs w:val="32"/>
        </w:rPr>
        <w:t>增</w:t>
      </w:r>
      <w:r>
        <w:rPr>
          <w:rFonts w:ascii="仿宋_GB2312" w:hAnsi="ˎ̥" w:eastAsia="仿宋_GB2312" w:cs="仿宋_GB2312"/>
          <w:sz w:val="32"/>
          <w:szCs w:val="32"/>
        </w:rPr>
        <w:t>加</w:t>
      </w:r>
      <w:r>
        <w:rPr>
          <w:rFonts w:hint="eastAsia" w:ascii="仿宋_GB2312" w:hAnsi="ˎ̥" w:eastAsia="仿宋_GB2312" w:cs="仿宋_GB2312"/>
          <w:sz w:val="32"/>
          <w:szCs w:val="32"/>
        </w:rPr>
        <w:t>。</w:t>
      </w:r>
    </w:p>
    <w:p w14:paraId="6AA0B7BB">
      <w:pPr>
        <w:widowControl w:val="0"/>
        <w:spacing w:line="560"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4.社会保障和就业支出（类）行政</w:t>
      </w:r>
      <w:r>
        <w:rPr>
          <w:rFonts w:hint="eastAsia" w:ascii="仿宋_GB2312" w:hAnsi="ˎ̥" w:eastAsia="仿宋_GB2312"/>
          <w:sz w:val="32"/>
          <w:szCs w:val="32"/>
        </w:rPr>
        <w:t>事业单位养老支出</w:t>
      </w:r>
      <w:r>
        <w:rPr>
          <w:rFonts w:hint="eastAsia" w:ascii="仿宋_GB2312" w:hAnsi="ˎ̥" w:eastAsia="仿宋_GB2312"/>
          <w:b/>
          <w:bCs/>
          <w:sz w:val="32"/>
          <w:szCs w:val="32"/>
        </w:rPr>
        <w:t>（款）机关事业单位职业年金缴费支出（项）</w:t>
      </w:r>
      <w:r>
        <w:rPr>
          <w:rFonts w:hint="eastAsia" w:ascii="仿宋_GB2312" w:hAnsi="ˎ̥" w:eastAsia="仿宋_GB2312"/>
          <w:sz w:val="32"/>
          <w:szCs w:val="32"/>
        </w:rPr>
        <w:t>年初预算为11</w:t>
      </w:r>
      <w:r>
        <w:rPr>
          <w:rFonts w:ascii="仿宋_GB2312" w:hAnsi="ˎ̥" w:eastAsia="仿宋_GB2312"/>
          <w:sz w:val="32"/>
          <w:szCs w:val="32"/>
        </w:rPr>
        <w:t>4</w:t>
      </w:r>
      <w:r>
        <w:rPr>
          <w:rFonts w:hint="eastAsia" w:ascii="仿宋_GB2312" w:hAnsi="ˎ̥" w:eastAsia="仿宋_GB2312"/>
          <w:sz w:val="32"/>
          <w:szCs w:val="32"/>
        </w:rPr>
        <w:t>.</w:t>
      </w:r>
      <w:r>
        <w:rPr>
          <w:rFonts w:ascii="仿宋_GB2312" w:hAnsi="ˎ̥" w:eastAsia="仿宋_GB2312"/>
          <w:sz w:val="32"/>
          <w:szCs w:val="32"/>
        </w:rPr>
        <w:t>70</w:t>
      </w:r>
      <w:r>
        <w:rPr>
          <w:rFonts w:hint="eastAsia" w:ascii="仿宋_GB2312" w:hAnsi="ˎ̥" w:eastAsia="仿宋_GB2312"/>
          <w:sz w:val="32"/>
          <w:szCs w:val="32"/>
        </w:rPr>
        <w:t>万元，支出决算为</w:t>
      </w:r>
      <w:r>
        <w:rPr>
          <w:rFonts w:ascii="仿宋_GB2312" w:hAnsi="ˎ̥" w:eastAsia="仿宋_GB2312"/>
          <w:sz w:val="32"/>
          <w:szCs w:val="32"/>
        </w:rPr>
        <w:t>123.15</w:t>
      </w:r>
      <w:r>
        <w:rPr>
          <w:rFonts w:hint="eastAsia" w:ascii="仿宋_GB2312" w:hAnsi="ˎ̥" w:eastAsia="仿宋_GB2312"/>
          <w:sz w:val="32"/>
          <w:szCs w:val="32"/>
        </w:rPr>
        <w:t>万元，完成年初预算的</w:t>
      </w:r>
      <w:r>
        <w:rPr>
          <w:rFonts w:ascii="仿宋_GB2312" w:hAnsi="ˎ̥" w:eastAsia="仿宋_GB2312"/>
          <w:sz w:val="32"/>
          <w:szCs w:val="32"/>
        </w:rPr>
        <w:t>107</w:t>
      </w:r>
      <w:r>
        <w:rPr>
          <w:rFonts w:hint="eastAsia" w:ascii="仿宋_GB2312" w:hAnsi="ˎ̥" w:eastAsia="仿宋_GB2312"/>
          <w:sz w:val="32"/>
          <w:szCs w:val="32"/>
        </w:rPr>
        <w:t>.</w:t>
      </w:r>
      <w:r>
        <w:rPr>
          <w:rFonts w:ascii="仿宋_GB2312" w:hAnsi="ˎ̥" w:eastAsia="仿宋_GB2312"/>
          <w:sz w:val="32"/>
          <w:szCs w:val="32"/>
        </w:rPr>
        <w:t>36</w:t>
      </w:r>
      <w:r>
        <w:rPr>
          <w:rFonts w:hint="eastAsia" w:ascii="仿宋_GB2312" w:hAnsi="ˎ̥" w:eastAsia="仿宋_GB2312"/>
          <w:sz w:val="32"/>
          <w:szCs w:val="32"/>
        </w:rPr>
        <w:t>%。主要原因是工</w:t>
      </w:r>
      <w:r>
        <w:rPr>
          <w:rFonts w:ascii="仿宋_GB2312" w:hAnsi="ˎ̥" w:eastAsia="仿宋_GB2312"/>
          <w:sz w:val="32"/>
          <w:szCs w:val="32"/>
        </w:rPr>
        <w:t>资</w:t>
      </w:r>
      <w:r>
        <w:rPr>
          <w:rFonts w:hint="eastAsia" w:ascii="仿宋_GB2312" w:hAnsi="ˎ̥" w:eastAsia="仿宋_GB2312"/>
          <w:sz w:val="32"/>
          <w:szCs w:val="32"/>
        </w:rPr>
        <w:t>调整</w:t>
      </w:r>
      <w:r>
        <w:rPr>
          <w:rFonts w:ascii="仿宋_GB2312" w:hAnsi="ˎ̥" w:eastAsia="仿宋_GB2312"/>
          <w:sz w:val="32"/>
          <w:szCs w:val="32"/>
        </w:rPr>
        <w:t>，</w:t>
      </w:r>
      <w:r>
        <w:rPr>
          <w:rFonts w:hint="eastAsia" w:ascii="仿宋_GB2312" w:hAnsi="ˎ̥" w:eastAsia="仿宋_GB2312" w:cs="仿宋_GB2312"/>
          <w:sz w:val="32"/>
          <w:szCs w:val="32"/>
        </w:rPr>
        <w:t>机关事业单位职业年金基数增加。</w:t>
      </w:r>
    </w:p>
    <w:p w14:paraId="4C218A6E">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color w:val="000000" w:themeColor="text1"/>
          <w:sz w:val="32"/>
          <w:szCs w:val="32"/>
          <w14:textFill>
            <w14:solidFill>
              <w14:schemeClr w14:val="tx1"/>
            </w14:solidFill>
          </w14:textFill>
        </w:rPr>
        <w:t xml:space="preserve">5. </w:t>
      </w:r>
      <w:r>
        <w:rPr>
          <w:rFonts w:hint="eastAsia" w:ascii="仿宋_GB2312" w:hAnsi="ˎ̥" w:eastAsia="仿宋_GB2312"/>
          <w:b/>
          <w:bCs/>
          <w:sz w:val="32"/>
          <w:szCs w:val="32"/>
        </w:rPr>
        <w:t>社会保障和就业支出（类）抚恤（款）其他抚恤支出（项）</w:t>
      </w:r>
      <w:r>
        <w:rPr>
          <w:rFonts w:hint="eastAsia" w:ascii="仿宋_GB2312" w:hAnsi="ˎ̥" w:eastAsia="仿宋_GB2312"/>
          <w:sz w:val="32"/>
          <w:szCs w:val="32"/>
        </w:rPr>
        <w:t>年初预算为1.63万元，支出决算为1.63万元，完成年初预算的100%。决算数与预算数持平。</w:t>
      </w:r>
    </w:p>
    <w:p w14:paraId="6448D02D">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6.卫生健康支出（类）行政事业单位医疗（款）事业单位医疗（项）</w:t>
      </w:r>
      <w:r>
        <w:rPr>
          <w:rFonts w:hint="eastAsia" w:ascii="仿宋_GB2312" w:hAnsi="ˎ̥" w:eastAsia="仿宋_GB2312"/>
          <w:sz w:val="32"/>
          <w:szCs w:val="32"/>
        </w:rPr>
        <w:t>年初预算为28.</w:t>
      </w:r>
      <w:r>
        <w:rPr>
          <w:rFonts w:ascii="仿宋_GB2312" w:hAnsi="ˎ̥" w:eastAsia="仿宋_GB2312"/>
          <w:sz w:val="32"/>
          <w:szCs w:val="32"/>
        </w:rPr>
        <w:t>16</w:t>
      </w:r>
      <w:r>
        <w:rPr>
          <w:rFonts w:hint="eastAsia" w:ascii="仿宋_GB2312" w:hAnsi="ˎ̥" w:eastAsia="仿宋_GB2312"/>
          <w:sz w:val="32"/>
          <w:szCs w:val="32"/>
        </w:rPr>
        <w:t>万元，支出决算为</w:t>
      </w:r>
      <w:r>
        <w:rPr>
          <w:rFonts w:ascii="仿宋_GB2312" w:hAnsi="ˎ̥" w:eastAsia="仿宋_GB2312"/>
          <w:sz w:val="32"/>
          <w:szCs w:val="32"/>
        </w:rPr>
        <w:t>31</w:t>
      </w:r>
      <w:r>
        <w:rPr>
          <w:rFonts w:hint="eastAsia" w:ascii="仿宋_GB2312" w:hAnsi="ˎ̥" w:eastAsia="仿宋_GB2312"/>
          <w:sz w:val="32"/>
          <w:szCs w:val="32"/>
        </w:rPr>
        <w:t>.</w:t>
      </w:r>
      <w:r>
        <w:rPr>
          <w:rFonts w:ascii="仿宋_GB2312" w:hAnsi="ˎ̥" w:eastAsia="仿宋_GB2312"/>
          <w:sz w:val="32"/>
          <w:szCs w:val="32"/>
        </w:rPr>
        <w:t>41</w:t>
      </w:r>
      <w:r>
        <w:rPr>
          <w:rFonts w:hint="eastAsia" w:ascii="仿宋_GB2312" w:hAnsi="ˎ̥" w:eastAsia="仿宋_GB2312"/>
          <w:sz w:val="32"/>
          <w:szCs w:val="32"/>
        </w:rPr>
        <w:t>万元，完成年初预算的</w:t>
      </w:r>
      <w:r>
        <w:rPr>
          <w:rFonts w:ascii="仿宋_GB2312" w:hAnsi="ˎ̥" w:eastAsia="仿宋_GB2312"/>
          <w:sz w:val="32"/>
          <w:szCs w:val="32"/>
        </w:rPr>
        <w:t>111.54</w:t>
      </w:r>
      <w:r>
        <w:rPr>
          <w:rFonts w:hint="eastAsia" w:ascii="仿宋_GB2312" w:hAnsi="ˎ̥" w:eastAsia="仿宋_GB2312"/>
          <w:sz w:val="32"/>
          <w:szCs w:val="32"/>
        </w:rPr>
        <w:t>%。决算数大于预算数的主要原因是工</w:t>
      </w:r>
      <w:r>
        <w:rPr>
          <w:rFonts w:ascii="仿宋_GB2312" w:hAnsi="ˎ̥" w:eastAsia="仿宋_GB2312"/>
          <w:sz w:val="32"/>
          <w:szCs w:val="32"/>
        </w:rPr>
        <w:t>资</w:t>
      </w:r>
      <w:r>
        <w:rPr>
          <w:rFonts w:hint="eastAsia" w:ascii="仿宋_GB2312" w:hAnsi="ˎ̥" w:eastAsia="仿宋_GB2312"/>
          <w:sz w:val="32"/>
          <w:szCs w:val="32"/>
        </w:rPr>
        <w:t>调整</w:t>
      </w:r>
      <w:r>
        <w:rPr>
          <w:rFonts w:ascii="仿宋_GB2312" w:hAnsi="ˎ̥" w:eastAsia="仿宋_GB2312"/>
          <w:sz w:val="32"/>
          <w:szCs w:val="32"/>
        </w:rPr>
        <w:t>，</w:t>
      </w:r>
      <w:r>
        <w:rPr>
          <w:rFonts w:hint="eastAsia" w:ascii="仿宋_GB2312" w:hAnsi="ˎ̥" w:eastAsia="仿宋_GB2312"/>
          <w:sz w:val="32"/>
          <w:szCs w:val="32"/>
        </w:rPr>
        <w:t>社保</w:t>
      </w:r>
      <w:r>
        <w:rPr>
          <w:rFonts w:ascii="仿宋_GB2312" w:hAnsi="ˎ̥" w:eastAsia="仿宋_GB2312"/>
          <w:sz w:val="32"/>
          <w:szCs w:val="32"/>
        </w:rPr>
        <w:t>医疗</w:t>
      </w:r>
      <w:r>
        <w:rPr>
          <w:rFonts w:hint="eastAsia" w:ascii="仿宋_GB2312" w:hAnsi="ˎ̥" w:eastAsia="仿宋_GB2312"/>
          <w:sz w:val="32"/>
          <w:szCs w:val="32"/>
        </w:rPr>
        <w:t>缴</w:t>
      </w:r>
      <w:r>
        <w:rPr>
          <w:rFonts w:ascii="仿宋_GB2312" w:hAnsi="ˎ̥" w:eastAsia="仿宋_GB2312"/>
          <w:sz w:val="32"/>
          <w:szCs w:val="32"/>
        </w:rPr>
        <w:t>交基数增加</w:t>
      </w:r>
      <w:r>
        <w:rPr>
          <w:rFonts w:hint="eastAsia" w:ascii="仿宋_GB2312" w:hAnsi="ˎ̥" w:eastAsia="仿宋_GB2312" w:cs="仿宋_GB2312"/>
          <w:sz w:val="32"/>
          <w:szCs w:val="32"/>
        </w:rPr>
        <w:t>。</w:t>
      </w:r>
    </w:p>
    <w:p w14:paraId="0056A5D8">
      <w:pPr>
        <w:widowControl w:val="0"/>
        <w:autoSpaceDE w:val="0"/>
        <w:spacing w:line="576" w:lineRule="exact"/>
        <w:ind w:firstLine="643" w:firstLineChars="200"/>
        <w:jc w:val="both"/>
        <w:rPr>
          <w:rFonts w:hint="eastAsia" w:ascii="仿宋_GB2312" w:hAnsi="ˎ̥" w:eastAsia="仿宋_GB2312"/>
          <w:b/>
          <w:bCs/>
          <w:sz w:val="32"/>
          <w:szCs w:val="32"/>
        </w:rPr>
      </w:pPr>
      <w:r>
        <w:rPr>
          <w:rFonts w:hint="eastAsia" w:ascii="仿宋_GB2312" w:hAnsi="ˎ̥" w:eastAsia="仿宋_GB2312"/>
          <w:b/>
          <w:bCs/>
          <w:sz w:val="32"/>
          <w:szCs w:val="32"/>
        </w:rPr>
        <w:t>7.卫生健康支出（类）行政事业单位医疗（款）公务员医疗补助（项）</w:t>
      </w:r>
      <w:r>
        <w:rPr>
          <w:rFonts w:hint="eastAsia" w:ascii="仿宋_GB2312" w:hAnsi="ˎ̥" w:eastAsia="仿宋_GB2312"/>
          <w:sz w:val="32"/>
          <w:szCs w:val="32"/>
        </w:rPr>
        <w:t>年初预算为</w:t>
      </w:r>
      <w:r>
        <w:rPr>
          <w:rFonts w:ascii="仿宋_GB2312" w:hAnsi="ˎ̥" w:eastAsia="仿宋_GB2312"/>
          <w:sz w:val="32"/>
          <w:szCs w:val="32"/>
        </w:rPr>
        <w:t>59.70</w:t>
      </w:r>
      <w:r>
        <w:rPr>
          <w:rFonts w:hint="eastAsia" w:ascii="仿宋_GB2312" w:hAnsi="ˎ̥" w:eastAsia="仿宋_GB2312"/>
          <w:sz w:val="32"/>
          <w:szCs w:val="32"/>
        </w:rPr>
        <w:t>万元，支出决算为</w:t>
      </w:r>
      <w:r>
        <w:rPr>
          <w:rFonts w:ascii="仿宋_GB2312" w:hAnsi="ˎ̥" w:eastAsia="仿宋_GB2312"/>
          <w:sz w:val="32"/>
          <w:szCs w:val="32"/>
        </w:rPr>
        <w:t>64.67</w:t>
      </w:r>
      <w:r>
        <w:rPr>
          <w:rFonts w:hint="eastAsia" w:ascii="仿宋_GB2312" w:hAnsi="ˎ̥" w:eastAsia="仿宋_GB2312"/>
          <w:sz w:val="32"/>
          <w:szCs w:val="32"/>
        </w:rPr>
        <w:t>万元。决算数大于预算数的主要原因是工</w:t>
      </w:r>
      <w:r>
        <w:rPr>
          <w:rFonts w:ascii="仿宋_GB2312" w:hAnsi="ˎ̥" w:eastAsia="仿宋_GB2312"/>
          <w:sz w:val="32"/>
          <w:szCs w:val="32"/>
        </w:rPr>
        <w:t>资</w:t>
      </w:r>
      <w:r>
        <w:rPr>
          <w:rFonts w:hint="eastAsia" w:ascii="仿宋_GB2312" w:hAnsi="ˎ̥" w:eastAsia="仿宋_GB2312"/>
          <w:sz w:val="32"/>
          <w:szCs w:val="32"/>
        </w:rPr>
        <w:t>调整</w:t>
      </w:r>
      <w:r>
        <w:rPr>
          <w:rFonts w:ascii="仿宋_GB2312" w:hAnsi="ˎ̥" w:eastAsia="仿宋_GB2312"/>
          <w:sz w:val="32"/>
          <w:szCs w:val="32"/>
        </w:rPr>
        <w:t>，</w:t>
      </w:r>
      <w:r>
        <w:rPr>
          <w:rFonts w:hint="eastAsia" w:ascii="仿宋_GB2312" w:hAnsi="ˎ̥" w:eastAsia="仿宋_GB2312"/>
          <w:sz w:val="32"/>
          <w:szCs w:val="32"/>
        </w:rPr>
        <w:t>公务员医疗补助缴交</w:t>
      </w:r>
      <w:r>
        <w:rPr>
          <w:rFonts w:ascii="仿宋_GB2312" w:hAnsi="ˎ̥" w:eastAsia="仿宋_GB2312"/>
          <w:sz w:val="32"/>
          <w:szCs w:val="32"/>
        </w:rPr>
        <w:t>基数增加</w:t>
      </w:r>
      <w:r>
        <w:rPr>
          <w:rFonts w:hint="eastAsia" w:ascii="仿宋_GB2312" w:hAnsi="ˎ̥" w:eastAsia="仿宋_GB2312" w:cs="仿宋_GB2312"/>
          <w:sz w:val="32"/>
          <w:szCs w:val="32"/>
        </w:rPr>
        <w:t>。</w:t>
      </w:r>
    </w:p>
    <w:p w14:paraId="05913311">
      <w:pPr>
        <w:widowControl w:val="0"/>
        <w:spacing w:line="560" w:lineRule="exact"/>
        <w:ind w:firstLine="643" w:firstLineChars="200"/>
        <w:jc w:val="both"/>
        <w:rPr>
          <w:rFonts w:hint="eastAsia" w:ascii="仿宋_GB2312" w:hAnsi="ˎ̥" w:eastAsia="仿宋_GB2312"/>
          <w:b/>
          <w:bCs/>
          <w:sz w:val="32"/>
          <w:szCs w:val="32"/>
        </w:rPr>
      </w:pPr>
      <w:r>
        <w:rPr>
          <w:rFonts w:hint="eastAsia" w:ascii="仿宋_GB2312" w:hAnsi="ˎ̥" w:eastAsia="仿宋_GB2312"/>
          <w:b/>
          <w:bCs/>
          <w:sz w:val="32"/>
          <w:szCs w:val="32"/>
        </w:rPr>
        <w:t>8.住房保障支出（类）住房改革支出（款）住房公积金（项）</w:t>
      </w:r>
      <w:r>
        <w:rPr>
          <w:rFonts w:hint="eastAsia" w:ascii="仿宋_GB2312" w:hAnsi="ˎ̥" w:eastAsia="仿宋_GB2312"/>
          <w:sz w:val="32"/>
          <w:szCs w:val="32"/>
        </w:rPr>
        <w:t>年初预算为</w:t>
      </w:r>
      <w:r>
        <w:rPr>
          <w:rFonts w:ascii="仿宋_GB2312" w:hAnsi="ˎ̥" w:eastAsia="仿宋_GB2312"/>
          <w:sz w:val="32"/>
          <w:szCs w:val="32"/>
        </w:rPr>
        <w:t>52.37</w:t>
      </w:r>
      <w:r>
        <w:rPr>
          <w:rFonts w:hint="eastAsia" w:ascii="仿宋_GB2312" w:hAnsi="ˎ̥" w:eastAsia="仿宋_GB2312"/>
          <w:sz w:val="32"/>
          <w:szCs w:val="32"/>
        </w:rPr>
        <w:t>万元，支出决算为</w:t>
      </w:r>
      <w:r>
        <w:rPr>
          <w:rFonts w:ascii="仿宋_GB2312" w:hAnsi="ˎ̥" w:eastAsia="仿宋_GB2312"/>
          <w:sz w:val="32"/>
          <w:szCs w:val="32"/>
        </w:rPr>
        <w:t>57.28</w:t>
      </w:r>
      <w:r>
        <w:rPr>
          <w:rFonts w:hint="eastAsia" w:ascii="仿宋_GB2312" w:hAnsi="ˎ̥" w:eastAsia="仿宋_GB2312"/>
          <w:sz w:val="32"/>
          <w:szCs w:val="32"/>
        </w:rPr>
        <w:t>万元，完成年初预算的1</w:t>
      </w:r>
      <w:r>
        <w:rPr>
          <w:rFonts w:ascii="仿宋_GB2312" w:hAnsi="ˎ̥" w:eastAsia="仿宋_GB2312"/>
          <w:sz w:val="32"/>
          <w:szCs w:val="32"/>
        </w:rPr>
        <w:t>09</w:t>
      </w:r>
      <w:r>
        <w:rPr>
          <w:rFonts w:hint="eastAsia" w:ascii="仿宋_GB2312" w:hAnsi="ˎ̥" w:eastAsia="仿宋_GB2312"/>
          <w:sz w:val="32"/>
          <w:szCs w:val="32"/>
        </w:rPr>
        <w:t>.</w:t>
      </w:r>
      <w:r>
        <w:rPr>
          <w:rFonts w:ascii="仿宋_GB2312" w:hAnsi="ˎ̥" w:eastAsia="仿宋_GB2312"/>
          <w:sz w:val="32"/>
          <w:szCs w:val="32"/>
        </w:rPr>
        <w:t>3</w:t>
      </w:r>
      <w:r>
        <w:rPr>
          <w:rFonts w:hint="eastAsia" w:ascii="仿宋_GB2312" w:hAnsi="ˎ̥" w:eastAsia="仿宋_GB2312"/>
          <w:sz w:val="32"/>
          <w:szCs w:val="32"/>
        </w:rPr>
        <w:t>7%。决算数大于预算数的主要原因是工</w:t>
      </w:r>
      <w:r>
        <w:rPr>
          <w:rFonts w:ascii="仿宋_GB2312" w:hAnsi="ˎ̥" w:eastAsia="仿宋_GB2312"/>
          <w:sz w:val="32"/>
          <w:szCs w:val="32"/>
        </w:rPr>
        <w:t>资</w:t>
      </w:r>
      <w:r>
        <w:rPr>
          <w:rFonts w:hint="eastAsia" w:ascii="仿宋_GB2312" w:hAnsi="ˎ̥" w:eastAsia="仿宋_GB2312"/>
          <w:sz w:val="32"/>
          <w:szCs w:val="32"/>
        </w:rPr>
        <w:t>调整</w:t>
      </w:r>
      <w:r>
        <w:rPr>
          <w:rFonts w:ascii="仿宋_GB2312" w:hAnsi="ˎ̥" w:eastAsia="仿宋_GB2312"/>
          <w:sz w:val="32"/>
          <w:szCs w:val="32"/>
        </w:rPr>
        <w:t>，住房公积</w:t>
      </w:r>
      <w:r>
        <w:rPr>
          <w:rFonts w:hint="eastAsia" w:ascii="仿宋_GB2312" w:hAnsi="ˎ̥" w:eastAsia="仿宋_GB2312"/>
          <w:sz w:val="32"/>
          <w:szCs w:val="32"/>
        </w:rPr>
        <w:t>金缴</w:t>
      </w:r>
      <w:r>
        <w:rPr>
          <w:rFonts w:ascii="仿宋_GB2312" w:hAnsi="ˎ̥" w:eastAsia="仿宋_GB2312"/>
          <w:sz w:val="32"/>
          <w:szCs w:val="32"/>
        </w:rPr>
        <w:t>交基数</w:t>
      </w:r>
      <w:r>
        <w:rPr>
          <w:rFonts w:hint="eastAsia" w:ascii="仿宋_GB2312" w:hAnsi="ˎ̥" w:eastAsia="仿宋_GB2312"/>
          <w:sz w:val="32"/>
          <w:szCs w:val="32"/>
        </w:rPr>
        <w:t>增加</w:t>
      </w:r>
      <w:r>
        <w:rPr>
          <w:rFonts w:hint="eastAsia" w:ascii="仿宋_GB2312" w:hAnsi="ˎ̥" w:eastAsia="仿宋_GB2312" w:cs="仿宋_GB2312"/>
          <w:sz w:val="32"/>
          <w:szCs w:val="32"/>
        </w:rPr>
        <w:t>。</w:t>
      </w:r>
    </w:p>
    <w:p w14:paraId="4188B98A">
      <w:pPr>
        <w:widowControl w:val="0"/>
        <w:autoSpaceDE w:val="0"/>
        <w:spacing w:line="576" w:lineRule="exact"/>
        <w:ind w:firstLine="627" w:firstLineChars="196"/>
        <w:jc w:val="both"/>
        <w:rPr>
          <w:rFonts w:ascii="黑体" w:eastAsia="黑体"/>
          <w:sz w:val="32"/>
          <w:szCs w:val="32"/>
        </w:rPr>
      </w:pPr>
      <w:r>
        <w:rPr>
          <w:rFonts w:hint="eastAsia" w:ascii="黑体" w:hAnsi="黑体" w:eastAsia="黑体"/>
          <w:sz w:val="32"/>
          <w:szCs w:val="32"/>
        </w:rPr>
        <w:t>六、一般公共预算财政拨款基本支出决算情况说明。</w:t>
      </w:r>
    </w:p>
    <w:p w14:paraId="6F22E6D0">
      <w:pPr>
        <w:widowControl w:val="0"/>
        <w:autoSpaceDE w:val="0"/>
        <w:spacing w:line="576"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2023年度财政拨款基本支出</w:t>
      </w:r>
      <w:r>
        <w:rPr>
          <w:rFonts w:ascii="仿宋_GB2312" w:hAnsi="ˎ̥" w:eastAsia="仿宋_GB2312"/>
          <w:sz w:val="32"/>
          <w:szCs w:val="32"/>
        </w:rPr>
        <w:t>2</w:t>
      </w:r>
      <w:r>
        <w:rPr>
          <w:rFonts w:hint="eastAsia" w:ascii="仿宋_GB2312" w:hAnsi="ˎ̥" w:eastAsia="仿宋_GB2312"/>
          <w:sz w:val="32"/>
          <w:szCs w:val="32"/>
        </w:rPr>
        <w:t>,</w:t>
      </w:r>
      <w:r>
        <w:rPr>
          <w:rFonts w:ascii="仿宋_GB2312" w:hAnsi="ˎ̥" w:eastAsia="仿宋_GB2312"/>
          <w:sz w:val="32"/>
          <w:szCs w:val="32"/>
        </w:rPr>
        <w:t>092</w:t>
      </w:r>
      <w:r>
        <w:rPr>
          <w:rFonts w:hint="eastAsia" w:ascii="仿宋_GB2312" w:hAnsi="ˎ̥" w:eastAsia="仿宋_GB2312"/>
          <w:sz w:val="32"/>
          <w:szCs w:val="32"/>
        </w:rPr>
        <w:t>.</w:t>
      </w:r>
      <w:r>
        <w:rPr>
          <w:rFonts w:ascii="仿宋_GB2312" w:hAnsi="ˎ̥" w:eastAsia="仿宋_GB2312"/>
          <w:sz w:val="32"/>
          <w:szCs w:val="32"/>
        </w:rPr>
        <w:t>44</w:t>
      </w:r>
      <w:r>
        <w:rPr>
          <w:rFonts w:hint="eastAsia" w:ascii="仿宋_GB2312" w:hAnsi="ˎ̥" w:eastAsia="仿宋_GB2312"/>
          <w:sz w:val="32"/>
          <w:szCs w:val="32"/>
        </w:rPr>
        <w:t>万元，其中：人员经费1,</w:t>
      </w:r>
      <w:r>
        <w:rPr>
          <w:rFonts w:ascii="仿宋_GB2312" w:hAnsi="ˎ̥" w:eastAsia="仿宋_GB2312"/>
          <w:sz w:val="32"/>
          <w:szCs w:val="32"/>
        </w:rPr>
        <w:t>839</w:t>
      </w:r>
      <w:r>
        <w:rPr>
          <w:rFonts w:hint="eastAsia" w:ascii="仿宋_GB2312" w:hAnsi="ˎ̥" w:eastAsia="仿宋_GB2312"/>
          <w:sz w:val="32"/>
          <w:szCs w:val="32"/>
        </w:rPr>
        <w:t>.71万元，主要包括：基本工资、津贴补贴、绩效工资、机关事业单位基本养老保险缴费、职业年金缴费、职工基本医疗保险缴费、公务员医疗补助缴费、其他社会保障缴费、住房公积金、医疗费、其他工资福利支出、对个人和家庭的补助、生活补助、奖励金、其他对个人和家庭的补助等。公用经费2</w:t>
      </w:r>
      <w:r>
        <w:rPr>
          <w:rFonts w:ascii="仿宋_GB2312" w:hAnsi="ˎ̥" w:eastAsia="仿宋_GB2312"/>
          <w:sz w:val="32"/>
          <w:szCs w:val="32"/>
        </w:rPr>
        <w:t>52</w:t>
      </w:r>
      <w:r>
        <w:rPr>
          <w:rFonts w:hint="eastAsia" w:ascii="仿宋_GB2312" w:hAnsi="ˎ̥" w:eastAsia="仿宋_GB2312"/>
          <w:sz w:val="32"/>
          <w:szCs w:val="32"/>
        </w:rPr>
        <w:t>.73万元，主要包括：办公费、印刷费、手续费、水费、电费、邮电费、物业管理费、差旅费、维修（护）费、租赁费、培训费、公务接待费、委托业务费、工会经费、公务用车运行维护费、其他交通费用、其他商品和服务支出、办公设备购置等。</w:t>
      </w:r>
    </w:p>
    <w:p w14:paraId="7DD461B8">
      <w:pPr>
        <w:widowControl w:val="0"/>
        <w:autoSpaceDE w:val="0"/>
        <w:spacing w:line="576" w:lineRule="exact"/>
        <w:ind w:firstLine="627" w:firstLineChars="196"/>
        <w:jc w:val="both"/>
        <w:rPr>
          <w:rFonts w:ascii="黑体" w:hAnsi="黑体" w:eastAsia="黑体"/>
          <w:sz w:val="32"/>
          <w:szCs w:val="32"/>
        </w:rPr>
      </w:pPr>
      <w:r>
        <w:rPr>
          <w:rFonts w:hint="eastAsia" w:ascii="黑体" w:hAnsi="黑体" w:eastAsia="黑体"/>
          <w:sz w:val="32"/>
          <w:szCs w:val="32"/>
        </w:rPr>
        <w:t>七、政府性基金预算财政拨款支出决算情况说明</w:t>
      </w:r>
    </w:p>
    <w:p w14:paraId="45257165">
      <w:pPr>
        <w:widowControl w:val="0"/>
        <w:autoSpaceDE w:val="0"/>
        <w:spacing w:line="576" w:lineRule="exact"/>
        <w:ind w:firstLine="320" w:firstLineChars="100"/>
        <w:jc w:val="both"/>
        <w:rPr>
          <w:rFonts w:ascii="黑体" w:hAnsi="黑体" w:eastAsia="黑体"/>
          <w:sz w:val="32"/>
          <w:szCs w:val="32"/>
        </w:rPr>
      </w:pPr>
      <w:r>
        <w:rPr>
          <w:rFonts w:hint="eastAsia" w:ascii="楷体" w:hAnsi="楷体" w:eastAsia="楷体" w:cs="楷体"/>
          <w:sz w:val="32"/>
          <w:szCs w:val="32"/>
        </w:rPr>
        <w:t>（一）政府性基金预算财政拨款支出决算总体情况。</w:t>
      </w:r>
    </w:p>
    <w:p w14:paraId="7A2631A1">
      <w:pPr>
        <w:spacing w:line="578"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无。</w:t>
      </w:r>
    </w:p>
    <w:p w14:paraId="4D0A2B1C">
      <w:pPr>
        <w:spacing w:line="578" w:lineRule="exact"/>
        <w:ind w:firstLine="320" w:firstLineChars="100"/>
        <w:rPr>
          <w:rFonts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57BEED95">
      <w:pPr>
        <w:spacing w:line="578" w:lineRule="exact"/>
        <w:ind w:firstLine="480" w:firstLineChars="200"/>
        <w:rPr>
          <w:rFonts w:ascii="仿宋_GB2312" w:hAnsi="楷体" w:eastAsia="仿宋_GB2312" w:cs="楷体"/>
          <w:sz w:val="32"/>
          <w:szCs w:val="32"/>
        </w:rPr>
      </w:pPr>
      <w:r>
        <w:rPr>
          <w:rFonts w:hint="eastAsia"/>
        </w:rPr>
        <w:t xml:space="preserve">  </w:t>
      </w:r>
      <w:r>
        <w:rPr>
          <w:rFonts w:hint="eastAsia" w:ascii="仿宋_GB2312" w:hAnsi="楷体" w:eastAsia="仿宋_GB2312" w:cs="楷体"/>
          <w:sz w:val="32"/>
          <w:szCs w:val="32"/>
        </w:rPr>
        <w:t>无。</w:t>
      </w:r>
    </w:p>
    <w:p w14:paraId="45893415">
      <w:pPr>
        <w:spacing w:line="578" w:lineRule="exact"/>
        <w:ind w:firstLine="320" w:firstLineChars="100"/>
        <w:rPr>
          <w:rFonts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2161D5A8">
      <w:pPr>
        <w:pStyle w:val="2"/>
      </w:pPr>
      <w:r>
        <w:rPr>
          <w:rFonts w:hint="eastAsia"/>
        </w:rPr>
        <w:t xml:space="preserve">      </w:t>
      </w:r>
      <w:r>
        <w:rPr>
          <w:rFonts w:hint="eastAsia" w:ascii="仿宋_GB2312" w:hAnsi="楷体" w:eastAsia="仿宋_GB2312" w:cs="楷体"/>
          <w:sz w:val="32"/>
          <w:szCs w:val="32"/>
        </w:rPr>
        <w:t>无。</w:t>
      </w:r>
    </w:p>
    <w:p w14:paraId="341100A3">
      <w:pPr>
        <w:widowControl w:val="0"/>
        <w:autoSpaceDE w:val="0"/>
        <w:spacing w:line="576" w:lineRule="exact"/>
        <w:ind w:firstLine="627" w:firstLineChars="196"/>
        <w:jc w:val="both"/>
        <w:rPr>
          <w:rFonts w:ascii="黑体" w:hAnsi="黑体" w:eastAsia="黑体"/>
          <w:sz w:val="32"/>
          <w:szCs w:val="32"/>
        </w:rPr>
      </w:pPr>
      <w:r>
        <w:rPr>
          <w:rFonts w:hint="eastAsia" w:ascii="黑体" w:hAnsi="黑体" w:eastAsia="黑体"/>
          <w:sz w:val="32"/>
          <w:szCs w:val="32"/>
        </w:rPr>
        <w:t>八、国有资本经营预算财政拨款支出决算情况说明</w:t>
      </w:r>
    </w:p>
    <w:p w14:paraId="51D463BE">
      <w:pPr>
        <w:spacing w:line="578" w:lineRule="exact"/>
        <w:ind w:firstLine="320" w:firstLineChars="100"/>
        <w:rPr>
          <w:rFonts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4C4FB264">
      <w:pPr>
        <w:widowControl w:val="0"/>
        <w:autoSpaceDE w:val="0"/>
        <w:spacing w:line="576" w:lineRule="exact"/>
        <w:ind w:firstLine="800" w:firstLineChars="250"/>
        <w:jc w:val="both"/>
        <w:rPr>
          <w:rFonts w:ascii="仿宋_GB2312" w:hAnsi="楷体" w:eastAsia="仿宋_GB2312" w:cs="楷体"/>
          <w:sz w:val="32"/>
          <w:szCs w:val="32"/>
        </w:rPr>
      </w:pPr>
      <w:r>
        <w:rPr>
          <w:rFonts w:hint="eastAsia" w:ascii="仿宋_GB2312" w:hAnsi="楷体" w:eastAsia="仿宋_GB2312" w:cs="楷体"/>
          <w:sz w:val="32"/>
          <w:szCs w:val="32"/>
        </w:rPr>
        <w:t>无。</w:t>
      </w:r>
    </w:p>
    <w:p w14:paraId="2E741BE9">
      <w:pPr>
        <w:spacing w:line="578" w:lineRule="exact"/>
        <w:ind w:firstLine="320" w:firstLineChars="100"/>
        <w:rPr>
          <w:rFonts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86C5C65">
      <w:pPr>
        <w:widowControl w:val="0"/>
        <w:autoSpaceDE w:val="0"/>
        <w:spacing w:line="576" w:lineRule="exact"/>
        <w:ind w:firstLine="600" w:firstLineChars="250"/>
        <w:jc w:val="both"/>
        <w:rPr>
          <w:rFonts w:ascii="仿宋_GB2312" w:hAnsi="楷体" w:eastAsia="仿宋_GB2312" w:cs="楷体"/>
          <w:sz w:val="32"/>
          <w:szCs w:val="32"/>
        </w:rPr>
      </w:pPr>
      <w:r>
        <w:rPr>
          <w:rFonts w:hint="eastAsia"/>
        </w:rPr>
        <w:t xml:space="preserve">  </w:t>
      </w:r>
      <w:r>
        <w:rPr>
          <w:rFonts w:hint="eastAsia" w:ascii="仿宋_GB2312" w:hAnsi="楷体" w:eastAsia="仿宋_GB2312" w:cs="楷体"/>
          <w:sz w:val="32"/>
          <w:szCs w:val="32"/>
        </w:rPr>
        <w:t>无。</w:t>
      </w:r>
    </w:p>
    <w:p w14:paraId="70CFC96E">
      <w:pPr>
        <w:spacing w:line="578" w:lineRule="exact"/>
        <w:ind w:firstLine="320" w:firstLineChars="100"/>
        <w:rPr>
          <w:rFonts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0C413F7C">
      <w:pPr>
        <w:pStyle w:val="2"/>
        <w:rPr>
          <w:rFonts w:hint="eastAsia"/>
        </w:rPr>
      </w:pPr>
      <w:r>
        <w:rPr>
          <w:rFonts w:hint="eastAsia"/>
        </w:rPr>
        <w:t xml:space="preserve">       </w:t>
      </w:r>
      <w:r>
        <w:rPr>
          <w:rFonts w:hint="eastAsia" w:ascii="仿宋_GB2312" w:hAnsi="楷体" w:eastAsia="仿宋_GB2312" w:cs="楷体"/>
          <w:sz w:val="32"/>
          <w:szCs w:val="32"/>
        </w:rPr>
        <w:t>无。</w:t>
      </w:r>
    </w:p>
    <w:p w14:paraId="2C8FAFCD">
      <w:pPr>
        <w:widowControl w:val="0"/>
        <w:autoSpaceDE w:val="0"/>
        <w:spacing w:line="576" w:lineRule="exact"/>
        <w:ind w:firstLine="627" w:firstLineChars="196"/>
        <w:jc w:val="both"/>
        <w:rPr>
          <w:rFonts w:hint="eastAsia" w:ascii="仿宋_GB2312" w:hAnsi="ˎ̥" w:cs="仿宋_GB2312"/>
          <w:sz w:val="32"/>
          <w:szCs w:val="32"/>
        </w:rPr>
      </w:pPr>
      <w:r>
        <w:rPr>
          <w:rFonts w:hint="eastAsia" w:ascii="黑体" w:hAnsi="黑体" w:eastAsia="黑体"/>
          <w:sz w:val="32"/>
          <w:szCs w:val="32"/>
        </w:rPr>
        <w:t>九、财政拨款</w:t>
      </w:r>
      <w:r>
        <w:rPr>
          <w:rFonts w:hint="eastAsia" w:ascii="黑体" w:eastAsia="黑体"/>
          <w:sz w:val="32"/>
          <w:szCs w:val="32"/>
        </w:rPr>
        <w:t>“三公”经费支出决算情况说明</w:t>
      </w:r>
    </w:p>
    <w:p w14:paraId="2069D7DB">
      <w:pPr>
        <w:widowControl w:val="0"/>
        <w:autoSpaceDE w:val="0"/>
        <w:adjustRightInd w:val="0"/>
        <w:snapToGrid w:val="0"/>
        <w:spacing w:line="560" w:lineRule="exact"/>
        <w:ind w:firstLine="640" w:firstLineChars="200"/>
        <w:jc w:val="both"/>
        <w:rPr>
          <w:rFonts w:ascii="楷体" w:hAnsi="楷体" w:eastAsia="楷体"/>
          <w:sz w:val="32"/>
          <w:szCs w:val="32"/>
        </w:rPr>
      </w:pPr>
      <w:r>
        <w:rPr>
          <w:rFonts w:hint="eastAsia" w:ascii="楷体" w:hAnsi="楷体" w:eastAsia="楷体"/>
          <w:sz w:val="32"/>
          <w:szCs w:val="32"/>
        </w:rPr>
        <w:t>（一）财政拨款“三公”经费支出决算总体情况说明。</w:t>
      </w:r>
    </w:p>
    <w:p w14:paraId="361E88E9">
      <w:pPr>
        <w:widowControl w:val="0"/>
        <w:autoSpaceDE w:val="0"/>
        <w:adjustRightInd w:val="0"/>
        <w:snapToGrid w:val="0"/>
        <w:spacing w:line="560" w:lineRule="exact"/>
        <w:jc w:val="both"/>
        <w:rPr>
          <w:rFonts w:hint="eastAsia" w:ascii="仿宋_GB2312" w:hAnsi="ˎ̥" w:eastAsia="仿宋_GB2312"/>
          <w:sz w:val="32"/>
          <w:szCs w:val="32"/>
        </w:rPr>
      </w:pPr>
      <w:r>
        <w:rPr>
          <w:rFonts w:hint="eastAsia" w:ascii="仿宋_GB2312" w:hAnsi="ˎ̥" w:eastAsia="仿宋_GB2312"/>
          <w:sz w:val="32"/>
          <w:szCs w:val="32"/>
        </w:rPr>
        <w:t xml:space="preserve">    2023年度财政拨款“三公”经费支出预算为</w:t>
      </w:r>
      <w:r>
        <w:rPr>
          <w:rFonts w:ascii="仿宋_GB2312" w:hAnsi="ˎ̥" w:eastAsia="仿宋_GB2312"/>
          <w:sz w:val="32"/>
          <w:szCs w:val="32"/>
        </w:rPr>
        <w:t>34</w:t>
      </w:r>
      <w:r>
        <w:rPr>
          <w:rFonts w:hint="eastAsia" w:ascii="仿宋_GB2312" w:hAnsi="ˎ̥" w:eastAsia="仿宋_GB2312"/>
          <w:sz w:val="32"/>
          <w:szCs w:val="32"/>
        </w:rPr>
        <w:t>.17万元，支出决算为</w:t>
      </w:r>
      <w:r>
        <w:rPr>
          <w:rFonts w:ascii="仿宋_GB2312" w:hAnsi="ˎ̥" w:eastAsia="仿宋_GB2312"/>
          <w:sz w:val="32"/>
          <w:szCs w:val="32"/>
        </w:rPr>
        <w:t>9</w:t>
      </w:r>
      <w:r>
        <w:rPr>
          <w:rFonts w:hint="eastAsia" w:ascii="仿宋_GB2312" w:hAnsi="ˎ̥" w:eastAsia="仿宋_GB2312"/>
          <w:sz w:val="32"/>
          <w:szCs w:val="32"/>
        </w:rPr>
        <w:t>.</w:t>
      </w:r>
      <w:r>
        <w:rPr>
          <w:rFonts w:ascii="仿宋_GB2312" w:hAnsi="ˎ̥" w:eastAsia="仿宋_GB2312"/>
          <w:sz w:val="32"/>
          <w:szCs w:val="32"/>
        </w:rPr>
        <w:t>43</w:t>
      </w:r>
      <w:r>
        <w:rPr>
          <w:rFonts w:hint="eastAsia" w:ascii="仿宋_GB2312" w:hAnsi="ˎ̥" w:eastAsia="仿宋_GB2312"/>
          <w:sz w:val="32"/>
          <w:szCs w:val="32"/>
        </w:rPr>
        <w:t>万元，完成预算的</w:t>
      </w:r>
      <w:r>
        <w:rPr>
          <w:rFonts w:ascii="仿宋_GB2312" w:hAnsi="ˎ̥" w:eastAsia="仿宋_GB2312"/>
          <w:sz w:val="32"/>
          <w:szCs w:val="32"/>
        </w:rPr>
        <w:t>27</w:t>
      </w:r>
      <w:r>
        <w:rPr>
          <w:rFonts w:hint="eastAsia" w:ascii="仿宋_GB2312" w:hAnsi="ˎ̥" w:eastAsia="仿宋_GB2312"/>
          <w:sz w:val="32"/>
          <w:szCs w:val="32"/>
        </w:rPr>
        <w:t>.</w:t>
      </w:r>
      <w:r>
        <w:rPr>
          <w:rFonts w:ascii="仿宋_GB2312" w:hAnsi="ˎ̥" w:eastAsia="仿宋_GB2312"/>
          <w:sz w:val="32"/>
          <w:szCs w:val="32"/>
        </w:rPr>
        <w:t>5</w:t>
      </w:r>
      <w:r>
        <w:rPr>
          <w:rFonts w:hint="eastAsia" w:ascii="仿宋_GB2312" w:hAnsi="ˎ̥" w:eastAsia="仿宋_GB2312"/>
          <w:sz w:val="32"/>
          <w:szCs w:val="32"/>
        </w:rPr>
        <w:t>9%，决算数大于预算数的主要原因是公</w:t>
      </w:r>
      <w:r>
        <w:rPr>
          <w:rFonts w:ascii="仿宋_GB2312" w:hAnsi="ˎ̥" w:eastAsia="仿宋_GB2312"/>
          <w:sz w:val="32"/>
          <w:szCs w:val="32"/>
        </w:rPr>
        <w:t>务车</w:t>
      </w:r>
      <w:r>
        <w:rPr>
          <w:rFonts w:hint="eastAsia" w:ascii="仿宋_GB2312" w:hAnsi="ˎ̥" w:eastAsia="仿宋_GB2312"/>
          <w:sz w:val="32"/>
          <w:szCs w:val="32"/>
        </w:rPr>
        <w:t>报废</w:t>
      </w:r>
      <w:r>
        <w:rPr>
          <w:rFonts w:ascii="仿宋_GB2312" w:hAnsi="ˎ̥" w:eastAsia="仿宋_GB2312"/>
          <w:sz w:val="32"/>
          <w:szCs w:val="32"/>
        </w:rPr>
        <w:t>，</w:t>
      </w:r>
      <w:r>
        <w:rPr>
          <w:rFonts w:hint="eastAsia" w:ascii="仿宋_GB2312" w:hAnsi="ˎ̥" w:eastAsia="仿宋_GB2312"/>
          <w:sz w:val="32"/>
          <w:szCs w:val="32"/>
        </w:rPr>
        <w:t>公</w:t>
      </w:r>
      <w:r>
        <w:rPr>
          <w:rFonts w:ascii="仿宋_GB2312" w:hAnsi="ˎ̥" w:eastAsia="仿宋_GB2312"/>
          <w:sz w:val="32"/>
          <w:szCs w:val="32"/>
        </w:rPr>
        <w:t>务车数量减少</w:t>
      </w:r>
      <w:r>
        <w:rPr>
          <w:rFonts w:hint="eastAsia" w:ascii="仿宋_GB2312" w:hAnsi="ˎ̥" w:eastAsia="仿宋_GB2312"/>
          <w:sz w:val="32"/>
          <w:szCs w:val="32"/>
        </w:rPr>
        <w:t>。</w:t>
      </w:r>
    </w:p>
    <w:p w14:paraId="27302ECC">
      <w:pPr>
        <w:widowControl w:val="0"/>
        <w:autoSpaceDE w:val="0"/>
        <w:spacing w:line="560" w:lineRule="exact"/>
        <w:jc w:val="both"/>
        <w:rPr>
          <w:rFonts w:ascii="楷体" w:hAnsi="楷体" w:eastAsia="楷体"/>
          <w:sz w:val="32"/>
          <w:szCs w:val="32"/>
        </w:rPr>
      </w:pPr>
      <w:r>
        <w:rPr>
          <w:rFonts w:hint="eastAsia" w:ascii="楷体" w:hAnsi="楷体" w:eastAsia="楷体"/>
          <w:b/>
          <w:bCs/>
          <w:sz w:val="32"/>
          <w:szCs w:val="32"/>
        </w:rPr>
        <w:t xml:space="preserve">    </w:t>
      </w:r>
      <w:r>
        <w:rPr>
          <w:rFonts w:hint="eastAsia" w:ascii="楷体" w:hAnsi="楷体" w:eastAsia="楷体"/>
          <w:sz w:val="32"/>
          <w:szCs w:val="32"/>
        </w:rPr>
        <w:t>（二）财政拨款“三公”经费支出决算具体情况说明。</w:t>
      </w:r>
    </w:p>
    <w:p w14:paraId="4E527928">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2023年度财政拨款“三公”</w:t>
      </w:r>
      <w:r>
        <w:rPr>
          <w:rFonts w:hint="eastAsia" w:ascii="仿宋_GB2312" w:hAnsi="ˎ̥" w:eastAsia="仿宋_GB2312"/>
          <w:spacing w:val="30"/>
          <w:sz w:val="32"/>
          <w:szCs w:val="32"/>
        </w:rPr>
        <w:t>经费支出决算中，</w:t>
      </w:r>
      <w:r>
        <w:rPr>
          <w:rFonts w:hint="eastAsia" w:ascii="仿宋_GB2312" w:hAnsi="ˎ̥" w:eastAsia="仿宋_GB2312"/>
          <w:sz w:val="32"/>
          <w:szCs w:val="32"/>
        </w:rPr>
        <w:t>因公出国（境）费支出决算0万元，占0%；公务用车购置及运行费支出决算</w:t>
      </w:r>
      <w:r>
        <w:rPr>
          <w:rFonts w:ascii="仿宋_GB2312" w:hAnsi="ˎ̥" w:eastAsia="仿宋_GB2312"/>
          <w:sz w:val="32"/>
          <w:szCs w:val="32"/>
        </w:rPr>
        <w:t>8</w:t>
      </w:r>
      <w:r>
        <w:rPr>
          <w:rFonts w:hint="eastAsia" w:ascii="仿宋_GB2312" w:hAnsi="ˎ̥" w:eastAsia="仿宋_GB2312"/>
          <w:sz w:val="32"/>
          <w:szCs w:val="32"/>
        </w:rPr>
        <w:t>.4</w:t>
      </w:r>
      <w:r>
        <w:rPr>
          <w:rFonts w:ascii="仿宋_GB2312" w:hAnsi="ˎ̥" w:eastAsia="仿宋_GB2312"/>
          <w:sz w:val="32"/>
          <w:szCs w:val="32"/>
        </w:rPr>
        <w:t>9</w:t>
      </w:r>
      <w:r>
        <w:rPr>
          <w:rFonts w:hint="eastAsia" w:ascii="仿宋_GB2312" w:hAnsi="ˎ̥" w:eastAsia="仿宋_GB2312"/>
          <w:sz w:val="32"/>
          <w:szCs w:val="32"/>
        </w:rPr>
        <w:t>万元，占9</w:t>
      </w:r>
      <w:r>
        <w:rPr>
          <w:rFonts w:ascii="仿宋_GB2312" w:hAnsi="ˎ̥" w:eastAsia="仿宋_GB2312"/>
          <w:sz w:val="32"/>
          <w:szCs w:val="32"/>
        </w:rPr>
        <w:t>0</w:t>
      </w:r>
      <w:r>
        <w:rPr>
          <w:rFonts w:hint="eastAsia" w:ascii="仿宋_GB2312" w:hAnsi="ˎ̥" w:eastAsia="仿宋_GB2312"/>
          <w:sz w:val="32"/>
          <w:szCs w:val="32"/>
        </w:rPr>
        <w:t>.</w:t>
      </w:r>
      <w:r>
        <w:rPr>
          <w:rFonts w:ascii="仿宋_GB2312" w:hAnsi="ˎ̥" w:eastAsia="仿宋_GB2312"/>
          <w:sz w:val="32"/>
          <w:szCs w:val="32"/>
        </w:rPr>
        <w:t>03</w:t>
      </w:r>
      <w:r>
        <w:rPr>
          <w:rFonts w:hint="eastAsia" w:ascii="仿宋_GB2312" w:hAnsi="ˎ̥" w:eastAsia="仿宋_GB2312"/>
          <w:sz w:val="32"/>
          <w:szCs w:val="32"/>
        </w:rPr>
        <w:t>%；公务接待费支出决算0.</w:t>
      </w:r>
      <w:r>
        <w:rPr>
          <w:rFonts w:ascii="仿宋_GB2312" w:hAnsi="ˎ̥" w:eastAsia="仿宋_GB2312"/>
          <w:sz w:val="32"/>
          <w:szCs w:val="32"/>
        </w:rPr>
        <w:t>94</w:t>
      </w:r>
      <w:r>
        <w:rPr>
          <w:rFonts w:hint="eastAsia" w:ascii="仿宋_GB2312" w:hAnsi="ˎ̥" w:eastAsia="仿宋_GB2312"/>
          <w:sz w:val="32"/>
          <w:szCs w:val="32"/>
        </w:rPr>
        <w:t>万元，占</w:t>
      </w:r>
      <w:r>
        <w:rPr>
          <w:rFonts w:ascii="仿宋_GB2312" w:hAnsi="ˎ̥" w:eastAsia="仿宋_GB2312"/>
          <w:sz w:val="32"/>
          <w:szCs w:val="32"/>
        </w:rPr>
        <w:t>9</w:t>
      </w:r>
      <w:r>
        <w:rPr>
          <w:rFonts w:hint="eastAsia" w:ascii="仿宋_GB2312" w:hAnsi="ˎ̥" w:eastAsia="仿宋_GB2312"/>
          <w:sz w:val="32"/>
          <w:szCs w:val="32"/>
        </w:rPr>
        <w:t>.</w:t>
      </w:r>
      <w:r>
        <w:rPr>
          <w:rFonts w:ascii="仿宋_GB2312" w:hAnsi="ˎ̥" w:eastAsia="仿宋_GB2312"/>
          <w:sz w:val="32"/>
          <w:szCs w:val="32"/>
        </w:rPr>
        <w:t>97</w:t>
      </w:r>
      <w:r>
        <w:rPr>
          <w:rFonts w:hint="eastAsia" w:ascii="仿宋_GB2312" w:hAnsi="ˎ̥" w:eastAsia="仿宋_GB2312"/>
          <w:sz w:val="32"/>
          <w:szCs w:val="32"/>
        </w:rPr>
        <w:t>%。具体情况如下：</w:t>
      </w:r>
    </w:p>
    <w:p w14:paraId="185FE22D">
      <w:pPr>
        <w:widowControl w:val="0"/>
        <w:autoSpaceDE w:val="0"/>
        <w:adjustRightInd w:val="0"/>
        <w:snapToGrid w:val="0"/>
        <w:spacing w:line="560"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1.因公出国（境）费</w:t>
      </w:r>
      <w:r>
        <w:rPr>
          <w:rFonts w:hint="eastAsia" w:ascii="仿宋_GB2312" w:hAnsi="ˎ̥" w:eastAsia="仿宋_GB2312"/>
          <w:sz w:val="32"/>
          <w:szCs w:val="32"/>
        </w:rPr>
        <w:t>支出0万元。全年安排因公出国（境）团组0个，因公出国（境）0人次。</w:t>
      </w:r>
    </w:p>
    <w:p w14:paraId="6DAF79A6">
      <w:pPr>
        <w:pStyle w:val="2"/>
        <w:adjustRightInd w:val="0"/>
        <w:snapToGrid w:val="0"/>
        <w:spacing w:line="560" w:lineRule="exact"/>
        <w:rPr>
          <w:rFonts w:hint="eastAsia" w:ascii="仿宋_GB2312" w:hAnsi="ˎ̥" w:eastAsia="仿宋_GB2312"/>
          <w:sz w:val="32"/>
          <w:szCs w:val="32"/>
        </w:rPr>
      </w:pPr>
      <w:r>
        <w:rPr>
          <w:rFonts w:hint="eastAsia" w:ascii="仿宋_GB2312" w:hAnsi="ˎ̥" w:eastAsia="仿宋_GB2312"/>
          <w:sz w:val="32"/>
          <w:szCs w:val="32"/>
        </w:rPr>
        <w:t xml:space="preserve">      因公出国（境）费支出决算与预算数持平。</w:t>
      </w:r>
    </w:p>
    <w:p w14:paraId="7F2FDD73">
      <w:pPr>
        <w:widowControl w:val="0"/>
        <w:autoSpaceDE w:val="0"/>
        <w:adjustRightInd w:val="0"/>
        <w:snapToGrid w:val="0"/>
        <w:spacing w:line="560" w:lineRule="exact"/>
        <w:jc w:val="both"/>
        <w:rPr>
          <w:rFonts w:hint="eastAsia" w:ascii="仿宋_GB2312" w:hAnsi="ˎ̥" w:eastAsia="仿宋_GB2312"/>
          <w:sz w:val="32"/>
          <w:szCs w:val="32"/>
        </w:rPr>
      </w:pPr>
      <w:r>
        <w:rPr>
          <w:rFonts w:hint="eastAsia" w:ascii="仿宋_GB2312" w:hAnsi="ˎ̥" w:eastAsia="仿宋_GB2312"/>
          <w:b/>
          <w:bCs/>
          <w:sz w:val="32"/>
          <w:szCs w:val="32"/>
        </w:rPr>
        <w:t xml:space="preserve">    2.公务用车购置及运行费支出</w:t>
      </w:r>
      <w:r>
        <w:rPr>
          <w:rFonts w:ascii="仿宋_GB2312" w:hAnsi="ˎ̥" w:eastAsia="仿宋_GB2312"/>
          <w:sz w:val="32"/>
          <w:szCs w:val="32"/>
        </w:rPr>
        <w:t>8</w:t>
      </w:r>
      <w:r>
        <w:rPr>
          <w:rFonts w:hint="eastAsia" w:ascii="仿宋_GB2312" w:hAnsi="ˎ̥" w:eastAsia="仿宋_GB2312"/>
          <w:sz w:val="32"/>
          <w:szCs w:val="32"/>
        </w:rPr>
        <w:t>.4</w:t>
      </w:r>
      <w:r>
        <w:rPr>
          <w:rFonts w:ascii="仿宋_GB2312" w:hAnsi="ˎ̥" w:eastAsia="仿宋_GB2312"/>
          <w:sz w:val="32"/>
          <w:szCs w:val="32"/>
        </w:rPr>
        <w:t>9</w:t>
      </w:r>
      <w:r>
        <w:rPr>
          <w:rFonts w:hint="eastAsia" w:ascii="仿宋_GB2312" w:hAnsi="ˎ̥" w:eastAsia="仿宋_GB2312"/>
          <w:sz w:val="32"/>
          <w:szCs w:val="32"/>
        </w:rPr>
        <w:t>万元。其中：</w:t>
      </w:r>
    </w:p>
    <w:p w14:paraId="075B13D3">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公务用车购置支出</w:t>
      </w:r>
      <w:r>
        <w:rPr>
          <w:rFonts w:hint="eastAsia" w:ascii="仿宋_GB2312" w:hAnsi="ˎ̥" w:eastAsia="仿宋_GB2312"/>
          <w:sz w:val="32"/>
          <w:szCs w:val="32"/>
        </w:rPr>
        <w:t>0万元，全年购置公务用车0辆，年末公务用车保有4辆。</w:t>
      </w:r>
    </w:p>
    <w:p w14:paraId="12717B91">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公务用车运行维护费</w:t>
      </w:r>
      <w:r>
        <w:rPr>
          <w:rFonts w:hint="eastAsia" w:ascii="仿宋_GB2312" w:hAnsi="ˎ̥" w:eastAsia="仿宋_GB2312"/>
          <w:sz w:val="32"/>
          <w:szCs w:val="32"/>
        </w:rPr>
        <w:t>支出</w:t>
      </w:r>
      <w:r>
        <w:rPr>
          <w:rFonts w:ascii="仿宋_GB2312" w:hAnsi="ˎ̥" w:eastAsia="仿宋_GB2312"/>
          <w:sz w:val="32"/>
          <w:szCs w:val="32"/>
        </w:rPr>
        <w:t>8</w:t>
      </w:r>
      <w:r>
        <w:rPr>
          <w:rFonts w:hint="eastAsia" w:ascii="仿宋_GB2312" w:hAnsi="ˎ̥" w:eastAsia="仿宋_GB2312"/>
          <w:sz w:val="32"/>
          <w:szCs w:val="32"/>
        </w:rPr>
        <w:t>.4</w:t>
      </w:r>
      <w:r>
        <w:rPr>
          <w:rFonts w:ascii="仿宋_GB2312" w:hAnsi="ˎ̥" w:eastAsia="仿宋_GB2312"/>
          <w:sz w:val="32"/>
          <w:szCs w:val="32"/>
        </w:rPr>
        <w:t>9</w:t>
      </w:r>
      <w:r>
        <w:rPr>
          <w:rFonts w:hint="eastAsia" w:ascii="仿宋_GB2312" w:hAnsi="ˎ̥" w:eastAsia="仿宋_GB2312"/>
          <w:sz w:val="32"/>
          <w:szCs w:val="32"/>
        </w:rPr>
        <w:t>万元，主要用于单位业务4辆公车的燃料费、维修费、停车费、通行费、保险费、审验费等开支。</w:t>
      </w:r>
    </w:p>
    <w:p w14:paraId="16330232">
      <w:pPr>
        <w:widowControl w:val="0"/>
        <w:autoSpaceDE w:val="0"/>
        <w:spacing w:line="576" w:lineRule="exact"/>
        <w:ind w:firstLine="640" w:firstLineChars="200"/>
        <w:jc w:val="both"/>
        <w:rPr>
          <w:rFonts w:hint="eastAsia" w:ascii="仿宋_GB2312" w:hAnsi="ˎ̥" w:eastAsia="仿宋_GB2312"/>
          <w:sz w:val="32"/>
          <w:szCs w:val="32"/>
        </w:rPr>
      </w:pPr>
      <w:bookmarkStart w:id="6" w:name="OLE_LINK5"/>
      <w:r>
        <w:rPr>
          <w:rFonts w:hint="eastAsia" w:ascii="仿宋_GB2312" w:hAnsi="ˎ̥" w:eastAsia="仿宋_GB2312"/>
          <w:sz w:val="32"/>
          <w:szCs w:val="32"/>
        </w:rPr>
        <w:t>公务用车购置及运行费支出</w:t>
      </w:r>
      <w:bookmarkEnd w:id="6"/>
      <w:r>
        <w:rPr>
          <w:rFonts w:hint="eastAsia" w:ascii="仿宋_GB2312" w:hAnsi="ˎ̥" w:eastAsia="仿宋_GB2312"/>
          <w:sz w:val="32"/>
          <w:szCs w:val="32"/>
        </w:rPr>
        <w:t>决算数比预算数减少</w:t>
      </w:r>
      <w:r>
        <w:rPr>
          <w:rFonts w:ascii="仿宋_GB2312" w:hAnsi="ˎ̥" w:eastAsia="仿宋_GB2312"/>
          <w:sz w:val="32"/>
          <w:szCs w:val="32"/>
        </w:rPr>
        <w:t>24</w:t>
      </w:r>
      <w:r>
        <w:rPr>
          <w:rFonts w:hint="eastAsia" w:ascii="仿宋_GB2312" w:hAnsi="ˎ̥" w:eastAsia="仿宋_GB2312"/>
          <w:sz w:val="32"/>
          <w:szCs w:val="32"/>
        </w:rPr>
        <w:t>.68万元，下降</w:t>
      </w:r>
      <w:r>
        <w:rPr>
          <w:rFonts w:ascii="仿宋_GB2312" w:hAnsi="ˎ̥" w:eastAsia="仿宋_GB2312"/>
          <w:sz w:val="32"/>
          <w:szCs w:val="32"/>
        </w:rPr>
        <w:t>74</w:t>
      </w:r>
      <w:r>
        <w:rPr>
          <w:rFonts w:hint="eastAsia" w:ascii="仿宋_GB2312" w:hAnsi="ˎ̥" w:eastAsia="仿宋_GB2312"/>
          <w:sz w:val="32"/>
          <w:szCs w:val="32"/>
        </w:rPr>
        <w:t>.40%。</w:t>
      </w:r>
      <w:r>
        <w:rPr>
          <w:rFonts w:hint="eastAsia" w:ascii="仿宋_GB2312" w:hAnsi="ˎ̥" w:eastAsia="仿宋_GB2312"/>
          <w:sz w:val="32"/>
          <w:szCs w:val="32"/>
          <w:lang w:val="en-US" w:eastAsia="zh-CN"/>
        </w:rPr>
        <w:t>与2022年度相比，</w:t>
      </w:r>
      <w:r>
        <w:rPr>
          <w:rFonts w:hint="eastAsia" w:ascii="仿宋_GB2312" w:hAnsi="ˎ̥" w:eastAsia="仿宋_GB2312"/>
          <w:sz w:val="32"/>
          <w:szCs w:val="32"/>
        </w:rPr>
        <w:t>公务用车购置及运行费支出</w:t>
      </w:r>
      <w:r>
        <w:rPr>
          <w:rFonts w:hint="eastAsia" w:ascii="仿宋_GB2312" w:hAnsi="ˎ̥" w:eastAsia="仿宋_GB2312"/>
          <w:sz w:val="32"/>
          <w:szCs w:val="32"/>
          <w:lang w:val="en-US" w:eastAsia="zh-CN"/>
        </w:rPr>
        <w:t>减少3.55万元，</w:t>
      </w:r>
      <w:r>
        <w:rPr>
          <w:rFonts w:hint="eastAsia" w:ascii="仿宋_GB2312" w:hAnsi="ˎ̥" w:eastAsia="仿宋_GB2312"/>
          <w:sz w:val="32"/>
          <w:szCs w:val="32"/>
        </w:rPr>
        <w:t>主要原因是现</w:t>
      </w:r>
      <w:r>
        <w:rPr>
          <w:rFonts w:ascii="仿宋_GB2312" w:hAnsi="ˎ̥" w:eastAsia="仿宋_GB2312"/>
          <w:sz w:val="32"/>
          <w:szCs w:val="32"/>
        </w:rPr>
        <w:t>有车辆车况老旧，</w:t>
      </w:r>
      <w:r>
        <w:rPr>
          <w:rFonts w:hint="eastAsia" w:ascii="仿宋_GB2312" w:hAnsi="ˎ̥" w:eastAsia="仿宋_GB2312"/>
          <w:sz w:val="32"/>
          <w:szCs w:val="32"/>
        </w:rPr>
        <w:t>车辆</w:t>
      </w:r>
      <w:r>
        <w:rPr>
          <w:rFonts w:ascii="仿宋_GB2312" w:hAnsi="ˎ̥" w:eastAsia="仿宋_GB2312"/>
          <w:sz w:val="32"/>
          <w:szCs w:val="32"/>
        </w:rPr>
        <w:t>出行次数</w:t>
      </w:r>
      <w:r>
        <w:rPr>
          <w:rFonts w:hint="eastAsia" w:ascii="仿宋_GB2312" w:hAnsi="ˎ̥" w:eastAsia="仿宋_GB2312"/>
          <w:sz w:val="32"/>
          <w:szCs w:val="32"/>
        </w:rPr>
        <w:t>和</w:t>
      </w:r>
      <w:r>
        <w:rPr>
          <w:rFonts w:ascii="仿宋_GB2312" w:hAnsi="ˎ̥" w:eastAsia="仿宋_GB2312"/>
          <w:sz w:val="32"/>
          <w:szCs w:val="32"/>
        </w:rPr>
        <w:t>行程都减少，</w:t>
      </w:r>
      <w:r>
        <w:rPr>
          <w:rFonts w:hint="eastAsia" w:ascii="仿宋_GB2312" w:hAnsi="ˎ̥" w:eastAsia="仿宋_GB2312"/>
          <w:sz w:val="32"/>
          <w:szCs w:val="32"/>
        </w:rPr>
        <w:t>维修费和燃料费相应减少。</w:t>
      </w:r>
    </w:p>
    <w:p w14:paraId="4BAB3D6D">
      <w:pPr>
        <w:widowControl w:val="0"/>
        <w:autoSpaceDE w:val="0"/>
        <w:spacing w:line="576" w:lineRule="exact"/>
        <w:jc w:val="both"/>
        <w:rPr>
          <w:rFonts w:hint="eastAsia" w:ascii="仿宋_GB2312" w:hAnsi="ˎ̥" w:eastAsia="仿宋_GB2312"/>
          <w:sz w:val="32"/>
          <w:szCs w:val="32"/>
        </w:rPr>
      </w:pPr>
      <w:r>
        <w:rPr>
          <w:rFonts w:hint="eastAsia" w:ascii="仿宋_GB2312" w:hAnsi="ˎ̥" w:eastAsia="仿宋_GB2312"/>
          <w:b/>
          <w:bCs/>
          <w:sz w:val="32"/>
          <w:szCs w:val="32"/>
        </w:rPr>
        <w:t xml:space="preserve">    3.公务接待费支出</w:t>
      </w:r>
      <w:r>
        <w:rPr>
          <w:rFonts w:hint="eastAsia" w:ascii="仿宋_GB2312" w:hAnsi="ˎ̥" w:eastAsia="仿宋_GB2312"/>
          <w:sz w:val="32"/>
          <w:szCs w:val="32"/>
        </w:rPr>
        <w:t>0.</w:t>
      </w:r>
      <w:r>
        <w:rPr>
          <w:rFonts w:ascii="仿宋_GB2312" w:hAnsi="ˎ̥" w:eastAsia="仿宋_GB2312"/>
          <w:sz w:val="32"/>
          <w:szCs w:val="32"/>
        </w:rPr>
        <w:t>94</w:t>
      </w:r>
      <w:r>
        <w:rPr>
          <w:rFonts w:hint="eastAsia" w:ascii="仿宋_GB2312" w:hAnsi="ˎ̥" w:eastAsia="仿宋_GB2312"/>
          <w:sz w:val="32"/>
          <w:szCs w:val="32"/>
        </w:rPr>
        <w:t>万元，其中：</w:t>
      </w:r>
    </w:p>
    <w:p w14:paraId="3A607D36">
      <w:pPr>
        <w:widowControl w:val="0"/>
        <w:autoSpaceDE w:val="0"/>
        <w:spacing w:line="576" w:lineRule="exact"/>
        <w:ind w:firstLine="643" w:firstLineChars="200"/>
        <w:jc w:val="both"/>
        <w:rPr>
          <w:rFonts w:hint="eastAsia" w:ascii="仿宋_GB2312" w:hAnsi="ˎ̥" w:eastAsia="仿宋_GB2312"/>
          <w:sz w:val="32"/>
          <w:szCs w:val="32"/>
        </w:rPr>
      </w:pPr>
      <w:r>
        <w:rPr>
          <w:rFonts w:hint="eastAsia" w:ascii="仿宋_GB2312" w:hAnsi="ˎ̥" w:eastAsia="仿宋_GB2312"/>
          <w:b/>
          <w:bCs/>
          <w:sz w:val="32"/>
          <w:szCs w:val="32"/>
        </w:rPr>
        <w:t>国内接待费</w:t>
      </w:r>
      <w:r>
        <w:rPr>
          <w:rFonts w:hint="eastAsia" w:ascii="仿宋_GB2312" w:hAnsi="ˎ̥" w:eastAsia="仿宋_GB2312"/>
          <w:sz w:val="32"/>
          <w:szCs w:val="32"/>
        </w:rPr>
        <w:t>支出0.</w:t>
      </w:r>
      <w:r>
        <w:rPr>
          <w:rFonts w:ascii="仿宋_GB2312" w:hAnsi="ˎ̥" w:eastAsia="仿宋_GB2312"/>
          <w:sz w:val="32"/>
          <w:szCs w:val="32"/>
        </w:rPr>
        <w:t>94</w:t>
      </w:r>
      <w:r>
        <w:rPr>
          <w:rFonts w:hint="eastAsia" w:ascii="仿宋_GB2312" w:hAnsi="ˎ̥" w:eastAsia="仿宋_GB2312"/>
          <w:sz w:val="32"/>
          <w:szCs w:val="32"/>
        </w:rPr>
        <w:t>万元，国内公务接待</w:t>
      </w:r>
      <w:r>
        <w:rPr>
          <w:rFonts w:ascii="仿宋_GB2312" w:hAnsi="ˎ̥" w:eastAsia="仿宋_GB2312"/>
          <w:sz w:val="32"/>
          <w:szCs w:val="32"/>
        </w:rPr>
        <w:t>9</w:t>
      </w:r>
      <w:r>
        <w:rPr>
          <w:rFonts w:hint="eastAsia" w:ascii="仿宋_GB2312" w:hAnsi="ˎ̥" w:eastAsia="仿宋_GB2312"/>
          <w:sz w:val="32"/>
          <w:szCs w:val="32"/>
        </w:rPr>
        <w:t>批次，接待</w:t>
      </w:r>
      <w:r>
        <w:rPr>
          <w:rFonts w:ascii="仿宋_GB2312" w:hAnsi="ˎ̥" w:eastAsia="仿宋_GB2312"/>
          <w:sz w:val="32"/>
          <w:szCs w:val="32"/>
        </w:rPr>
        <w:t>46</w:t>
      </w:r>
      <w:r>
        <w:rPr>
          <w:rFonts w:hint="eastAsia" w:ascii="仿宋_GB2312" w:hAnsi="ˎ̥" w:eastAsia="仿宋_GB2312"/>
          <w:sz w:val="32"/>
          <w:szCs w:val="32"/>
        </w:rPr>
        <w:t>人次；</w:t>
      </w:r>
      <w:r>
        <w:rPr>
          <w:rFonts w:hint="eastAsia" w:ascii="仿宋_GB2312" w:hAnsi="ˎ̥" w:eastAsia="仿宋_GB2312"/>
          <w:spacing w:val="-20"/>
          <w:sz w:val="32"/>
          <w:szCs w:val="32"/>
        </w:rPr>
        <w:t>主要用于省（内）外相关部门检查指导、考察、调研</w:t>
      </w:r>
      <w:r>
        <w:rPr>
          <w:rFonts w:hint="eastAsia" w:ascii="仿宋_GB2312" w:hAnsi="ˎ̥" w:eastAsia="仿宋_GB2312"/>
          <w:sz w:val="32"/>
          <w:szCs w:val="32"/>
        </w:rPr>
        <w:t>、交流等开支。</w:t>
      </w:r>
    </w:p>
    <w:p w14:paraId="1F554FB5">
      <w:pPr>
        <w:widowControl w:val="0"/>
        <w:autoSpaceDE w:val="0"/>
        <w:spacing w:line="576"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国（境）外接待费支出0万元，2023年无国（境）外公务接待任务。</w:t>
      </w:r>
    </w:p>
    <w:p w14:paraId="0ADEAE9D">
      <w:pPr>
        <w:widowControl w:val="0"/>
        <w:autoSpaceDE w:val="0"/>
        <w:spacing w:line="576" w:lineRule="exact"/>
        <w:ind w:firstLine="640" w:firstLineChars="200"/>
        <w:jc w:val="both"/>
        <w:rPr>
          <w:rFonts w:hint="default" w:ascii="仿宋_GB2312" w:hAnsi="ˎ̥" w:eastAsia="仿宋_GB2312"/>
          <w:sz w:val="32"/>
          <w:szCs w:val="32"/>
          <w:lang w:val="en-US" w:eastAsia="zh-CN"/>
        </w:rPr>
      </w:pPr>
      <w:r>
        <w:rPr>
          <w:rFonts w:hint="eastAsia" w:ascii="仿宋_GB2312" w:hAnsi="ˎ̥" w:eastAsia="仿宋_GB2312"/>
          <w:sz w:val="32"/>
          <w:szCs w:val="32"/>
        </w:rPr>
        <w:t>公务接待费支出决算数与预算数持</w:t>
      </w:r>
      <w:r>
        <w:rPr>
          <w:rFonts w:ascii="仿宋_GB2312" w:hAnsi="ˎ̥" w:eastAsia="仿宋_GB2312"/>
          <w:sz w:val="32"/>
          <w:szCs w:val="32"/>
        </w:rPr>
        <w:t>平</w:t>
      </w:r>
      <w:r>
        <w:rPr>
          <w:rFonts w:hint="eastAsia" w:ascii="仿宋_GB2312" w:hAnsi="ˎ̥" w:eastAsia="仿宋_GB2312"/>
          <w:sz w:val="32"/>
          <w:szCs w:val="32"/>
        </w:rPr>
        <w:t>。</w:t>
      </w:r>
      <w:r>
        <w:rPr>
          <w:rFonts w:hint="eastAsia" w:ascii="仿宋_GB2312" w:hAnsi="ˎ̥" w:eastAsia="仿宋_GB2312"/>
          <w:sz w:val="32"/>
          <w:szCs w:val="32"/>
          <w:lang w:val="en-US" w:eastAsia="zh-CN"/>
        </w:rPr>
        <w:t>与2022年相比，公务接待费增加0.47万元，增加50%，主要原因是疫情过后，业务</w:t>
      </w:r>
      <w:bookmarkStart w:id="7" w:name="_GoBack"/>
      <w:bookmarkEnd w:id="7"/>
      <w:r>
        <w:rPr>
          <w:rFonts w:hint="eastAsia" w:ascii="仿宋_GB2312" w:hAnsi="ˎ̥" w:eastAsia="仿宋_GB2312"/>
          <w:sz w:val="32"/>
          <w:szCs w:val="32"/>
          <w:lang w:val="en-US" w:eastAsia="zh-CN"/>
        </w:rPr>
        <w:t>正常开展。</w:t>
      </w:r>
    </w:p>
    <w:p w14:paraId="592BB047">
      <w:pPr>
        <w:widowControl w:val="0"/>
        <w:autoSpaceDE w:val="0"/>
        <w:spacing w:line="576" w:lineRule="exact"/>
        <w:ind w:firstLine="640" w:firstLineChars="200"/>
        <w:rPr>
          <w:rFonts w:ascii="黑体" w:eastAsia="黑体"/>
          <w:sz w:val="32"/>
          <w:szCs w:val="32"/>
        </w:rPr>
      </w:pPr>
      <w:r>
        <w:rPr>
          <w:rFonts w:hint="eastAsia" w:ascii="黑体" w:hAnsi="黑体" w:eastAsia="黑体"/>
          <w:sz w:val="32"/>
          <w:szCs w:val="32"/>
        </w:rPr>
        <w:t>十、预算绩效情况说明。</w:t>
      </w:r>
    </w:p>
    <w:p w14:paraId="7C22652C">
      <w:pPr>
        <w:widowControl w:val="0"/>
        <w:autoSpaceDE w:val="0"/>
        <w:spacing w:line="576" w:lineRule="exact"/>
        <w:ind w:firstLine="643" w:firstLineChars="200"/>
        <w:rPr>
          <w:rFonts w:ascii="楷体" w:hAnsi="楷体" w:eastAsia="楷体"/>
          <w:b/>
          <w:bCs/>
          <w:sz w:val="32"/>
          <w:szCs w:val="32"/>
        </w:rPr>
      </w:pPr>
      <w:r>
        <w:rPr>
          <w:rFonts w:hint="eastAsia" w:ascii="楷体" w:hAnsi="楷体" w:eastAsia="楷体"/>
          <w:b/>
          <w:bCs/>
          <w:sz w:val="32"/>
          <w:szCs w:val="32"/>
        </w:rPr>
        <w:t>（一）绩效管理工作开展情况。</w:t>
      </w:r>
    </w:p>
    <w:p w14:paraId="520E5581">
      <w:pPr>
        <w:widowControl w:val="0"/>
        <w:autoSpaceDE w:val="0"/>
        <w:adjustRightInd w:val="0"/>
        <w:snapToGrid w:val="0"/>
        <w:spacing w:line="560" w:lineRule="exact"/>
        <w:ind w:firstLine="640" w:firstLineChars="200"/>
        <w:jc w:val="both"/>
        <w:rPr>
          <w:rFonts w:ascii="仿宋_GB2312" w:eastAsia="仿宋_GB2312"/>
          <w:sz w:val="32"/>
          <w:szCs w:val="32"/>
          <w:lang w:bidi="ar"/>
        </w:rPr>
      </w:pPr>
      <w:r>
        <w:rPr>
          <w:rFonts w:hint="eastAsia" w:ascii="仿宋_GB2312" w:hAnsi="楷体" w:eastAsia="仿宋_GB2312" w:cs="楷体"/>
          <w:sz w:val="32"/>
          <w:szCs w:val="32"/>
        </w:rPr>
        <w:t>根据财政预算管理要求，我单位组织对2023年度一般公共预算项目支出全面开展绩效自评。</w:t>
      </w:r>
      <w:r>
        <w:rPr>
          <w:rFonts w:hint="eastAsia" w:ascii="仿宋_GB2312" w:eastAsia="仿宋_GB2312"/>
          <w:sz w:val="32"/>
          <w:szCs w:val="32"/>
          <w:lang w:bidi="ar"/>
        </w:rPr>
        <w:t>其中，一级项目2个，二级项目3个，</w:t>
      </w:r>
      <w:r>
        <w:rPr>
          <w:rFonts w:hint="eastAsia" w:ascii="仿宋_GB2312" w:hAnsi="楷体" w:eastAsia="仿宋_GB2312" w:cs="楷体"/>
          <w:sz w:val="32"/>
          <w:szCs w:val="32"/>
        </w:rPr>
        <w:t>共涉及资金</w:t>
      </w:r>
      <w:r>
        <w:rPr>
          <w:rFonts w:ascii="仿宋_GB2312" w:hAnsi="楷体" w:eastAsia="仿宋_GB2312" w:cs="楷体"/>
          <w:sz w:val="32"/>
          <w:szCs w:val="32"/>
        </w:rPr>
        <w:t>82</w:t>
      </w:r>
      <w:r>
        <w:rPr>
          <w:rFonts w:hint="eastAsia" w:ascii="仿宋_GB2312" w:hAnsi="楷体" w:eastAsia="仿宋_GB2312" w:cs="楷体"/>
          <w:sz w:val="32"/>
          <w:szCs w:val="32"/>
        </w:rPr>
        <w:t>2万元</w:t>
      </w:r>
      <w:r>
        <w:rPr>
          <w:rFonts w:hint="eastAsia" w:ascii="仿宋_GB2312" w:eastAsia="仿宋_GB2312"/>
          <w:sz w:val="32"/>
          <w:szCs w:val="32"/>
          <w:lang w:bidi="ar"/>
        </w:rPr>
        <w:t>，占一般公共预算项目支出总额的100%。2023年度我单位无政府性基金预算项目及国有资本经营预算项目支出,未对政府性基金预算项目及国有资本经营预算项目开展绩效自评。</w:t>
      </w:r>
    </w:p>
    <w:p w14:paraId="589FC0DE">
      <w:pPr>
        <w:widowControl w:val="0"/>
        <w:autoSpaceDE w:val="0"/>
        <w:spacing w:line="576" w:lineRule="exact"/>
        <w:ind w:firstLine="643" w:firstLineChars="200"/>
        <w:rPr>
          <w:rFonts w:ascii="楷体" w:hAnsi="楷体" w:eastAsia="楷体"/>
          <w:b/>
          <w:bCs/>
          <w:sz w:val="32"/>
          <w:szCs w:val="32"/>
        </w:rPr>
      </w:pPr>
      <w:r>
        <w:rPr>
          <w:rFonts w:hint="eastAsia" w:ascii="楷体" w:hAnsi="楷体" w:eastAsia="楷体"/>
          <w:b/>
          <w:bCs/>
          <w:sz w:val="32"/>
          <w:szCs w:val="32"/>
        </w:rPr>
        <w:t>（二）部门决算中项目绩效自评结果。</w:t>
      </w:r>
    </w:p>
    <w:p w14:paraId="4834BD26">
      <w:pPr>
        <w:widowControl w:val="0"/>
        <w:autoSpaceDE w:val="0"/>
        <w:adjustRightInd w:val="0"/>
        <w:snapToGrid w:val="0"/>
        <w:spacing w:line="560" w:lineRule="exact"/>
        <w:ind w:firstLine="640" w:firstLineChars="200"/>
        <w:jc w:val="both"/>
        <w:rPr>
          <w:rFonts w:ascii="仿宋_GB2312" w:hAnsi="楷体" w:eastAsia="仿宋_GB2312" w:cs="楷体"/>
          <w:sz w:val="32"/>
          <w:szCs w:val="32"/>
        </w:rPr>
      </w:pPr>
      <w:r>
        <w:rPr>
          <w:rFonts w:hint="eastAsia" w:ascii="仿宋_GB2312" w:hAnsi="楷体" w:eastAsia="仿宋_GB2312" w:cs="楷体"/>
          <w:sz w:val="32"/>
          <w:szCs w:val="32"/>
        </w:rPr>
        <w:t>我单位</w:t>
      </w:r>
      <w:r>
        <w:rPr>
          <w:rFonts w:ascii="仿宋_GB2312" w:hAnsi="楷体" w:eastAsia="仿宋_GB2312" w:cs="楷体"/>
          <w:sz w:val="32"/>
          <w:szCs w:val="32"/>
        </w:rPr>
        <w:t>今年在省本级部门决算中反映</w:t>
      </w:r>
      <w:r>
        <w:rPr>
          <w:rFonts w:hint="eastAsia" w:ascii="仿宋_GB2312" w:hAnsi="楷体" w:eastAsia="仿宋_GB2312" w:cs="楷体"/>
          <w:sz w:val="32"/>
          <w:szCs w:val="32"/>
        </w:rPr>
        <w:t>“综合</w:t>
      </w:r>
      <w:r>
        <w:rPr>
          <w:rFonts w:ascii="仿宋_GB2312" w:hAnsi="楷体" w:eastAsia="仿宋_GB2312" w:cs="楷体"/>
          <w:sz w:val="32"/>
          <w:szCs w:val="32"/>
        </w:rPr>
        <w:t>运行事务</w:t>
      </w:r>
      <w:r>
        <w:rPr>
          <w:rFonts w:hint="eastAsia" w:ascii="仿宋_GB2312" w:hAnsi="楷体" w:eastAsia="仿宋_GB2312" w:cs="楷体"/>
          <w:sz w:val="32"/>
          <w:szCs w:val="32"/>
        </w:rPr>
        <w:t>”</w:t>
      </w:r>
      <w:r>
        <w:rPr>
          <w:rFonts w:ascii="仿宋_GB2312" w:hAnsi="楷体" w:eastAsia="仿宋_GB2312" w:cs="楷体"/>
          <w:sz w:val="32"/>
          <w:szCs w:val="32"/>
        </w:rPr>
        <w:t>项目绩效自评结果。</w:t>
      </w:r>
    </w:p>
    <w:p w14:paraId="18C18E74">
      <w:pPr>
        <w:pStyle w:val="2"/>
      </w:pPr>
    </w:p>
    <w:tbl>
      <w:tblPr>
        <w:tblStyle w:val="1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709"/>
        <w:gridCol w:w="94"/>
        <w:gridCol w:w="1607"/>
        <w:gridCol w:w="574"/>
        <w:gridCol w:w="167"/>
        <w:gridCol w:w="697"/>
        <w:gridCol w:w="555"/>
        <w:gridCol w:w="697"/>
        <w:gridCol w:w="444"/>
        <w:gridCol w:w="358"/>
        <w:gridCol w:w="565"/>
        <w:gridCol w:w="242"/>
        <w:gridCol w:w="804"/>
        <w:gridCol w:w="74"/>
        <w:gridCol w:w="1089"/>
      </w:tblGrid>
      <w:tr w14:paraId="0F78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1135" w:type="dxa"/>
            <w:shd w:val="clear" w:color="auto" w:fill="auto"/>
            <w:tcMar>
              <w:top w:w="15" w:type="dxa"/>
              <w:left w:w="15" w:type="dxa"/>
              <w:right w:w="15" w:type="dxa"/>
            </w:tcMar>
            <w:vAlign w:val="center"/>
          </w:tcPr>
          <w:p w14:paraId="5E42D120">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项目名称:</w:t>
            </w:r>
          </w:p>
        </w:tc>
        <w:tc>
          <w:tcPr>
            <w:tcW w:w="8676" w:type="dxa"/>
            <w:gridSpan w:val="15"/>
            <w:shd w:val="clear" w:color="auto" w:fill="auto"/>
            <w:tcMar>
              <w:top w:w="15" w:type="dxa"/>
              <w:left w:w="15" w:type="dxa"/>
              <w:right w:w="15" w:type="dxa"/>
            </w:tcMar>
            <w:vAlign w:val="center"/>
          </w:tcPr>
          <w:p w14:paraId="3B781236">
            <w:pPr>
              <w:spacing w:line="400" w:lineRule="atLeast"/>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综合</w:t>
            </w:r>
            <w:r>
              <w:rPr>
                <w:rFonts w:ascii="等线" w:hAnsi="等线" w:eastAsia="等线" w:cs="等线"/>
                <w:color w:val="000000"/>
                <w:sz w:val="22"/>
                <w:szCs w:val="22"/>
                <w:lang w:bidi="ar"/>
              </w:rPr>
              <w:t>运行事</w:t>
            </w:r>
            <w:r>
              <w:rPr>
                <w:rFonts w:hint="eastAsia" w:ascii="等线" w:hAnsi="等线" w:eastAsia="等线" w:cs="等线"/>
                <w:color w:val="000000"/>
                <w:sz w:val="22"/>
                <w:szCs w:val="22"/>
                <w:lang w:bidi="ar"/>
              </w:rPr>
              <w:t>务</w:t>
            </w:r>
          </w:p>
        </w:tc>
      </w:tr>
      <w:tr w14:paraId="657B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1135" w:type="dxa"/>
            <w:shd w:val="clear" w:color="auto" w:fill="auto"/>
            <w:tcMar>
              <w:top w:w="15" w:type="dxa"/>
              <w:left w:w="15" w:type="dxa"/>
              <w:right w:w="15" w:type="dxa"/>
            </w:tcMar>
            <w:vAlign w:val="center"/>
          </w:tcPr>
          <w:p w14:paraId="3EE288A2">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主管部门:</w:t>
            </w:r>
          </w:p>
        </w:tc>
        <w:tc>
          <w:tcPr>
            <w:tcW w:w="2410" w:type="dxa"/>
            <w:gridSpan w:val="3"/>
            <w:shd w:val="clear" w:color="auto" w:fill="auto"/>
            <w:tcMar>
              <w:top w:w="15" w:type="dxa"/>
              <w:left w:w="15" w:type="dxa"/>
              <w:right w:w="15" w:type="dxa"/>
            </w:tcMar>
            <w:vAlign w:val="center"/>
          </w:tcPr>
          <w:p w14:paraId="29F7F690">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127-省市场监督管理局</w:t>
            </w:r>
          </w:p>
        </w:tc>
        <w:tc>
          <w:tcPr>
            <w:tcW w:w="1438" w:type="dxa"/>
            <w:gridSpan w:val="3"/>
            <w:shd w:val="clear" w:color="auto" w:fill="auto"/>
            <w:tcMar>
              <w:top w:w="15" w:type="dxa"/>
              <w:left w:w="15" w:type="dxa"/>
              <w:right w:w="15" w:type="dxa"/>
            </w:tcMar>
            <w:vAlign w:val="center"/>
          </w:tcPr>
          <w:p w14:paraId="4A82649F">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实施单位:</w:t>
            </w:r>
          </w:p>
        </w:tc>
        <w:tc>
          <w:tcPr>
            <w:tcW w:w="4828" w:type="dxa"/>
            <w:gridSpan w:val="9"/>
            <w:shd w:val="clear" w:color="auto" w:fill="auto"/>
            <w:tcMar>
              <w:top w:w="15" w:type="dxa"/>
              <w:left w:w="15" w:type="dxa"/>
              <w:right w:w="15" w:type="dxa"/>
            </w:tcMar>
            <w:vAlign w:val="center"/>
          </w:tcPr>
          <w:p w14:paraId="6C321EC2">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127009-省锅炉压力容器与特种设备检验所</w:t>
            </w:r>
          </w:p>
        </w:tc>
      </w:tr>
      <w:tr w14:paraId="43DC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1135" w:type="dxa"/>
            <w:shd w:val="clear" w:color="auto" w:fill="auto"/>
            <w:noWrap/>
            <w:tcMar>
              <w:top w:w="15" w:type="dxa"/>
              <w:left w:w="15" w:type="dxa"/>
              <w:right w:w="15" w:type="dxa"/>
            </w:tcMar>
            <w:vAlign w:val="center"/>
          </w:tcPr>
          <w:p w14:paraId="6E121C6B">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是否公开：</w:t>
            </w:r>
          </w:p>
        </w:tc>
        <w:tc>
          <w:tcPr>
            <w:tcW w:w="2410" w:type="dxa"/>
            <w:gridSpan w:val="3"/>
            <w:shd w:val="clear" w:color="auto" w:fill="auto"/>
            <w:noWrap/>
            <w:tcMar>
              <w:top w:w="15" w:type="dxa"/>
              <w:left w:w="15" w:type="dxa"/>
              <w:right w:w="15" w:type="dxa"/>
            </w:tcMar>
            <w:vAlign w:val="center"/>
          </w:tcPr>
          <w:p w14:paraId="64292CED">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否</w:t>
            </w:r>
          </w:p>
        </w:tc>
        <w:tc>
          <w:tcPr>
            <w:tcW w:w="1438" w:type="dxa"/>
            <w:gridSpan w:val="3"/>
            <w:shd w:val="clear" w:color="auto" w:fill="auto"/>
            <w:noWrap/>
            <w:tcMar>
              <w:top w:w="15" w:type="dxa"/>
              <w:left w:w="15" w:type="dxa"/>
              <w:right w:w="15" w:type="dxa"/>
            </w:tcMar>
            <w:vAlign w:val="center"/>
          </w:tcPr>
          <w:p w14:paraId="18CF0E17">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网址：</w:t>
            </w:r>
          </w:p>
        </w:tc>
        <w:tc>
          <w:tcPr>
            <w:tcW w:w="4828" w:type="dxa"/>
            <w:gridSpan w:val="9"/>
            <w:shd w:val="clear" w:color="auto" w:fill="auto"/>
            <w:noWrap/>
            <w:tcMar>
              <w:top w:w="15" w:type="dxa"/>
              <w:left w:w="15" w:type="dxa"/>
              <w:right w:w="15" w:type="dxa"/>
            </w:tcMar>
            <w:vAlign w:val="center"/>
          </w:tcPr>
          <w:p w14:paraId="5303FF13">
            <w:pPr>
              <w:spacing w:line="400" w:lineRule="atLeast"/>
              <w:rPr>
                <w:rFonts w:ascii="等线" w:hAnsi="等线" w:eastAsia="等线" w:cs="等线"/>
                <w:color w:val="000000"/>
                <w:sz w:val="22"/>
                <w:szCs w:val="22"/>
              </w:rPr>
            </w:pPr>
            <w:r>
              <w:rPr>
                <w:rFonts w:ascii="等线" w:hAnsi="等线" w:eastAsia="等线" w:cs="等线"/>
                <w:color w:val="000000"/>
                <w:sz w:val="22"/>
                <w:szCs w:val="22"/>
              </w:rPr>
              <w:t xml:space="preserve">https://amr.hainan.gov.cn/zw/czgk/czyjs/   </w:t>
            </w:r>
          </w:p>
        </w:tc>
      </w:tr>
      <w:tr w14:paraId="3D0C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938" w:type="dxa"/>
            <w:gridSpan w:val="3"/>
            <w:shd w:val="clear" w:color="auto" w:fill="auto"/>
            <w:tcMar>
              <w:top w:w="15" w:type="dxa"/>
              <w:left w:w="15" w:type="dxa"/>
              <w:right w:w="15" w:type="dxa"/>
            </w:tcMar>
            <w:vAlign w:val="center"/>
          </w:tcPr>
          <w:p w14:paraId="07080E20">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资金构成(</w:t>
            </w:r>
            <w:r>
              <w:rPr>
                <w:rFonts w:hint="eastAsia" w:ascii="等线" w:hAnsi="等线" w:eastAsia="等线" w:cs="等线"/>
                <w:b/>
                <w:color w:val="000000"/>
                <w:lang w:bidi="ar"/>
              </w:rPr>
              <w:t>万</w:t>
            </w:r>
            <w:r>
              <w:rPr>
                <w:rFonts w:ascii="等线" w:hAnsi="等线" w:eastAsia="等线" w:cs="等线"/>
                <w:b/>
                <w:color w:val="000000"/>
                <w:lang w:bidi="ar"/>
              </w:rPr>
              <w:t>元)</w:t>
            </w:r>
          </w:p>
        </w:tc>
        <w:tc>
          <w:tcPr>
            <w:tcW w:w="1607" w:type="dxa"/>
            <w:shd w:val="clear" w:color="auto" w:fill="auto"/>
            <w:tcMar>
              <w:top w:w="15" w:type="dxa"/>
              <w:left w:w="15" w:type="dxa"/>
              <w:right w:w="15" w:type="dxa"/>
            </w:tcMar>
            <w:vAlign w:val="center"/>
          </w:tcPr>
          <w:p w14:paraId="60AEB442">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年初预算数</w:t>
            </w:r>
          </w:p>
        </w:tc>
        <w:tc>
          <w:tcPr>
            <w:tcW w:w="1438" w:type="dxa"/>
            <w:gridSpan w:val="3"/>
            <w:shd w:val="clear" w:color="auto" w:fill="auto"/>
            <w:tcMar>
              <w:top w:w="15" w:type="dxa"/>
              <w:left w:w="15" w:type="dxa"/>
              <w:right w:w="15" w:type="dxa"/>
            </w:tcMar>
            <w:vAlign w:val="center"/>
          </w:tcPr>
          <w:p w14:paraId="65D2C6C0">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全年预算数</w:t>
            </w:r>
          </w:p>
        </w:tc>
        <w:tc>
          <w:tcPr>
            <w:tcW w:w="1696" w:type="dxa"/>
            <w:gridSpan w:val="3"/>
            <w:shd w:val="clear" w:color="auto" w:fill="auto"/>
            <w:tcMar>
              <w:top w:w="15" w:type="dxa"/>
              <w:left w:w="15" w:type="dxa"/>
              <w:right w:w="15" w:type="dxa"/>
            </w:tcMar>
            <w:vAlign w:val="center"/>
          </w:tcPr>
          <w:p w14:paraId="2B61B32F">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执行数</w:t>
            </w:r>
          </w:p>
        </w:tc>
        <w:tc>
          <w:tcPr>
            <w:tcW w:w="923" w:type="dxa"/>
            <w:gridSpan w:val="2"/>
            <w:shd w:val="clear" w:color="auto" w:fill="auto"/>
            <w:tcMar>
              <w:top w:w="15" w:type="dxa"/>
              <w:left w:w="15" w:type="dxa"/>
              <w:right w:w="15" w:type="dxa"/>
            </w:tcMar>
            <w:vAlign w:val="center"/>
          </w:tcPr>
          <w:p w14:paraId="44980A99">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分值</w:t>
            </w:r>
          </w:p>
        </w:tc>
        <w:tc>
          <w:tcPr>
            <w:tcW w:w="1120" w:type="dxa"/>
            <w:gridSpan w:val="3"/>
            <w:shd w:val="clear" w:color="auto" w:fill="auto"/>
            <w:tcMar>
              <w:top w:w="15" w:type="dxa"/>
              <w:left w:w="15" w:type="dxa"/>
              <w:right w:w="15" w:type="dxa"/>
            </w:tcMar>
            <w:vAlign w:val="center"/>
          </w:tcPr>
          <w:p w14:paraId="63CF9438">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执行率（%）</w:t>
            </w:r>
          </w:p>
        </w:tc>
        <w:tc>
          <w:tcPr>
            <w:tcW w:w="1089" w:type="dxa"/>
            <w:shd w:val="clear" w:color="auto" w:fill="auto"/>
            <w:tcMar>
              <w:top w:w="15" w:type="dxa"/>
              <w:left w:w="15" w:type="dxa"/>
              <w:right w:w="15" w:type="dxa"/>
            </w:tcMar>
            <w:vAlign w:val="center"/>
          </w:tcPr>
          <w:p w14:paraId="4FEDA467">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得分</w:t>
            </w:r>
          </w:p>
        </w:tc>
      </w:tr>
      <w:tr w14:paraId="01B5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938" w:type="dxa"/>
            <w:gridSpan w:val="3"/>
            <w:shd w:val="clear" w:color="auto" w:fill="auto"/>
            <w:tcMar>
              <w:top w:w="15" w:type="dxa"/>
              <w:left w:w="15" w:type="dxa"/>
              <w:right w:w="15" w:type="dxa"/>
            </w:tcMar>
            <w:vAlign w:val="center"/>
          </w:tcPr>
          <w:p w14:paraId="12E40AF7">
            <w:pPr>
              <w:spacing w:line="400" w:lineRule="atLeast"/>
              <w:jc w:val="both"/>
              <w:textAlignment w:val="center"/>
              <w:rPr>
                <w:rFonts w:ascii="等线" w:hAnsi="等线" w:eastAsia="等线" w:cs="等线"/>
                <w:color w:val="000000"/>
                <w:sz w:val="22"/>
                <w:szCs w:val="22"/>
              </w:rPr>
            </w:pPr>
            <w:r>
              <w:rPr>
                <w:rFonts w:ascii="等线" w:hAnsi="等线" w:eastAsia="等线" w:cs="等线"/>
                <w:color w:val="000000"/>
                <w:sz w:val="22"/>
                <w:szCs w:val="22"/>
                <w:lang w:bidi="ar"/>
              </w:rPr>
              <w:t>资金总额：</w:t>
            </w:r>
          </w:p>
        </w:tc>
        <w:tc>
          <w:tcPr>
            <w:tcW w:w="1607" w:type="dxa"/>
            <w:shd w:val="clear" w:color="auto" w:fill="auto"/>
            <w:tcMar>
              <w:top w:w="15" w:type="dxa"/>
              <w:left w:w="15" w:type="dxa"/>
              <w:right w:w="15" w:type="dxa"/>
            </w:tcMar>
            <w:vAlign w:val="center"/>
          </w:tcPr>
          <w:p w14:paraId="45C59F11">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648</w:t>
            </w:r>
          </w:p>
        </w:tc>
        <w:tc>
          <w:tcPr>
            <w:tcW w:w="1438" w:type="dxa"/>
            <w:gridSpan w:val="3"/>
            <w:shd w:val="clear" w:color="auto" w:fill="auto"/>
            <w:tcMar>
              <w:top w:w="15" w:type="dxa"/>
              <w:left w:w="15" w:type="dxa"/>
              <w:right w:w="15" w:type="dxa"/>
            </w:tcMar>
          </w:tcPr>
          <w:p w14:paraId="0BA681F9">
            <w:pPr>
              <w:spacing w:line="400" w:lineRule="atLeast"/>
              <w:jc w:val="center"/>
              <w:textAlignment w:val="center"/>
              <w:rPr>
                <w:rFonts w:ascii="等线" w:hAnsi="等线" w:eastAsia="等线" w:cs="等线"/>
                <w:color w:val="000000"/>
                <w:sz w:val="22"/>
                <w:szCs w:val="22"/>
                <w:lang w:bidi="ar"/>
              </w:rPr>
            </w:pPr>
            <w:r>
              <w:rPr>
                <w:rFonts w:ascii="等线" w:hAnsi="等线" w:eastAsia="等线" w:cs="等线"/>
                <w:color w:val="000000"/>
                <w:sz w:val="22"/>
                <w:szCs w:val="22"/>
                <w:lang w:bidi="ar"/>
              </w:rPr>
              <w:t>648</w:t>
            </w:r>
          </w:p>
        </w:tc>
        <w:tc>
          <w:tcPr>
            <w:tcW w:w="1696" w:type="dxa"/>
            <w:gridSpan w:val="3"/>
            <w:shd w:val="clear" w:color="auto" w:fill="auto"/>
            <w:tcMar>
              <w:top w:w="15" w:type="dxa"/>
              <w:left w:w="15" w:type="dxa"/>
              <w:right w:w="15" w:type="dxa"/>
            </w:tcMar>
            <w:vAlign w:val="center"/>
          </w:tcPr>
          <w:p w14:paraId="06053E5B">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625</w:t>
            </w:r>
          </w:p>
        </w:tc>
        <w:tc>
          <w:tcPr>
            <w:tcW w:w="923" w:type="dxa"/>
            <w:gridSpan w:val="2"/>
            <w:shd w:val="clear" w:color="auto" w:fill="auto"/>
            <w:noWrap/>
            <w:tcMar>
              <w:top w:w="15" w:type="dxa"/>
              <w:left w:w="15" w:type="dxa"/>
              <w:right w:w="15" w:type="dxa"/>
            </w:tcMar>
            <w:vAlign w:val="center"/>
          </w:tcPr>
          <w:p w14:paraId="02D3BBFD">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w:t>
            </w:r>
            <w:r>
              <w:rPr>
                <w:rFonts w:hint="eastAsia" w:ascii="等线" w:hAnsi="等线" w:eastAsia="等线" w:cs="等线"/>
                <w:color w:val="000000"/>
                <w:sz w:val="22"/>
                <w:szCs w:val="22"/>
                <w:lang w:bidi="ar"/>
              </w:rPr>
              <w:t>0</w:t>
            </w:r>
            <w:r>
              <w:rPr>
                <w:rFonts w:ascii="等线" w:hAnsi="等线" w:eastAsia="等线" w:cs="等线"/>
                <w:color w:val="000000"/>
                <w:sz w:val="22"/>
                <w:szCs w:val="22"/>
                <w:lang w:bidi="ar"/>
              </w:rPr>
              <w:t xml:space="preserve"> </w:t>
            </w:r>
          </w:p>
        </w:tc>
        <w:tc>
          <w:tcPr>
            <w:tcW w:w="1120" w:type="dxa"/>
            <w:gridSpan w:val="3"/>
            <w:shd w:val="clear" w:color="auto" w:fill="auto"/>
            <w:tcMar>
              <w:top w:w="15" w:type="dxa"/>
              <w:left w:w="15" w:type="dxa"/>
              <w:right w:w="15" w:type="dxa"/>
            </w:tcMar>
            <w:vAlign w:val="center"/>
          </w:tcPr>
          <w:p w14:paraId="4D71BFEB">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96.39</w:t>
            </w:r>
          </w:p>
        </w:tc>
        <w:tc>
          <w:tcPr>
            <w:tcW w:w="1089" w:type="dxa"/>
            <w:shd w:val="clear" w:color="auto" w:fill="auto"/>
            <w:noWrap/>
            <w:tcMar>
              <w:top w:w="15" w:type="dxa"/>
              <w:left w:w="15" w:type="dxa"/>
              <w:right w:w="15" w:type="dxa"/>
            </w:tcMar>
            <w:vAlign w:val="center"/>
          </w:tcPr>
          <w:p w14:paraId="0155D15D">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9.63</w:t>
            </w:r>
          </w:p>
        </w:tc>
      </w:tr>
      <w:tr w14:paraId="542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938" w:type="dxa"/>
            <w:gridSpan w:val="3"/>
            <w:shd w:val="clear" w:color="auto" w:fill="auto"/>
            <w:tcMar>
              <w:top w:w="15" w:type="dxa"/>
              <w:left w:w="15" w:type="dxa"/>
              <w:right w:w="15" w:type="dxa"/>
            </w:tcMar>
            <w:vAlign w:val="center"/>
          </w:tcPr>
          <w:p w14:paraId="50828F33">
            <w:pPr>
              <w:spacing w:line="400" w:lineRule="atLeast"/>
              <w:jc w:val="both"/>
              <w:textAlignment w:val="center"/>
              <w:rPr>
                <w:rFonts w:ascii="等线" w:hAnsi="等线" w:eastAsia="等线" w:cs="等线"/>
                <w:color w:val="000000"/>
                <w:sz w:val="22"/>
                <w:szCs w:val="22"/>
              </w:rPr>
            </w:pPr>
            <w:r>
              <w:rPr>
                <w:rFonts w:ascii="等线" w:hAnsi="等线" w:eastAsia="等线" w:cs="等线"/>
                <w:color w:val="000000"/>
                <w:sz w:val="22"/>
                <w:szCs w:val="22"/>
                <w:lang w:bidi="ar"/>
              </w:rPr>
              <w:t>其中：财政资金：</w:t>
            </w:r>
          </w:p>
        </w:tc>
        <w:tc>
          <w:tcPr>
            <w:tcW w:w="1607" w:type="dxa"/>
            <w:shd w:val="clear" w:color="auto" w:fill="auto"/>
            <w:tcMar>
              <w:top w:w="15" w:type="dxa"/>
              <w:left w:w="15" w:type="dxa"/>
              <w:right w:w="15" w:type="dxa"/>
            </w:tcMar>
            <w:vAlign w:val="center"/>
          </w:tcPr>
          <w:p w14:paraId="7215C327">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648</w:t>
            </w:r>
          </w:p>
        </w:tc>
        <w:tc>
          <w:tcPr>
            <w:tcW w:w="1438" w:type="dxa"/>
            <w:gridSpan w:val="3"/>
            <w:shd w:val="clear" w:color="auto" w:fill="auto"/>
            <w:tcMar>
              <w:top w:w="15" w:type="dxa"/>
              <w:left w:w="15" w:type="dxa"/>
              <w:right w:w="15" w:type="dxa"/>
            </w:tcMar>
          </w:tcPr>
          <w:p w14:paraId="3A2B93CF">
            <w:pPr>
              <w:spacing w:line="400" w:lineRule="atLeast"/>
              <w:jc w:val="center"/>
              <w:textAlignment w:val="center"/>
            </w:pPr>
            <w:r>
              <w:rPr>
                <w:rFonts w:ascii="等线" w:hAnsi="等线" w:eastAsia="等线" w:cs="等线"/>
                <w:color w:val="000000"/>
                <w:sz w:val="22"/>
                <w:szCs w:val="22"/>
                <w:lang w:bidi="ar"/>
              </w:rPr>
              <w:t>648</w:t>
            </w:r>
          </w:p>
        </w:tc>
        <w:tc>
          <w:tcPr>
            <w:tcW w:w="1696" w:type="dxa"/>
            <w:gridSpan w:val="3"/>
            <w:shd w:val="clear" w:color="auto" w:fill="auto"/>
            <w:tcMar>
              <w:top w:w="15" w:type="dxa"/>
              <w:left w:w="15" w:type="dxa"/>
              <w:right w:w="15" w:type="dxa"/>
            </w:tcMar>
            <w:vAlign w:val="center"/>
          </w:tcPr>
          <w:p w14:paraId="3EBE6BFA">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625</w:t>
            </w:r>
          </w:p>
        </w:tc>
        <w:tc>
          <w:tcPr>
            <w:tcW w:w="923" w:type="dxa"/>
            <w:gridSpan w:val="2"/>
            <w:shd w:val="clear" w:color="auto" w:fill="auto"/>
            <w:tcMar>
              <w:top w:w="15" w:type="dxa"/>
              <w:left w:w="15" w:type="dxa"/>
              <w:right w:w="15" w:type="dxa"/>
            </w:tcMar>
            <w:vAlign w:val="center"/>
          </w:tcPr>
          <w:p w14:paraId="01879061">
            <w:pPr>
              <w:spacing w:line="400" w:lineRule="atLeast"/>
              <w:jc w:val="right"/>
              <w:rPr>
                <w:rFonts w:ascii="等线" w:hAnsi="等线" w:eastAsia="等线" w:cs="等线"/>
                <w:color w:val="000000"/>
                <w:sz w:val="22"/>
                <w:szCs w:val="22"/>
              </w:rPr>
            </w:pPr>
          </w:p>
        </w:tc>
        <w:tc>
          <w:tcPr>
            <w:tcW w:w="1120" w:type="dxa"/>
            <w:gridSpan w:val="3"/>
            <w:shd w:val="clear" w:color="auto" w:fill="auto"/>
            <w:tcMar>
              <w:top w:w="15" w:type="dxa"/>
              <w:left w:w="15" w:type="dxa"/>
              <w:right w:w="15" w:type="dxa"/>
            </w:tcMar>
            <w:vAlign w:val="center"/>
          </w:tcPr>
          <w:p w14:paraId="4C9324D7">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96.39</w:t>
            </w:r>
          </w:p>
        </w:tc>
        <w:tc>
          <w:tcPr>
            <w:tcW w:w="1089" w:type="dxa"/>
            <w:shd w:val="clear" w:color="auto" w:fill="auto"/>
            <w:tcMar>
              <w:top w:w="15" w:type="dxa"/>
              <w:left w:w="15" w:type="dxa"/>
              <w:right w:w="15" w:type="dxa"/>
            </w:tcMar>
            <w:vAlign w:val="center"/>
          </w:tcPr>
          <w:p w14:paraId="33CEFA91">
            <w:pPr>
              <w:spacing w:line="400" w:lineRule="atLeast"/>
              <w:jc w:val="right"/>
              <w:rPr>
                <w:rFonts w:ascii="等线" w:hAnsi="等线" w:eastAsia="等线" w:cs="等线"/>
                <w:color w:val="000000"/>
                <w:sz w:val="22"/>
                <w:szCs w:val="22"/>
              </w:rPr>
            </w:pPr>
          </w:p>
        </w:tc>
      </w:tr>
      <w:tr w14:paraId="39C8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938" w:type="dxa"/>
            <w:gridSpan w:val="3"/>
            <w:shd w:val="clear" w:color="auto" w:fill="auto"/>
            <w:tcMar>
              <w:top w:w="15" w:type="dxa"/>
              <w:left w:w="15" w:type="dxa"/>
              <w:right w:w="15" w:type="dxa"/>
            </w:tcMar>
            <w:vAlign w:val="center"/>
          </w:tcPr>
          <w:p w14:paraId="7A98E446">
            <w:pPr>
              <w:spacing w:line="400" w:lineRule="atLeast"/>
              <w:jc w:val="both"/>
              <w:textAlignment w:val="center"/>
              <w:rPr>
                <w:rFonts w:ascii="等线" w:hAnsi="等线" w:eastAsia="等线" w:cs="等线"/>
                <w:color w:val="000000"/>
                <w:sz w:val="22"/>
                <w:szCs w:val="22"/>
              </w:rPr>
            </w:pPr>
            <w:r>
              <w:rPr>
                <w:rFonts w:ascii="等线" w:hAnsi="等线" w:eastAsia="等线" w:cs="等线"/>
                <w:color w:val="000000"/>
                <w:sz w:val="22"/>
                <w:szCs w:val="22"/>
                <w:lang w:bidi="ar"/>
              </w:rPr>
              <w:t>单位资金：</w:t>
            </w:r>
          </w:p>
        </w:tc>
        <w:tc>
          <w:tcPr>
            <w:tcW w:w="1607" w:type="dxa"/>
            <w:shd w:val="clear" w:color="auto" w:fill="auto"/>
            <w:tcMar>
              <w:top w:w="15" w:type="dxa"/>
              <w:left w:w="15" w:type="dxa"/>
              <w:right w:w="15" w:type="dxa"/>
            </w:tcMar>
            <w:vAlign w:val="center"/>
          </w:tcPr>
          <w:p w14:paraId="2B6F870D">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1438" w:type="dxa"/>
            <w:gridSpan w:val="3"/>
            <w:shd w:val="clear" w:color="auto" w:fill="auto"/>
            <w:tcMar>
              <w:top w:w="15" w:type="dxa"/>
              <w:left w:w="15" w:type="dxa"/>
              <w:right w:w="15" w:type="dxa"/>
            </w:tcMar>
            <w:vAlign w:val="center"/>
          </w:tcPr>
          <w:p w14:paraId="39E88680">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1696" w:type="dxa"/>
            <w:gridSpan w:val="3"/>
            <w:shd w:val="clear" w:color="auto" w:fill="auto"/>
            <w:tcMar>
              <w:top w:w="15" w:type="dxa"/>
              <w:left w:w="15" w:type="dxa"/>
              <w:right w:w="15" w:type="dxa"/>
            </w:tcMar>
            <w:vAlign w:val="center"/>
          </w:tcPr>
          <w:p w14:paraId="01886580">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923" w:type="dxa"/>
            <w:gridSpan w:val="2"/>
            <w:shd w:val="clear" w:color="auto" w:fill="auto"/>
            <w:tcMar>
              <w:top w:w="15" w:type="dxa"/>
              <w:left w:w="15" w:type="dxa"/>
              <w:right w:w="15" w:type="dxa"/>
            </w:tcMar>
            <w:vAlign w:val="center"/>
          </w:tcPr>
          <w:p w14:paraId="30F5CF80">
            <w:pPr>
              <w:spacing w:line="400" w:lineRule="atLeast"/>
              <w:jc w:val="right"/>
              <w:rPr>
                <w:rFonts w:ascii="等线" w:hAnsi="等线" w:eastAsia="等线" w:cs="等线"/>
                <w:color w:val="000000"/>
                <w:sz w:val="22"/>
                <w:szCs w:val="22"/>
              </w:rPr>
            </w:pPr>
          </w:p>
        </w:tc>
        <w:tc>
          <w:tcPr>
            <w:tcW w:w="1120" w:type="dxa"/>
            <w:gridSpan w:val="3"/>
            <w:shd w:val="clear" w:color="auto" w:fill="auto"/>
            <w:tcMar>
              <w:top w:w="15" w:type="dxa"/>
              <w:left w:w="15" w:type="dxa"/>
              <w:right w:w="15" w:type="dxa"/>
            </w:tcMar>
            <w:vAlign w:val="center"/>
          </w:tcPr>
          <w:p w14:paraId="292845D0">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0</w:t>
            </w:r>
          </w:p>
        </w:tc>
        <w:tc>
          <w:tcPr>
            <w:tcW w:w="1089" w:type="dxa"/>
            <w:shd w:val="clear" w:color="auto" w:fill="auto"/>
            <w:tcMar>
              <w:top w:w="15" w:type="dxa"/>
              <w:left w:w="15" w:type="dxa"/>
              <w:right w:w="15" w:type="dxa"/>
            </w:tcMar>
            <w:vAlign w:val="center"/>
          </w:tcPr>
          <w:p w14:paraId="70D05FCB">
            <w:pPr>
              <w:spacing w:line="400" w:lineRule="atLeast"/>
              <w:jc w:val="right"/>
              <w:rPr>
                <w:rFonts w:ascii="等线" w:hAnsi="等线" w:eastAsia="等线" w:cs="等线"/>
                <w:color w:val="000000"/>
                <w:sz w:val="22"/>
                <w:szCs w:val="22"/>
              </w:rPr>
            </w:pPr>
          </w:p>
        </w:tc>
      </w:tr>
      <w:tr w14:paraId="7CC6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938" w:type="dxa"/>
            <w:gridSpan w:val="3"/>
            <w:shd w:val="clear" w:color="auto" w:fill="auto"/>
            <w:tcMar>
              <w:top w:w="15" w:type="dxa"/>
              <w:left w:w="15" w:type="dxa"/>
              <w:right w:w="15" w:type="dxa"/>
            </w:tcMar>
            <w:vAlign w:val="center"/>
          </w:tcPr>
          <w:p w14:paraId="6677E0E8">
            <w:pPr>
              <w:spacing w:line="400" w:lineRule="atLeast"/>
              <w:jc w:val="both"/>
              <w:textAlignment w:val="center"/>
              <w:rPr>
                <w:rFonts w:ascii="等线" w:hAnsi="等线" w:eastAsia="等线" w:cs="等线"/>
                <w:color w:val="000000"/>
                <w:sz w:val="22"/>
                <w:szCs w:val="22"/>
              </w:rPr>
            </w:pPr>
            <w:r>
              <w:rPr>
                <w:rFonts w:ascii="等线" w:hAnsi="等线" w:eastAsia="等线" w:cs="等线"/>
                <w:color w:val="000000"/>
                <w:sz w:val="22"/>
                <w:szCs w:val="22"/>
                <w:lang w:bidi="ar"/>
              </w:rPr>
              <w:t>财政专户管理资金：</w:t>
            </w:r>
          </w:p>
        </w:tc>
        <w:tc>
          <w:tcPr>
            <w:tcW w:w="1607" w:type="dxa"/>
            <w:shd w:val="clear" w:color="auto" w:fill="auto"/>
            <w:tcMar>
              <w:top w:w="15" w:type="dxa"/>
              <w:left w:w="15" w:type="dxa"/>
              <w:right w:w="15" w:type="dxa"/>
            </w:tcMar>
            <w:vAlign w:val="center"/>
          </w:tcPr>
          <w:p w14:paraId="534B6A72">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1438" w:type="dxa"/>
            <w:gridSpan w:val="3"/>
            <w:shd w:val="clear" w:color="auto" w:fill="auto"/>
            <w:tcMar>
              <w:top w:w="15" w:type="dxa"/>
              <w:left w:w="15" w:type="dxa"/>
              <w:right w:w="15" w:type="dxa"/>
            </w:tcMar>
            <w:vAlign w:val="center"/>
          </w:tcPr>
          <w:p w14:paraId="2E573014">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1696" w:type="dxa"/>
            <w:gridSpan w:val="3"/>
            <w:shd w:val="clear" w:color="auto" w:fill="auto"/>
            <w:tcMar>
              <w:top w:w="15" w:type="dxa"/>
              <w:left w:w="15" w:type="dxa"/>
              <w:right w:w="15" w:type="dxa"/>
            </w:tcMar>
            <w:vAlign w:val="center"/>
          </w:tcPr>
          <w:p w14:paraId="5D22A6F9">
            <w:pPr>
              <w:spacing w:line="400" w:lineRule="atLeast"/>
              <w:jc w:val="right"/>
              <w:textAlignment w:val="center"/>
              <w:rPr>
                <w:rFonts w:ascii="等线" w:hAnsi="等线" w:eastAsia="等线" w:cs="等线"/>
                <w:color w:val="000000"/>
                <w:sz w:val="22"/>
                <w:szCs w:val="22"/>
              </w:rPr>
            </w:pPr>
            <w:r>
              <w:rPr>
                <w:rFonts w:hint="eastAsia" w:ascii="等线" w:hAnsi="等线" w:eastAsia="等线" w:cs="等线"/>
                <w:color w:val="000000"/>
                <w:sz w:val="22"/>
                <w:szCs w:val="22"/>
                <w:lang w:bidi="ar"/>
              </w:rPr>
              <w:t>0</w:t>
            </w:r>
          </w:p>
        </w:tc>
        <w:tc>
          <w:tcPr>
            <w:tcW w:w="923" w:type="dxa"/>
            <w:gridSpan w:val="2"/>
            <w:shd w:val="clear" w:color="auto" w:fill="auto"/>
            <w:tcMar>
              <w:top w:w="15" w:type="dxa"/>
              <w:left w:w="15" w:type="dxa"/>
              <w:right w:w="15" w:type="dxa"/>
            </w:tcMar>
            <w:vAlign w:val="center"/>
          </w:tcPr>
          <w:p w14:paraId="1F6B1494">
            <w:pPr>
              <w:spacing w:line="400" w:lineRule="atLeast"/>
              <w:jc w:val="right"/>
              <w:rPr>
                <w:rFonts w:ascii="等线" w:hAnsi="等线" w:eastAsia="等线" w:cs="等线"/>
                <w:color w:val="000000"/>
                <w:sz w:val="22"/>
                <w:szCs w:val="22"/>
              </w:rPr>
            </w:pPr>
          </w:p>
        </w:tc>
        <w:tc>
          <w:tcPr>
            <w:tcW w:w="1120" w:type="dxa"/>
            <w:gridSpan w:val="3"/>
            <w:shd w:val="clear" w:color="auto" w:fill="auto"/>
            <w:tcMar>
              <w:top w:w="15" w:type="dxa"/>
              <w:left w:w="15" w:type="dxa"/>
              <w:right w:w="15" w:type="dxa"/>
            </w:tcMar>
            <w:vAlign w:val="center"/>
          </w:tcPr>
          <w:p w14:paraId="45B1344F">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0</w:t>
            </w:r>
          </w:p>
        </w:tc>
        <w:tc>
          <w:tcPr>
            <w:tcW w:w="1089" w:type="dxa"/>
            <w:shd w:val="clear" w:color="auto" w:fill="auto"/>
            <w:tcMar>
              <w:top w:w="15" w:type="dxa"/>
              <w:left w:w="15" w:type="dxa"/>
              <w:right w:w="15" w:type="dxa"/>
            </w:tcMar>
            <w:vAlign w:val="center"/>
          </w:tcPr>
          <w:p w14:paraId="15E26717">
            <w:pPr>
              <w:spacing w:line="400" w:lineRule="atLeast"/>
              <w:jc w:val="right"/>
              <w:rPr>
                <w:rFonts w:ascii="等线" w:hAnsi="等线" w:eastAsia="等线" w:cs="等线"/>
                <w:color w:val="000000"/>
                <w:sz w:val="22"/>
                <w:szCs w:val="22"/>
              </w:rPr>
            </w:pPr>
          </w:p>
        </w:tc>
      </w:tr>
      <w:tr w14:paraId="1B91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4286" w:type="dxa"/>
            <w:gridSpan w:val="6"/>
            <w:shd w:val="clear" w:color="auto" w:fill="auto"/>
            <w:tcMar>
              <w:top w:w="15" w:type="dxa"/>
              <w:left w:w="15" w:type="dxa"/>
              <w:right w:w="15" w:type="dxa"/>
            </w:tcMar>
            <w:vAlign w:val="center"/>
          </w:tcPr>
          <w:p w14:paraId="379A0C3A">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年度目标</w:t>
            </w:r>
          </w:p>
        </w:tc>
        <w:tc>
          <w:tcPr>
            <w:tcW w:w="5525" w:type="dxa"/>
            <w:gridSpan w:val="10"/>
            <w:shd w:val="clear" w:color="auto" w:fill="auto"/>
            <w:tcMar>
              <w:top w:w="15" w:type="dxa"/>
              <w:left w:w="15" w:type="dxa"/>
              <w:right w:w="15" w:type="dxa"/>
            </w:tcMar>
            <w:vAlign w:val="center"/>
          </w:tcPr>
          <w:p w14:paraId="5791A018">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年度目标完成情况</w:t>
            </w:r>
          </w:p>
        </w:tc>
      </w:tr>
      <w:tr w14:paraId="6BC9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286" w:type="dxa"/>
            <w:gridSpan w:val="6"/>
            <w:shd w:val="clear" w:color="auto" w:fill="auto"/>
            <w:tcMar>
              <w:top w:w="15" w:type="dxa"/>
              <w:left w:w="15" w:type="dxa"/>
              <w:right w:w="15" w:type="dxa"/>
            </w:tcMar>
          </w:tcPr>
          <w:p w14:paraId="4E14640F">
            <w:pPr>
              <w:spacing w:line="400" w:lineRule="atLeast"/>
              <w:textAlignment w:val="top"/>
              <w:rPr>
                <w:rFonts w:ascii="等线" w:hAnsi="等线" w:eastAsia="等线" w:cs="等线"/>
                <w:color w:val="000000"/>
                <w:sz w:val="22"/>
                <w:szCs w:val="22"/>
              </w:rPr>
            </w:pPr>
            <w:r>
              <w:rPr>
                <w:rFonts w:ascii="等线" w:hAnsi="等线" w:eastAsia="等线" w:cs="等线"/>
                <w:color w:val="000000"/>
                <w:sz w:val="22"/>
                <w:szCs w:val="22"/>
                <w:lang w:bidi="ar"/>
              </w:rPr>
              <w:t>特种设备检验数量达65000台/套，检验员持证上岗率100%，确保特种设备安全运行。</w:t>
            </w:r>
          </w:p>
        </w:tc>
        <w:tc>
          <w:tcPr>
            <w:tcW w:w="5525" w:type="dxa"/>
            <w:gridSpan w:val="10"/>
            <w:shd w:val="clear" w:color="auto" w:fill="auto"/>
            <w:tcMar>
              <w:top w:w="15" w:type="dxa"/>
              <w:left w:w="15" w:type="dxa"/>
              <w:right w:w="15" w:type="dxa"/>
            </w:tcMar>
          </w:tcPr>
          <w:p w14:paraId="689E6D22">
            <w:pPr>
              <w:spacing w:line="400" w:lineRule="atLeast"/>
              <w:textAlignment w:val="top"/>
              <w:rPr>
                <w:rFonts w:ascii="等线" w:hAnsi="等线" w:eastAsia="等线" w:cs="等线"/>
                <w:color w:val="000000"/>
                <w:sz w:val="22"/>
                <w:szCs w:val="22"/>
              </w:rPr>
            </w:pPr>
            <w:r>
              <w:rPr>
                <w:rFonts w:ascii="等线" w:hAnsi="等线" w:eastAsia="等线" w:cs="等线"/>
                <w:color w:val="000000"/>
                <w:sz w:val="22"/>
                <w:szCs w:val="22"/>
                <w:lang w:bidi="ar"/>
              </w:rPr>
              <w:t>全年完成7400台/套特种设备检验任务，检验员持证上岗率100%，确保了全省特种设备的安全运行。</w:t>
            </w:r>
          </w:p>
        </w:tc>
      </w:tr>
      <w:tr w14:paraId="6E7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1135" w:type="dxa"/>
            <w:shd w:val="clear" w:color="auto" w:fill="auto"/>
            <w:tcMar>
              <w:top w:w="15" w:type="dxa"/>
              <w:left w:w="15" w:type="dxa"/>
              <w:right w:w="15" w:type="dxa"/>
            </w:tcMar>
            <w:vAlign w:val="center"/>
          </w:tcPr>
          <w:p w14:paraId="02700BFD">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一级指标</w:t>
            </w:r>
          </w:p>
        </w:tc>
        <w:tc>
          <w:tcPr>
            <w:tcW w:w="709" w:type="dxa"/>
            <w:shd w:val="clear" w:color="auto" w:fill="auto"/>
            <w:tcMar>
              <w:top w:w="15" w:type="dxa"/>
              <w:left w:w="15" w:type="dxa"/>
              <w:right w:w="15" w:type="dxa"/>
            </w:tcMar>
            <w:vAlign w:val="center"/>
          </w:tcPr>
          <w:p w14:paraId="25DF74F3">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二级指标</w:t>
            </w:r>
          </w:p>
        </w:tc>
        <w:tc>
          <w:tcPr>
            <w:tcW w:w="1701" w:type="dxa"/>
            <w:gridSpan w:val="2"/>
            <w:shd w:val="clear" w:color="auto" w:fill="auto"/>
            <w:tcMar>
              <w:top w:w="15" w:type="dxa"/>
              <w:left w:w="15" w:type="dxa"/>
              <w:right w:w="15" w:type="dxa"/>
            </w:tcMar>
            <w:vAlign w:val="center"/>
          </w:tcPr>
          <w:p w14:paraId="434B7BEA">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三级指标</w:t>
            </w:r>
          </w:p>
        </w:tc>
        <w:tc>
          <w:tcPr>
            <w:tcW w:w="574" w:type="dxa"/>
            <w:shd w:val="clear" w:color="auto" w:fill="auto"/>
            <w:tcMar>
              <w:top w:w="15" w:type="dxa"/>
              <w:left w:w="15" w:type="dxa"/>
              <w:right w:w="15" w:type="dxa"/>
            </w:tcMar>
            <w:vAlign w:val="center"/>
          </w:tcPr>
          <w:p w14:paraId="11FB99EF">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指标性质</w:t>
            </w:r>
          </w:p>
        </w:tc>
        <w:tc>
          <w:tcPr>
            <w:tcW w:w="864" w:type="dxa"/>
            <w:gridSpan w:val="2"/>
            <w:shd w:val="clear" w:color="auto" w:fill="auto"/>
            <w:tcMar>
              <w:top w:w="15" w:type="dxa"/>
              <w:left w:w="15" w:type="dxa"/>
              <w:right w:w="15" w:type="dxa"/>
            </w:tcMar>
            <w:vAlign w:val="center"/>
          </w:tcPr>
          <w:p w14:paraId="69415E9C">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年度指标值</w:t>
            </w:r>
          </w:p>
        </w:tc>
        <w:tc>
          <w:tcPr>
            <w:tcW w:w="555" w:type="dxa"/>
            <w:shd w:val="clear" w:color="auto" w:fill="auto"/>
            <w:tcMar>
              <w:top w:w="15" w:type="dxa"/>
              <w:left w:w="15" w:type="dxa"/>
              <w:right w:w="15" w:type="dxa"/>
            </w:tcMar>
            <w:vAlign w:val="center"/>
          </w:tcPr>
          <w:p w14:paraId="46C1B764">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度量单位</w:t>
            </w:r>
          </w:p>
        </w:tc>
        <w:tc>
          <w:tcPr>
            <w:tcW w:w="697" w:type="dxa"/>
            <w:shd w:val="clear" w:color="auto" w:fill="auto"/>
            <w:tcMar>
              <w:top w:w="15" w:type="dxa"/>
              <w:left w:w="15" w:type="dxa"/>
              <w:right w:w="15" w:type="dxa"/>
            </w:tcMar>
            <w:vAlign w:val="center"/>
          </w:tcPr>
          <w:p w14:paraId="60031A66">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实际完成值</w:t>
            </w:r>
          </w:p>
        </w:tc>
        <w:tc>
          <w:tcPr>
            <w:tcW w:w="802" w:type="dxa"/>
            <w:gridSpan w:val="2"/>
            <w:shd w:val="clear" w:color="auto" w:fill="auto"/>
            <w:tcMar>
              <w:top w:w="15" w:type="dxa"/>
              <w:left w:w="15" w:type="dxa"/>
              <w:right w:w="15" w:type="dxa"/>
            </w:tcMar>
            <w:vAlign w:val="center"/>
          </w:tcPr>
          <w:p w14:paraId="5FB008EC">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完成率</w:t>
            </w:r>
          </w:p>
        </w:tc>
        <w:tc>
          <w:tcPr>
            <w:tcW w:w="807" w:type="dxa"/>
            <w:gridSpan w:val="2"/>
            <w:shd w:val="clear" w:color="auto" w:fill="auto"/>
            <w:tcMar>
              <w:top w:w="15" w:type="dxa"/>
              <w:left w:w="15" w:type="dxa"/>
              <w:right w:w="15" w:type="dxa"/>
            </w:tcMar>
            <w:vAlign w:val="center"/>
          </w:tcPr>
          <w:p w14:paraId="3C6E6489">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分值</w:t>
            </w:r>
          </w:p>
        </w:tc>
        <w:tc>
          <w:tcPr>
            <w:tcW w:w="804" w:type="dxa"/>
            <w:shd w:val="clear" w:color="auto" w:fill="auto"/>
            <w:tcMar>
              <w:top w:w="15" w:type="dxa"/>
              <w:left w:w="15" w:type="dxa"/>
              <w:right w:w="15" w:type="dxa"/>
            </w:tcMar>
            <w:vAlign w:val="center"/>
          </w:tcPr>
          <w:p w14:paraId="6B6DFD6B">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得分</w:t>
            </w:r>
          </w:p>
        </w:tc>
        <w:tc>
          <w:tcPr>
            <w:tcW w:w="1163" w:type="dxa"/>
            <w:gridSpan w:val="2"/>
            <w:shd w:val="clear" w:color="auto" w:fill="auto"/>
            <w:tcMar>
              <w:top w:w="15" w:type="dxa"/>
              <w:left w:w="15" w:type="dxa"/>
              <w:right w:w="15" w:type="dxa"/>
            </w:tcMar>
            <w:vAlign w:val="center"/>
          </w:tcPr>
          <w:p w14:paraId="33CBF27E">
            <w:pPr>
              <w:spacing w:line="400" w:lineRule="atLeast"/>
              <w:jc w:val="center"/>
              <w:textAlignment w:val="center"/>
              <w:rPr>
                <w:rFonts w:ascii="等线" w:hAnsi="等线" w:eastAsia="等线" w:cs="等线"/>
                <w:b/>
                <w:color w:val="000000"/>
              </w:rPr>
            </w:pPr>
            <w:r>
              <w:rPr>
                <w:rFonts w:ascii="等线" w:hAnsi="等线" w:eastAsia="等线" w:cs="等线"/>
                <w:b/>
                <w:color w:val="000000"/>
                <w:lang w:bidi="ar"/>
              </w:rPr>
              <w:t>未完成原因分析</w:t>
            </w:r>
          </w:p>
        </w:tc>
      </w:tr>
      <w:tr w14:paraId="0CF4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1135" w:type="dxa"/>
            <w:shd w:val="clear" w:color="auto" w:fill="auto"/>
            <w:tcMar>
              <w:top w:w="15" w:type="dxa"/>
              <w:left w:w="15" w:type="dxa"/>
              <w:right w:w="15" w:type="dxa"/>
            </w:tcMar>
            <w:vAlign w:val="center"/>
          </w:tcPr>
          <w:p w14:paraId="45A38787">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产出指标</w:t>
            </w:r>
          </w:p>
        </w:tc>
        <w:tc>
          <w:tcPr>
            <w:tcW w:w="709" w:type="dxa"/>
            <w:shd w:val="clear" w:color="auto" w:fill="auto"/>
            <w:tcMar>
              <w:top w:w="15" w:type="dxa"/>
              <w:left w:w="15" w:type="dxa"/>
              <w:right w:w="15" w:type="dxa"/>
            </w:tcMar>
            <w:vAlign w:val="center"/>
          </w:tcPr>
          <w:p w14:paraId="3ADA6642">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数量指标</w:t>
            </w:r>
          </w:p>
        </w:tc>
        <w:tc>
          <w:tcPr>
            <w:tcW w:w="1701" w:type="dxa"/>
            <w:gridSpan w:val="2"/>
            <w:shd w:val="clear" w:color="auto" w:fill="auto"/>
            <w:tcMar>
              <w:top w:w="15" w:type="dxa"/>
              <w:left w:w="15" w:type="dxa"/>
              <w:right w:w="15" w:type="dxa"/>
            </w:tcMar>
            <w:vAlign w:val="center"/>
          </w:tcPr>
          <w:p w14:paraId="2ED8B17A">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特种设备检验数量</w:t>
            </w:r>
          </w:p>
        </w:tc>
        <w:tc>
          <w:tcPr>
            <w:tcW w:w="574" w:type="dxa"/>
            <w:shd w:val="clear" w:color="auto" w:fill="auto"/>
            <w:tcMar>
              <w:top w:w="15" w:type="dxa"/>
              <w:left w:w="15" w:type="dxa"/>
              <w:right w:w="15" w:type="dxa"/>
            </w:tcMar>
            <w:vAlign w:val="center"/>
          </w:tcPr>
          <w:p w14:paraId="0F26BE10">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w:t>
            </w:r>
          </w:p>
        </w:tc>
        <w:tc>
          <w:tcPr>
            <w:tcW w:w="864" w:type="dxa"/>
            <w:gridSpan w:val="2"/>
            <w:shd w:val="clear" w:color="auto" w:fill="auto"/>
            <w:tcMar>
              <w:top w:w="15" w:type="dxa"/>
              <w:left w:w="15" w:type="dxa"/>
              <w:right w:w="15" w:type="dxa"/>
            </w:tcMar>
            <w:vAlign w:val="center"/>
          </w:tcPr>
          <w:p w14:paraId="01DC7E24">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65000</w:t>
            </w:r>
          </w:p>
        </w:tc>
        <w:tc>
          <w:tcPr>
            <w:tcW w:w="555" w:type="dxa"/>
            <w:shd w:val="clear" w:color="auto" w:fill="auto"/>
            <w:tcMar>
              <w:top w:w="15" w:type="dxa"/>
              <w:left w:w="15" w:type="dxa"/>
              <w:right w:w="15" w:type="dxa"/>
            </w:tcMar>
            <w:vAlign w:val="center"/>
          </w:tcPr>
          <w:p w14:paraId="6D19FB47">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台/套</w:t>
            </w:r>
          </w:p>
        </w:tc>
        <w:tc>
          <w:tcPr>
            <w:tcW w:w="697" w:type="dxa"/>
            <w:shd w:val="clear" w:color="auto" w:fill="auto"/>
            <w:tcMar>
              <w:top w:w="15" w:type="dxa"/>
              <w:left w:w="15" w:type="dxa"/>
              <w:right w:w="15" w:type="dxa"/>
            </w:tcMar>
            <w:vAlign w:val="center"/>
          </w:tcPr>
          <w:p w14:paraId="07655172">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74000</w:t>
            </w:r>
          </w:p>
        </w:tc>
        <w:tc>
          <w:tcPr>
            <w:tcW w:w="802" w:type="dxa"/>
            <w:gridSpan w:val="2"/>
            <w:shd w:val="clear" w:color="auto" w:fill="auto"/>
            <w:tcMar>
              <w:top w:w="15" w:type="dxa"/>
              <w:left w:w="15" w:type="dxa"/>
              <w:right w:w="15" w:type="dxa"/>
            </w:tcMar>
            <w:vAlign w:val="center"/>
          </w:tcPr>
          <w:p w14:paraId="01D7BF1A">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w:t>
            </w:r>
            <w:r>
              <w:rPr>
                <w:rFonts w:hint="eastAsia" w:ascii="等线" w:hAnsi="等线" w:eastAsia="等线" w:cs="等线"/>
                <w:color w:val="000000"/>
                <w:sz w:val="22"/>
                <w:szCs w:val="22"/>
                <w:lang w:bidi="ar"/>
              </w:rPr>
              <w:t>0</w:t>
            </w:r>
            <w:r>
              <w:rPr>
                <w:rFonts w:ascii="等线" w:hAnsi="等线" w:eastAsia="等线" w:cs="等线"/>
                <w:color w:val="000000"/>
                <w:sz w:val="22"/>
                <w:szCs w:val="22"/>
                <w:lang w:bidi="ar"/>
              </w:rPr>
              <w:t>%</w:t>
            </w:r>
          </w:p>
        </w:tc>
        <w:tc>
          <w:tcPr>
            <w:tcW w:w="807" w:type="dxa"/>
            <w:gridSpan w:val="2"/>
            <w:shd w:val="clear" w:color="auto" w:fill="auto"/>
            <w:tcMar>
              <w:top w:w="15" w:type="dxa"/>
              <w:left w:w="15" w:type="dxa"/>
              <w:right w:w="15" w:type="dxa"/>
            </w:tcMar>
            <w:vAlign w:val="center"/>
          </w:tcPr>
          <w:p w14:paraId="7FD975B4">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w:t>
            </w:r>
            <w:r>
              <w:rPr>
                <w:rFonts w:hint="eastAsia" w:ascii="等线" w:hAnsi="等线" w:eastAsia="等线" w:cs="等线"/>
                <w:color w:val="000000"/>
                <w:sz w:val="22"/>
                <w:szCs w:val="22"/>
                <w:lang w:bidi="ar"/>
              </w:rPr>
              <w:t>0</w:t>
            </w:r>
          </w:p>
        </w:tc>
        <w:tc>
          <w:tcPr>
            <w:tcW w:w="804" w:type="dxa"/>
            <w:shd w:val="clear" w:color="auto" w:fill="auto"/>
            <w:tcMar>
              <w:top w:w="15" w:type="dxa"/>
              <w:left w:w="15" w:type="dxa"/>
              <w:right w:w="15" w:type="dxa"/>
            </w:tcMar>
            <w:vAlign w:val="center"/>
          </w:tcPr>
          <w:p w14:paraId="65389B81">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50</w:t>
            </w:r>
          </w:p>
        </w:tc>
        <w:tc>
          <w:tcPr>
            <w:tcW w:w="1163" w:type="dxa"/>
            <w:gridSpan w:val="2"/>
            <w:vMerge w:val="restart"/>
            <w:shd w:val="clear" w:color="auto" w:fill="auto"/>
            <w:noWrap/>
            <w:tcMar>
              <w:top w:w="15" w:type="dxa"/>
              <w:left w:w="15" w:type="dxa"/>
              <w:right w:w="15" w:type="dxa"/>
            </w:tcMar>
            <w:vAlign w:val="center"/>
          </w:tcPr>
          <w:p w14:paraId="03CFFE5B">
            <w:pPr>
              <w:spacing w:line="400" w:lineRule="atLeast"/>
              <w:rPr>
                <w:rFonts w:ascii="等线" w:hAnsi="等线" w:eastAsia="等线" w:cs="等线"/>
                <w:color w:val="000000"/>
                <w:sz w:val="22"/>
                <w:szCs w:val="22"/>
              </w:rPr>
            </w:pPr>
          </w:p>
        </w:tc>
      </w:tr>
      <w:tr w14:paraId="2C36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1135" w:type="dxa"/>
            <w:shd w:val="clear" w:color="auto" w:fill="auto"/>
            <w:tcMar>
              <w:top w:w="15" w:type="dxa"/>
              <w:left w:w="15" w:type="dxa"/>
              <w:right w:w="15" w:type="dxa"/>
            </w:tcMar>
            <w:vAlign w:val="center"/>
          </w:tcPr>
          <w:p w14:paraId="23081253">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效益指标</w:t>
            </w:r>
          </w:p>
        </w:tc>
        <w:tc>
          <w:tcPr>
            <w:tcW w:w="709" w:type="dxa"/>
            <w:shd w:val="clear" w:color="auto" w:fill="auto"/>
            <w:tcMar>
              <w:top w:w="15" w:type="dxa"/>
              <w:left w:w="15" w:type="dxa"/>
              <w:right w:w="15" w:type="dxa"/>
            </w:tcMar>
            <w:vAlign w:val="center"/>
          </w:tcPr>
          <w:p w14:paraId="2B4D79FC">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社会效益指标</w:t>
            </w:r>
          </w:p>
        </w:tc>
        <w:tc>
          <w:tcPr>
            <w:tcW w:w="1701" w:type="dxa"/>
            <w:gridSpan w:val="2"/>
            <w:shd w:val="clear" w:color="auto" w:fill="auto"/>
            <w:tcMar>
              <w:top w:w="15" w:type="dxa"/>
              <w:left w:w="15" w:type="dxa"/>
              <w:right w:w="15" w:type="dxa"/>
            </w:tcMar>
            <w:vAlign w:val="center"/>
          </w:tcPr>
          <w:p w14:paraId="7961B580">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检验员持证上岗率</w:t>
            </w:r>
          </w:p>
        </w:tc>
        <w:tc>
          <w:tcPr>
            <w:tcW w:w="574" w:type="dxa"/>
            <w:shd w:val="clear" w:color="auto" w:fill="auto"/>
            <w:tcMar>
              <w:top w:w="15" w:type="dxa"/>
              <w:left w:w="15" w:type="dxa"/>
              <w:right w:w="15" w:type="dxa"/>
            </w:tcMar>
            <w:vAlign w:val="center"/>
          </w:tcPr>
          <w:p w14:paraId="2A5645D1">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w:t>
            </w:r>
          </w:p>
        </w:tc>
        <w:tc>
          <w:tcPr>
            <w:tcW w:w="864" w:type="dxa"/>
            <w:gridSpan w:val="2"/>
            <w:shd w:val="clear" w:color="auto" w:fill="auto"/>
            <w:tcMar>
              <w:top w:w="15" w:type="dxa"/>
              <w:left w:w="15" w:type="dxa"/>
              <w:right w:w="15" w:type="dxa"/>
            </w:tcMar>
            <w:vAlign w:val="center"/>
          </w:tcPr>
          <w:p w14:paraId="4BDD63ED">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100</w:t>
            </w:r>
          </w:p>
        </w:tc>
        <w:tc>
          <w:tcPr>
            <w:tcW w:w="555" w:type="dxa"/>
            <w:shd w:val="clear" w:color="auto" w:fill="auto"/>
            <w:tcMar>
              <w:top w:w="15" w:type="dxa"/>
              <w:left w:w="15" w:type="dxa"/>
              <w:right w:w="15" w:type="dxa"/>
            </w:tcMar>
            <w:vAlign w:val="center"/>
          </w:tcPr>
          <w:p w14:paraId="2564FEBB">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w:t>
            </w:r>
          </w:p>
        </w:tc>
        <w:tc>
          <w:tcPr>
            <w:tcW w:w="697" w:type="dxa"/>
            <w:shd w:val="clear" w:color="auto" w:fill="auto"/>
            <w:tcMar>
              <w:top w:w="15" w:type="dxa"/>
              <w:left w:w="15" w:type="dxa"/>
              <w:right w:w="15" w:type="dxa"/>
            </w:tcMar>
            <w:vAlign w:val="center"/>
          </w:tcPr>
          <w:p w14:paraId="51D900E3">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100</w:t>
            </w:r>
          </w:p>
        </w:tc>
        <w:tc>
          <w:tcPr>
            <w:tcW w:w="802" w:type="dxa"/>
            <w:gridSpan w:val="2"/>
            <w:shd w:val="clear" w:color="auto" w:fill="auto"/>
            <w:tcMar>
              <w:top w:w="15" w:type="dxa"/>
              <w:left w:w="15" w:type="dxa"/>
              <w:right w:w="15" w:type="dxa"/>
            </w:tcMar>
            <w:vAlign w:val="center"/>
          </w:tcPr>
          <w:p w14:paraId="5BFC9D06">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w:t>
            </w:r>
            <w:r>
              <w:rPr>
                <w:rFonts w:hint="eastAsia" w:ascii="等线" w:hAnsi="等线" w:eastAsia="等线" w:cs="等线"/>
                <w:color w:val="000000"/>
                <w:sz w:val="22"/>
                <w:szCs w:val="22"/>
                <w:lang w:bidi="ar"/>
              </w:rPr>
              <w:t>0</w:t>
            </w:r>
            <w:r>
              <w:rPr>
                <w:rFonts w:ascii="等线" w:hAnsi="等线" w:eastAsia="等线" w:cs="等线"/>
                <w:color w:val="000000"/>
                <w:sz w:val="22"/>
                <w:szCs w:val="22"/>
                <w:lang w:bidi="ar"/>
              </w:rPr>
              <w:t>%</w:t>
            </w:r>
          </w:p>
        </w:tc>
        <w:tc>
          <w:tcPr>
            <w:tcW w:w="807" w:type="dxa"/>
            <w:gridSpan w:val="2"/>
            <w:shd w:val="clear" w:color="auto" w:fill="auto"/>
            <w:tcMar>
              <w:top w:w="15" w:type="dxa"/>
              <w:left w:w="15" w:type="dxa"/>
              <w:right w:w="15" w:type="dxa"/>
            </w:tcMar>
            <w:vAlign w:val="center"/>
          </w:tcPr>
          <w:p w14:paraId="487CB0F7">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w:t>
            </w:r>
            <w:r>
              <w:rPr>
                <w:rFonts w:hint="eastAsia" w:ascii="等线" w:hAnsi="等线" w:eastAsia="等线" w:cs="等线"/>
                <w:color w:val="000000"/>
                <w:sz w:val="22"/>
                <w:szCs w:val="22"/>
                <w:lang w:bidi="ar"/>
              </w:rPr>
              <w:t>0</w:t>
            </w:r>
          </w:p>
        </w:tc>
        <w:tc>
          <w:tcPr>
            <w:tcW w:w="804" w:type="dxa"/>
            <w:shd w:val="clear" w:color="auto" w:fill="auto"/>
            <w:tcMar>
              <w:top w:w="15" w:type="dxa"/>
              <w:left w:w="15" w:type="dxa"/>
              <w:right w:w="15" w:type="dxa"/>
            </w:tcMar>
            <w:vAlign w:val="center"/>
          </w:tcPr>
          <w:p w14:paraId="50BFDAEA">
            <w:pPr>
              <w:spacing w:line="400" w:lineRule="atLeast"/>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30</w:t>
            </w:r>
          </w:p>
        </w:tc>
        <w:tc>
          <w:tcPr>
            <w:tcW w:w="1163" w:type="dxa"/>
            <w:gridSpan w:val="2"/>
            <w:vMerge w:val="continue"/>
            <w:shd w:val="clear" w:color="auto" w:fill="auto"/>
            <w:noWrap/>
            <w:tcMar>
              <w:top w:w="15" w:type="dxa"/>
              <w:left w:w="15" w:type="dxa"/>
              <w:right w:w="15" w:type="dxa"/>
            </w:tcMar>
            <w:vAlign w:val="center"/>
          </w:tcPr>
          <w:p w14:paraId="61043531">
            <w:pPr>
              <w:spacing w:line="400" w:lineRule="atLeast"/>
              <w:rPr>
                <w:rFonts w:ascii="等线" w:hAnsi="等线" w:eastAsia="等线" w:cs="等线"/>
                <w:color w:val="000000"/>
                <w:sz w:val="22"/>
                <w:szCs w:val="22"/>
              </w:rPr>
            </w:pPr>
          </w:p>
        </w:tc>
      </w:tr>
      <w:tr w14:paraId="7305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1135" w:type="dxa"/>
            <w:shd w:val="clear" w:color="auto" w:fill="auto"/>
            <w:tcMar>
              <w:top w:w="15" w:type="dxa"/>
              <w:left w:w="15" w:type="dxa"/>
              <w:right w:w="15" w:type="dxa"/>
            </w:tcMar>
            <w:vAlign w:val="center"/>
          </w:tcPr>
          <w:p w14:paraId="19E0FD7C">
            <w:pPr>
              <w:spacing w:line="400" w:lineRule="atLeas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满</w:t>
            </w:r>
            <w:r>
              <w:rPr>
                <w:rFonts w:ascii="等线" w:hAnsi="等线" w:eastAsia="等线" w:cs="等线"/>
                <w:color w:val="000000"/>
                <w:sz w:val="22"/>
                <w:szCs w:val="22"/>
                <w:lang w:bidi="ar"/>
              </w:rPr>
              <w:t>意度指标</w:t>
            </w:r>
          </w:p>
        </w:tc>
        <w:tc>
          <w:tcPr>
            <w:tcW w:w="709" w:type="dxa"/>
            <w:shd w:val="clear" w:color="auto" w:fill="auto"/>
            <w:tcMar>
              <w:top w:w="15" w:type="dxa"/>
              <w:left w:w="15" w:type="dxa"/>
              <w:right w:w="15" w:type="dxa"/>
            </w:tcMar>
            <w:vAlign w:val="center"/>
          </w:tcPr>
          <w:p w14:paraId="5DF33CFC">
            <w:pPr>
              <w:spacing w:line="400" w:lineRule="atLeas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服务对象满意度</w:t>
            </w:r>
          </w:p>
        </w:tc>
        <w:tc>
          <w:tcPr>
            <w:tcW w:w="1701" w:type="dxa"/>
            <w:gridSpan w:val="2"/>
            <w:shd w:val="clear" w:color="auto" w:fill="auto"/>
            <w:tcMar>
              <w:top w:w="15" w:type="dxa"/>
              <w:left w:w="15" w:type="dxa"/>
              <w:right w:w="15" w:type="dxa"/>
            </w:tcMar>
            <w:vAlign w:val="center"/>
          </w:tcPr>
          <w:p w14:paraId="5FE413A5">
            <w:pPr>
              <w:spacing w:line="400" w:lineRule="atLeas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特种设备使用单位满意度</w:t>
            </w:r>
          </w:p>
        </w:tc>
        <w:tc>
          <w:tcPr>
            <w:tcW w:w="574" w:type="dxa"/>
            <w:shd w:val="clear" w:color="auto" w:fill="auto"/>
            <w:tcMar>
              <w:top w:w="15" w:type="dxa"/>
              <w:left w:w="15" w:type="dxa"/>
              <w:right w:w="15" w:type="dxa"/>
            </w:tcMar>
            <w:vAlign w:val="center"/>
          </w:tcPr>
          <w:p w14:paraId="128A1697">
            <w:pPr>
              <w:spacing w:line="400" w:lineRule="atLeast"/>
              <w:textAlignment w:val="center"/>
              <w:rPr>
                <w:rFonts w:ascii="等线" w:hAnsi="等线" w:eastAsia="等线" w:cs="等线"/>
                <w:color w:val="000000"/>
                <w:sz w:val="22"/>
                <w:szCs w:val="22"/>
                <w:lang w:bidi="ar"/>
              </w:rPr>
            </w:pPr>
            <w:r>
              <w:rPr>
                <w:rFonts w:ascii="等线" w:hAnsi="等线" w:eastAsia="等线" w:cs="等线"/>
                <w:color w:val="000000"/>
                <w:sz w:val="22"/>
                <w:szCs w:val="22"/>
                <w:lang w:bidi="ar"/>
              </w:rPr>
              <w:t>≥</w:t>
            </w:r>
          </w:p>
        </w:tc>
        <w:tc>
          <w:tcPr>
            <w:tcW w:w="864" w:type="dxa"/>
            <w:gridSpan w:val="2"/>
            <w:shd w:val="clear" w:color="auto" w:fill="auto"/>
            <w:tcMar>
              <w:top w:w="15" w:type="dxa"/>
              <w:left w:w="15" w:type="dxa"/>
              <w:right w:w="15" w:type="dxa"/>
            </w:tcMar>
            <w:vAlign w:val="center"/>
          </w:tcPr>
          <w:p w14:paraId="66D76673">
            <w:pPr>
              <w:spacing w:line="400" w:lineRule="atLeast"/>
              <w:jc w:val="righ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98</w:t>
            </w:r>
          </w:p>
        </w:tc>
        <w:tc>
          <w:tcPr>
            <w:tcW w:w="555" w:type="dxa"/>
            <w:shd w:val="clear" w:color="auto" w:fill="auto"/>
            <w:tcMar>
              <w:top w:w="15" w:type="dxa"/>
              <w:left w:w="15" w:type="dxa"/>
              <w:right w:w="15" w:type="dxa"/>
            </w:tcMar>
            <w:vAlign w:val="center"/>
          </w:tcPr>
          <w:p w14:paraId="065BFB48">
            <w:pPr>
              <w:spacing w:line="400" w:lineRule="atLeas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w:t>
            </w:r>
          </w:p>
        </w:tc>
        <w:tc>
          <w:tcPr>
            <w:tcW w:w="697" w:type="dxa"/>
            <w:shd w:val="clear" w:color="auto" w:fill="auto"/>
            <w:tcMar>
              <w:top w:w="15" w:type="dxa"/>
              <w:left w:w="15" w:type="dxa"/>
              <w:right w:w="15" w:type="dxa"/>
            </w:tcMar>
            <w:vAlign w:val="center"/>
          </w:tcPr>
          <w:p w14:paraId="34170100">
            <w:pPr>
              <w:spacing w:line="400" w:lineRule="atLeast"/>
              <w:jc w:val="righ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98</w:t>
            </w:r>
          </w:p>
        </w:tc>
        <w:tc>
          <w:tcPr>
            <w:tcW w:w="802" w:type="dxa"/>
            <w:gridSpan w:val="2"/>
            <w:shd w:val="clear" w:color="auto" w:fill="auto"/>
            <w:tcMar>
              <w:top w:w="15" w:type="dxa"/>
              <w:left w:w="15" w:type="dxa"/>
              <w:right w:w="15" w:type="dxa"/>
            </w:tcMar>
            <w:vAlign w:val="center"/>
          </w:tcPr>
          <w:p w14:paraId="5878B50E">
            <w:pPr>
              <w:spacing w:line="400" w:lineRule="atLeast"/>
              <w:jc w:val="right"/>
              <w:textAlignment w:val="center"/>
              <w:rPr>
                <w:rFonts w:ascii="等线" w:hAnsi="等线" w:eastAsia="等线" w:cs="等线"/>
                <w:color w:val="000000"/>
                <w:sz w:val="22"/>
                <w:szCs w:val="22"/>
                <w:lang w:bidi="ar"/>
              </w:rPr>
            </w:pPr>
            <w:r>
              <w:rPr>
                <w:rFonts w:ascii="等线" w:hAnsi="等线" w:eastAsia="等线" w:cs="等线"/>
                <w:color w:val="000000"/>
                <w:sz w:val="22"/>
                <w:szCs w:val="22"/>
                <w:lang w:bidi="ar"/>
              </w:rPr>
              <w:t>10</w:t>
            </w:r>
            <w:r>
              <w:rPr>
                <w:rFonts w:hint="eastAsia" w:ascii="等线" w:hAnsi="等线" w:eastAsia="等线" w:cs="等线"/>
                <w:color w:val="000000"/>
                <w:sz w:val="22"/>
                <w:szCs w:val="22"/>
                <w:lang w:bidi="ar"/>
              </w:rPr>
              <w:t>0</w:t>
            </w:r>
            <w:r>
              <w:rPr>
                <w:rFonts w:ascii="等线" w:hAnsi="等线" w:eastAsia="等线" w:cs="等线"/>
                <w:color w:val="000000"/>
                <w:sz w:val="22"/>
                <w:szCs w:val="22"/>
                <w:lang w:bidi="ar"/>
              </w:rPr>
              <w:t>%</w:t>
            </w:r>
          </w:p>
        </w:tc>
        <w:tc>
          <w:tcPr>
            <w:tcW w:w="807" w:type="dxa"/>
            <w:gridSpan w:val="2"/>
            <w:shd w:val="clear" w:color="auto" w:fill="auto"/>
            <w:tcMar>
              <w:top w:w="15" w:type="dxa"/>
              <w:left w:w="15" w:type="dxa"/>
              <w:right w:w="15" w:type="dxa"/>
            </w:tcMar>
            <w:vAlign w:val="center"/>
          </w:tcPr>
          <w:p w14:paraId="2C24A75D">
            <w:pPr>
              <w:spacing w:line="400" w:lineRule="atLeast"/>
              <w:jc w:val="right"/>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10</w:t>
            </w:r>
          </w:p>
        </w:tc>
        <w:tc>
          <w:tcPr>
            <w:tcW w:w="804" w:type="dxa"/>
            <w:shd w:val="clear" w:color="auto" w:fill="auto"/>
            <w:tcMar>
              <w:top w:w="15" w:type="dxa"/>
              <w:left w:w="15" w:type="dxa"/>
              <w:right w:w="15" w:type="dxa"/>
            </w:tcMar>
            <w:vAlign w:val="center"/>
          </w:tcPr>
          <w:p w14:paraId="64A935DC">
            <w:pPr>
              <w:spacing w:line="400" w:lineRule="atLeast"/>
              <w:jc w:val="center"/>
              <w:textAlignment w:val="center"/>
              <w:rPr>
                <w:rFonts w:ascii="等线" w:hAnsi="等线" w:eastAsia="等线" w:cs="等线"/>
                <w:color w:val="000000"/>
                <w:sz w:val="22"/>
                <w:szCs w:val="22"/>
                <w:lang w:bidi="ar"/>
              </w:rPr>
            </w:pPr>
            <w:r>
              <w:rPr>
                <w:rFonts w:hint="eastAsia" w:ascii="等线" w:hAnsi="等线" w:eastAsia="等线" w:cs="等线"/>
                <w:color w:val="000000"/>
                <w:sz w:val="22"/>
                <w:szCs w:val="22"/>
                <w:lang w:bidi="ar"/>
              </w:rPr>
              <w:t>10</w:t>
            </w:r>
          </w:p>
        </w:tc>
        <w:tc>
          <w:tcPr>
            <w:tcW w:w="1163" w:type="dxa"/>
            <w:gridSpan w:val="2"/>
            <w:vMerge w:val="continue"/>
            <w:shd w:val="clear" w:color="auto" w:fill="auto"/>
            <w:noWrap/>
            <w:tcMar>
              <w:top w:w="15" w:type="dxa"/>
              <w:left w:w="15" w:type="dxa"/>
              <w:right w:w="15" w:type="dxa"/>
            </w:tcMar>
            <w:vAlign w:val="center"/>
          </w:tcPr>
          <w:p w14:paraId="74A50AA9">
            <w:pPr>
              <w:spacing w:line="400" w:lineRule="atLeast"/>
              <w:rPr>
                <w:rFonts w:ascii="等线" w:hAnsi="等线" w:eastAsia="等线" w:cs="等线"/>
                <w:color w:val="000000"/>
                <w:sz w:val="22"/>
                <w:szCs w:val="22"/>
              </w:rPr>
            </w:pPr>
          </w:p>
        </w:tc>
      </w:tr>
      <w:tr w14:paraId="4DAD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7037" w:type="dxa"/>
            <w:gridSpan w:val="11"/>
            <w:shd w:val="clear" w:color="auto" w:fill="auto"/>
            <w:tcMar>
              <w:top w:w="15" w:type="dxa"/>
              <w:left w:w="15" w:type="dxa"/>
              <w:right w:w="15" w:type="dxa"/>
            </w:tcMar>
            <w:vAlign w:val="center"/>
          </w:tcPr>
          <w:p w14:paraId="3EF89844">
            <w:pPr>
              <w:spacing w:line="400" w:lineRule="atLeast"/>
              <w:textAlignment w:val="center"/>
              <w:rPr>
                <w:rFonts w:ascii="等线" w:hAnsi="等线" w:eastAsia="等线" w:cs="等线"/>
                <w:color w:val="000000"/>
                <w:sz w:val="22"/>
                <w:szCs w:val="22"/>
              </w:rPr>
            </w:pPr>
            <w:r>
              <w:rPr>
                <w:rFonts w:ascii="等线" w:hAnsi="等线" w:eastAsia="等线" w:cs="等线"/>
                <w:color w:val="000000"/>
                <w:sz w:val="22"/>
                <w:szCs w:val="22"/>
                <w:lang w:bidi="ar"/>
              </w:rPr>
              <w:t>合计</w:t>
            </w:r>
          </w:p>
        </w:tc>
        <w:tc>
          <w:tcPr>
            <w:tcW w:w="807" w:type="dxa"/>
            <w:gridSpan w:val="2"/>
            <w:shd w:val="clear" w:color="auto" w:fill="auto"/>
            <w:tcMar>
              <w:top w:w="15" w:type="dxa"/>
              <w:left w:w="15" w:type="dxa"/>
              <w:right w:w="15" w:type="dxa"/>
            </w:tcMar>
            <w:vAlign w:val="center"/>
          </w:tcPr>
          <w:p w14:paraId="6D95FEC1">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w:t>
            </w:r>
            <w:r>
              <w:rPr>
                <w:rFonts w:hint="eastAsia" w:ascii="等线" w:hAnsi="等线" w:eastAsia="等线" w:cs="等线"/>
                <w:color w:val="000000"/>
                <w:sz w:val="22"/>
                <w:szCs w:val="22"/>
                <w:lang w:bidi="ar"/>
              </w:rPr>
              <w:t>0</w:t>
            </w:r>
          </w:p>
        </w:tc>
        <w:tc>
          <w:tcPr>
            <w:tcW w:w="804" w:type="dxa"/>
            <w:shd w:val="clear" w:color="auto" w:fill="auto"/>
            <w:tcMar>
              <w:top w:w="15" w:type="dxa"/>
              <w:left w:w="15" w:type="dxa"/>
              <w:right w:w="15" w:type="dxa"/>
            </w:tcMar>
            <w:vAlign w:val="center"/>
          </w:tcPr>
          <w:p w14:paraId="42C4D581">
            <w:pPr>
              <w:spacing w:line="400" w:lineRule="atLeast"/>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96.39</w:t>
            </w:r>
          </w:p>
        </w:tc>
        <w:tc>
          <w:tcPr>
            <w:tcW w:w="1163" w:type="dxa"/>
            <w:gridSpan w:val="2"/>
            <w:vMerge w:val="continue"/>
            <w:shd w:val="clear" w:color="auto" w:fill="auto"/>
            <w:noWrap/>
            <w:tcMar>
              <w:top w:w="15" w:type="dxa"/>
              <w:left w:w="15" w:type="dxa"/>
              <w:right w:w="15" w:type="dxa"/>
            </w:tcMar>
            <w:vAlign w:val="center"/>
          </w:tcPr>
          <w:p w14:paraId="3022490D">
            <w:pPr>
              <w:spacing w:line="400" w:lineRule="atLeast"/>
              <w:rPr>
                <w:rFonts w:ascii="等线" w:hAnsi="等线" w:eastAsia="等线" w:cs="等线"/>
                <w:color w:val="000000"/>
                <w:sz w:val="22"/>
                <w:szCs w:val="22"/>
              </w:rPr>
            </w:pPr>
          </w:p>
        </w:tc>
      </w:tr>
    </w:tbl>
    <w:p w14:paraId="750C3910">
      <w:pPr>
        <w:pStyle w:val="2"/>
      </w:pPr>
    </w:p>
    <w:p w14:paraId="3CE92392">
      <w:pPr>
        <w:spacing w:line="530" w:lineRule="exact"/>
        <w:ind w:firstLine="640" w:firstLineChars="200"/>
        <w:rPr>
          <w:rFonts w:ascii="仿宋_GB2312" w:eastAsia="仿宋_GB2312"/>
          <w:sz w:val="32"/>
          <w:szCs w:val="32"/>
        </w:rPr>
      </w:pPr>
      <w:r>
        <w:rPr>
          <w:rFonts w:hint="eastAsia" w:ascii="仿宋_GB2312" w:eastAsia="仿宋_GB2312"/>
          <w:sz w:val="32"/>
          <w:szCs w:val="32"/>
        </w:rPr>
        <w:t>综合运行事务绩效自评报告：</w:t>
      </w:r>
    </w:p>
    <w:p w14:paraId="70BCCADC">
      <w:pPr>
        <w:spacing w:line="530" w:lineRule="exact"/>
        <w:ind w:firstLine="640" w:firstLineChars="200"/>
        <w:rPr>
          <w:rFonts w:ascii="仿宋_GB2312" w:hAnsi="楷体" w:eastAsia="仿宋_GB2312" w:cs="楷体"/>
          <w:sz w:val="32"/>
          <w:szCs w:val="32"/>
        </w:rPr>
      </w:pPr>
      <w:r>
        <w:rPr>
          <w:rFonts w:hint="eastAsia" w:ascii="仿宋_GB2312" w:eastAsia="仿宋_GB2312"/>
          <w:sz w:val="32"/>
          <w:szCs w:val="32"/>
        </w:rPr>
        <w:t>根据年初设定的绩效目标，项目绩效自评得分为</w:t>
      </w:r>
      <w:r>
        <w:rPr>
          <w:rFonts w:ascii="仿宋_GB2312" w:eastAsia="仿宋_GB2312"/>
          <w:sz w:val="32"/>
          <w:szCs w:val="32"/>
        </w:rPr>
        <w:t>96.39</w:t>
      </w:r>
      <w:r>
        <w:rPr>
          <w:rFonts w:hint="eastAsia" w:ascii="仿宋_GB2312" w:eastAsia="仿宋_GB2312"/>
          <w:sz w:val="32"/>
          <w:szCs w:val="32"/>
        </w:rPr>
        <w:t>分。全年预算数为</w:t>
      </w:r>
      <w:r>
        <w:rPr>
          <w:rFonts w:ascii="仿宋_GB2312" w:eastAsia="仿宋_GB2312"/>
          <w:sz w:val="32"/>
          <w:szCs w:val="32"/>
        </w:rPr>
        <w:t>648.42</w:t>
      </w:r>
      <w:r>
        <w:rPr>
          <w:rFonts w:hint="eastAsia" w:ascii="仿宋_GB2312" w:eastAsia="仿宋_GB2312"/>
          <w:sz w:val="32"/>
          <w:szCs w:val="32"/>
        </w:rPr>
        <w:t>万元，执行数为</w:t>
      </w:r>
      <w:r>
        <w:rPr>
          <w:rFonts w:ascii="仿宋_GB2312" w:eastAsia="仿宋_GB2312"/>
          <w:sz w:val="32"/>
          <w:szCs w:val="32"/>
        </w:rPr>
        <w:t>625.02</w:t>
      </w:r>
      <w:r>
        <w:rPr>
          <w:rFonts w:hint="eastAsia" w:ascii="仿宋_GB2312" w:eastAsia="仿宋_GB2312"/>
          <w:sz w:val="32"/>
          <w:szCs w:val="32"/>
        </w:rPr>
        <w:t>万元，完成预算的</w:t>
      </w:r>
      <w:r>
        <w:rPr>
          <w:rFonts w:ascii="仿宋_GB2312" w:eastAsia="仿宋_GB2312"/>
          <w:sz w:val="32"/>
          <w:szCs w:val="32"/>
        </w:rPr>
        <w:t>96.39</w:t>
      </w:r>
      <w:r>
        <w:rPr>
          <w:rFonts w:hint="eastAsia" w:ascii="仿宋_GB2312" w:eastAsia="仿宋_GB2312"/>
          <w:sz w:val="32"/>
          <w:szCs w:val="32"/>
        </w:rPr>
        <w:t>%。</w:t>
      </w:r>
      <w:r>
        <w:rPr>
          <w:rFonts w:hint="eastAsia" w:ascii="仿宋_GB2312" w:hAnsi="楷体" w:eastAsia="仿宋_GB2312" w:cs="楷体"/>
          <w:sz w:val="32"/>
          <w:szCs w:val="32"/>
        </w:rPr>
        <w:t>2023年全年我所完成全省74000多台在用定检特种设备进行安全检验，超额完成了预定目标65000台的绩效目标。2023年1-6月，完成特种设备检验数量为37000多台，完成率为58%；1-9月，完成特种设备检验数量为56000多台，完成率为86%，1-12月全年完成特种设备检验数量为74000多台，超出年度设定的绩效目标值。</w:t>
      </w:r>
    </w:p>
    <w:p w14:paraId="77668C62">
      <w:pPr>
        <w:spacing w:line="53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2023年派人员外出参加国家局检验检测人员取证考试、换证培训、继续教育培训、行业法规标准宣贯班等，完成检验</w:t>
      </w:r>
      <w:r>
        <w:rPr>
          <w:rFonts w:ascii="仿宋_GB2312" w:hAnsi="楷体" w:eastAsia="仿宋_GB2312" w:cs="楷体"/>
          <w:sz w:val="32"/>
          <w:szCs w:val="32"/>
        </w:rPr>
        <w:t>人员</w:t>
      </w:r>
      <w:r>
        <w:rPr>
          <w:rFonts w:hint="eastAsia" w:ascii="仿宋_GB2312" w:hAnsi="楷体" w:eastAsia="仿宋_GB2312" w:cs="楷体"/>
          <w:sz w:val="32"/>
          <w:szCs w:val="32"/>
        </w:rPr>
        <w:t>100%持</w:t>
      </w:r>
      <w:r>
        <w:rPr>
          <w:rFonts w:ascii="仿宋_GB2312" w:hAnsi="楷体" w:eastAsia="仿宋_GB2312" w:cs="楷体"/>
          <w:sz w:val="32"/>
          <w:szCs w:val="32"/>
        </w:rPr>
        <w:t>证上岗的预算目标。</w:t>
      </w:r>
    </w:p>
    <w:p w14:paraId="4BCE765A">
      <w:pPr>
        <w:spacing w:line="53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在当前经济社会快速发展、特种设备数量不断增加的形势下，我省特种设备检验任务越来越重，要求越来越高，责任越来越大。因此，省政府应保障综合运管事务项目经费的投入，出台相关的管理措施，保障特种设备安全运行,实现我省特检事业科学、和谐发展。</w:t>
      </w:r>
    </w:p>
    <w:p w14:paraId="4109207C">
      <w:pPr>
        <w:widowControl w:val="0"/>
        <w:autoSpaceDE w:val="0"/>
        <w:spacing w:line="576" w:lineRule="exact"/>
        <w:ind w:firstLine="482" w:firstLineChars="150"/>
        <w:rPr>
          <w:rFonts w:ascii="楷体" w:hAnsi="楷体" w:eastAsia="楷体"/>
          <w:b/>
          <w:bCs/>
          <w:sz w:val="32"/>
          <w:szCs w:val="32"/>
        </w:rPr>
      </w:pPr>
      <w:r>
        <w:rPr>
          <w:rFonts w:hint="eastAsia" w:ascii="楷体" w:hAnsi="楷体" w:eastAsia="楷体"/>
          <w:b/>
          <w:bCs/>
          <w:sz w:val="32"/>
          <w:szCs w:val="32"/>
        </w:rPr>
        <w:t>（三）部</w:t>
      </w:r>
      <w:r>
        <w:rPr>
          <w:rFonts w:ascii="楷体" w:hAnsi="楷体" w:eastAsia="楷体"/>
          <w:b/>
          <w:bCs/>
          <w:sz w:val="32"/>
          <w:szCs w:val="32"/>
        </w:rPr>
        <w:t>门评价结果</w:t>
      </w:r>
      <w:r>
        <w:rPr>
          <w:rFonts w:hint="eastAsia" w:ascii="楷体" w:hAnsi="楷体" w:eastAsia="楷体"/>
          <w:b/>
          <w:bCs/>
          <w:sz w:val="32"/>
          <w:szCs w:val="32"/>
        </w:rPr>
        <w:t>。</w:t>
      </w:r>
    </w:p>
    <w:p w14:paraId="235DE7ED">
      <w:pPr>
        <w:widowControl w:val="0"/>
        <w:autoSpaceDE w:val="0"/>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本年</w:t>
      </w:r>
      <w:r>
        <w:rPr>
          <w:rFonts w:ascii="仿宋" w:hAnsi="仿宋" w:eastAsia="仿宋" w:cs="仿宋"/>
          <w:sz w:val="32"/>
          <w:szCs w:val="32"/>
        </w:rPr>
        <w:t>度</w:t>
      </w:r>
      <w:r>
        <w:rPr>
          <w:rFonts w:hint="eastAsia" w:ascii="仿宋" w:hAnsi="仿宋" w:eastAsia="仿宋" w:cs="仿宋"/>
          <w:sz w:val="32"/>
          <w:szCs w:val="32"/>
        </w:rPr>
        <w:t>无此</w:t>
      </w:r>
      <w:r>
        <w:rPr>
          <w:rFonts w:ascii="仿宋" w:hAnsi="仿宋" w:eastAsia="仿宋" w:cs="仿宋"/>
          <w:sz w:val="32"/>
          <w:szCs w:val="32"/>
        </w:rPr>
        <w:t>项内容</w:t>
      </w:r>
      <w:r>
        <w:rPr>
          <w:rFonts w:hint="eastAsia" w:ascii="仿宋" w:hAnsi="仿宋" w:eastAsia="仿宋" w:cs="仿宋"/>
          <w:sz w:val="32"/>
          <w:szCs w:val="32"/>
        </w:rPr>
        <w:t>。</w:t>
      </w:r>
    </w:p>
    <w:p w14:paraId="5AD91035">
      <w:pPr>
        <w:widowControl w:val="0"/>
        <w:autoSpaceDE w:val="0"/>
        <w:spacing w:line="576" w:lineRule="exact"/>
        <w:ind w:firstLine="482" w:firstLineChars="150"/>
        <w:rPr>
          <w:rFonts w:ascii="楷体" w:hAnsi="楷体" w:eastAsia="楷体"/>
          <w:b/>
          <w:bCs/>
          <w:sz w:val="32"/>
          <w:szCs w:val="32"/>
        </w:rPr>
      </w:pPr>
      <w:r>
        <w:rPr>
          <w:rFonts w:hint="eastAsia" w:ascii="楷体" w:hAnsi="楷体" w:eastAsia="楷体"/>
          <w:b/>
          <w:bCs/>
          <w:sz w:val="32"/>
          <w:szCs w:val="32"/>
        </w:rPr>
        <w:t>（四）财政评价结果。</w:t>
      </w:r>
    </w:p>
    <w:p w14:paraId="2BEC52CA">
      <w:pPr>
        <w:widowControl w:val="0"/>
        <w:autoSpaceDE w:val="0"/>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本</w:t>
      </w:r>
      <w:r>
        <w:rPr>
          <w:rFonts w:ascii="仿宋" w:hAnsi="仿宋" w:eastAsia="仿宋" w:cs="仿宋"/>
          <w:sz w:val="32"/>
          <w:szCs w:val="32"/>
        </w:rPr>
        <w:t>年度</w:t>
      </w:r>
      <w:r>
        <w:rPr>
          <w:rFonts w:hint="eastAsia" w:ascii="仿宋" w:hAnsi="仿宋" w:eastAsia="仿宋" w:cs="仿宋"/>
          <w:sz w:val="32"/>
          <w:szCs w:val="32"/>
        </w:rPr>
        <w:t>无此</w:t>
      </w:r>
      <w:r>
        <w:rPr>
          <w:rFonts w:ascii="仿宋" w:hAnsi="仿宋" w:eastAsia="仿宋" w:cs="仿宋"/>
          <w:sz w:val="32"/>
          <w:szCs w:val="32"/>
        </w:rPr>
        <w:t>项内容</w:t>
      </w:r>
      <w:r>
        <w:rPr>
          <w:rFonts w:hint="eastAsia" w:ascii="仿宋" w:hAnsi="仿宋" w:eastAsia="仿宋" w:cs="仿宋"/>
          <w:sz w:val="32"/>
          <w:szCs w:val="32"/>
        </w:rPr>
        <w:t>。</w:t>
      </w:r>
    </w:p>
    <w:p w14:paraId="14FDA900">
      <w:pPr>
        <w:widowControl w:val="0"/>
        <w:numPr>
          <w:ilvl w:val="0"/>
          <w:numId w:val="5"/>
        </w:num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其他重要事项情况说明。</w:t>
      </w:r>
    </w:p>
    <w:p w14:paraId="090893AE">
      <w:pPr>
        <w:widowControl w:val="0"/>
        <w:autoSpaceDE w:val="0"/>
        <w:spacing w:line="576" w:lineRule="exact"/>
        <w:ind w:firstLine="643" w:firstLineChars="200"/>
        <w:rPr>
          <w:rFonts w:ascii="楷体" w:hAnsi="楷体" w:eastAsia="楷体"/>
          <w:b/>
          <w:bCs/>
          <w:sz w:val="32"/>
          <w:szCs w:val="32"/>
        </w:rPr>
      </w:pPr>
      <w:r>
        <w:rPr>
          <w:rFonts w:hint="eastAsia" w:ascii="楷体" w:hAnsi="楷体" w:eastAsia="楷体"/>
          <w:b/>
          <w:bCs/>
          <w:sz w:val="32"/>
          <w:szCs w:val="32"/>
        </w:rPr>
        <w:t>（一）机关运行经费支出情况。</w:t>
      </w:r>
    </w:p>
    <w:p w14:paraId="51A216B0">
      <w:pPr>
        <w:widowControl w:val="0"/>
        <w:autoSpaceDE w:val="0"/>
        <w:spacing w:line="576" w:lineRule="exact"/>
        <w:ind w:firstLine="640" w:firstLineChars="200"/>
        <w:rPr>
          <w:rFonts w:ascii="楷体" w:hAnsi="楷体" w:eastAsia="楷体"/>
          <w:b/>
          <w:bCs/>
          <w:sz w:val="32"/>
          <w:szCs w:val="32"/>
        </w:rPr>
      </w:pPr>
      <w:r>
        <w:rPr>
          <w:rFonts w:hint="eastAsia" w:ascii="仿宋_GB2312" w:hAnsi="ˎ̥" w:eastAsia="仿宋_GB2312"/>
          <w:sz w:val="32"/>
          <w:szCs w:val="32"/>
        </w:rPr>
        <w:t>海南省锅炉压力容器与特种设备检验所为财政全额拨款事业单位，2023年度无机关运行经费。</w:t>
      </w:r>
    </w:p>
    <w:p w14:paraId="502D52D3">
      <w:pPr>
        <w:widowControl w:val="0"/>
        <w:autoSpaceDE w:val="0"/>
        <w:spacing w:line="576" w:lineRule="exact"/>
        <w:ind w:firstLine="643" w:firstLineChars="200"/>
        <w:rPr>
          <w:rFonts w:ascii="楷体" w:hAnsi="楷体" w:eastAsia="楷体"/>
          <w:b/>
          <w:bCs/>
          <w:sz w:val="32"/>
          <w:szCs w:val="32"/>
        </w:rPr>
      </w:pPr>
      <w:r>
        <w:rPr>
          <w:rFonts w:hint="eastAsia" w:ascii="楷体" w:hAnsi="楷体" w:eastAsia="楷体"/>
          <w:b/>
          <w:bCs/>
          <w:sz w:val="32"/>
          <w:szCs w:val="32"/>
        </w:rPr>
        <w:t>（二）政府采购支出情况。</w:t>
      </w:r>
    </w:p>
    <w:p w14:paraId="6A4EFEC7">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2023年度海南省锅炉压力容器与特种设备检验所政府采购支出总额</w:t>
      </w:r>
      <w:r>
        <w:rPr>
          <w:rFonts w:ascii="仿宋_GB2312" w:hAnsi="ˎ̥" w:eastAsia="仿宋_GB2312"/>
          <w:sz w:val="32"/>
          <w:szCs w:val="32"/>
        </w:rPr>
        <w:t>162</w:t>
      </w:r>
      <w:r>
        <w:rPr>
          <w:rFonts w:hint="eastAsia" w:ascii="仿宋_GB2312" w:hAnsi="ˎ̥" w:eastAsia="仿宋_GB2312"/>
          <w:sz w:val="32"/>
          <w:szCs w:val="32"/>
        </w:rPr>
        <w:t>.6</w:t>
      </w:r>
      <w:r>
        <w:rPr>
          <w:rFonts w:ascii="仿宋_GB2312" w:hAnsi="ˎ̥" w:eastAsia="仿宋_GB2312"/>
          <w:sz w:val="32"/>
          <w:szCs w:val="32"/>
        </w:rPr>
        <w:t>1</w:t>
      </w:r>
      <w:r>
        <w:rPr>
          <w:rFonts w:hint="eastAsia" w:ascii="仿宋_GB2312" w:hAnsi="ˎ̥" w:eastAsia="仿宋_GB2312"/>
          <w:sz w:val="32"/>
          <w:szCs w:val="32"/>
        </w:rPr>
        <w:t>万元，其中：政府采购货物支出</w:t>
      </w:r>
      <w:r>
        <w:rPr>
          <w:rFonts w:ascii="仿宋_GB2312" w:hAnsi="ˎ̥" w:eastAsia="仿宋_GB2312"/>
          <w:sz w:val="32"/>
          <w:szCs w:val="32"/>
        </w:rPr>
        <w:t>162</w:t>
      </w:r>
      <w:r>
        <w:rPr>
          <w:rFonts w:hint="eastAsia" w:ascii="仿宋_GB2312" w:hAnsi="ˎ̥" w:eastAsia="仿宋_GB2312"/>
          <w:sz w:val="32"/>
          <w:szCs w:val="32"/>
        </w:rPr>
        <w:t>.6</w:t>
      </w:r>
      <w:r>
        <w:rPr>
          <w:rFonts w:ascii="仿宋_GB2312" w:hAnsi="ˎ̥" w:eastAsia="仿宋_GB2312"/>
          <w:sz w:val="32"/>
          <w:szCs w:val="32"/>
        </w:rPr>
        <w:t>1</w:t>
      </w:r>
      <w:r>
        <w:rPr>
          <w:rFonts w:hint="eastAsia" w:ascii="仿宋_GB2312" w:hAnsi="ˎ̥" w:eastAsia="仿宋_GB2312"/>
          <w:sz w:val="32"/>
          <w:szCs w:val="32"/>
        </w:rPr>
        <w:t>万元。授</w:t>
      </w:r>
      <w:r>
        <w:rPr>
          <w:rFonts w:hint="eastAsia" w:ascii="仿宋_GB2312" w:hAnsi="ˎ̥" w:eastAsia="仿宋_GB2312"/>
          <w:spacing w:val="-10"/>
          <w:sz w:val="32"/>
          <w:szCs w:val="32"/>
        </w:rPr>
        <w:t>予中小企业合同金额</w:t>
      </w:r>
      <w:r>
        <w:rPr>
          <w:rFonts w:ascii="仿宋_GB2312" w:hAnsi="ˎ̥" w:eastAsia="仿宋_GB2312"/>
          <w:sz w:val="32"/>
          <w:szCs w:val="32"/>
        </w:rPr>
        <w:t>0</w:t>
      </w:r>
      <w:r>
        <w:rPr>
          <w:rFonts w:hint="eastAsia" w:ascii="仿宋_GB2312" w:hAnsi="ˎ̥" w:eastAsia="仿宋_GB2312"/>
          <w:spacing w:val="-10"/>
          <w:sz w:val="32"/>
          <w:szCs w:val="32"/>
        </w:rPr>
        <w:t>万元，占政府采购支出总额的0%，其中：</w:t>
      </w:r>
      <w:r>
        <w:rPr>
          <w:rFonts w:hint="eastAsia" w:ascii="仿宋_GB2312" w:hAnsi="ˎ̥" w:eastAsia="仿宋_GB2312"/>
          <w:sz w:val="32"/>
          <w:szCs w:val="32"/>
        </w:rPr>
        <w:t>授予小微企业合同金额0万元，占政府采购支出总额的0%。</w:t>
      </w:r>
    </w:p>
    <w:p w14:paraId="04E02C07">
      <w:pPr>
        <w:widowControl w:val="0"/>
        <w:autoSpaceDE w:val="0"/>
        <w:spacing w:line="560" w:lineRule="exact"/>
        <w:ind w:firstLine="643" w:firstLineChars="200"/>
        <w:jc w:val="both"/>
        <w:rPr>
          <w:rFonts w:ascii="楷体" w:hAnsi="楷体" w:eastAsia="楷体"/>
          <w:b/>
          <w:bCs/>
          <w:sz w:val="32"/>
          <w:szCs w:val="32"/>
        </w:rPr>
      </w:pPr>
      <w:r>
        <w:rPr>
          <w:rFonts w:hint="eastAsia" w:ascii="楷体" w:hAnsi="楷体" w:eastAsia="楷体"/>
          <w:b/>
          <w:bCs/>
          <w:sz w:val="32"/>
          <w:szCs w:val="32"/>
        </w:rPr>
        <w:t>（三）国有资产占用情况。</w:t>
      </w:r>
    </w:p>
    <w:p w14:paraId="09C56E7E">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截至2023年12月31日，本单位占用房屋面积10,920.61平方米，其中：业务用房10,380平方米，其他（不含构筑物）540.61平方米。</w:t>
      </w:r>
    </w:p>
    <w:p w14:paraId="0BF3AF22">
      <w:pPr>
        <w:widowControl w:val="0"/>
        <w:autoSpaceDE w:val="0"/>
        <w:spacing w:line="560" w:lineRule="exact"/>
        <w:ind w:firstLine="608" w:firstLineChars="200"/>
        <w:jc w:val="both"/>
        <w:rPr>
          <w:rFonts w:hint="eastAsia" w:ascii="仿宋_GB2312" w:hAnsi="ˎ̥" w:eastAsia="仿宋_GB2312"/>
          <w:sz w:val="32"/>
          <w:szCs w:val="32"/>
        </w:rPr>
      </w:pPr>
      <w:r>
        <w:rPr>
          <w:rFonts w:hint="eastAsia" w:ascii="仿宋_GB2312" w:hAnsi="ˎ̥" w:eastAsia="仿宋_GB2312"/>
          <w:spacing w:val="-8"/>
          <w:sz w:val="32"/>
          <w:szCs w:val="32"/>
        </w:rPr>
        <w:t>本单位共有车辆4辆，其中：从车辆种类说明：轿车1辆，</w:t>
      </w:r>
      <w:r>
        <w:rPr>
          <w:rFonts w:hint="eastAsia" w:ascii="仿宋_GB2312" w:hAnsi="ˎ̥" w:eastAsia="仿宋_GB2312"/>
          <w:sz w:val="32"/>
          <w:szCs w:val="32"/>
        </w:rPr>
        <w:t>其他车型3辆，其他车型主要是检验检测用车。</w:t>
      </w:r>
    </w:p>
    <w:p w14:paraId="06D57528">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100万元（含）以上专用设备0台（套）。</w:t>
      </w:r>
    </w:p>
    <w:p w14:paraId="1BE60726">
      <w:pPr>
        <w:widowControl w:val="0"/>
        <w:autoSpaceDE w:val="0"/>
        <w:spacing w:line="560" w:lineRule="exact"/>
        <w:ind w:firstLine="640" w:firstLineChars="200"/>
        <w:jc w:val="both"/>
        <w:rPr>
          <w:rFonts w:ascii="黑体" w:hAnsi="黑体" w:eastAsia="黑体"/>
          <w:sz w:val="32"/>
          <w:szCs w:val="32"/>
        </w:rPr>
      </w:pPr>
      <w:r>
        <w:rPr>
          <w:rFonts w:hint="eastAsia" w:ascii="仿宋_GB2312" w:hAnsi="ˎ̥" w:eastAsia="仿宋_GB2312"/>
          <w:sz w:val="32"/>
          <w:szCs w:val="32"/>
        </w:rPr>
        <w:t>年末在建工程0万元。</w:t>
      </w:r>
    </w:p>
    <w:p w14:paraId="4B8CB27E">
      <w:pPr>
        <w:widowControl w:val="0"/>
        <w:autoSpaceDE w:val="0"/>
        <w:spacing w:line="576" w:lineRule="exact"/>
        <w:ind w:left="546"/>
        <w:jc w:val="both"/>
        <w:rPr>
          <w:rFonts w:hint="eastAsia" w:ascii="黑体" w:hAnsi="ˎ̥" w:eastAsia="黑体"/>
          <w:sz w:val="32"/>
          <w:szCs w:val="32"/>
        </w:rPr>
      </w:pPr>
    </w:p>
    <w:p w14:paraId="7EFD3A75">
      <w:pPr>
        <w:widowControl w:val="0"/>
        <w:autoSpaceDE w:val="0"/>
        <w:spacing w:line="576" w:lineRule="exact"/>
        <w:ind w:left="546"/>
        <w:jc w:val="both"/>
        <w:rPr>
          <w:rFonts w:hint="eastAsia" w:ascii="仿宋_GB2312" w:hAnsi="ˎ̥" w:eastAsia="仿宋_GB2312"/>
          <w:sz w:val="32"/>
          <w:szCs w:val="32"/>
        </w:rPr>
      </w:pPr>
      <w:r>
        <w:rPr>
          <w:rFonts w:hint="eastAsia" w:ascii="黑体" w:hAnsi="ˎ̥" w:eastAsia="黑体"/>
          <w:sz w:val="32"/>
          <w:szCs w:val="32"/>
        </w:rPr>
        <w:t xml:space="preserve">              第四部分   </w:t>
      </w:r>
      <w:r>
        <w:rPr>
          <w:rFonts w:hint="eastAsia" w:ascii="黑体" w:hAnsi="黑体" w:eastAsia="黑体"/>
          <w:sz w:val="32"/>
          <w:szCs w:val="32"/>
        </w:rPr>
        <w:t>名词解释</w:t>
      </w:r>
    </w:p>
    <w:p w14:paraId="151C0C39">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一、财政拨款收入：指本级财政当年拨付的资金。</w:t>
      </w:r>
    </w:p>
    <w:p w14:paraId="2F94FB5B">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14:paraId="300BD4AC">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14:paraId="21C4E673">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14:paraId="44443A65">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五、年初结转和结余：指以前年度尚未完成、结转到本年按有关规定继续使用的资金。</w:t>
      </w:r>
    </w:p>
    <w:p w14:paraId="2B29DFEA">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六、年末结转和结余：指本年度或以前年度预算安排、因客观条件发生变化无法按原计划实施，需要延迟到以后年度按有关规定继续使用的资金。</w:t>
      </w:r>
    </w:p>
    <w:p w14:paraId="17704552">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七、基本支出：指为保障机构正常运转、完成日常工作任务而发生的人员支出和公用支出。</w:t>
      </w:r>
    </w:p>
    <w:p w14:paraId="768B21FB">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八、项目支出：指在基本支出之外为完成特定行政任务和事业发展目标所发生的支出。</w:t>
      </w:r>
    </w:p>
    <w:p w14:paraId="2DCE8CDD">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九、经营支出：指事业单位在专业业务活动及其辅助活动之外开展非独立核算经营活动发生的支出。</w:t>
      </w:r>
    </w:p>
    <w:p w14:paraId="36347C6A">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FB70B74">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十一、信息化建设：反映市场监督管理、药品监督管理部门用于信息化建设方面的支出。</w:t>
      </w:r>
    </w:p>
    <w:p w14:paraId="3414B2E5">
      <w:pPr>
        <w:widowControl w:val="0"/>
        <w:autoSpaceDE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十二、质量安全监管：反映质量安全监管、特种设备安全监管等质量监管专项工作支出。</w:t>
      </w:r>
    </w:p>
    <w:p w14:paraId="484677E9">
      <w:pPr>
        <w:widowControl w:val="0"/>
        <w:autoSpaceDE w:val="0"/>
        <w:spacing w:line="55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十三、事业运行：反映事业单位的基本支出，不包括行政单位（包括实行公务员管理的事业单位）后勤服务中心、医务室等附属事业单位。</w:t>
      </w:r>
    </w:p>
    <w:p w14:paraId="19A8307D">
      <w:pPr>
        <w:widowControl w:val="0"/>
        <w:autoSpaceDE w:val="0"/>
        <w:spacing w:line="55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十四、其他市场监督管理事务支出：反映用于除上述项目以外其他市场监督管理事务方面的支出。</w:t>
      </w:r>
    </w:p>
    <w:p w14:paraId="5A6AED5A">
      <w:pPr>
        <w:widowControl w:val="0"/>
        <w:autoSpaceDE w:val="0"/>
        <w:spacing w:line="550" w:lineRule="exact"/>
        <w:ind w:firstLine="640" w:firstLineChars="200"/>
        <w:jc w:val="both"/>
        <w:rPr>
          <w:rFonts w:ascii="仿宋_GB2312" w:eastAsia="仿宋_GB2312"/>
        </w:rPr>
      </w:pPr>
      <w:r>
        <w:rPr>
          <w:rFonts w:hint="eastAsia" w:ascii="仿宋_GB2312" w:hAnsi="ˎ̥" w:eastAsia="仿宋_GB2312"/>
          <w:sz w:val="32"/>
          <w:szCs w:val="32"/>
        </w:rPr>
        <w:t>十五、培训支出：反映各部门安排的用于培训的支出。</w:t>
      </w:r>
    </w:p>
    <w:p w14:paraId="21C6DF8A">
      <w:pPr>
        <w:widowControl w:val="0"/>
        <w:autoSpaceDE w:val="0"/>
        <w:spacing w:line="55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十六、支出</w:t>
      </w:r>
      <w:r>
        <w:rPr>
          <w:rFonts w:ascii="仿宋_GB2312" w:hAnsi="ˎ̥" w:eastAsia="仿宋_GB2312"/>
          <w:sz w:val="32"/>
          <w:szCs w:val="32"/>
        </w:rPr>
        <w:t>功能分类：</w:t>
      </w:r>
    </w:p>
    <w:p w14:paraId="22109E29">
      <w:pPr>
        <w:widowControl w:val="0"/>
        <w:autoSpaceDE w:val="0"/>
        <w:spacing w:line="55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一般公共服务（类）市场监督管理事务（款）信息化建设（项）:反映市场监督管理、药品监督管理部门用于信息化建设及运行维护方面的支出。</w:t>
      </w:r>
      <w:r>
        <w:rPr>
          <w:rFonts w:hint="eastAsia" w:ascii="仿宋_GB2312" w:hAnsi="ˎ̥" w:eastAsia="仿宋_GB2312"/>
          <w:sz w:val="32"/>
          <w:szCs w:val="32"/>
        </w:rPr>
        <w:br w:type="textWrapping"/>
      </w:r>
      <w:r>
        <w:rPr>
          <w:rFonts w:hint="eastAsia" w:ascii="仿宋_GB2312" w:hAnsi="ˎ̥" w:eastAsia="仿宋_GB2312"/>
          <w:sz w:val="32"/>
          <w:szCs w:val="32"/>
        </w:rPr>
        <w:t xml:space="preserve">    一般公共服务（类）市场监督管理事务（款）事业运行（项）:反映事业单位的基本支出，不包括行政单位（包括实行公务员管理的事业单位）后勤服务中心、医务室等附属事业单位。</w:t>
      </w:r>
    </w:p>
    <w:p w14:paraId="700C8734">
      <w:pPr>
        <w:widowControl w:val="0"/>
        <w:autoSpaceDE w:val="0"/>
        <w:spacing w:line="55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一般公共服务（类）市场监督管理事务（款）其</w:t>
      </w:r>
      <w:r>
        <w:rPr>
          <w:rFonts w:ascii="仿宋_GB2312" w:hAnsi="ˎ̥" w:eastAsia="仿宋_GB2312"/>
          <w:sz w:val="32"/>
          <w:szCs w:val="32"/>
        </w:rPr>
        <w:t>他</w:t>
      </w:r>
      <w:r>
        <w:rPr>
          <w:rFonts w:hint="eastAsia" w:ascii="仿宋_GB2312" w:hAnsi="ˎ̥" w:eastAsia="仿宋_GB2312"/>
          <w:sz w:val="32"/>
          <w:szCs w:val="32"/>
        </w:rPr>
        <w:t>市场</w:t>
      </w:r>
      <w:r>
        <w:rPr>
          <w:rFonts w:ascii="仿宋_GB2312" w:hAnsi="ˎ̥" w:eastAsia="仿宋_GB2312"/>
          <w:sz w:val="32"/>
          <w:szCs w:val="32"/>
        </w:rPr>
        <w:t>监督管理事务</w:t>
      </w:r>
      <w:r>
        <w:rPr>
          <w:rFonts w:hint="eastAsia" w:ascii="仿宋_GB2312" w:hAnsi="ˎ̥" w:eastAsia="仿宋_GB2312"/>
          <w:sz w:val="32"/>
          <w:szCs w:val="32"/>
        </w:rPr>
        <w:t>（项）:反映用于除上述项目以外其他市场监督管理事务方面的支出。</w:t>
      </w:r>
      <w:r>
        <w:rPr>
          <w:rFonts w:hint="eastAsia" w:ascii="仿宋_GB2312" w:hAnsi="ˎ̥" w:eastAsia="仿宋_GB2312"/>
          <w:sz w:val="32"/>
          <w:szCs w:val="32"/>
        </w:rPr>
        <w:br w:type="textWrapping"/>
      </w:r>
      <w:r>
        <w:rPr>
          <w:rFonts w:hint="eastAsia" w:ascii="仿宋_GB2312" w:hAnsi="ˎ̥" w:eastAsia="仿宋_GB2312"/>
          <w:sz w:val="32"/>
          <w:szCs w:val="32"/>
        </w:rPr>
        <w:t xml:space="preserve">    社会保障和就业支出（类）行政事业单位养老支出（款）机关事业单位基本养老保险缴费支出（项）:反映机关事业单位实施养老保险制度由单位缴纳的基本养老保险费支出。</w:t>
      </w:r>
      <w:r>
        <w:rPr>
          <w:rFonts w:hint="eastAsia" w:ascii="仿宋_GB2312" w:hAnsi="ˎ̥" w:eastAsia="仿宋_GB2312"/>
          <w:sz w:val="32"/>
          <w:szCs w:val="32"/>
        </w:rPr>
        <w:br w:type="textWrapping"/>
      </w:r>
      <w:r>
        <w:rPr>
          <w:rFonts w:hint="eastAsia" w:ascii="仿宋_GB2312" w:hAnsi="ˎ̥" w:eastAsia="仿宋_GB2312"/>
          <w:sz w:val="32"/>
          <w:szCs w:val="32"/>
        </w:rPr>
        <w:t xml:space="preserve">    社会保障和就业支出（类）行政事业单位养老支出（款）机关事业单位职业年金缴费支出（项）:反映各级机关事业单位实施养老保险制度由单位实际缴纳的职业年金支出。</w:t>
      </w:r>
    </w:p>
    <w:p w14:paraId="263CC288">
      <w:pPr>
        <w:widowControl w:val="0"/>
        <w:autoSpaceDE w:val="0"/>
        <w:adjustRightInd w:val="0"/>
        <w:snapToGrid w:val="0"/>
        <w:spacing w:line="560" w:lineRule="exact"/>
        <w:ind w:firstLine="640" w:firstLineChars="200"/>
        <w:jc w:val="both"/>
        <w:rPr>
          <w:rFonts w:hint="eastAsia" w:ascii="仿宋_GB2312" w:hAnsi="ˎ̥" w:eastAsia="仿宋_GB2312"/>
          <w:sz w:val="32"/>
          <w:szCs w:val="32"/>
        </w:rPr>
      </w:pPr>
      <w:r>
        <w:rPr>
          <w:rFonts w:hint="eastAsia" w:ascii="仿宋_GB2312" w:hAnsi="ˎ̥" w:eastAsia="仿宋_GB2312"/>
          <w:sz w:val="32"/>
          <w:szCs w:val="32"/>
        </w:rPr>
        <w:t>社会保障和就业支出（类）抚</w:t>
      </w:r>
      <w:r>
        <w:rPr>
          <w:rFonts w:ascii="仿宋_GB2312" w:hAnsi="ˎ̥" w:eastAsia="仿宋_GB2312"/>
          <w:sz w:val="32"/>
          <w:szCs w:val="32"/>
        </w:rPr>
        <w:t>恤</w:t>
      </w:r>
      <w:r>
        <w:rPr>
          <w:rFonts w:hint="eastAsia" w:ascii="仿宋_GB2312" w:hAnsi="ˎ̥" w:eastAsia="仿宋_GB2312"/>
          <w:sz w:val="32"/>
          <w:szCs w:val="32"/>
        </w:rPr>
        <w:t>（款）其</w:t>
      </w:r>
      <w:r>
        <w:rPr>
          <w:rFonts w:ascii="仿宋_GB2312" w:hAnsi="ˎ̥" w:eastAsia="仿宋_GB2312"/>
          <w:sz w:val="32"/>
          <w:szCs w:val="32"/>
        </w:rPr>
        <w:t>他优</w:t>
      </w:r>
      <w:r>
        <w:rPr>
          <w:rFonts w:hint="eastAsia" w:ascii="仿宋_GB2312" w:hAnsi="ˎ̥" w:eastAsia="仿宋_GB2312"/>
          <w:sz w:val="32"/>
          <w:szCs w:val="32"/>
        </w:rPr>
        <w:t>抚支出（项）:</w:t>
      </w:r>
      <w:r>
        <w:rPr>
          <w:rFonts w:ascii="仿宋_GB2312" w:hAnsi="ˎ̥" w:eastAsia="仿宋_GB2312"/>
          <w:sz w:val="32"/>
          <w:szCs w:val="32"/>
        </w:rPr>
        <w:t>反映除上述项目以外其他用于优</w:t>
      </w:r>
      <w:r>
        <w:rPr>
          <w:rFonts w:hint="eastAsia" w:ascii="仿宋_GB2312" w:hAnsi="ˎ̥" w:eastAsia="仿宋_GB2312"/>
          <w:sz w:val="32"/>
          <w:szCs w:val="32"/>
        </w:rPr>
        <w:t>抚方面</w:t>
      </w:r>
      <w:r>
        <w:rPr>
          <w:rFonts w:ascii="仿宋_GB2312" w:hAnsi="ˎ̥" w:eastAsia="仿宋_GB2312"/>
          <w:sz w:val="32"/>
          <w:szCs w:val="32"/>
        </w:rPr>
        <w:t>的支出，包括向优</w:t>
      </w:r>
      <w:r>
        <w:rPr>
          <w:rFonts w:hint="eastAsia" w:ascii="仿宋_GB2312" w:hAnsi="ˎ̥" w:eastAsia="仿宋_GB2312"/>
          <w:sz w:val="32"/>
          <w:szCs w:val="32"/>
        </w:rPr>
        <w:t>抚对</w:t>
      </w:r>
      <w:r>
        <w:rPr>
          <w:rFonts w:ascii="仿宋_GB2312" w:hAnsi="ˎ̥" w:eastAsia="仿宋_GB2312"/>
          <w:sz w:val="32"/>
          <w:szCs w:val="32"/>
        </w:rPr>
        <w:t>象发放的价格临时补贴</w:t>
      </w:r>
      <w:r>
        <w:rPr>
          <w:rFonts w:hint="eastAsia" w:ascii="仿宋_GB2312" w:hAnsi="ˎ̥" w:eastAsia="仿宋_GB2312"/>
          <w:sz w:val="32"/>
          <w:szCs w:val="32"/>
        </w:rPr>
        <w:t>、老</w:t>
      </w:r>
      <w:r>
        <w:rPr>
          <w:rFonts w:ascii="仿宋_GB2312" w:hAnsi="ˎ̥" w:eastAsia="仿宋_GB2312"/>
          <w:sz w:val="32"/>
          <w:szCs w:val="32"/>
        </w:rPr>
        <w:t>烈</w:t>
      </w:r>
      <w:r>
        <w:rPr>
          <w:rFonts w:hint="eastAsia" w:ascii="仿宋_GB2312" w:hAnsi="ˎ̥" w:eastAsia="仿宋_GB2312"/>
          <w:sz w:val="32"/>
          <w:szCs w:val="32"/>
        </w:rPr>
        <w:t>士</w:t>
      </w:r>
      <w:r>
        <w:rPr>
          <w:rFonts w:ascii="仿宋_GB2312" w:hAnsi="ˎ̥" w:eastAsia="仿宋_GB2312"/>
          <w:sz w:val="32"/>
          <w:szCs w:val="32"/>
        </w:rPr>
        <w:t>子女、老党员定期生活补助等支出。</w:t>
      </w:r>
      <w:r>
        <w:rPr>
          <w:rFonts w:hint="eastAsia" w:ascii="仿宋_GB2312" w:hAnsi="ˎ̥" w:eastAsia="仿宋_GB2312"/>
          <w:sz w:val="32"/>
          <w:szCs w:val="32"/>
        </w:rPr>
        <w:br w:type="textWrapping"/>
      </w:r>
      <w:r>
        <w:rPr>
          <w:rFonts w:hint="eastAsia" w:ascii="仿宋_GB2312" w:hAnsi="ˎ̥" w:eastAsia="仿宋_GB2312"/>
          <w:sz w:val="32"/>
          <w:szCs w:val="32"/>
        </w:rPr>
        <w:t xml:space="preserve">    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ˎ̥" w:eastAsia="仿宋_GB2312"/>
          <w:sz w:val="32"/>
          <w:szCs w:val="32"/>
        </w:rPr>
        <w:br w:type="textWrapping"/>
      </w:r>
      <w:r>
        <w:rPr>
          <w:rFonts w:hint="eastAsia" w:ascii="仿宋_GB2312" w:hAnsi="ˎ̥" w:eastAsia="仿宋_GB2312"/>
          <w:sz w:val="32"/>
          <w:szCs w:val="32"/>
        </w:rPr>
        <w:t xml:space="preserve">  </w:t>
      </w:r>
      <w:r>
        <w:rPr>
          <w:rFonts w:ascii="仿宋_GB2312" w:hAnsi="ˎ̥" w:eastAsia="仿宋_GB2312"/>
          <w:sz w:val="32"/>
          <w:szCs w:val="32"/>
        </w:rPr>
        <w:t xml:space="preserve"> </w:t>
      </w:r>
      <w:r>
        <w:rPr>
          <w:rFonts w:hint="eastAsia" w:ascii="仿宋_GB2312" w:hAnsi="ˎ̥" w:eastAsia="仿宋_GB2312"/>
          <w:sz w:val="32"/>
          <w:szCs w:val="32"/>
        </w:rPr>
        <w:t xml:space="preserve"> 住房保障支出（类）住房改革支出（款）住房公积金（项）:反映行政事业单位按人力资源和社会保障部、财政部规定的基本工资和津贴补贴以及规定比例为职工缴纳的住房公积金。</w:t>
      </w:r>
    </w:p>
    <w:p w14:paraId="290CD0EC">
      <w:pPr>
        <w:pStyle w:val="2"/>
      </w:pPr>
    </w:p>
    <w:sectPr>
      <w:footerReference r:id="rId5" w:type="default"/>
      <w:pgSz w:w="11915" w:h="16840"/>
      <w:pgMar w:top="2098" w:right="1474" w:bottom="1984" w:left="1588" w:header="851" w:footer="794" w:gutter="0"/>
      <w:pgNumType w:fmt="numberInDash" w:start="1"/>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7E67">
    <w:pPr>
      <w:pStyle w:val="10"/>
      <w:jc w:val="center"/>
    </w:pPr>
    <w:r>
      <w:rPr>
        <w:rFonts w:hint="eastAsia"/>
      </w:rPr>
      <w:t xml:space="preserve">                                                 </w:t>
    </w:r>
  </w:p>
  <w:p w14:paraId="03B561D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E00E">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4441508"/>
                          </w:sdtPr>
                          <w:sdtContent>
                            <w:p w14:paraId="03CAA1A1">
                              <w:pPr>
                                <w:pStyle w:val="10"/>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15 -</w:t>
                              </w:r>
                              <w:r>
                                <w:rPr>
                                  <w:sz w:val="28"/>
                                  <w:szCs w:val="28"/>
                                </w:rPr>
                                <w:fldChar w:fldCharType="end"/>
                              </w:r>
                            </w:p>
                          </w:sdtContent>
                        </w:sdt>
                        <w:p w14:paraId="0CA9F7FA">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094441508"/>
                    </w:sdtPr>
                    <w:sdtContent>
                      <w:p w14:paraId="03CAA1A1">
                        <w:pPr>
                          <w:pStyle w:val="10"/>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15 -</w:t>
                        </w:r>
                        <w:r>
                          <w:rPr>
                            <w:sz w:val="28"/>
                            <w:szCs w:val="28"/>
                          </w:rPr>
                          <w:fldChar w:fldCharType="end"/>
                        </w:r>
                      </w:p>
                    </w:sdtContent>
                  </w:sdt>
                  <w:p w14:paraId="0CA9F7FA">
                    <w:pPr>
                      <w:pStyle w:val="2"/>
                    </w:pPr>
                  </w:p>
                </w:txbxContent>
              </v:textbox>
            </v:shape>
          </w:pict>
        </mc:Fallback>
      </mc:AlternateContent>
    </w:r>
  </w:p>
  <w:p w14:paraId="576C582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DA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986DA"/>
    <w:multiLevelType w:val="singleLevel"/>
    <w:tmpl w:val="D88986DA"/>
    <w:lvl w:ilvl="0" w:tentative="0">
      <w:start w:val="2"/>
      <w:numFmt w:val="chineseCounting"/>
      <w:suff w:val="space"/>
      <w:lvlText w:val="第%1部分"/>
      <w:lvlJc w:val="left"/>
      <w:pPr>
        <w:ind w:left="546" w:firstLine="0"/>
      </w:pPr>
      <w:rPr>
        <w:rFonts w:hint="eastAsia"/>
      </w:rPr>
    </w:lvl>
  </w:abstractNum>
  <w:abstractNum w:abstractNumId="1">
    <w:nsid w:val="1900CA18"/>
    <w:multiLevelType w:val="singleLevel"/>
    <w:tmpl w:val="1900CA18"/>
    <w:lvl w:ilvl="0" w:tentative="0">
      <w:start w:val="1"/>
      <w:numFmt w:val="chineseCounting"/>
      <w:suff w:val="space"/>
      <w:lvlText w:val="第%1部分"/>
      <w:lvlJc w:val="left"/>
      <w:rPr>
        <w:rFonts w:hint="eastAsia"/>
      </w:rPr>
    </w:lvl>
  </w:abstractNum>
  <w:abstractNum w:abstractNumId="2">
    <w:nsid w:val="3A6FFE5A"/>
    <w:multiLevelType w:val="singleLevel"/>
    <w:tmpl w:val="3A6FFE5A"/>
    <w:lvl w:ilvl="0" w:tentative="0">
      <w:start w:val="1"/>
      <w:numFmt w:val="decimal"/>
      <w:suff w:val="space"/>
      <w:lvlText w:val="%1."/>
      <w:lvlJc w:val="left"/>
    </w:lvl>
  </w:abstractNum>
  <w:abstractNum w:abstractNumId="3">
    <w:nsid w:val="3BBB8176"/>
    <w:multiLevelType w:val="singleLevel"/>
    <w:tmpl w:val="3BBB8176"/>
    <w:lvl w:ilvl="0" w:tentative="0">
      <w:start w:val="1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DUxYzE1N2JjOWQzNjdiODFmODEyZWNlNzk0YmQifQ=="/>
  </w:docVars>
  <w:rsids>
    <w:rsidRoot w:val="0080109A"/>
    <w:rsid w:val="00000EE1"/>
    <w:rsid w:val="0001694D"/>
    <w:rsid w:val="0002257E"/>
    <w:rsid w:val="00035086"/>
    <w:rsid w:val="00036385"/>
    <w:rsid w:val="000505BA"/>
    <w:rsid w:val="0005481A"/>
    <w:rsid w:val="0005710F"/>
    <w:rsid w:val="00057BC4"/>
    <w:rsid w:val="00060E63"/>
    <w:rsid w:val="0007273B"/>
    <w:rsid w:val="000729BC"/>
    <w:rsid w:val="00091D59"/>
    <w:rsid w:val="000946F1"/>
    <w:rsid w:val="00094877"/>
    <w:rsid w:val="00095026"/>
    <w:rsid w:val="000B14B9"/>
    <w:rsid w:val="000C40E4"/>
    <w:rsid w:val="000D1991"/>
    <w:rsid w:val="000D673C"/>
    <w:rsid w:val="000E2166"/>
    <w:rsid w:val="000F06ED"/>
    <w:rsid w:val="00106FE8"/>
    <w:rsid w:val="001219D4"/>
    <w:rsid w:val="00122DC0"/>
    <w:rsid w:val="00130903"/>
    <w:rsid w:val="0013415D"/>
    <w:rsid w:val="00141B03"/>
    <w:rsid w:val="001449E6"/>
    <w:rsid w:val="0014779A"/>
    <w:rsid w:val="00155D80"/>
    <w:rsid w:val="0016127C"/>
    <w:rsid w:val="00164F28"/>
    <w:rsid w:val="0018781E"/>
    <w:rsid w:val="00194A4E"/>
    <w:rsid w:val="00196AE3"/>
    <w:rsid w:val="001B1BFC"/>
    <w:rsid w:val="001B3F58"/>
    <w:rsid w:val="001C0BAD"/>
    <w:rsid w:val="001D377B"/>
    <w:rsid w:val="001E60D5"/>
    <w:rsid w:val="001E736B"/>
    <w:rsid w:val="001F0F08"/>
    <w:rsid w:val="00203DF5"/>
    <w:rsid w:val="00206C64"/>
    <w:rsid w:val="00217149"/>
    <w:rsid w:val="00225340"/>
    <w:rsid w:val="00232583"/>
    <w:rsid w:val="00233A36"/>
    <w:rsid w:val="00235A0A"/>
    <w:rsid w:val="0024256C"/>
    <w:rsid w:val="00242A8E"/>
    <w:rsid w:val="002446CE"/>
    <w:rsid w:val="0026471B"/>
    <w:rsid w:val="0027406B"/>
    <w:rsid w:val="002949BF"/>
    <w:rsid w:val="00295CA5"/>
    <w:rsid w:val="002B2068"/>
    <w:rsid w:val="002C46B6"/>
    <w:rsid w:val="002D16AE"/>
    <w:rsid w:val="002D40C3"/>
    <w:rsid w:val="002D53EA"/>
    <w:rsid w:val="002D6B48"/>
    <w:rsid w:val="002E09E4"/>
    <w:rsid w:val="0030363C"/>
    <w:rsid w:val="00313792"/>
    <w:rsid w:val="003222EA"/>
    <w:rsid w:val="0032320A"/>
    <w:rsid w:val="003450BF"/>
    <w:rsid w:val="0034673E"/>
    <w:rsid w:val="0037373D"/>
    <w:rsid w:val="00373B81"/>
    <w:rsid w:val="00377303"/>
    <w:rsid w:val="00383076"/>
    <w:rsid w:val="00383D1E"/>
    <w:rsid w:val="00385AFC"/>
    <w:rsid w:val="00390052"/>
    <w:rsid w:val="003923E1"/>
    <w:rsid w:val="0039272D"/>
    <w:rsid w:val="003C5F79"/>
    <w:rsid w:val="003C63BD"/>
    <w:rsid w:val="003E143A"/>
    <w:rsid w:val="00402186"/>
    <w:rsid w:val="00405794"/>
    <w:rsid w:val="0041584B"/>
    <w:rsid w:val="004175FD"/>
    <w:rsid w:val="004237A4"/>
    <w:rsid w:val="004323F2"/>
    <w:rsid w:val="004415AB"/>
    <w:rsid w:val="004645C4"/>
    <w:rsid w:val="00467C57"/>
    <w:rsid w:val="00470A23"/>
    <w:rsid w:val="00477CCF"/>
    <w:rsid w:val="00482AA9"/>
    <w:rsid w:val="00487D1F"/>
    <w:rsid w:val="004A5A21"/>
    <w:rsid w:val="004D2BC4"/>
    <w:rsid w:val="004F48B4"/>
    <w:rsid w:val="004F52D8"/>
    <w:rsid w:val="005014E9"/>
    <w:rsid w:val="00515F94"/>
    <w:rsid w:val="005260A3"/>
    <w:rsid w:val="00527B54"/>
    <w:rsid w:val="00550C8E"/>
    <w:rsid w:val="00552512"/>
    <w:rsid w:val="00567452"/>
    <w:rsid w:val="005965E3"/>
    <w:rsid w:val="005A097B"/>
    <w:rsid w:val="005C2640"/>
    <w:rsid w:val="005D5136"/>
    <w:rsid w:val="005F0851"/>
    <w:rsid w:val="00616F25"/>
    <w:rsid w:val="006844C6"/>
    <w:rsid w:val="00686BD4"/>
    <w:rsid w:val="00691D15"/>
    <w:rsid w:val="00696CD3"/>
    <w:rsid w:val="006A253F"/>
    <w:rsid w:val="006A394A"/>
    <w:rsid w:val="006A6EBE"/>
    <w:rsid w:val="006B0073"/>
    <w:rsid w:val="006B7991"/>
    <w:rsid w:val="006F3263"/>
    <w:rsid w:val="006F4559"/>
    <w:rsid w:val="00700784"/>
    <w:rsid w:val="00716F20"/>
    <w:rsid w:val="00720655"/>
    <w:rsid w:val="007219C2"/>
    <w:rsid w:val="00722408"/>
    <w:rsid w:val="00741834"/>
    <w:rsid w:val="0074269E"/>
    <w:rsid w:val="00763581"/>
    <w:rsid w:val="00770571"/>
    <w:rsid w:val="007748F4"/>
    <w:rsid w:val="00787BB6"/>
    <w:rsid w:val="00790C87"/>
    <w:rsid w:val="007926BC"/>
    <w:rsid w:val="007A03E4"/>
    <w:rsid w:val="007B4692"/>
    <w:rsid w:val="0080109A"/>
    <w:rsid w:val="00805C99"/>
    <w:rsid w:val="008079C7"/>
    <w:rsid w:val="00813010"/>
    <w:rsid w:val="00817ABB"/>
    <w:rsid w:val="008303C1"/>
    <w:rsid w:val="00834E47"/>
    <w:rsid w:val="008408D4"/>
    <w:rsid w:val="0085094F"/>
    <w:rsid w:val="00862258"/>
    <w:rsid w:val="008804B9"/>
    <w:rsid w:val="00880EBC"/>
    <w:rsid w:val="00890CB9"/>
    <w:rsid w:val="008A77F3"/>
    <w:rsid w:val="008C53CA"/>
    <w:rsid w:val="008D437B"/>
    <w:rsid w:val="008D66F4"/>
    <w:rsid w:val="008E4B63"/>
    <w:rsid w:val="00902A88"/>
    <w:rsid w:val="0090555A"/>
    <w:rsid w:val="0091323C"/>
    <w:rsid w:val="00921FE3"/>
    <w:rsid w:val="009317C1"/>
    <w:rsid w:val="0093274B"/>
    <w:rsid w:val="009470C4"/>
    <w:rsid w:val="00957A31"/>
    <w:rsid w:val="0096202E"/>
    <w:rsid w:val="00963C75"/>
    <w:rsid w:val="0098160F"/>
    <w:rsid w:val="00981AC6"/>
    <w:rsid w:val="00991E7F"/>
    <w:rsid w:val="009B4BFC"/>
    <w:rsid w:val="009C6B67"/>
    <w:rsid w:val="009D4723"/>
    <w:rsid w:val="00A00D06"/>
    <w:rsid w:val="00A13045"/>
    <w:rsid w:val="00A27542"/>
    <w:rsid w:val="00A644EF"/>
    <w:rsid w:val="00A83B5C"/>
    <w:rsid w:val="00A91EC2"/>
    <w:rsid w:val="00AA0E59"/>
    <w:rsid w:val="00AA385D"/>
    <w:rsid w:val="00AC33D9"/>
    <w:rsid w:val="00AD427F"/>
    <w:rsid w:val="00B01055"/>
    <w:rsid w:val="00B03C2F"/>
    <w:rsid w:val="00B07FD2"/>
    <w:rsid w:val="00B16526"/>
    <w:rsid w:val="00B30374"/>
    <w:rsid w:val="00B31CCF"/>
    <w:rsid w:val="00B511D0"/>
    <w:rsid w:val="00B538FB"/>
    <w:rsid w:val="00B732AF"/>
    <w:rsid w:val="00B81A28"/>
    <w:rsid w:val="00BA1DA0"/>
    <w:rsid w:val="00BA3369"/>
    <w:rsid w:val="00BA4675"/>
    <w:rsid w:val="00BA4E81"/>
    <w:rsid w:val="00BC6B4C"/>
    <w:rsid w:val="00BD1426"/>
    <w:rsid w:val="00BD1756"/>
    <w:rsid w:val="00BE0CAF"/>
    <w:rsid w:val="00BF1DB0"/>
    <w:rsid w:val="00BF672F"/>
    <w:rsid w:val="00C046D4"/>
    <w:rsid w:val="00C0587C"/>
    <w:rsid w:val="00C1235E"/>
    <w:rsid w:val="00C47125"/>
    <w:rsid w:val="00C47DD0"/>
    <w:rsid w:val="00C8049B"/>
    <w:rsid w:val="00C919A1"/>
    <w:rsid w:val="00C91FCA"/>
    <w:rsid w:val="00CB1208"/>
    <w:rsid w:val="00CE04B6"/>
    <w:rsid w:val="00CE36FD"/>
    <w:rsid w:val="00CF496F"/>
    <w:rsid w:val="00D0705B"/>
    <w:rsid w:val="00D3404C"/>
    <w:rsid w:val="00D41838"/>
    <w:rsid w:val="00D4242E"/>
    <w:rsid w:val="00D6027A"/>
    <w:rsid w:val="00D74F58"/>
    <w:rsid w:val="00D764F0"/>
    <w:rsid w:val="00D766EE"/>
    <w:rsid w:val="00D9534B"/>
    <w:rsid w:val="00DB5E21"/>
    <w:rsid w:val="00DD1757"/>
    <w:rsid w:val="00DD49E0"/>
    <w:rsid w:val="00DE1835"/>
    <w:rsid w:val="00E22C16"/>
    <w:rsid w:val="00E24325"/>
    <w:rsid w:val="00E24A0D"/>
    <w:rsid w:val="00E31597"/>
    <w:rsid w:val="00E4753A"/>
    <w:rsid w:val="00E50BEA"/>
    <w:rsid w:val="00E512C1"/>
    <w:rsid w:val="00E53115"/>
    <w:rsid w:val="00E629B5"/>
    <w:rsid w:val="00E64EB1"/>
    <w:rsid w:val="00E719A5"/>
    <w:rsid w:val="00E73C71"/>
    <w:rsid w:val="00E8071B"/>
    <w:rsid w:val="00EB4F24"/>
    <w:rsid w:val="00EE7823"/>
    <w:rsid w:val="00EF5779"/>
    <w:rsid w:val="00F2226F"/>
    <w:rsid w:val="00F253B9"/>
    <w:rsid w:val="00F26ED9"/>
    <w:rsid w:val="00F32217"/>
    <w:rsid w:val="00F37EEC"/>
    <w:rsid w:val="00F4023C"/>
    <w:rsid w:val="00F468B0"/>
    <w:rsid w:val="00F51676"/>
    <w:rsid w:val="00F62839"/>
    <w:rsid w:val="00F96049"/>
    <w:rsid w:val="00F97A49"/>
    <w:rsid w:val="00FC1ED9"/>
    <w:rsid w:val="00FD412F"/>
    <w:rsid w:val="00FE24FD"/>
    <w:rsid w:val="00FE3363"/>
    <w:rsid w:val="02640A26"/>
    <w:rsid w:val="02E93F7E"/>
    <w:rsid w:val="03214018"/>
    <w:rsid w:val="03504ECB"/>
    <w:rsid w:val="046203F3"/>
    <w:rsid w:val="04761390"/>
    <w:rsid w:val="04846599"/>
    <w:rsid w:val="04CD7FA9"/>
    <w:rsid w:val="053A49B9"/>
    <w:rsid w:val="05A1102E"/>
    <w:rsid w:val="06E755D0"/>
    <w:rsid w:val="07C56A56"/>
    <w:rsid w:val="08C53134"/>
    <w:rsid w:val="096426BC"/>
    <w:rsid w:val="0A363F62"/>
    <w:rsid w:val="0A7A7131"/>
    <w:rsid w:val="0AEE089F"/>
    <w:rsid w:val="0AEE4667"/>
    <w:rsid w:val="0B3F3405"/>
    <w:rsid w:val="0BA20207"/>
    <w:rsid w:val="0D435C6A"/>
    <w:rsid w:val="0E0013EF"/>
    <w:rsid w:val="0EFD561E"/>
    <w:rsid w:val="0F376996"/>
    <w:rsid w:val="0FB10A42"/>
    <w:rsid w:val="116D7086"/>
    <w:rsid w:val="117A1992"/>
    <w:rsid w:val="1213527F"/>
    <w:rsid w:val="123665FC"/>
    <w:rsid w:val="13767A5D"/>
    <w:rsid w:val="138E7AC2"/>
    <w:rsid w:val="13E73547"/>
    <w:rsid w:val="13F84916"/>
    <w:rsid w:val="14B718E5"/>
    <w:rsid w:val="15861B5E"/>
    <w:rsid w:val="15E76D06"/>
    <w:rsid w:val="16AB5CB7"/>
    <w:rsid w:val="16D611CB"/>
    <w:rsid w:val="1862182D"/>
    <w:rsid w:val="18C33437"/>
    <w:rsid w:val="190C3240"/>
    <w:rsid w:val="190E4CF3"/>
    <w:rsid w:val="19192E33"/>
    <w:rsid w:val="1963349A"/>
    <w:rsid w:val="19B10BEA"/>
    <w:rsid w:val="1A607867"/>
    <w:rsid w:val="1AF7608E"/>
    <w:rsid w:val="1B4F3B15"/>
    <w:rsid w:val="1BB90A49"/>
    <w:rsid w:val="1BF051B5"/>
    <w:rsid w:val="1C0B1542"/>
    <w:rsid w:val="1C2904A1"/>
    <w:rsid w:val="1C3A455D"/>
    <w:rsid w:val="1D6A4416"/>
    <w:rsid w:val="1D9053EE"/>
    <w:rsid w:val="1DFE02C2"/>
    <w:rsid w:val="1E4C7488"/>
    <w:rsid w:val="1F6B47E8"/>
    <w:rsid w:val="2130620A"/>
    <w:rsid w:val="21802209"/>
    <w:rsid w:val="21D93C77"/>
    <w:rsid w:val="21E305A5"/>
    <w:rsid w:val="21FB6297"/>
    <w:rsid w:val="22A6414F"/>
    <w:rsid w:val="22CE6879"/>
    <w:rsid w:val="233912BA"/>
    <w:rsid w:val="235D3F83"/>
    <w:rsid w:val="24665CBE"/>
    <w:rsid w:val="2717128C"/>
    <w:rsid w:val="28416C3B"/>
    <w:rsid w:val="289A3D51"/>
    <w:rsid w:val="29657647"/>
    <w:rsid w:val="29854F85"/>
    <w:rsid w:val="2989740C"/>
    <w:rsid w:val="2A6D427E"/>
    <w:rsid w:val="2AB87E81"/>
    <w:rsid w:val="2ACC77C5"/>
    <w:rsid w:val="2B2F7FE6"/>
    <w:rsid w:val="2BC730F4"/>
    <w:rsid w:val="2C621127"/>
    <w:rsid w:val="2D7C3A6A"/>
    <w:rsid w:val="2D7C4B33"/>
    <w:rsid w:val="2E7D6EB2"/>
    <w:rsid w:val="2EF46A74"/>
    <w:rsid w:val="2FA4043A"/>
    <w:rsid w:val="30597822"/>
    <w:rsid w:val="30C707B5"/>
    <w:rsid w:val="31AE3914"/>
    <w:rsid w:val="322E5C7B"/>
    <w:rsid w:val="325F6C63"/>
    <w:rsid w:val="32613632"/>
    <w:rsid w:val="32FC1D30"/>
    <w:rsid w:val="33A37643"/>
    <w:rsid w:val="341A36D8"/>
    <w:rsid w:val="342E036F"/>
    <w:rsid w:val="346A5213"/>
    <w:rsid w:val="34CB605D"/>
    <w:rsid w:val="35D271A0"/>
    <w:rsid w:val="379422FE"/>
    <w:rsid w:val="37C57707"/>
    <w:rsid w:val="382C3D5E"/>
    <w:rsid w:val="385E7FE4"/>
    <w:rsid w:val="38653207"/>
    <w:rsid w:val="39357DF3"/>
    <w:rsid w:val="398811B6"/>
    <w:rsid w:val="39AC77DB"/>
    <w:rsid w:val="3A2E7FDD"/>
    <w:rsid w:val="3ABB6F0F"/>
    <w:rsid w:val="3ABE3B1B"/>
    <w:rsid w:val="3B0255C9"/>
    <w:rsid w:val="3BE5054C"/>
    <w:rsid w:val="3CB45B9F"/>
    <w:rsid w:val="3F68078F"/>
    <w:rsid w:val="3FD41A7F"/>
    <w:rsid w:val="402A5778"/>
    <w:rsid w:val="42CC344B"/>
    <w:rsid w:val="434011E9"/>
    <w:rsid w:val="43936F3B"/>
    <w:rsid w:val="44CB34CB"/>
    <w:rsid w:val="452F14CD"/>
    <w:rsid w:val="460C14A9"/>
    <w:rsid w:val="48520700"/>
    <w:rsid w:val="48C973F7"/>
    <w:rsid w:val="49723CE5"/>
    <w:rsid w:val="4A11128D"/>
    <w:rsid w:val="4B897326"/>
    <w:rsid w:val="4B976D93"/>
    <w:rsid w:val="4BBF532A"/>
    <w:rsid w:val="4BC56109"/>
    <w:rsid w:val="4D1F478F"/>
    <w:rsid w:val="4EA210FA"/>
    <w:rsid w:val="4F0733F5"/>
    <w:rsid w:val="5020773F"/>
    <w:rsid w:val="50332BF4"/>
    <w:rsid w:val="504C6A38"/>
    <w:rsid w:val="50C14805"/>
    <w:rsid w:val="50D457E8"/>
    <w:rsid w:val="50DE6667"/>
    <w:rsid w:val="525E4A6D"/>
    <w:rsid w:val="53A374B0"/>
    <w:rsid w:val="542F1D6E"/>
    <w:rsid w:val="55032881"/>
    <w:rsid w:val="554F6C30"/>
    <w:rsid w:val="55DB0E06"/>
    <w:rsid w:val="57260688"/>
    <w:rsid w:val="57F87DE5"/>
    <w:rsid w:val="5864134D"/>
    <w:rsid w:val="599E63D6"/>
    <w:rsid w:val="5A9552DA"/>
    <w:rsid w:val="5AAE0B9F"/>
    <w:rsid w:val="5B9E6546"/>
    <w:rsid w:val="5BC20889"/>
    <w:rsid w:val="5C7165E1"/>
    <w:rsid w:val="5C9D3CBF"/>
    <w:rsid w:val="5E287354"/>
    <w:rsid w:val="5E820D1E"/>
    <w:rsid w:val="5EFA5CD3"/>
    <w:rsid w:val="5F0F0853"/>
    <w:rsid w:val="5FC644AE"/>
    <w:rsid w:val="60591E6F"/>
    <w:rsid w:val="606B5173"/>
    <w:rsid w:val="61DC62AA"/>
    <w:rsid w:val="62340816"/>
    <w:rsid w:val="62E0001C"/>
    <w:rsid w:val="63201B7D"/>
    <w:rsid w:val="63633AA7"/>
    <w:rsid w:val="63D539D0"/>
    <w:rsid w:val="644C51C3"/>
    <w:rsid w:val="648A12CC"/>
    <w:rsid w:val="65BD406C"/>
    <w:rsid w:val="65EC1E02"/>
    <w:rsid w:val="65FB60AA"/>
    <w:rsid w:val="660F139B"/>
    <w:rsid w:val="664650C9"/>
    <w:rsid w:val="67436315"/>
    <w:rsid w:val="679A7D0A"/>
    <w:rsid w:val="681638CC"/>
    <w:rsid w:val="68C54A59"/>
    <w:rsid w:val="6A6F23D2"/>
    <w:rsid w:val="6A9A2E96"/>
    <w:rsid w:val="6ABC0E26"/>
    <w:rsid w:val="6B4436A1"/>
    <w:rsid w:val="6C3C7807"/>
    <w:rsid w:val="6CAC30AF"/>
    <w:rsid w:val="6DE87C6D"/>
    <w:rsid w:val="6F7719EE"/>
    <w:rsid w:val="70393BE0"/>
    <w:rsid w:val="70656A03"/>
    <w:rsid w:val="706A7AA7"/>
    <w:rsid w:val="71830860"/>
    <w:rsid w:val="71D83A79"/>
    <w:rsid w:val="7257195C"/>
    <w:rsid w:val="72991A54"/>
    <w:rsid w:val="72B1489E"/>
    <w:rsid w:val="7355581F"/>
    <w:rsid w:val="73BF4107"/>
    <w:rsid w:val="73CA7830"/>
    <w:rsid w:val="75A419E4"/>
    <w:rsid w:val="7692768E"/>
    <w:rsid w:val="780A0D2E"/>
    <w:rsid w:val="783122B1"/>
    <w:rsid w:val="79921991"/>
    <w:rsid w:val="79C656B9"/>
    <w:rsid w:val="79F04B91"/>
    <w:rsid w:val="79F75339"/>
    <w:rsid w:val="79FD16DD"/>
    <w:rsid w:val="7AD302E6"/>
    <w:rsid w:val="7B31720F"/>
    <w:rsid w:val="7B964470"/>
    <w:rsid w:val="7C2F7ACB"/>
    <w:rsid w:val="7C3D2D46"/>
    <w:rsid w:val="7C944241"/>
    <w:rsid w:val="7D207D3B"/>
    <w:rsid w:val="7D247713"/>
    <w:rsid w:val="7DDE3A96"/>
    <w:rsid w:val="BF1DD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uiPriority="0" w:semiHidden="0" w:name="annotation text"/>
    <w:lsdException w:qFormat="1" w:uiPriority="0"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qFormat="1" w:unhideWhenUsed="0"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0" w:name="HTML Preformatted"/>
    <w:lsdException w:uiPriority="0" w:semiHidden="0" w:name="HTML Sample"/>
    <w:lsdException w:uiPriority="0" w:semiHidden="0" w:name="HTML Typewriter"/>
    <w:lsdException w:uiPriority="0" w:semiHidden="0"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7"/>
    <w:qFormat/>
    <w:uiPriority w:val="9"/>
    <w:pPr>
      <w:spacing w:before="100" w:beforeAutospacing="1" w:after="100" w:afterAutospacing="1"/>
      <w:outlineLvl w:val="0"/>
    </w:pPr>
    <w:rPr>
      <w:b/>
      <w:bCs/>
      <w:kern w:val="44"/>
      <w:sz w:val="48"/>
      <w:szCs w:val="48"/>
    </w:rPr>
  </w:style>
  <w:style w:type="paragraph" w:styleId="4">
    <w:name w:val="heading 2"/>
    <w:basedOn w:val="1"/>
    <w:next w:val="1"/>
    <w:link w:val="18"/>
    <w:qFormat/>
    <w:uiPriority w:val="9"/>
    <w:pPr>
      <w:spacing w:before="100" w:beforeAutospacing="1" w:after="100" w:afterAutospacing="1"/>
      <w:outlineLvl w:val="1"/>
    </w:pPr>
    <w:rPr>
      <w:b/>
      <w:bCs/>
      <w:sz w:val="36"/>
      <w:szCs w:val="36"/>
    </w:rPr>
  </w:style>
  <w:style w:type="paragraph" w:styleId="5">
    <w:name w:val="heading 3"/>
    <w:basedOn w:val="1"/>
    <w:next w:val="1"/>
    <w:link w:val="19"/>
    <w:qFormat/>
    <w:uiPriority w:val="9"/>
    <w:pPr>
      <w:spacing w:before="100" w:beforeAutospacing="1" w:after="100" w:afterAutospacing="1"/>
      <w:outlineLvl w:val="2"/>
    </w:pPr>
    <w:rPr>
      <w:b/>
      <w:bCs/>
      <w:sz w:val="27"/>
      <w:szCs w:val="27"/>
    </w:rPr>
  </w:style>
  <w:style w:type="paragraph" w:styleId="6">
    <w:name w:val="heading 4"/>
    <w:basedOn w:val="1"/>
    <w:next w:val="1"/>
    <w:link w:val="20"/>
    <w:qFormat/>
    <w:uiPriority w:val="9"/>
    <w:pPr>
      <w:spacing w:before="100" w:beforeAutospacing="1" w:after="100" w:afterAutospacing="1"/>
      <w:outlineLvl w:val="3"/>
    </w:pPr>
    <w:rPr>
      <w:b/>
      <w:bCs/>
    </w:rPr>
  </w:style>
  <w:style w:type="paragraph" w:styleId="7">
    <w:name w:val="heading 5"/>
    <w:basedOn w:val="1"/>
    <w:next w:val="1"/>
    <w:link w:val="21"/>
    <w:qFormat/>
    <w:uiPriority w:val="9"/>
    <w:pPr>
      <w:spacing w:before="100" w:beforeAutospacing="1" w:after="100" w:afterAutospacing="1"/>
      <w:outlineLvl w:val="4"/>
    </w:pPr>
    <w:rPr>
      <w:b/>
      <w:bCs/>
      <w:sz w:val="20"/>
      <w:szCs w:val="20"/>
    </w:rPr>
  </w:style>
  <w:style w:type="paragraph" w:styleId="8">
    <w:name w:val="heading 6"/>
    <w:basedOn w:val="1"/>
    <w:next w:val="1"/>
    <w:link w:val="22"/>
    <w:qFormat/>
    <w:uiPriority w:val="9"/>
    <w:pPr>
      <w:spacing w:before="100" w:beforeAutospacing="1" w:after="100" w:afterAutospacing="1"/>
      <w:outlineLvl w:val="5"/>
    </w:pPr>
    <w:rPr>
      <w:b/>
      <w:bCs/>
      <w:sz w:val="15"/>
      <w:szCs w:val="15"/>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9">
    <w:name w:val="Balloon Text"/>
    <w:basedOn w:val="1"/>
    <w:link w:val="36"/>
    <w:unhideWhenUsed/>
    <w:qFormat/>
    <w:uiPriority w:val="0"/>
    <w:rPr>
      <w:sz w:val="18"/>
      <w:szCs w:val="18"/>
    </w:rPr>
  </w:style>
  <w:style w:type="paragraph" w:styleId="10">
    <w:name w:val="footer"/>
    <w:basedOn w:val="1"/>
    <w:link w:val="24"/>
    <w:unhideWhenUsed/>
    <w:qFormat/>
    <w:uiPriority w:val="99"/>
    <w:pPr>
      <w:snapToGrid w:val="0"/>
    </w:pPr>
    <w:rPr>
      <w:sz w:val="18"/>
      <w:szCs w:val="18"/>
    </w:rPr>
  </w:style>
  <w:style w:type="paragraph" w:styleId="11">
    <w:name w:val="header"/>
    <w:basedOn w:val="1"/>
    <w:link w:val="23"/>
    <w:unhideWhenUsed/>
    <w:qFormat/>
    <w:uiPriority w:val="0"/>
    <w:pPr>
      <w:pBdr>
        <w:bottom w:val="single" w:color="auto" w:sz="6" w:space="1"/>
      </w:pBdr>
      <w:snapToGrid w:val="0"/>
      <w:jc w:val="center"/>
    </w:pPr>
    <w:rPr>
      <w:sz w:val="18"/>
      <w:szCs w:val="18"/>
    </w:rPr>
  </w:style>
  <w:style w:type="paragraph" w:styleId="12">
    <w:name w:val="HTML Preformatted"/>
    <w:basedOn w:val="1"/>
    <w:link w:val="25"/>
    <w:semiHidden/>
    <w:unhideWhenUsed/>
    <w:qFormat/>
    <w:uiPriority w:val="0"/>
    <w:rPr>
      <w:rFonts w:ascii="Courier New" w:hAnsi="Courier New" w:cs="Courier New"/>
      <w:sz w:val="20"/>
      <w:szCs w:val="20"/>
    </w:rPr>
  </w:style>
  <w:style w:type="paragraph" w:styleId="13">
    <w:name w:val="Normal (Web)"/>
    <w:basedOn w:val="1"/>
    <w:semiHidden/>
    <w:unhideWhenUsed/>
    <w:qFormat/>
    <w:uiPriority w:val="0"/>
    <w:pPr>
      <w:spacing w:before="100" w:beforeAutospacing="1" w:after="100" w:afterAutospacing="1"/>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3"/>
    <w:qFormat/>
    <w:uiPriority w:val="9"/>
    <w:rPr>
      <w:rFonts w:ascii="宋体" w:hAnsi="宋体" w:eastAsia="宋体" w:cs="宋体"/>
      <w:b/>
      <w:bCs/>
      <w:kern w:val="44"/>
      <w:sz w:val="44"/>
      <w:szCs w:val="44"/>
    </w:rPr>
  </w:style>
  <w:style w:type="character" w:customStyle="1" w:styleId="18">
    <w:name w:val="标题 2 字符"/>
    <w:basedOn w:val="16"/>
    <w:link w:val="4"/>
    <w:qFormat/>
    <w:uiPriority w:val="9"/>
    <w:rPr>
      <w:rFonts w:asciiTheme="majorHAnsi" w:hAnsiTheme="majorHAnsi" w:eastAsiaTheme="majorEastAsia" w:cstheme="majorBidi"/>
      <w:b/>
      <w:bCs/>
      <w:sz w:val="32"/>
      <w:szCs w:val="32"/>
    </w:rPr>
  </w:style>
  <w:style w:type="character" w:customStyle="1" w:styleId="19">
    <w:name w:val="标题 3 字符"/>
    <w:basedOn w:val="16"/>
    <w:link w:val="5"/>
    <w:qFormat/>
    <w:uiPriority w:val="9"/>
    <w:rPr>
      <w:rFonts w:ascii="宋体" w:hAnsi="宋体" w:eastAsia="宋体" w:cs="宋体"/>
      <w:b/>
      <w:bCs/>
      <w:sz w:val="32"/>
      <w:szCs w:val="32"/>
    </w:rPr>
  </w:style>
  <w:style w:type="character" w:customStyle="1" w:styleId="20">
    <w:name w:val="标题 4 字符"/>
    <w:basedOn w:val="16"/>
    <w:link w:val="6"/>
    <w:qFormat/>
    <w:uiPriority w:val="9"/>
    <w:rPr>
      <w:rFonts w:asciiTheme="majorHAnsi" w:hAnsiTheme="majorHAnsi" w:eastAsiaTheme="majorEastAsia" w:cstheme="majorBidi"/>
      <w:b/>
      <w:bCs/>
      <w:sz w:val="28"/>
      <w:szCs w:val="28"/>
    </w:rPr>
  </w:style>
  <w:style w:type="character" w:customStyle="1" w:styleId="21">
    <w:name w:val="标题 5 字符"/>
    <w:basedOn w:val="16"/>
    <w:link w:val="7"/>
    <w:qFormat/>
    <w:uiPriority w:val="9"/>
    <w:rPr>
      <w:rFonts w:ascii="宋体" w:hAnsi="宋体" w:eastAsia="宋体" w:cs="宋体"/>
      <w:b/>
      <w:bCs/>
      <w:sz w:val="28"/>
      <w:szCs w:val="28"/>
    </w:rPr>
  </w:style>
  <w:style w:type="character" w:customStyle="1" w:styleId="22">
    <w:name w:val="标题 6 字符"/>
    <w:basedOn w:val="16"/>
    <w:link w:val="8"/>
    <w:qFormat/>
    <w:uiPriority w:val="9"/>
    <w:rPr>
      <w:rFonts w:asciiTheme="majorHAnsi" w:hAnsiTheme="majorHAnsi" w:eastAsiaTheme="majorEastAsia" w:cstheme="majorBidi"/>
      <w:b/>
      <w:bCs/>
      <w:sz w:val="24"/>
      <w:szCs w:val="24"/>
    </w:rPr>
  </w:style>
  <w:style w:type="character" w:customStyle="1" w:styleId="23">
    <w:name w:val="页眉 字符"/>
    <w:basedOn w:val="16"/>
    <w:link w:val="11"/>
    <w:qFormat/>
    <w:uiPriority w:val="0"/>
    <w:rPr>
      <w:rFonts w:ascii="宋体" w:hAnsi="宋体" w:eastAsia="宋体" w:cs="宋体"/>
      <w:sz w:val="18"/>
      <w:szCs w:val="18"/>
    </w:rPr>
  </w:style>
  <w:style w:type="character" w:customStyle="1" w:styleId="24">
    <w:name w:val="页脚 字符"/>
    <w:basedOn w:val="16"/>
    <w:link w:val="10"/>
    <w:qFormat/>
    <w:uiPriority w:val="99"/>
    <w:rPr>
      <w:rFonts w:ascii="宋体" w:hAnsi="宋体" w:eastAsia="宋体" w:cs="宋体"/>
      <w:sz w:val="18"/>
      <w:szCs w:val="18"/>
    </w:rPr>
  </w:style>
  <w:style w:type="character" w:customStyle="1" w:styleId="25">
    <w:name w:val="HTML 预设格式 字符"/>
    <w:basedOn w:val="16"/>
    <w:link w:val="12"/>
    <w:qFormat/>
    <w:uiPriority w:val="0"/>
    <w:rPr>
      <w:rFonts w:ascii="Courier New" w:hAnsi="Courier New" w:eastAsia="宋体" w:cs="Courier New"/>
    </w:rPr>
  </w:style>
  <w:style w:type="paragraph" w:customStyle="1" w:styleId="26">
    <w:name w:val="msolistparagraph"/>
    <w:basedOn w:val="1"/>
    <w:qFormat/>
    <w:uiPriority w:val="0"/>
    <w:pPr>
      <w:widowControl w:val="0"/>
      <w:ind w:firstLine="420" w:firstLineChars="200"/>
      <w:jc w:val="both"/>
    </w:pPr>
    <w:rPr>
      <w:rFonts w:ascii="Calibri" w:hAnsi="Calibri" w:cs="Times New Roman"/>
      <w:kern w:val="2"/>
      <w:sz w:val="21"/>
      <w:szCs w:val="21"/>
    </w:rPr>
  </w:style>
  <w:style w:type="paragraph" w:customStyle="1" w:styleId="27">
    <w:name w:val="wpsoffice2"/>
    <w:basedOn w:val="1"/>
    <w:qFormat/>
    <w:uiPriority w:val="0"/>
    <w:pPr>
      <w:spacing w:before="100" w:beforeAutospacing="1" w:after="100" w:afterAutospacing="1"/>
    </w:pPr>
  </w:style>
  <w:style w:type="paragraph" w:customStyle="1" w:styleId="28">
    <w:name w:val="wpsoffice1"/>
    <w:basedOn w:val="1"/>
    <w:qFormat/>
    <w:uiPriority w:val="0"/>
    <w:pPr>
      <w:spacing w:before="100" w:beforeAutospacing="1" w:after="100" w:afterAutospacing="1"/>
    </w:pPr>
  </w:style>
  <w:style w:type="paragraph" w:customStyle="1" w:styleId="29">
    <w:name w:val="正文1 Char Char Char"/>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character" w:customStyle="1" w:styleId="30">
    <w:name w:val="10"/>
    <w:basedOn w:val="16"/>
    <w:qFormat/>
    <w:uiPriority w:val="0"/>
    <w:rPr>
      <w:rFonts w:hint="default" w:ascii="Times New Roman" w:hAnsi="Times New Roman" w:cs="Times New Roman"/>
    </w:rPr>
  </w:style>
  <w:style w:type="character" w:customStyle="1" w:styleId="31">
    <w:name w:val="15"/>
    <w:basedOn w:val="16"/>
    <w:qFormat/>
    <w:uiPriority w:val="0"/>
    <w:rPr>
      <w:rFonts w:hint="eastAsia" w:ascii="宋体" w:hAnsi="宋体" w:eastAsia="宋体"/>
      <w:sz w:val="18"/>
      <w:szCs w:val="18"/>
    </w:rPr>
  </w:style>
  <w:style w:type="character" w:customStyle="1" w:styleId="32">
    <w:name w:val="16"/>
    <w:basedOn w:val="16"/>
    <w:qFormat/>
    <w:uiPriority w:val="0"/>
    <w:rPr>
      <w:rFonts w:hint="eastAsia" w:ascii="宋体" w:hAnsi="宋体" w:eastAsia="宋体"/>
      <w:sz w:val="18"/>
      <w:szCs w:val="18"/>
    </w:rPr>
  </w:style>
  <w:style w:type="paragraph" w:styleId="33">
    <w:name w:val="List Paragraph"/>
    <w:basedOn w:val="1"/>
    <w:qFormat/>
    <w:uiPriority w:val="99"/>
    <w:pPr>
      <w:ind w:firstLine="420" w:firstLineChars="200"/>
    </w:p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批注框文本 字符"/>
    <w:basedOn w:val="16"/>
    <w:link w:val="9"/>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4B184-1726-43F6-9F7D-EC94E8893F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1201</Words>
  <Characters>6852</Characters>
  <Lines>57</Lines>
  <Paragraphs>16</Paragraphs>
  <TotalTime>14</TotalTime>
  <ScaleCrop>false</ScaleCrop>
  <LinksUpToDate>false</LinksUpToDate>
  <CharactersWithSpaces>8037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2021-08-26T09:28:00Z</dcterms:created>
  <dc:creator>GLS</dc:creator>
  <cp:lastModifiedBy>GLS</cp:lastModifiedBy>
  <cp:lastPrinted>2022-08-30T10:43:00Z</cp:lastPrinted>
  <dcterms:modified xsi:type="dcterms:W3CDTF">2024-09-18T08:16:31Z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4CDD820C67914D0EA0A653CBE1B964BB_13</vt:lpwstr>
  </property>
</Properties>
</file>