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9388E3">
      <w:pPr>
        <w:keepNext w:val="0"/>
        <w:keepLines w:val="0"/>
        <w:pageBreakBefore w:val="0"/>
        <w:kinsoku/>
        <w:wordWrap/>
        <w:overflowPunct/>
        <w:topLinePunct w:val="0"/>
        <w:bidi w:val="0"/>
        <w:spacing w:line="240" w:lineRule="auto"/>
        <w:jc w:val="center"/>
        <w:textAlignment w:val="auto"/>
        <w:rPr>
          <w:rFonts w:hint="eastAsia" w:ascii="黑体" w:hAnsi="黑体" w:eastAsia="黑体" w:cs="黑体"/>
          <w:b w:val="0"/>
          <w:bCs/>
          <w:sz w:val="28"/>
          <w:szCs w:val="28"/>
        </w:rPr>
      </w:pPr>
      <w:r>
        <w:rPr>
          <w:rFonts w:hint="eastAsia" w:ascii="黑体" w:hAnsi="黑体" w:eastAsia="黑体" w:cs="黑体"/>
          <w:b w:val="0"/>
          <w:bCs/>
          <w:sz w:val="28"/>
          <w:szCs w:val="28"/>
        </w:rPr>
        <w:t>《脉搏血氧仪校准规范》（</w:t>
      </w:r>
      <w:r>
        <w:rPr>
          <w:rFonts w:hint="eastAsia" w:ascii="黑体" w:hAnsi="黑体" w:eastAsia="黑体" w:cs="黑体"/>
          <w:b w:val="0"/>
          <w:bCs/>
          <w:sz w:val="28"/>
          <w:szCs w:val="28"/>
          <w:lang w:eastAsia="zh-CN"/>
        </w:rPr>
        <w:t>征求意见</w:t>
      </w:r>
      <w:r>
        <w:rPr>
          <w:rFonts w:hint="eastAsia" w:ascii="黑体" w:hAnsi="黑体" w:eastAsia="黑体" w:cs="黑体"/>
          <w:b w:val="0"/>
          <w:bCs/>
          <w:sz w:val="28"/>
          <w:szCs w:val="28"/>
        </w:rPr>
        <w:t>稿）编制说明</w:t>
      </w:r>
    </w:p>
    <w:p w14:paraId="0BA50690">
      <w:pPr>
        <w:keepNext w:val="0"/>
        <w:keepLines w:val="0"/>
        <w:pageBreakBefore w:val="0"/>
        <w:kinsoku/>
        <w:wordWrap/>
        <w:overflowPunct/>
        <w:topLinePunct w:val="0"/>
        <w:bidi w:val="0"/>
        <w:spacing w:line="240" w:lineRule="auto"/>
        <w:jc w:val="center"/>
        <w:textAlignment w:val="auto"/>
        <w:rPr>
          <w:rFonts w:hint="eastAsia" w:ascii="仿宋" w:hAnsi="仿宋" w:eastAsia="仿宋" w:cs="仿宋"/>
          <w:b w:val="0"/>
          <w:bCs/>
          <w:sz w:val="28"/>
          <w:szCs w:val="28"/>
        </w:rPr>
      </w:pPr>
    </w:p>
    <w:p w14:paraId="7D602CE3">
      <w:pPr>
        <w:keepNext w:val="0"/>
        <w:keepLines w:val="0"/>
        <w:pageBreakBefore w:val="0"/>
        <w:kinsoku/>
        <w:wordWrap/>
        <w:overflowPunct/>
        <w:topLinePunct w:val="0"/>
        <w:bidi w:val="0"/>
        <w:spacing w:line="240" w:lineRule="auto"/>
        <w:jc w:val="left"/>
        <w:textAlignment w:val="auto"/>
        <w:rPr>
          <w:rFonts w:hint="eastAsia" w:ascii="黑体" w:hAnsi="黑体" w:eastAsia="黑体" w:cs="黑体"/>
          <w:b w:val="0"/>
          <w:bCs/>
          <w:sz w:val="28"/>
          <w:szCs w:val="28"/>
        </w:rPr>
      </w:pPr>
      <w:r>
        <w:rPr>
          <w:rFonts w:hint="eastAsia" w:ascii="黑体" w:hAnsi="黑体" w:eastAsia="黑体" w:cs="黑体"/>
          <w:b w:val="0"/>
          <w:bCs/>
          <w:sz w:val="28"/>
          <w:szCs w:val="28"/>
        </w:rPr>
        <w:t>一、项目背景</w:t>
      </w:r>
    </w:p>
    <w:p w14:paraId="30A4FEC8">
      <w:pPr>
        <w:keepNext w:val="0"/>
        <w:keepLines w:val="0"/>
        <w:pageBreakBefore w:val="0"/>
        <w:kinsoku/>
        <w:wordWrap/>
        <w:overflowPunct/>
        <w:topLinePunct w:val="0"/>
        <w:bidi w:val="0"/>
        <w:spacing w:line="240" w:lineRule="auto"/>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脉搏血氧仪是用来测量人体内动脉血氧饱和度的一种光电测量仪器，通过光信号与组织的相互作用，利用脉动血流可导致组织光学特性依赖于时间的变化，来估算动脉血功能氧饱和度（SpO2）的医用电气设备，主要由电子元件、显示单元、操作界面和血</w:t>
      </w:r>
      <w:bookmarkStart w:id="0" w:name="_GoBack"/>
      <w:bookmarkEnd w:id="0"/>
      <w:r>
        <w:rPr>
          <w:rFonts w:hint="eastAsia" w:ascii="仿宋" w:hAnsi="仿宋" w:eastAsia="仿宋" w:cs="仿宋"/>
          <w:sz w:val="28"/>
          <w:szCs w:val="28"/>
        </w:rPr>
        <w:t>氧探头组成。</w:t>
      </w:r>
    </w:p>
    <w:p w14:paraId="26573DC3">
      <w:pPr>
        <w:keepNext w:val="0"/>
        <w:keepLines w:val="0"/>
        <w:pageBreakBefore w:val="0"/>
        <w:kinsoku/>
        <w:wordWrap/>
        <w:overflowPunct/>
        <w:topLinePunct w:val="0"/>
        <w:bidi w:val="0"/>
        <w:spacing w:line="240" w:lineRule="auto"/>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氧是维持人体生命活动的关键物质，而血氧饱和度则是反应机体供氧状态的重要指标，其在临床检测中的应用日趋普遍。目前，脉搏血氧仪被广泛用来评价血氧饱和度的状态，通过估算动脉血氧饱和度和脉率对患者进行监护管理，以便及时有效地预防和减少缺氧所导致的意外。血氧饱和度参数的准确性，一致性与病人生命安全，健康息息相关。因此，做好脉搏血氧仪的计量检测具有重大的意义。</w:t>
      </w:r>
    </w:p>
    <w:p w14:paraId="751EE4D3">
      <w:pPr>
        <w:keepNext w:val="0"/>
        <w:keepLines w:val="0"/>
        <w:pageBreakBefore w:val="0"/>
        <w:kinsoku/>
        <w:wordWrap/>
        <w:overflowPunct/>
        <w:topLinePunct w:val="0"/>
        <w:bidi w:val="0"/>
        <w:spacing w:line="240" w:lineRule="auto"/>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同时，在2020年出现重大全球疫情之后，脉搏血氧仪也频繁地出现在家庭的常备医疗设备清单中，用于亚健康人群的日常健康监测。</w:t>
      </w:r>
    </w:p>
    <w:p w14:paraId="3E0D2CE7">
      <w:pPr>
        <w:keepNext w:val="0"/>
        <w:keepLines w:val="0"/>
        <w:pageBreakBefore w:val="0"/>
        <w:kinsoku/>
        <w:wordWrap/>
        <w:overflowPunct/>
        <w:topLinePunct w:val="0"/>
        <w:bidi w:val="0"/>
        <w:spacing w:line="240" w:lineRule="auto"/>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 xml:space="preserve">起草和编写《脉搏血氧仪地方校准规范》，可填补本省在该项目的空白，可以在本省范围内为广大医疗机构和个人家庭提供进一步的贴心服务，达到海南自由贸易港与时俱进的技术和服务和监管上的三大社会效益。  </w:t>
      </w:r>
    </w:p>
    <w:p w14:paraId="46E5864E">
      <w:pPr>
        <w:keepNext w:val="0"/>
        <w:keepLines w:val="0"/>
        <w:pageBreakBefore w:val="0"/>
        <w:kinsoku/>
        <w:wordWrap/>
        <w:overflowPunct/>
        <w:topLinePunct w:val="0"/>
        <w:bidi w:val="0"/>
        <w:spacing w:line="240" w:lineRule="auto"/>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国内目前包括黑龙江、北京、贵州、天津、山西、上海等各省市都已经制定了关于脉搏血氧仪的地方校准规范，国内市场与技术已经比较成熟，我省制定脉搏血氧仪地方校准规范后，可立即供给市场的技术需要。</w:t>
      </w:r>
    </w:p>
    <w:p w14:paraId="00BBF998">
      <w:pPr>
        <w:keepNext w:val="0"/>
        <w:keepLines w:val="0"/>
        <w:pageBreakBefore w:val="0"/>
        <w:kinsoku/>
        <w:wordWrap/>
        <w:overflowPunct/>
        <w:topLinePunct w:val="0"/>
        <w:bidi w:val="0"/>
        <w:spacing w:line="240" w:lineRule="auto"/>
        <w:jc w:val="left"/>
        <w:textAlignment w:val="auto"/>
        <w:rPr>
          <w:rFonts w:hint="eastAsia" w:ascii="黑体" w:hAnsi="黑体" w:eastAsia="黑体" w:cs="黑体"/>
          <w:b w:val="0"/>
          <w:bCs/>
          <w:sz w:val="28"/>
          <w:szCs w:val="28"/>
        </w:rPr>
      </w:pPr>
      <w:r>
        <w:rPr>
          <w:rFonts w:hint="eastAsia" w:ascii="黑体" w:hAnsi="黑体" w:eastAsia="黑体" w:cs="黑体"/>
          <w:b w:val="0"/>
          <w:bCs/>
          <w:sz w:val="28"/>
          <w:szCs w:val="28"/>
        </w:rPr>
        <w:t>二、任务来源</w:t>
      </w:r>
    </w:p>
    <w:p w14:paraId="25823899">
      <w:pPr>
        <w:keepNext w:val="0"/>
        <w:keepLines w:val="0"/>
        <w:pageBreakBefore w:val="0"/>
        <w:kinsoku/>
        <w:wordWrap/>
        <w:overflowPunct/>
        <w:topLinePunct w:val="0"/>
        <w:bidi w:val="0"/>
        <w:spacing w:line="240" w:lineRule="auto"/>
        <w:ind w:firstLine="600"/>
        <w:jc w:val="left"/>
        <w:textAlignment w:val="auto"/>
        <w:rPr>
          <w:rFonts w:hint="eastAsia" w:ascii="仿宋" w:hAnsi="仿宋" w:eastAsia="仿宋" w:cs="仿宋"/>
          <w:sz w:val="28"/>
          <w:szCs w:val="28"/>
        </w:rPr>
      </w:pPr>
      <w:r>
        <w:rPr>
          <w:rFonts w:hint="eastAsia" w:ascii="仿宋" w:hAnsi="仿宋" w:eastAsia="仿宋" w:cs="仿宋"/>
          <w:sz w:val="28"/>
          <w:szCs w:val="28"/>
        </w:rPr>
        <w:t>根据海南省市场监督管理局所发布《关于2024年度海南省地方计量技术规范制修订立项计划的公示》的要求，由海南省检验检测研究院负责《脉搏血氧仪校准规范》的编制工作。</w:t>
      </w:r>
    </w:p>
    <w:p w14:paraId="387B617B">
      <w:pPr>
        <w:keepNext w:val="0"/>
        <w:keepLines w:val="0"/>
        <w:pageBreakBefore w:val="0"/>
        <w:kinsoku/>
        <w:wordWrap/>
        <w:overflowPunct/>
        <w:topLinePunct w:val="0"/>
        <w:bidi w:val="0"/>
        <w:spacing w:line="240" w:lineRule="auto"/>
        <w:ind w:firstLine="600"/>
        <w:jc w:val="left"/>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归口单位为海南省计量技术委员会。</w:t>
      </w:r>
    </w:p>
    <w:p w14:paraId="2F8E2833">
      <w:pPr>
        <w:keepNext w:val="0"/>
        <w:keepLines w:val="0"/>
        <w:pageBreakBefore w:val="0"/>
        <w:kinsoku/>
        <w:wordWrap/>
        <w:overflowPunct/>
        <w:topLinePunct w:val="0"/>
        <w:bidi w:val="0"/>
        <w:spacing w:line="240" w:lineRule="auto"/>
        <w:jc w:val="left"/>
        <w:textAlignment w:val="auto"/>
        <w:rPr>
          <w:rFonts w:hint="eastAsia" w:ascii="黑体" w:hAnsi="黑体" w:eastAsia="黑体" w:cs="黑体"/>
          <w:b w:val="0"/>
          <w:bCs/>
          <w:sz w:val="28"/>
          <w:szCs w:val="28"/>
          <w:lang w:eastAsia="zh-CN"/>
        </w:rPr>
      </w:pPr>
      <w:r>
        <w:rPr>
          <w:rFonts w:hint="eastAsia" w:ascii="黑体" w:hAnsi="黑体" w:eastAsia="黑体" w:cs="黑体"/>
          <w:b w:val="0"/>
          <w:bCs/>
          <w:sz w:val="28"/>
          <w:szCs w:val="28"/>
        </w:rPr>
        <w:t>三、规范编制的主要依据</w:t>
      </w:r>
      <w:r>
        <w:rPr>
          <w:rFonts w:hint="eastAsia" w:ascii="黑体" w:hAnsi="黑体" w:eastAsia="黑体" w:cs="黑体"/>
          <w:b w:val="0"/>
          <w:bCs/>
          <w:sz w:val="28"/>
          <w:szCs w:val="28"/>
          <w:lang w:eastAsia="zh-CN"/>
        </w:rPr>
        <w:t>及原则</w:t>
      </w:r>
    </w:p>
    <w:p w14:paraId="2559F090">
      <w:pPr>
        <w:keepNext w:val="0"/>
        <w:keepLines w:val="0"/>
        <w:pageBreakBefore w:val="0"/>
        <w:kinsoku/>
        <w:wordWrap/>
        <w:overflowPunct/>
        <w:topLinePunct w:val="0"/>
        <w:bidi w:val="0"/>
        <w:spacing w:line="240" w:lineRule="auto"/>
        <w:jc w:val="left"/>
        <w:textAlignment w:val="auto"/>
        <w:rPr>
          <w:rFonts w:hint="eastAsia" w:ascii="仿宋" w:hAnsi="仿宋" w:eastAsia="仿宋" w:cs="仿宋"/>
          <w:b w:val="0"/>
          <w:bCs/>
          <w:sz w:val="28"/>
          <w:szCs w:val="28"/>
          <w:lang w:eastAsia="zh-CN"/>
        </w:rPr>
      </w:pPr>
      <w:r>
        <w:rPr>
          <w:rFonts w:hint="eastAsia" w:ascii="仿宋" w:hAnsi="仿宋" w:eastAsia="仿宋" w:cs="仿宋"/>
          <w:b w:val="0"/>
          <w:bCs/>
          <w:sz w:val="28"/>
          <w:szCs w:val="28"/>
          <w:lang w:eastAsia="zh-CN"/>
        </w:rPr>
        <w:t>（一）依据</w:t>
      </w:r>
    </w:p>
    <w:p w14:paraId="6FBB5583">
      <w:pPr>
        <w:keepNext w:val="0"/>
        <w:keepLines w:val="0"/>
        <w:pageBreakBefore w:val="0"/>
        <w:kinsoku/>
        <w:wordWrap/>
        <w:overflowPunct/>
        <w:topLinePunct w:val="0"/>
        <w:bidi w:val="0"/>
        <w:spacing w:line="240" w:lineRule="auto"/>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 xml:space="preserve">（1）JJF1001—2011《通用计量术语及定义》 </w:t>
      </w:r>
    </w:p>
    <w:p w14:paraId="322F94BD">
      <w:pPr>
        <w:keepNext w:val="0"/>
        <w:keepLines w:val="0"/>
        <w:pageBreakBefore w:val="0"/>
        <w:kinsoku/>
        <w:wordWrap/>
        <w:overflowPunct/>
        <w:topLinePunct w:val="0"/>
        <w:bidi w:val="0"/>
        <w:spacing w:line="240" w:lineRule="auto"/>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 xml:space="preserve">（2）JJF1071—2010《国家计量校准规范编写规则》 </w:t>
      </w:r>
    </w:p>
    <w:p w14:paraId="35C94947">
      <w:pPr>
        <w:keepNext w:val="0"/>
        <w:keepLines w:val="0"/>
        <w:pageBreakBefore w:val="0"/>
        <w:kinsoku/>
        <w:wordWrap/>
        <w:overflowPunct/>
        <w:topLinePunct w:val="0"/>
        <w:bidi w:val="0"/>
        <w:spacing w:line="240" w:lineRule="auto"/>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 xml:space="preserve">（3）JJF1059.1—2012《测量不确定度评定与表示》 </w:t>
      </w:r>
    </w:p>
    <w:p w14:paraId="3E1A61FB">
      <w:pPr>
        <w:keepNext w:val="0"/>
        <w:keepLines w:val="0"/>
        <w:pageBreakBefore w:val="0"/>
        <w:kinsoku/>
        <w:wordWrap/>
        <w:overflowPunct/>
        <w:topLinePunct w:val="0"/>
        <w:bidi w:val="0"/>
        <w:spacing w:line="240" w:lineRule="auto"/>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（4）JJG1163—2019《多参数监护仪检定规程》</w:t>
      </w:r>
    </w:p>
    <w:p w14:paraId="4996A1E5">
      <w:pPr>
        <w:keepNext w:val="0"/>
        <w:keepLines w:val="0"/>
        <w:pageBreakBefore w:val="0"/>
        <w:kinsoku/>
        <w:wordWrap/>
        <w:overflowPunct/>
        <w:topLinePunct w:val="0"/>
        <w:bidi w:val="0"/>
        <w:spacing w:line="240" w:lineRule="auto"/>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（5）JJF 1542-2015 血氧饱和度模拟仪校准规范</w:t>
      </w:r>
    </w:p>
    <w:p w14:paraId="4098FF20">
      <w:pPr>
        <w:keepNext w:val="0"/>
        <w:keepLines w:val="0"/>
        <w:pageBreakBefore w:val="0"/>
        <w:kinsoku/>
        <w:wordWrap/>
        <w:overflowPunct/>
        <w:topLinePunct w:val="0"/>
        <w:bidi w:val="0"/>
        <w:spacing w:line="240" w:lineRule="auto"/>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（6） YY0784-2010/ISO9919:2005  医用电气设备.医用脉搏血氧仪设备基本安全和重要性能专用要求</w:t>
      </w:r>
    </w:p>
    <w:p w14:paraId="5BD7C3D5">
      <w:pPr>
        <w:pStyle w:val="4"/>
        <w:keepNext w:val="0"/>
        <w:keepLines w:val="0"/>
        <w:pageBreakBefore w:val="0"/>
        <w:numPr>
          <w:ilvl w:val="0"/>
          <w:numId w:val="0"/>
        </w:numPr>
        <w:kinsoku/>
        <w:wordWrap/>
        <w:overflowPunct/>
        <w:topLinePunct w:val="0"/>
        <w:bidi w:val="0"/>
        <w:spacing w:line="240" w:lineRule="auto"/>
        <w:ind w:right="-105"/>
        <w:textAlignment w:val="auto"/>
        <w:outlineLvl w:val="9"/>
        <w:rPr>
          <w:rFonts w:hint="eastAsia" w:ascii="仿宋" w:hAnsi="仿宋" w:eastAsia="仿宋" w:cs="仿宋"/>
          <w:kern w:val="2"/>
          <w:sz w:val="28"/>
          <w:szCs w:val="28"/>
        </w:rPr>
      </w:pPr>
      <w:r>
        <w:rPr>
          <w:rFonts w:hint="eastAsia" w:ascii="仿宋" w:hAnsi="仿宋" w:eastAsia="仿宋" w:cs="仿宋"/>
          <w:kern w:val="2"/>
          <w:sz w:val="28"/>
          <w:szCs w:val="28"/>
        </w:rPr>
        <w:t>（二）原则</w:t>
      </w:r>
    </w:p>
    <w:p w14:paraId="05558ED4">
      <w:pPr>
        <w:pStyle w:val="4"/>
        <w:keepNext w:val="0"/>
        <w:keepLines w:val="0"/>
        <w:pageBreakBefore w:val="0"/>
        <w:numPr>
          <w:ilvl w:val="0"/>
          <w:numId w:val="0"/>
        </w:numPr>
        <w:kinsoku/>
        <w:wordWrap/>
        <w:overflowPunct/>
        <w:topLinePunct w:val="0"/>
        <w:bidi w:val="0"/>
        <w:spacing w:line="240" w:lineRule="auto"/>
        <w:ind w:right="-105" w:firstLine="568" w:firstLineChars="200"/>
        <w:textAlignment w:val="auto"/>
        <w:outlineLvl w:val="9"/>
        <w:rPr>
          <w:rFonts w:hint="eastAsia" w:ascii="仿宋" w:hAnsi="仿宋" w:eastAsia="仿宋" w:cs="仿宋"/>
          <w:kern w:val="2"/>
          <w:sz w:val="28"/>
          <w:szCs w:val="28"/>
        </w:rPr>
      </w:pPr>
      <w:r>
        <w:rPr>
          <w:rFonts w:hint="eastAsia" w:ascii="仿宋" w:hAnsi="仿宋" w:eastAsia="仿宋" w:cs="仿宋"/>
          <w:kern w:val="2"/>
          <w:sz w:val="28"/>
          <w:szCs w:val="28"/>
        </w:rPr>
        <w:t xml:space="preserve">1、架构 </w:t>
      </w:r>
    </w:p>
    <w:p w14:paraId="59F24EBF">
      <w:pPr>
        <w:pStyle w:val="4"/>
        <w:keepNext w:val="0"/>
        <w:keepLines w:val="0"/>
        <w:pageBreakBefore w:val="0"/>
        <w:numPr>
          <w:ilvl w:val="0"/>
          <w:numId w:val="0"/>
        </w:numPr>
        <w:kinsoku/>
        <w:wordWrap/>
        <w:overflowPunct/>
        <w:topLinePunct w:val="0"/>
        <w:bidi w:val="0"/>
        <w:spacing w:line="240" w:lineRule="auto"/>
        <w:ind w:right="-105" w:firstLine="568" w:firstLineChars="200"/>
        <w:textAlignment w:val="auto"/>
        <w:outlineLvl w:val="9"/>
        <w:rPr>
          <w:rFonts w:hint="eastAsia" w:ascii="仿宋" w:hAnsi="仿宋" w:eastAsia="仿宋" w:cs="仿宋"/>
          <w:kern w:val="2"/>
          <w:sz w:val="28"/>
          <w:szCs w:val="28"/>
        </w:rPr>
      </w:pPr>
      <w:r>
        <w:rPr>
          <w:rFonts w:hint="eastAsia" w:ascii="仿宋" w:hAnsi="仿宋" w:eastAsia="仿宋" w:cs="仿宋"/>
          <w:kern w:val="2"/>
          <w:sz w:val="28"/>
          <w:szCs w:val="28"/>
        </w:rPr>
        <w:t>架构结构根据封面、扉页、目录、引言、范围、引用文件、术语、 概述、计量特性、校准条件、校准项目和校准方法、校准结果表达、复校时间间隔</w:t>
      </w:r>
      <w:r>
        <w:rPr>
          <w:rFonts w:hint="eastAsia" w:ascii="仿宋" w:hAnsi="仿宋" w:eastAsia="仿宋" w:cs="仿宋"/>
          <w:kern w:val="2"/>
          <w:sz w:val="28"/>
          <w:szCs w:val="28"/>
          <w:lang w:eastAsia="zh-CN"/>
        </w:rPr>
        <w:t>、附录（测量不确定度、校准原始记录、校准证书）等</w:t>
      </w:r>
      <w:r>
        <w:rPr>
          <w:rFonts w:hint="eastAsia" w:ascii="仿宋" w:hAnsi="仿宋" w:eastAsia="仿宋" w:cs="仿宋"/>
          <w:kern w:val="2"/>
          <w:sz w:val="28"/>
          <w:szCs w:val="28"/>
        </w:rPr>
        <w:t>几个部分制定《</w:t>
      </w:r>
      <w:r>
        <w:rPr>
          <w:rFonts w:hint="eastAsia" w:ascii="仿宋" w:hAnsi="仿宋" w:eastAsia="仿宋" w:cs="仿宋"/>
          <w:kern w:val="2"/>
          <w:sz w:val="28"/>
          <w:szCs w:val="28"/>
          <w:lang w:eastAsia="zh-CN"/>
        </w:rPr>
        <w:t>脉搏血氧仪</w:t>
      </w:r>
      <w:r>
        <w:rPr>
          <w:rFonts w:hint="eastAsia" w:ascii="仿宋" w:hAnsi="仿宋" w:eastAsia="仿宋" w:cs="仿宋"/>
          <w:kern w:val="2"/>
          <w:sz w:val="28"/>
          <w:szCs w:val="28"/>
        </w:rPr>
        <w:t>校准规范》。</w:t>
      </w:r>
    </w:p>
    <w:p w14:paraId="0DECC78A">
      <w:pPr>
        <w:pStyle w:val="4"/>
        <w:keepNext w:val="0"/>
        <w:keepLines w:val="0"/>
        <w:pageBreakBefore w:val="0"/>
        <w:numPr>
          <w:ilvl w:val="0"/>
          <w:numId w:val="0"/>
        </w:numPr>
        <w:kinsoku/>
        <w:wordWrap/>
        <w:overflowPunct/>
        <w:topLinePunct w:val="0"/>
        <w:bidi w:val="0"/>
        <w:spacing w:line="240" w:lineRule="auto"/>
        <w:ind w:right="-105" w:firstLine="568" w:firstLineChars="200"/>
        <w:textAlignment w:val="auto"/>
        <w:outlineLvl w:val="9"/>
        <w:rPr>
          <w:rFonts w:hint="eastAsia" w:ascii="仿宋" w:hAnsi="仿宋" w:eastAsia="仿宋" w:cs="仿宋"/>
          <w:kern w:val="2"/>
          <w:sz w:val="28"/>
          <w:szCs w:val="28"/>
        </w:rPr>
      </w:pPr>
      <w:r>
        <w:rPr>
          <w:rFonts w:hint="eastAsia" w:ascii="仿宋" w:hAnsi="仿宋" w:eastAsia="仿宋" w:cs="仿宋"/>
          <w:kern w:val="2"/>
          <w:sz w:val="28"/>
          <w:szCs w:val="28"/>
        </w:rPr>
        <w:t>2、术语与计量单位的选择</w:t>
      </w:r>
    </w:p>
    <w:p w14:paraId="674225ED">
      <w:pPr>
        <w:pStyle w:val="4"/>
        <w:keepNext w:val="0"/>
        <w:keepLines w:val="0"/>
        <w:pageBreakBefore w:val="0"/>
        <w:numPr>
          <w:ilvl w:val="0"/>
          <w:numId w:val="0"/>
        </w:numPr>
        <w:kinsoku/>
        <w:wordWrap/>
        <w:overflowPunct/>
        <w:topLinePunct w:val="0"/>
        <w:bidi w:val="0"/>
        <w:spacing w:line="240" w:lineRule="auto"/>
        <w:ind w:right="-105" w:firstLine="568" w:firstLineChars="200"/>
        <w:textAlignment w:val="auto"/>
        <w:outlineLvl w:val="9"/>
        <w:rPr>
          <w:rFonts w:hint="eastAsia" w:ascii="仿宋" w:hAnsi="仿宋" w:eastAsia="仿宋" w:cs="仿宋"/>
          <w:kern w:val="2"/>
          <w:sz w:val="28"/>
          <w:szCs w:val="28"/>
        </w:rPr>
      </w:pPr>
      <w:r>
        <w:rPr>
          <w:rFonts w:hint="eastAsia" w:ascii="仿宋" w:hAnsi="仿宋" w:eastAsia="仿宋" w:cs="仿宋"/>
          <w:kern w:val="2"/>
          <w:sz w:val="28"/>
          <w:szCs w:val="28"/>
        </w:rPr>
        <w:t>术语和计量单位的选择遵照 JJF1001-2011《通用计量术语及定义》选择使用。</w:t>
      </w:r>
    </w:p>
    <w:p w14:paraId="791CE4EA">
      <w:pPr>
        <w:pStyle w:val="4"/>
        <w:keepNext w:val="0"/>
        <w:keepLines w:val="0"/>
        <w:pageBreakBefore w:val="0"/>
        <w:numPr>
          <w:ilvl w:val="0"/>
          <w:numId w:val="0"/>
        </w:numPr>
        <w:kinsoku/>
        <w:wordWrap/>
        <w:overflowPunct/>
        <w:topLinePunct w:val="0"/>
        <w:bidi w:val="0"/>
        <w:spacing w:line="240" w:lineRule="auto"/>
        <w:ind w:right="-105" w:firstLine="568" w:firstLineChars="200"/>
        <w:textAlignment w:val="auto"/>
        <w:outlineLvl w:val="9"/>
        <w:rPr>
          <w:rFonts w:hint="eastAsia" w:ascii="仿宋" w:hAnsi="仿宋" w:eastAsia="仿宋" w:cs="仿宋"/>
          <w:kern w:val="2"/>
          <w:sz w:val="28"/>
          <w:szCs w:val="28"/>
        </w:rPr>
      </w:pPr>
      <w:r>
        <w:rPr>
          <w:rFonts w:hint="eastAsia" w:ascii="仿宋" w:hAnsi="仿宋" w:eastAsia="仿宋" w:cs="仿宋"/>
          <w:kern w:val="2"/>
          <w:sz w:val="28"/>
          <w:szCs w:val="28"/>
        </w:rPr>
        <w:t>3、计量特性确定原则</w:t>
      </w:r>
    </w:p>
    <w:p w14:paraId="7119E883">
      <w:pPr>
        <w:keepNext w:val="0"/>
        <w:keepLines w:val="0"/>
        <w:pageBreakBefore w:val="0"/>
        <w:kinsoku/>
        <w:wordWrap/>
        <w:overflowPunct/>
        <w:topLinePunct w:val="0"/>
        <w:bidi w:val="0"/>
        <w:spacing w:line="240" w:lineRule="auto"/>
        <w:ind w:firstLine="560" w:firstLineChars="200"/>
        <w:jc w:val="left"/>
        <w:textAlignment w:val="auto"/>
        <w:rPr>
          <w:rFonts w:hint="eastAsia" w:ascii="仿宋" w:hAnsi="仿宋" w:eastAsia="仿宋" w:cs="仿宋"/>
          <w:kern w:val="2"/>
          <w:sz w:val="28"/>
          <w:szCs w:val="28"/>
        </w:rPr>
      </w:pPr>
      <w:r>
        <w:rPr>
          <w:rFonts w:hint="eastAsia" w:ascii="仿宋" w:hAnsi="仿宋" w:eastAsia="仿宋" w:cs="仿宋"/>
          <w:kern w:val="2"/>
          <w:sz w:val="28"/>
          <w:szCs w:val="28"/>
        </w:rPr>
        <w:t>根据</w:t>
      </w:r>
      <w:r>
        <w:rPr>
          <w:rFonts w:hint="eastAsia" w:ascii="仿宋" w:hAnsi="仿宋" w:eastAsia="仿宋" w:cs="仿宋"/>
          <w:kern w:val="2"/>
          <w:sz w:val="28"/>
          <w:szCs w:val="28"/>
          <w:lang w:eastAsia="zh-CN"/>
        </w:rPr>
        <w:t>脉搏血氧仪</w:t>
      </w:r>
      <w:r>
        <w:rPr>
          <w:rFonts w:hint="eastAsia" w:ascii="仿宋" w:hAnsi="仿宋" w:eastAsia="仿宋" w:cs="仿宋"/>
          <w:kern w:val="2"/>
          <w:sz w:val="28"/>
          <w:szCs w:val="28"/>
        </w:rPr>
        <w:t>校准规范的类型及特点，确定</w:t>
      </w:r>
      <w:r>
        <w:rPr>
          <w:rFonts w:hint="eastAsia" w:ascii="仿宋" w:hAnsi="仿宋" w:eastAsia="仿宋" w:cs="仿宋"/>
          <w:kern w:val="2"/>
          <w:sz w:val="28"/>
          <w:szCs w:val="28"/>
          <w:lang w:eastAsia="zh-CN"/>
        </w:rPr>
        <w:t>脉搏血氧仪</w:t>
      </w:r>
      <w:r>
        <w:rPr>
          <w:rFonts w:hint="eastAsia" w:ascii="仿宋" w:hAnsi="仿宋" w:eastAsia="仿宋" w:cs="仿宋"/>
          <w:kern w:val="2"/>
          <w:sz w:val="28"/>
          <w:szCs w:val="28"/>
        </w:rPr>
        <w:t>校准规范的计量特性；</w:t>
      </w:r>
    </w:p>
    <w:p w14:paraId="21DC5ACC">
      <w:pPr>
        <w:keepNext w:val="0"/>
        <w:keepLines w:val="0"/>
        <w:pageBreakBefore w:val="0"/>
        <w:kinsoku/>
        <w:wordWrap/>
        <w:overflowPunct/>
        <w:topLinePunct w:val="0"/>
        <w:bidi w:val="0"/>
        <w:spacing w:line="240" w:lineRule="auto"/>
        <w:ind w:firstLine="560" w:firstLineChars="200"/>
        <w:jc w:val="left"/>
        <w:textAlignment w:val="auto"/>
        <w:rPr>
          <w:rFonts w:hint="eastAsia" w:ascii="仿宋" w:hAnsi="仿宋" w:eastAsia="仿宋" w:cs="仿宋"/>
          <w:kern w:val="2"/>
          <w:sz w:val="28"/>
          <w:szCs w:val="28"/>
          <w:lang w:eastAsia="zh-CN"/>
        </w:rPr>
      </w:pPr>
      <w:r>
        <w:rPr>
          <w:rFonts w:hint="eastAsia" w:ascii="仿宋" w:hAnsi="仿宋" w:eastAsia="仿宋" w:cs="仿宋"/>
          <w:kern w:val="2"/>
          <w:sz w:val="28"/>
          <w:szCs w:val="28"/>
        </w:rPr>
        <w:t>计量特性确定过程中也参照了现行有效的JJG1163—2019《多参数监护仪检定规程》</w:t>
      </w:r>
      <w:r>
        <w:rPr>
          <w:rFonts w:hint="eastAsia" w:ascii="仿宋" w:hAnsi="仿宋" w:eastAsia="仿宋" w:cs="仿宋"/>
          <w:kern w:val="2"/>
          <w:sz w:val="28"/>
          <w:szCs w:val="28"/>
          <w:lang w:eastAsia="zh-CN"/>
        </w:rPr>
        <w:t>、</w:t>
      </w:r>
      <w:r>
        <w:rPr>
          <w:rFonts w:hint="eastAsia" w:ascii="仿宋" w:hAnsi="仿宋" w:eastAsia="仿宋" w:cs="仿宋"/>
          <w:kern w:val="2"/>
          <w:sz w:val="28"/>
          <w:szCs w:val="28"/>
        </w:rPr>
        <w:t>JJF 1542-2015 血氧饱和度模拟仪校准规范</w:t>
      </w:r>
      <w:r>
        <w:rPr>
          <w:rFonts w:hint="eastAsia" w:ascii="仿宋" w:hAnsi="仿宋" w:eastAsia="仿宋" w:cs="仿宋"/>
          <w:kern w:val="2"/>
          <w:sz w:val="28"/>
          <w:szCs w:val="28"/>
          <w:lang w:eastAsia="zh-CN"/>
        </w:rPr>
        <w:t>、</w:t>
      </w:r>
      <w:r>
        <w:rPr>
          <w:rFonts w:hint="eastAsia" w:ascii="仿宋" w:hAnsi="仿宋" w:eastAsia="仿宋" w:cs="仿宋"/>
          <w:kern w:val="2"/>
          <w:sz w:val="28"/>
          <w:szCs w:val="28"/>
        </w:rPr>
        <w:t>YY0784-2010/ISO9919:2005  医用电气设备.医用脉搏血氧仪设备基本安全和重要性能专用要求</w:t>
      </w:r>
      <w:r>
        <w:rPr>
          <w:rFonts w:hint="eastAsia" w:ascii="仿宋" w:hAnsi="仿宋" w:eastAsia="仿宋" w:cs="仿宋"/>
          <w:kern w:val="2"/>
          <w:sz w:val="28"/>
          <w:szCs w:val="28"/>
          <w:lang w:eastAsia="zh-CN"/>
        </w:rPr>
        <w:t>等技术规范。</w:t>
      </w:r>
    </w:p>
    <w:p w14:paraId="0900A5E5">
      <w:pPr>
        <w:keepNext w:val="0"/>
        <w:keepLines w:val="0"/>
        <w:pageBreakBefore w:val="0"/>
        <w:kinsoku/>
        <w:wordWrap/>
        <w:overflowPunct/>
        <w:topLinePunct w:val="0"/>
        <w:bidi w:val="0"/>
        <w:spacing w:line="240" w:lineRule="auto"/>
        <w:jc w:val="left"/>
        <w:textAlignment w:val="auto"/>
        <w:rPr>
          <w:rFonts w:hint="eastAsia" w:ascii="仿宋" w:hAnsi="仿宋" w:eastAsia="仿宋" w:cs="仿宋"/>
          <w:b/>
          <w:sz w:val="28"/>
          <w:szCs w:val="28"/>
        </w:rPr>
      </w:pPr>
      <w:r>
        <w:rPr>
          <w:rFonts w:hint="eastAsia" w:ascii="仿宋" w:hAnsi="仿宋" w:eastAsia="仿宋" w:cs="仿宋"/>
          <w:b/>
          <w:sz w:val="28"/>
          <w:szCs w:val="28"/>
        </w:rPr>
        <w:t>四、编制规范的起草过程</w:t>
      </w:r>
    </w:p>
    <w:p w14:paraId="13FBD7B8">
      <w:pPr>
        <w:keepNext w:val="0"/>
        <w:keepLines w:val="0"/>
        <w:pageBreakBefore w:val="0"/>
        <w:kinsoku/>
        <w:wordWrap/>
        <w:overflowPunct/>
        <w:topLinePunct w:val="0"/>
        <w:bidi w:val="0"/>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2024年1月组建编制起草小组,编写分工及进度计划。</w:t>
      </w:r>
    </w:p>
    <w:p w14:paraId="3DE57A41">
      <w:pPr>
        <w:keepNext w:val="0"/>
        <w:keepLines w:val="0"/>
        <w:pageBreakBefore w:val="0"/>
        <w:kinsoku/>
        <w:wordWrap/>
        <w:overflowPunct/>
        <w:topLinePunct w:val="0"/>
        <w:bidi w:val="0"/>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2024年2月-2024年3月前往各相关医疗机构进行前期调研。</w:t>
      </w:r>
    </w:p>
    <w:p w14:paraId="392F6345">
      <w:pPr>
        <w:pStyle w:val="4"/>
        <w:keepNext w:val="0"/>
        <w:keepLines w:val="0"/>
        <w:pageBreakBefore w:val="0"/>
        <w:numPr>
          <w:ilvl w:val="0"/>
          <w:numId w:val="0"/>
        </w:numPr>
        <w:kinsoku/>
        <w:wordWrap/>
        <w:overflowPunct/>
        <w:topLinePunct w:val="0"/>
        <w:bidi w:val="0"/>
        <w:spacing w:line="240" w:lineRule="auto"/>
        <w:ind w:right="-105" w:firstLine="568" w:firstLineChars="200"/>
        <w:textAlignment w:val="auto"/>
        <w:outlineLvl w:val="9"/>
        <w:rPr>
          <w:rFonts w:hint="eastAsia" w:ascii="仿宋" w:hAnsi="仿宋" w:eastAsia="仿宋" w:cs="仿宋"/>
          <w:kern w:val="2"/>
          <w:sz w:val="28"/>
          <w:szCs w:val="28"/>
        </w:rPr>
      </w:pPr>
      <w:r>
        <w:rPr>
          <w:rFonts w:hint="eastAsia" w:ascii="仿宋" w:hAnsi="仿宋" w:eastAsia="仿宋" w:cs="仿宋"/>
          <w:sz w:val="28"/>
          <w:szCs w:val="28"/>
        </w:rPr>
        <w:t>2024年4月</w:t>
      </w:r>
      <w:r>
        <w:rPr>
          <w:rFonts w:hint="eastAsia" w:ascii="仿宋" w:hAnsi="仿宋" w:eastAsia="仿宋" w:cs="仿宋"/>
          <w:sz w:val="28"/>
          <w:szCs w:val="28"/>
          <w:lang w:val="en-US" w:eastAsia="zh-CN"/>
        </w:rPr>
        <w:t>，</w:t>
      </w:r>
      <w:r>
        <w:rPr>
          <w:rFonts w:hint="eastAsia" w:ascii="仿宋" w:hAnsi="仿宋" w:eastAsia="仿宋" w:cs="仿宋"/>
          <w:kern w:val="2"/>
          <w:sz w:val="28"/>
          <w:szCs w:val="28"/>
        </w:rPr>
        <w:t>根据初步校准方案，针对不同类型</w:t>
      </w:r>
      <w:r>
        <w:rPr>
          <w:rFonts w:hint="eastAsia" w:ascii="仿宋" w:hAnsi="仿宋" w:eastAsia="仿宋" w:cs="仿宋"/>
          <w:kern w:val="2"/>
          <w:sz w:val="28"/>
          <w:szCs w:val="28"/>
          <w:lang w:eastAsia="zh-CN"/>
        </w:rPr>
        <w:t>脉搏血氧仪</w:t>
      </w:r>
      <w:r>
        <w:rPr>
          <w:rFonts w:hint="eastAsia" w:ascii="仿宋" w:hAnsi="仿宋" w:eastAsia="仿宋" w:cs="仿宋"/>
          <w:kern w:val="2"/>
          <w:sz w:val="28"/>
          <w:szCs w:val="28"/>
        </w:rPr>
        <w:t>，对主要校准项目进行了现场实验和数据处理分析，以确定最佳校准方案，比如校准血氧饱和度示值重复性、脉率示值误差</w:t>
      </w:r>
      <w:r>
        <w:rPr>
          <w:rFonts w:hint="eastAsia" w:ascii="仿宋" w:hAnsi="仿宋" w:eastAsia="仿宋" w:cs="仿宋"/>
          <w:kern w:val="2"/>
          <w:sz w:val="28"/>
          <w:szCs w:val="28"/>
          <w:lang w:eastAsia="zh-CN"/>
        </w:rPr>
        <w:t>方法</w:t>
      </w:r>
      <w:r>
        <w:rPr>
          <w:rFonts w:hint="eastAsia" w:ascii="仿宋" w:hAnsi="仿宋" w:eastAsia="仿宋" w:cs="仿宋"/>
          <w:kern w:val="2"/>
          <w:sz w:val="28"/>
          <w:szCs w:val="28"/>
        </w:rPr>
        <w:t>的确定。</w:t>
      </w:r>
    </w:p>
    <w:p w14:paraId="303B7512">
      <w:pPr>
        <w:keepNext w:val="0"/>
        <w:keepLines w:val="0"/>
        <w:pageBreakBefore w:val="0"/>
        <w:kinsoku/>
        <w:wordWrap/>
        <w:overflowPunct/>
        <w:topLinePunct w:val="0"/>
        <w:bidi w:val="0"/>
        <w:spacing w:line="240" w:lineRule="auto"/>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rPr>
        <w:t>2024年</w:t>
      </w:r>
      <w:r>
        <w:rPr>
          <w:rFonts w:hint="eastAsia" w:ascii="仿宋" w:hAnsi="仿宋" w:eastAsia="仿宋" w:cs="仿宋"/>
          <w:sz w:val="28"/>
          <w:szCs w:val="28"/>
          <w:lang w:val="en-US" w:eastAsia="zh-CN"/>
        </w:rPr>
        <w:t>5月上旬，</w:t>
      </w:r>
      <w:r>
        <w:rPr>
          <w:rFonts w:hint="eastAsia" w:ascii="仿宋" w:hAnsi="仿宋" w:eastAsia="仿宋" w:cs="仿宋"/>
          <w:sz w:val="28"/>
          <w:szCs w:val="28"/>
        </w:rPr>
        <w:t>开始编制初稿,并对技术方案的经济性、实用性、可行性进行分析与论证,并形成初稿。</w:t>
      </w:r>
    </w:p>
    <w:p w14:paraId="16D3AF27">
      <w:pPr>
        <w:keepNext w:val="0"/>
        <w:keepLines w:val="0"/>
        <w:pageBreakBefore w:val="0"/>
        <w:kinsoku/>
        <w:wordWrap/>
        <w:overflowPunct/>
        <w:topLinePunct w:val="0"/>
        <w:bidi w:val="0"/>
        <w:spacing w:line="240" w:lineRule="auto"/>
        <w:ind w:firstLine="568" w:firstLineChars="200"/>
        <w:textAlignment w:val="auto"/>
        <w:rPr>
          <w:rFonts w:hint="eastAsia" w:ascii="仿宋" w:hAnsi="仿宋" w:eastAsia="仿宋" w:cs="仿宋"/>
          <w:spacing w:val="2"/>
          <w:kern w:val="2"/>
          <w:sz w:val="28"/>
          <w:szCs w:val="28"/>
          <w:lang w:val="en-US" w:eastAsia="zh-CN" w:bidi="ar-SA"/>
        </w:rPr>
      </w:pPr>
      <w:r>
        <w:rPr>
          <w:rFonts w:hint="eastAsia" w:ascii="仿宋" w:hAnsi="仿宋" w:eastAsia="仿宋" w:cs="仿宋"/>
          <w:spacing w:val="2"/>
          <w:kern w:val="2"/>
          <w:sz w:val="28"/>
          <w:szCs w:val="28"/>
          <w:lang w:val="en-US" w:eastAsia="zh-CN" w:bidi="ar-SA"/>
        </w:rPr>
        <w:t>2024年5月下旬，前往江苏省计量科学研究院进行考察交流，并进行相关试验。结合市面上主要品牌型号的脉搏血氧仪的技术特点，初步确定了脉搏血氧仪血氧饱和度测量范围、血氧饱和度示值重复性、脉率测量范围、脉率示值误差等关键计量技术指标，并针对每个项目的校准设计了初步校准方案和理论推导分析。</w:t>
      </w:r>
    </w:p>
    <w:p w14:paraId="2A72D87D">
      <w:pPr>
        <w:pStyle w:val="4"/>
        <w:keepNext w:val="0"/>
        <w:keepLines w:val="0"/>
        <w:pageBreakBefore w:val="0"/>
        <w:numPr>
          <w:ilvl w:val="0"/>
          <w:numId w:val="0"/>
        </w:numPr>
        <w:kinsoku/>
        <w:wordWrap/>
        <w:overflowPunct/>
        <w:topLinePunct w:val="0"/>
        <w:bidi w:val="0"/>
        <w:spacing w:line="240" w:lineRule="auto"/>
        <w:ind w:right="-105" w:firstLine="568" w:firstLineChars="200"/>
        <w:textAlignment w:val="auto"/>
        <w:outlineLvl w:val="9"/>
        <w:rPr>
          <w:rFonts w:hint="eastAsia" w:ascii="仿宋" w:hAnsi="仿宋" w:eastAsia="仿宋" w:cs="仿宋"/>
          <w:kern w:val="2"/>
          <w:sz w:val="28"/>
          <w:szCs w:val="28"/>
        </w:rPr>
      </w:pPr>
      <w:r>
        <w:rPr>
          <w:rFonts w:hint="eastAsia" w:ascii="仿宋" w:hAnsi="仿宋" w:eastAsia="仿宋" w:cs="仿宋"/>
          <w:kern w:val="2"/>
          <w:sz w:val="28"/>
          <w:szCs w:val="28"/>
        </w:rPr>
        <w:t>202</w:t>
      </w:r>
      <w:r>
        <w:rPr>
          <w:rFonts w:hint="eastAsia" w:ascii="仿宋" w:hAnsi="仿宋" w:eastAsia="仿宋" w:cs="仿宋"/>
          <w:kern w:val="2"/>
          <w:sz w:val="28"/>
          <w:szCs w:val="28"/>
          <w:lang w:val="en-US" w:eastAsia="zh-CN"/>
        </w:rPr>
        <w:t>4</w:t>
      </w:r>
      <w:r>
        <w:rPr>
          <w:rFonts w:hint="eastAsia" w:ascii="仿宋" w:hAnsi="仿宋" w:eastAsia="仿宋" w:cs="仿宋"/>
          <w:kern w:val="2"/>
          <w:sz w:val="28"/>
          <w:szCs w:val="28"/>
        </w:rPr>
        <w:t>年</w:t>
      </w:r>
      <w:r>
        <w:rPr>
          <w:rFonts w:hint="eastAsia" w:ascii="仿宋" w:hAnsi="仿宋" w:eastAsia="仿宋" w:cs="仿宋"/>
          <w:kern w:val="2"/>
          <w:sz w:val="28"/>
          <w:szCs w:val="28"/>
          <w:lang w:val="en-US" w:eastAsia="zh-CN"/>
        </w:rPr>
        <w:t>6</w:t>
      </w:r>
      <w:r>
        <w:rPr>
          <w:rFonts w:hint="eastAsia" w:ascii="仿宋" w:hAnsi="仿宋" w:eastAsia="仿宋" w:cs="仿宋"/>
          <w:kern w:val="2"/>
          <w:sz w:val="28"/>
          <w:szCs w:val="28"/>
        </w:rPr>
        <w:t>月～</w:t>
      </w:r>
      <w:r>
        <w:rPr>
          <w:rFonts w:hint="eastAsia" w:ascii="仿宋" w:hAnsi="仿宋" w:eastAsia="仿宋" w:cs="仿宋"/>
          <w:kern w:val="2"/>
          <w:sz w:val="28"/>
          <w:szCs w:val="28"/>
          <w:lang w:val="en-US" w:eastAsia="zh-CN"/>
        </w:rPr>
        <w:t>7</w:t>
      </w:r>
      <w:r>
        <w:rPr>
          <w:rFonts w:hint="eastAsia" w:ascii="仿宋" w:hAnsi="仿宋" w:eastAsia="仿宋" w:cs="仿宋"/>
          <w:kern w:val="2"/>
          <w:sz w:val="28"/>
          <w:szCs w:val="28"/>
        </w:rPr>
        <w:t>月，起草小组基于实验数据以及国内外仪器生产厂商的广泛意见，合理确定了</w:t>
      </w:r>
      <w:r>
        <w:rPr>
          <w:rFonts w:hint="eastAsia" w:ascii="仿宋" w:hAnsi="仿宋" w:eastAsia="仿宋" w:cs="仿宋"/>
          <w:kern w:val="2"/>
          <w:sz w:val="28"/>
          <w:szCs w:val="28"/>
          <w:lang w:eastAsia="zh-CN"/>
        </w:rPr>
        <w:t>脉搏血氧仪</w:t>
      </w:r>
      <w:r>
        <w:rPr>
          <w:rFonts w:hint="eastAsia" w:ascii="仿宋" w:hAnsi="仿宋" w:eastAsia="仿宋" w:cs="仿宋"/>
          <w:kern w:val="2"/>
          <w:sz w:val="28"/>
          <w:szCs w:val="28"/>
        </w:rPr>
        <w:t>的计量特性、校准条件、校准项目和校准方法等内容，完成了适用性验证实验，最后</w:t>
      </w:r>
      <w:r>
        <w:rPr>
          <w:rFonts w:hint="eastAsia" w:ascii="仿宋" w:hAnsi="仿宋" w:eastAsia="仿宋" w:cs="仿宋"/>
          <w:kern w:val="2"/>
          <w:sz w:val="28"/>
          <w:szCs w:val="28"/>
          <w:lang w:eastAsia="zh-CN"/>
        </w:rPr>
        <w:t>编写</w:t>
      </w:r>
      <w:r>
        <w:rPr>
          <w:rFonts w:hint="eastAsia" w:ascii="仿宋" w:hAnsi="仿宋" w:eastAsia="仿宋" w:cs="仿宋"/>
          <w:kern w:val="2"/>
          <w:sz w:val="28"/>
          <w:szCs w:val="28"/>
        </w:rPr>
        <w:t>完成《</w:t>
      </w:r>
      <w:r>
        <w:rPr>
          <w:rFonts w:hint="eastAsia" w:ascii="仿宋" w:hAnsi="仿宋" w:eastAsia="仿宋" w:cs="仿宋"/>
          <w:kern w:val="2"/>
          <w:sz w:val="28"/>
          <w:szCs w:val="28"/>
          <w:lang w:eastAsia="zh-CN"/>
        </w:rPr>
        <w:t>脉搏血氧仪</w:t>
      </w:r>
      <w:r>
        <w:rPr>
          <w:rFonts w:hint="eastAsia" w:ascii="仿宋" w:hAnsi="仿宋" w:eastAsia="仿宋" w:cs="仿宋"/>
          <w:kern w:val="2"/>
          <w:sz w:val="28"/>
          <w:szCs w:val="28"/>
        </w:rPr>
        <w:t>校准规范》（征求意见稿）、</w:t>
      </w:r>
      <w:r>
        <w:rPr>
          <w:rFonts w:hint="eastAsia" w:ascii="仿宋" w:hAnsi="仿宋" w:eastAsia="仿宋" w:cs="仿宋"/>
          <w:kern w:val="2"/>
          <w:sz w:val="28"/>
          <w:szCs w:val="28"/>
          <w:lang w:eastAsia="zh-CN"/>
        </w:rPr>
        <w:t>编写</w:t>
      </w:r>
      <w:r>
        <w:rPr>
          <w:rFonts w:hint="eastAsia" w:ascii="仿宋" w:hAnsi="仿宋" w:eastAsia="仿宋" w:cs="仿宋"/>
          <w:kern w:val="2"/>
          <w:sz w:val="28"/>
          <w:szCs w:val="28"/>
        </w:rPr>
        <w:t>说明和实验报告。</w:t>
      </w:r>
    </w:p>
    <w:p w14:paraId="6FD4821D">
      <w:pPr>
        <w:pStyle w:val="4"/>
        <w:keepNext w:val="0"/>
        <w:keepLines w:val="0"/>
        <w:pageBreakBefore w:val="0"/>
        <w:numPr>
          <w:ilvl w:val="0"/>
          <w:numId w:val="0"/>
        </w:numPr>
        <w:kinsoku/>
        <w:wordWrap/>
        <w:overflowPunct/>
        <w:topLinePunct w:val="0"/>
        <w:bidi w:val="0"/>
        <w:spacing w:line="240" w:lineRule="auto"/>
        <w:ind w:right="-105" w:firstLine="568" w:firstLineChars="200"/>
        <w:textAlignment w:val="auto"/>
        <w:outlineLvl w:val="9"/>
        <w:rPr>
          <w:rFonts w:hint="eastAsia" w:ascii="仿宋" w:hAnsi="仿宋" w:eastAsia="仿宋" w:cs="仿宋"/>
          <w:kern w:val="2"/>
          <w:sz w:val="28"/>
          <w:szCs w:val="28"/>
        </w:rPr>
      </w:pPr>
      <w:r>
        <w:rPr>
          <w:rFonts w:hint="eastAsia" w:ascii="仿宋" w:hAnsi="仿宋" w:eastAsia="仿宋" w:cs="仿宋"/>
          <w:kern w:val="2"/>
          <w:sz w:val="28"/>
          <w:szCs w:val="28"/>
        </w:rPr>
        <w:t>2024年</w:t>
      </w:r>
      <w:r>
        <w:rPr>
          <w:rFonts w:hint="eastAsia" w:ascii="仿宋" w:hAnsi="仿宋" w:eastAsia="仿宋" w:cs="仿宋"/>
          <w:kern w:val="2"/>
          <w:sz w:val="28"/>
          <w:szCs w:val="28"/>
          <w:lang w:val="en-US" w:eastAsia="zh-CN"/>
        </w:rPr>
        <w:t>8</w:t>
      </w:r>
      <w:r>
        <w:rPr>
          <w:rFonts w:hint="eastAsia" w:ascii="仿宋" w:hAnsi="仿宋" w:eastAsia="仿宋" w:cs="仿宋"/>
          <w:kern w:val="2"/>
          <w:sz w:val="28"/>
          <w:szCs w:val="28"/>
        </w:rPr>
        <w:t>月，起草小组基于《</w:t>
      </w:r>
      <w:r>
        <w:rPr>
          <w:rFonts w:hint="eastAsia" w:ascii="仿宋" w:hAnsi="仿宋" w:eastAsia="仿宋" w:cs="仿宋"/>
          <w:kern w:val="2"/>
          <w:sz w:val="28"/>
          <w:szCs w:val="28"/>
          <w:lang w:eastAsia="zh-CN"/>
        </w:rPr>
        <w:t>脉搏血氧仪</w:t>
      </w:r>
      <w:r>
        <w:rPr>
          <w:rFonts w:hint="eastAsia" w:ascii="仿宋" w:hAnsi="仿宋" w:eastAsia="仿宋" w:cs="仿宋"/>
          <w:kern w:val="2"/>
          <w:sz w:val="28"/>
          <w:szCs w:val="28"/>
        </w:rPr>
        <w:t>校准规范》（征求意见稿），分别向</w:t>
      </w:r>
      <w:r>
        <w:rPr>
          <w:rFonts w:hint="eastAsia" w:ascii="仿宋" w:hAnsi="仿宋" w:eastAsia="仿宋" w:cs="仿宋"/>
          <w:kern w:val="2"/>
          <w:sz w:val="28"/>
          <w:szCs w:val="28"/>
          <w:lang w:eastAsia="zh-CN"/>
        </w:rPr>
        <w:t>全国无线电委员会秘书长何昭研究院、</w:t>
      </w:r>
      <w:r>
        <w:rPr>
          <w:rFonts w:hint="eastAsia" w:ascii="仿宋" w:hAnsi="仿宋" w:eastAsia="仿宋" w:cs="仿宋"/>
          <w:sz w:val="28"/>
          <w:szCs w:val="28"/>
          <w:vertAlign w:val="baseline"/>
        </w:rPr>
        <w:t>南京信息职业技术学院</w:t>
      </w:r>
      <w:r>
        <w:rPr>
          <w:rFonts w:hint="eastAsia" w:ascii="仿宋" w:hAnsi="仿宋" w:eastAsia="仿宋" w:cs="仿宋"/>
          <w:sz w:val="28"/>
          <w:szCs w:val="28"/>
          <w:vertAlign w:val="baseline"/>
          <w:lang w:eastAsia="zh-CN"/>
        </w:rPr>
        <w:t>姚绍卫研究院、总后勤部卫生部药品仪器检验所李咏雪、江苏省计量研究院夏勋荣老师</w:t>
      </w:r>
      <w:r>
        <w:rPr>
          <w:rFonts w:hint="eastAsia" w:ascii="仿宋" w:hAnsi="仿宋" w:eastAsia="仿宋" w:cs="仿宋"/>
          <w:kern w:val="2"/>
          <w:sz w:val="28"/>
          <w:szCs w:val="28"/>
        </w:rPr>
        <w:t>征求意见。根据四位专家提出的修改意见，起草小组进行了充分学习讨论，并根据修改意见对征求意见稿进行了修改和完善，未采纳部分也进行了答复和说明。</w:t>
      </w:r>
    </w:p>
    <w:p w14:paraId="7AF51B67">
      <w:pPr>
        <w:keepNext w:val="0"/>
        <w:keepLines w:val="0"/>
        <w:pageBreakBefore w:val="0"/>
        <w:kinsoku/>
        <w:wordWrap/>
        <w:overflowPunct/>
        <w:topLinePunct w:val="0"/>
        <w:bidi w:val="0"/>
        <w:spacing w:line="240" w:lineRule="auto"/>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rPr>
        <w:t>2024年9月，</w:t>
      </w:r>
      <w:r>
        <w:rPr>
          <w:rFonts w:hint="eastAsia" w:ascii="仿宋" w:hAnsi="仿宋" w:eastAsia="仿宋" w:cs="仿宋"/>
          <w:sz w:val="28"/>
          <w:szCs w:val="28"/>
          <w:lang w:eastAsia="zh-CN"/>
        </w:rPr>
        <w:t>经海南省计量技术委员会讨论，</w:t>
      </w:r>
      <w:r>
        <w:rPr>
          <w:rFonts w:hint="eastAsia" w:ascii="仿宋" w:hAnsi="仿宋" w:eastAsia="仿宋" w:cs="仿宋"/>
          <w:sz w:val="28"/>
          <w:szCs w:val="28"/>
        </w:rPr>
        <w:t>海南省市场监督管理局</w:t>
      </w:r>
      <w:r>
        <w:rPr>
          <w:rFonts w:hint="eastAsia" w:ascii="仿宋" w:hAnsi="仿宋" w:eastAsia="仿宋" w:cs="仿宋"/>
          <w:sz w:val="28"/>
          <w:szCs w:val="28"/>
          <w:lang w:eastAsia="zh-CN"/>
        </w:rPr>
        <w:t>公示</w:t>
      </w:r>
      <w:r>
        <w:rPr>
          <w:rFonts w:hint="eastAsia" w:ascii="仿宋" w:hAnsi="仿宋" w:eastAsia="仿宋" w:cs="仿宋"/>
          <w:sz w:val="28"/>
          <w:szCs w:val="28"/>
        </w:rPr>
        <w:t>立项。</w:t>
      </w:r>
    </w:p>
    <w:p w14:paraId="5763555D">
      <w:pPr>
        <w:keepNext w:val="0"/>
        <w:keepLines w:val="0"/>
        <w:pageBreakBefore w:val="0"/>
        <w:kinsoku/>
        <w:wordWrap/>
        <w:overflowPunct/>
        <w:topLinePunct w:val="0"/>
        <w:bidi w:val="0"/>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2024年10月</w:t>
      </w:r>
      <w:r>
        <w:rPr>
          <w:rFonts w:hint="eastAsia" w:ascii="仿宋" w:hAnsi="仿宋" w:eastAsia="仿宋" w:cs="仿宋"/>
          <w:sz w:val="28"/>
          <w:szCs w:val="28"/>
          <w:lang w:eastAsia="zh-CN"/>
        </w:rPr>
        <w:t>，</w:t>
      </w:r>
      <w:r>
        <w:rPr>
          <w:rFonts w:hint="eastAsia" w:ascii="仿宋" w:hAnsi="仿宋" w:eastAsia="仿宋" w:cs="仿宋"/>
          <w:sz w:val="28"/>
          <w:szCs w:val="28"/>
        </w:rPr>
        <w:t>征求意见,并对收集到的意见进行汇总、分析、论证,对整体进行修正,形成报审稿;组织专家评审,形成报批稿。</w:t>
      </w:r>
    </w:p>
    <w:p w14:paraId="5E79EF46">
      <w:pPr>
        <w:keepNext w:val="0"/>
        <w:keepLines w:val="0"/>
        <w:pageBreakBefore w:val="0"/>
        <w:kinsoku/>
        <w:wordWrap/>
        <w:overflowPunct/>
        <w:topLinePunct w:val="0"/>
        <w:bidi w:val="0"/>
        <w:spacing w:line="240" w:lineRule="auto"/>
        <w:textAlignment w:val="auto"/>
        <w:rPr>
          <w:rFonts w:hint="eastAsia" w:ascii="仿宋" w:hAnsi="仿宋" w:eastAsia="仿宋" w:cs="仿宋"/>
          <w:b/>
          <w:sz w:val="28"/>
          <w:szCs w:val="28"/>
        </w:rPr>
      </w:pPr>
      <w:r>
        <w:rPr>
          <w:rFonts w:hint="eastAsia" w:ascii="仿宋" w:hAnsi="仿宋" w:eastAsia="仿宋" w:cs="仿宋"/>
          <w:b/>
          <w:sz w:val="28"/>
          <w:szCs w:val="28"/>
        </w:rPr>
        <w:t>五、规范主要内容的有关说明</w:t>
      </w:r>
    </w:p>
    <w:p w14:paraId="0630A59C">
      <w:pPr>
        <w:keepNext w:val="0"/>
        <w:keepLines w:val="0"/>
        <w:pageBreakBefore w:val="0"/>
        <w:kinsoku/>
        <w:wordWrap/>
        <w:overflowPunct/>
        <w:topLinePunct w:val="0"/>
        <w:bidi w:val="0"/>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（1）范围:该项目对本规范所适用的范围进行的规定。</w:t>
      </w:r>
    </w:p>
    <w:p w14:paraId="54F1D7B4">
      <w:pPr>
        <w:keepNext w:val="0"/>
        <w:keepLines w:val="0"/>
        <w:pageBreakBefore w:val="0"/>
        <w:kinsoku/>
        <w:wordWrap/>
        <w:overflowPunct/>
        <w:topLinePunct w:val="0"/>
        <w:bidi w:val="0"/>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（2）引用文件：该项目对本规范在在编制规程中所引用的文件进行了说明。</w:t>
      </w:r>
    </w:p>
    <w:p w14:paraId="5E19230F">
      <w:pPr>
        <w:keepNext w:val="0"/>
        <w:keepLines w:val="0"/>
        <w:pageBreakBefore w:val="0"/>
        <w:kinsoku/>
        <w:wordWrap/>
        <w:overflowPunct/>
        <w:topLinePunct w:val="0"/>
        <w:bidi w:val="0"/>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（3）术语与计量单位：该项目对本规程中出现的术语进行了解释，并给出了相应的计量单位。</w:t>
      </w:r>
    </w:p>
    <w:p w14:paraId="42B4F5C2">
      <w:pPr>
        <w:keepNext w:val="0"/>
        <w:keepLines w:val="0"/>
        <w:pageBreakBefore w:val="0"/>
        <w:kinsoku/>
        <w:wordWrap/>
        <w:overflowPunct/>
        <w:topLinePunct w:val="0"/>
        <w:bidi w:val="0"/>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（4）概述：该项目对脉搏血氧仪测量原理进行了阐述。</w:t>
      </w:r>
    </w:p>
    <w:p w14:paraId="1170FD9A">
      <w:pPr>
        <w:keepNext w:val="0"/>
        <w:keepLines w:val="0"/>
        <w:pageBreakBefore w:val="0"/>
        <w:kinsoku/>
        <w:wordWrap/>
        <w:overflowPunct/>
        <w:topLinePunct w:val="0"/>
        <w:bidi w:val="0"/>
        <w:spacing w:line="240" w:lineRule="auto"/>
        <w:ind w:firstLine="600"/>
        <w:jc w:val="left"/>
        <w:textAlignment w:val="auto"/>
        <w:rPr>
          <w:rFonts w:hint="eastAsia" w:ascii="仿宋" w:hAnsi="仿宋" w:eastAsia="仿宋" w:cs="仿宋"/>
          <w:sz w:val="28"/>
          <w:szCs w:val="28"/>
        </w:rPr>
      </w:pPr>
      <w:r>
        <w:rPr>
          <w:rFonts w:hint="eastAsia" w:ascii="仿宋" w:hAnsi="仿宋" w:eastAsia="仿宋" w:cs="仿宋"/>
          <w:sz w:val="28"/>
          <w:szCs w:val="28"/>
        </w:rPr>
        <w:t>（5） 计量特性：本项目将对脉搏血氧仪的血氧饱和度测量范围、血氧饱和度示值重复性、脉率测量范围、脉率示值误差等技术指标进行规定。</w:t>
      </w:r>
    </w:p>
    <w:p w14:paraId="291645EB">
      <w:pPr>
        <w:keepNext w:val="0"/>
        <w:keepLines w:val="0"/>
        <w:pageBreakBefore w:val="0"/>
        <w:kinsoku/>
        <w:wordWrap/>
        <w:overflowPunct/>
        <w:topLinePunct w:val="0"/>
        <w:bidi w:val="0"/>
        <w:spacing w:line="240" w:lineRule="auto"/>
        <w:ind w:firstLine="600"/>
        <w:jc w:val="left"/>
        <w:textAlignment w:val="auto"/>
        <w:rPr>
          <w:rFonts w:hint="eastAsia" w:ascii="仿宋" w:hAnsi="仿宋" w:eastAsia="仿宋" w:cs="仿宋"/>
          <w:sz w:val="28"/>
          <w:szCs w:val="28"/>
        </w:rPr>
      </w:pPr>
      <w:r>
        <w:rPr>
          <w:rFonts w:hint="eastAsia" w:ascii="仿宋" w:hAnsi="仿宋" w:eastAsia="仿宋" w:cs="仿宋"/>
          <w:sz w:val="28"/>
          <w:szCs w:val="28"/>
        </w:rPr>
        <w:t>（6）校准条件：本项目将对脉搏血氧仪校准过程的环境条件、环境温度、相对湿度、供电电源等相应校准条件进行的规定。</w:t>
      </w:r>
    </w:p>
    <w:p w14:paraId="6813216F">
      <w:pPr>
        <w:keepNext w:val="0"/>
        <w:keepLines w:val="0"/>
        <w:pageBreakBefore w:val="0"/>
        <w:kinsoku/>
        <w:wordWrap/>
        <w:overflowPunct/>
        <w:topLinePunct w:val="0"/>
        <w:bidi w:val="0"/>
        <w:spacing w:line="240" w:lineRule="auto"/>
        <w:ind w:firstLine="600"/>
        <w:jc w:val="left"/>
        <w:textAlignment w:val="auto"/>
        <w:rPr>
          <w:rFonts w:hint="eastAsia" w:ascii="仿宋" w:hAnsi="仿宋" w:eastAsia="仿宋" w:cs="仿宋"/>
          <w:sz w:val="28"/>
          <w:szCs w:val="28"/>
        </w:rPr>
      </w:pPr>
      <w:r>
        <w:rPr>
          <w:rFonts w:hint="eastAsia" w:ascii="仿宋" w:hAnsi="仿宋" w:eastAsia="仿宋" w:cs="仿宋"/>
          <w:sz w:val="28"/>
          <w:szCs w:val="28"/>
        </w:rPr>
        <w:t>（7） 校准项目与校准方法:本项目将对脉搏血氧仪的血氧饱和度测量范围、血氧饱和度示值重复性、脉率测量范围、脉率示值误差等技术参数的测量方法进行规定。</w:t>
      </w:r>
    </w:p>
    <w:p w14:paraId="2E88254E">
      <w:pPr>
        <w:pStyle w:val="7"/>
        <w:keepNext w:val="0"/>
        <w:keepLines w:val="0"/>
        <w:pageBreakBefore w:val="0"/>
        <w:kinsoku/>
        <w:wordWrap/>
        <w:overflowPunct/>
        <w:topLinePunct w:val="0"/>
        <w:bidi w:val="0"/>
        <w:spacing w:line="240" w:lineRule="auto"/>
        <w:textAlignment w:val="auto"/>
        <w:outlineLvl w:val="1"/>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8</w:t>
      </w:r>
      <w:r>
        <w:rPr>
          <w:rFonts w:hint="eastAsia" w:ascii="仿宋" w:hAnsi="仿宋" w:eastAsia="仿宋" w:cs="仿宋"/>
          <w:sz w:val="28"/>
          <w:szCs w:val="28"/>
          <w:lang w:eastAsia="zh-CN"/>
        </w:rPr>
        <w:t>）</w:t>
      </w:r>
      <w:r>
        <w:rPr>
          <w:rFonts w:hint="eastAsia" w:ascii="仿宋" w:hAnsi="仿宋" w:eastAsia="仿宋" w:cs="仿宋"/>
          <w:sz w:val="28"/>
          <w:szCs w:val="28"/>
        </w:rPr>
        <w:t>校准结果表达</w:t>
      </w:r>
    </w:p>
    <w:p w14:paraId="7977AC4A">
      <w:pPr>
        <w:keepNext w:val="0"/>
        <w:keepLines w:val="0"/>
        <w:pageBreakBefore w:val="0"/>
        <w:kinsoku/>
        <w:wordWrap/>
        <w:overflowPunct/>
        <w:topLinePunct w:val="0"/>
        <w:bidi w:val="0"/>
        <w:spacing w:line="240" w:lineRule="auto"/>
        <w:ind w:firstLine="480"/>
        <w:textAlignment w:val="auto"/>
        <w:rPr>
          <w:rFonts w:hint="eastAsia" w:ascii="仿宋" w:hAnsi="仿宋" w:eastAsia="仿宋" w:cs="仿宋"/>
          <w:sz w:val="28"/>
          <w:szCs w:val="28"/>
        </w:rPr>
      </w:pPr>
      <w:r>
        <w:rPr>
          <w:rFonts w:hint="eastAsia" w:ascii="仿宋" w:hAnsi="仿宋" w:eastAsia="仿宋" w:cs="仿宋"/>
          <w:sz w:val="28"/>
          <w:szCs w:val="28"/>
        </w:rPr>
        <w:t>经校准的</w:t>
      </w:r>
      <w:r>
        <w:rPr>
          <w:rFonts w:hint="eastAsia" w:ascii="仿宋" w:hAnsi="仿宋" w:eastAsia="仿宋" w:cs="仿宋"/>
          <w:sz w:val="28"/>
          <w:szCs w:val="28"/>
          <w:lang w:eastAsia="zh-CN"/>
        </w:rPr>
        <w:t>脉搏血氧仪</w:t>
      </w:r>
      <w:r>
        <w:rPr>
          <w:rFonts w:hint="eastAsia" w:ascii="仿宋" w:hAnsi="仿宋" w:eastAsia="仿宋" w:cs="仿宋"/>
          <w:sz w:val="28"/>
          <w:szCs w:val="28"/>
        </w:rPr>
        <w:t>，出具校准证书，校准证书应符合 JJF 1071-2010 中 5.12 的要求。推荐的校准证书内页格式见附录A。</w:t>
      </w:r>
      <w:r>
        <w:rPr>
          <w:rFonts w:hint="eastAsia" w:ascii="仿宋" w:hAnsi="仿宋" w:eastAsia="仿宋" w:cs="仿宋"/>
          <w:sz w:val="28"/>
          <w:szCs w:val="28"/>
          <w:lang w:eastAsia="zh-CN"/>
        </w:rPr>
        <w:t>脉搏血氧仪</w:t>
      </w:r>
      <w:r>
        <w:rPr>
          <w:rFonts w:hint="eastAsia" w:ascii="仿宋" w:hAnsi="仿宋" w:eastAsia="仿宋" w:cs="仿宋"/>
          <w:sz w:val="28"/>
          <w:szCs w:val="28"/>
        </w:rPr>
        <w:t>校准结果的测量不确定度按 JJF 1059.1— 2012 的要求评定，校准结果测量不确定度评定示例见附录B。</w:t>
      </w:r>
    </w:p>
    <w:p w14:paraId="4C0BDE50">
      <w:pPr>
        <w:pStyle w:val="7"/>
        <w:keepNext w:val="0"/>
        <w:keepLines w:val="0"/>
        <w:pageBreakBefore w:val="0"/>
        <w:kinsoku/>
        <w:wordWrap/>
        <w:overflowPunct/>
        <w:topLinePunct w:val="0"/>
        <w:bidi w:val="0"/>
        <w:spacing w:line="240" w:lineRule="auto"/>
        <w:textAlignment w:val="auto"/>
        <w:outlineLvl w:val="1"/>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9</w:t>
      </w:r>
      <w:r>
        <w:rPr>
          <w:rFonts w:hint="eastAsia" w:ascii="仿宋" w:hAnsi="仿宋" w:eastAsia="仿宋" w:cs="仿宋"/>
          <w:sz w:val="28"/>
          <w:szCs w:val="28"/>
          <w:lang w:eastAsia="zh-CN"/>
        </w:rPr>
        <w:t>）</w:t>
      </w:r>
      <w:r>
        <w:rPr>
          <w:rFonts w:hint="eastAsia" w:ascii="仿宋" w:hAnsi="仿宋" w:eastAsia="仿宋" w:cs="仿宋"/>
          <w:sz w:val="28"/>
          <w:szCs w:val="28"/>
        </w:rPr>
        <w:t>复校时间间隔</w:t>
      </w:r>
    </w:p>
    <w:p w14:paraId="56911B99">
      <w:pPr>
        <w:keepNext w:val="0"/>
        <w:keepLines w:val="0"/>
        <w:pageBreakBefore w:val="0"/>
        <w:kinsoku/>
        <w:wordWrap/>
        <w:overflowPunct/>
        <w:topLinePunct w:val="0"/>
        <w:bidi w:val="0"/>
        <w:spacing w:line="240" w:lineRule="auto"/>
        <w:ind w:firstLine="480"/>
        <w:textAlignment w:val="auto"/>
        <w:rPr>
          <w:rFonts w:hint="eastAsia" w:ascii="仿宋" w:hAnsi="仿宋" w:eastAsia="仿宋" w:cs="仿宋"/>
          <w:sz w:val="28"/>
          <w:szCs w:val="28"/>
        </w:rPr>
      </w:pPr>
      <w:r>
        <w:rPr>
          <w:rFonts w:hint="eastAsia" w:ascii="仿宋" w:hAnsi="仿宋" w:eastAsia="仿宋" w:cs="仿宋"/>
          <w:sz w:val="28"/>
          <w:szCs w:val="28"/>
        </w:rPr>
        <w:t>建议不超过 1 年。由于复校时间间隔的长短是由仪器的使用情况、使用者、仪器本身质量等诸多因素所决定的，因此，送校单位可根据实际使用情况自主决定复校时间间隔。如果对仪器的校准结果有怀疑或者更换主要部件及维修后，应重新校准。</w:t>
      </w:r>
    </w:p>
    <w:p w14:paraId="3FBB7E70">
      <w:pPr>
        <w:pStyle w:val="7"/>
        <w:keepNext w:val="0"/>
        <w:keepLines w:val="0"/>
        <w:pageBreakBefore w:val="0"/>
        <w:kinsoku/>
        <w:wordWrap/>
        <w:overflowPunct/>
        <w:topLinePunct w:val="0"/>
        <w:bidi w:val="0"/>
        <w:spacing w:line="240" w:lineRule="auto"/>
        <w:textAlignment w:val="auto"/>
        <w:outlineLvl w:val="1"/>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10</w:t>
      </w:r>
      <w:r>
        <w:rPr>
          <w:rFonts w:hint="eastAsia" w:ascii="仿宋" w:hAnsi="仿宋" w:eastAsia="仿宋" w:cs="仿宋"/>
          <w:sz w:val="28"/>
          <w:szCs w:val="28"/>
          <w:lang w:eastAsia="zh-CN"/>
        </w:rPr>
        <w:t>）</w:t>
      </w:r>
      <w:r>
        <w:rPr>
          <w:rFonts w:hint="eastAsia" w:ascii="仿宋" w:hAnsi="仿宋" w:eastAsia="仿宋" w:cs="仿宋"/>
          <w:sz w:val="28"/>
          <w:szCs w:val="28"/>
        </w:rPr>
        <w:t>附录</w:t>
      </w:r>
    </w:p>
    <w:p w14:paraId="54027A74">
      <w:pPr>
        <w:keepNext w:val="0"/>
        <w:keepLines w:val="0"/>
        <w:pageBreakBefore w:val="0"/>
        <w:kinsoku/>
        <w:wordWrap/>
        <w:overflowPunct/>
        <w:topLinePunct w:val="0"/>
        <w:bidi w:val="0"/>
        <w:spacing w:line="240" w:lineRule="auto"/>
        <w:ind w:firstLine="480"/>
        <w:textAlignment w:val="auto"/>
        <w:rPr>
          <w:rFonts w:hint="eastAsia" w:ascii="仿宋" w:hAnsi="仿宋" w:eastAsia="仿宋" w:cs="仿宋"/>
          <w:sz w:val="28"/>
          <w:szCs w:val="28"/>
        </w:rPr>
      </w:pPr>
      <w:r>
        <w:rPr>
          <w:rFonts w:hint="eastAsia" w:ascii="仿宋" w:hAnsi="仿宋" w:eastAsia="仿宋" w:cs="仿宋"/>
          <w:sz w:val="28"/>
          <w:szCs w:val="28"/>
        </w:rPr>
        <w:t>征求意见稿中附录A</w:t>
      </w:r>
      <w:r>
        <w:rPr>
          <w:rFonts w:hint="eastAsia" w:ascii="仿宋" w:hAnsi="仿宋" w:eastAsia="仿宋" w:cs="仿宋"/>
          <w:sz w:val="28"/>
          <w:szCs w:val="28"/>
          <w:lang w:eastAsia="zh-CN"/>
        </w:rPr>
        <w:t>给出校准原始记录格式，附录</w:t>
      </w:r>
      <w:r>
        <w:rPr>
          <w:rFonts w:hint="eastAsia" w:ascii="仿宋" w:hAnsi="仿宋" w:eastAsia="仿宋" w:cs="仿宋"/>
          <w:sz w:val="28"/>
          <w:szCs w:val="28"/>
          <w:lang w:val="en-US" w:eastAsia="zh-CN"/>
        </w:rPr>
        <w:t>B</w:t>
      </w:r>
      <w:r>
        <w:rPr>
          <w:rFonts w:hint="eastAsia" w:ascii="仿宋" w:hAnsi="仿宋" w:eastAsia="仿宋" w:cs="仿宋"/>
          <w:sz w:val="28"/>
          <w:szCs w:val="28"/>
        </w:rPr>
        <w:t>给出了校准证书内页（推荐）格式，附录</w:t>
      </w:r>
      <w:r>
        <w:rPr>
          <w:rFonts w:hint="eastAsia" w:ascii="仿宋" w:hAnsi="仿宋" w:eastAsia="仿宋" w:cs="仿宋"/>
          <w:sz w:val="28"/>
          <w:szCs w:val="28"/>
          <w:lang w:val="en-US" w:eastAsia="zh-CN"/>
        </w:rPr>
        <w:t>C</w:t>
      </w:r>
      <w:r>
        <w:rPr>
          <w:rFonts w:hint="eastAsia" w:ascii="仿宋" w:hAnsi="仿宋" w:eastAsia="仿宋" w:cs="仿宋"/>
          <w:sz w:val="28"/>
          <w:szCs w:val="28"/>
        </w:rPr>
        <w:t>给出了</w:t>
      </w:r>
      <w:r>
        <w:rPr>
          <w:rFonts w:hint="eastAsia" w:ascii="仿宋" w:hAnsi="仿宋" w:eastAsia="仿宋" w:cs="仿宋"/>
          <w:sz w:val="28"/>
          <w:szCs w:val="28"/>
          <w:lang w:eastAsia="zh-CN"/>
        </w:rPr>
        <w:t>血氧饱和度示值误差和脉率示值误差的</w:t>
      </w:r>
      <w:r>
        <w:rPr>
          <w:rFonts w:hint="eastAsia" w:ascii="仿宋" w:hAnsi="仿宋" w:eastAsia="仿宋" w:cs="仿宋"/>
          <w:sz w:val="28"/>
          <w:szCs w:val="28"/>
        </w:rPr>
        <w:t>测量结果不确定度评定示例。</w:t>
      </w:r>
    </w:p>
    <w:p w14:paraId="3A929DD5">
      <w:pPr>
        <w:pStyle w:val="4"/>
        <w:keepNext w:val="0"/>
        <w:keepLines w:val="0"/>
        <w:pageBreakBefore w:val="0"/>
        <w:numPr>
          <w:ilvl w:val="0"/>
          <w:numId w:val="0"/>
        </w:numPr>
        <w:kinsoku/>
        <w:wordWrap/>
        <w:overflowPunct/>
        <w:topLinePunct w:val="0"/>
        <w:bidi w:val="0"/>
        <w:spacing w:line="240" w:lineRule="auto"/>
        <w:ind w:right="-105" w:firstLine="568" w:firstLineChars="200"/>
        <w:textAlignment w:val="auto"/>
        <w:outlineLvl w:val="9"/>
        <w:rPr>
          <w:rFonts w:hint="eastAsia" w:ascii="仿宋" w:hAnsi="仿宋" w:eastAsia="仿宋" w:cs="仿宋"/>
          <w:kern w:val="2"/>
          <w:sz w:val="28"/>
          <w:szCs w:val="28"/>
        </w:rPr>
      </w:pPr>
    </w:p>
    <w:p w14:paraId="23EA5C1C">
      <w:pPr>
        <w:keepNext w:val="0"/>
        <w:keepLines w:val="0"/>
        <w:pageBreakBefore w:val="0"/>
        <w:kinsoku/>
        <w:wordWrap/>
        <w:overflowPunct/>
        <w:topLinePunct w:val="0"/>
        <w:bidi w:val="0"/>
        <w:spacing w:line="240" w:lineRule="auto"/>
        <w:jc w:val="left"/>
        <w:textAlignment w:val="auto"/>
        <w:rPr>
          <w:rFonts w:hint="eastAsia" w:ascii="仿宋" w:hAnsi="仿宋" w:eastAsia="仿宋" w:cs="仿宋"/>
          <w:b/>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6"/>
      <w:suff w:val="nothing"/>
      <w:lvlText w:val="%1%2　"/>
      <w:lvlJc w:val="left"/>
      <w:pPr>
        <w:ind w:left="0" w:firstLine="0"/>
      </w:pPr>
      <w:rPr>
        <w:rFonts w:hint="eastAsia" w:ascii="黑体" w:hAnsi="Times New Roman" w:eastAsia="黑体"/>
        <w:b w:val="0"/>
        <w:i w:val="0"/>
        <w:sz w:val="21"/>
      </w:rPr>
    </w:lvl>
    <w:lvl w:ilvl="2" w:tentative="0">
      <w:start w:val="1"/>
      <w:numFmt w:val="decimal"/>
      <w:pStyle w:val="5"/>
      <w:suff w:val="nothing"/>
      <w:lvlText w:val="%1%2.%3　"/>
      <w:lvlJc w:val="left"/>
      <w:pPr>
        <w:ind w:left="0" w:firstLine="0"/>
      </w:pPr>
      <w:rPr>
        <w:rFonts w:hint="eastAsia" w:ascii="黑体" w:hAnsi="Times New Roman" w:eastAsia="黑体"/>
        <w:b w:val="0"/>
        <w:i w:val="0"/>
        <w:sz w:val="21"/>
      </w:rPr>
    </w:lvl>
    <w:lvl w:ilvl="3" w:tentative="0">
      <w:start w:val="4"/>
      <w:numFmt w:val="none"/>
      <w:pStyle w:val="4"/>
      <w:suff w:val="nothing"/>
      <w:lvlText w:val="7.4.1　"/>
      <w:lvlJc w:val="left"/>
      <w:pPr>
        <w:ind w:left="426"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Q2ZWQ2YWIzZjQ3YjE1MjRkODIxNGYxYjM2MTRlZWIifQ=="/>
  </w:docVars>
  <w:rsids>
    <w:rsidRoot w:val="0027649A"/>
    <w:rsid w:val="00001154"/>
    <w:rsid w:val="00021EC2"/>
    <w:rsid w:val="00093FE6"/>
    <w:rsid w:val="000C1071"/>
    <w:rsid w:val="000E139C"/>
    <w:rsid w:val="001177F9"/>
    <w:rsid w:val="00162DA0"/>
    <w:rsid w:val="00170C92"/>
    <w:rsid w:val="00181A57"/>
    <w:rsid w:val="001E0C1C"/>
    <w:rsid w:val="001E0F54"/>
    <w:rsid w:val="00210D1F"/>
    <w:rsid w:val="0027649A"/>
    <w:rsid w:val="00277E4D"/>
    <w:rsid w:val="00281377"/>
    <w:rsid w:val="002A29C3"/>
    <w:rsid w:val="002C3EC7"/>
    <w:rsid w:val="002D78AC"/>
    <w:rsid w:val="002F5D64"/>
    <w:rsid w:val="00332817"/>
    <w:rsid w:val="0034461E"/>
    <w:rsid w:val="00355C6C"/>
    <w:rsid w:val="00356B22"/>
    <w:rsid w:val="00420E67"/>
    <w:rsid w:val="0048573A"/>
    <w:rsid w:val="00500955"/>
    <w:rsid w:val="00521DB1"/>
    <w:rsid w:val="00623376"/>
    <w:rsid w:val="0066097E"/>
    <w:rsid w:val="006A689D"/>
    <w:rsid w:val="006F640D"/>
    <w:rsid w:val="0073348E"/>
    <w:rsid w:val="007375AA"/>
    <w:rsid w:val="007468B5"/>
    <w:rsid w:val="00763599"/>
    <w:rsid w:val="00842CD7"/>
    <w:rsid w:val="00861FEA"/>
    <w:rsid w:val="008930C0"/>
    <w:rsid w:val="008D7741"/>
    <w:rsid w:val="008E0184"/>
    <w:rsid w:val="008E6E90"/>
    <w:rsid w:val="00925788"/>
    <w:rsid w:val="00932E1E"/>
    <w:rsid w:val="00955DBD"/>
    <w:rsid w:val="00977636"/>
    <w:rsid w:val="00984169"/>
    <w:rsid w:val="009A4855"/>
    <w:rsid w:val="009C4A1F"/>
    <w:rsid w:val="009D4F57"/>
    <w:rsid w:val="00A0593E"/>
    <w:rsid w:val="00AB1283"/>
    <w:rsid w:val="00AB1435"/>
    <w:rsid w:val="00AC748F"/>
    <w:rsid w:val="00AF0E6B"/>
    <w:rsid w:val="00B12C02"/>
    <w:rsid w:val="00B150CD"/>
    <w:rsid w:val="00B81353"/>
    <w:rsid w:val="00BA2C7B"/>
    <w:rsid w:val="00C13FF8"/>
    <w:rsid w:val="00C33EF8"/>
    <w:rsid w:val="00C95606"/>
    <w:rsid w:val="00CE24E9"/>
    <w:rsid w:val="00D479E0"/>
    <w:rsid w:val="00D73A13"/>
    <w:rsid w:val="00DA56F1"/>
    <w:rsid w:val="00DC6249"/>
    <w:rsid w:val="00E12B76"/>
    <w:rsid w:val="00E17D3C"/>
    <w:rsid w:val="00ED0B24"/>
    <w:rsid w:val="00F1625C"/>
    <w:rsid w:val="00FF6C0B"/>
    <w:rsid w:val="038C02D3"/>
    <w:rsid w:val="167E276F"/>
    <w:rsid w:val="2746409C"/>
    <w:rsid w:val="39972CDE"/>
    <w:rsid w:val="55713605"/>
    <w:rsid w:val="632965A7"/>
    <w:rsid w:val="77AB3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customStyle="1" w:styleId="4">
    <w:name w:val="标准文件_二级条标题"/>
    <w:basedOn w:val="5"/>
    <w:next w:val="7"/>
    <w:qFormat/>
    <w:uiPriority w:val="0"/>
    <w:pPr>
      <w:numPr>
        <w:ilvl w:val="3"/>
      </w:numPr>
      <w:outlineLvl w:val="3"/>
    </w:pPr>
  </w:style>
  <w:style w:type="paragraph" w:customStyle="1" w:styleId="5">
    <w:name w:val="标准文件_一级条标题"/>
    <w:basedOn w:val="6"/>
    <w:next w:val="7"/>
    <w:qFormat/>
    <w:uiPriority w:val="0"/>
    <w:pPr>
      <w:numPr>
        <w:ilvl w:val="2"/>
      </w:numPr>
      <w:spacing w:beforeLines="0" w:afterLines="0"/>
      <w:outlineLvl w:val="2"/>
    </w:pPr>
  </w:style>
  <w:style w:type="paragraph" w:customStyle="1" w:styleId="6">
    <w:name w:val="标准文件_章标题"/>
    <w:next w:val="7"/>
    <w:qFormat/>
    <w:uiPriority w:val="0"/>
    <w:pPr>
      <w:numPr>
        <w:ilvl w:val="1"/>
        <w:numId w:val="1"/>
      </w:numPr>
      <w:spacing w:beforeLines="50" w:afterLines="50"/>
      <w:ind w:right="-50" w:rightChars="-50"/>
      <w:jc w:val="both"/>
      <w:outlineLvl w:val="1"/>
    </w:pPr>
    <w:rPr>
      <w:rFonts w:ascii="黑体" w:hAnsi="Times New Roman" w:eastAsia="黑体" w:cs="Times New Roman"/>
      <w:spacing w:val="2"/>
      <w:sz w:val="21"/>
      <w:lang w:val="en-US" w:eastAsia="zh-CN" w:bidi="ar-SA"/>
    </w:rPr>
  </w:style>
  <w:style w:type="paragraph" w:customStyle="1" w:styleId="7">
    <w:name w:val="标准文件_段"/>
    <w:autoRedefine/>
    <w:qFormat/>
    <w:uiPriority w:val="0"/>
    <w:pPr>
      <w:widowControl w:val="0"/>
      <w:autoSpaceDE w:val="0"/>
      <w:autoSpaceDN w:val="0"/>
      <w:adjustRightInd w:val="0"/>
      <w:snapToGrid w:val="0"/>
      <w:spacing w:line="276" w:lineRule="auto"/>
      <w:ind w:firstLine="490" w:firstLineChars="200"/>
      <w:outlineLvl w:val="2"/>
    </w:pPr>
    <w:rPr>
      <w:rFonts w:ascii="宋体" w:hAnsi="宋体" w:eastAsia="宋体" w:cs="Times New Roman"/>
      <w:b/>
      <w:bCs/>
      <w:spacing w:val="2"/>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Company>
  <Pages>5</Pages>
  <Words>2422</Words>
  <Characters>2611</Characters>
  <Lines>11</Lines>
  <Paragraphs>3</Paragraphs>
  <TotalTime>8</TotalTime>
  <ScaleCrop>false</ScaleCrop>
  <LinksUpToDate>false</LinksUpToDate>
  <CharactersWithSpaces>2641</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2024-10-21T08:12:00Z</dcterms:created>
  <dc:creator>HP</dc:creator>
  <cp:lastModifiedBy>蝎子</cp:lastModifiedBy>
  <dcterms:modified xsi:type="dcterms:W3CDTF">2024-11-18T03:15:34Z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ED20C0A356774D7E9A772EFAEAEED5BB_13</vt:lpwstr>
  </property>
</Properties>
</file>