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360" w:lineRule="auto"/>
        <w:ind w:firstLine="0" w:firstLineChars="0"/>
        <w:outlineLvl w:val="0"/>
        <w:rPr>
          <w:rFonts w:hint="default" w:ascii="宋体" w:hAnsi="宋体" w:cs="宋体"/>
          <w:kern w:val="44"/>
          <w:sz w:val="24"/>
          <w:szCs w:val="24"/>
        </w:rPr>
      </w:pPr>
      <w:r>
        <w:rPr>
          <w:rFonts w:ascii="宋体" w:hAnsi="宋体" w:cs="宋体"/>
          <w:kern w:val="44"/>
          <w:sz w:val="24"/>
          <w:szCs w:val="24"/>
        </w:rPr>
        <w:t>附件1</w:t>
      </w:r>
    </w:p>
    <w:p>
      <w:pPr>
        <w:pStyle w:val="2"/>
        <w:widowControl/>
        <w:spacing w:line="360" w:lineRule="auto"/>
        <w:ind w:firstLine="0" w:firstLineChars="0"/>
        <w:jc w:val="center"/>
        <w:outlineLvl w:val="0"/>
        <w:rPr>
          <w:rFonts w:hint="default" w:ascii="宋体" w:hAnsi="宋体" w:cs="宋体"/>
          <w:kern w:val="44"/>
          <w:sz w:val="30"/>
          <w:szCs w:val="30"/>
        </w:rPr>
      </w:pPr>
      <w:r>
        <w:rPr>
          <w:rFonts w:ascii="宋体" w:hAnsi="宋体" w:cs="宋体"/>
          <w:kern w:val="44"/>
          <w:sz w:val="30"/>
          <w:szCs w:val="30"/>
        </w:rPr>
        <w:t>维保需求书</w:t>
      </w:r>
      <w:bookmarkStart w:id="0" w:name="_Toc323036115"/>
    </w:p>
    <w:bookmarkEnd w:id="0"/>
    <w:p>
      <w:pPr>
        <w:numPr>
          <w:ilvl w:val="0"/>
          <w:numId w:val="1"/>
        </w:numPr>
        <w:spacing w:before="156" w:beforeLines="50" w:after="156" w:afterLines="50" w:line="400" w:lineRule="exact"/>
        <w:rPr>
          <w:rFonts w:ascii="黑体" w:hAnsi="宋体" w:eastAsia="宋体" w:cs="黑体"/>
          <w:bCs/>
          <w:sz w:val="24"/>
        </w:rPr>
      </w:pPr>
      <w:r>
        <w:rPr>
          <w:rFonts w:hint="eastAsia" w:ascii="黑体" w:hAnsi="宋体" w:eastAsia="宋体" w:cs="宋体"/>
          <w:bCs/>
          <w:sz w:val="24"/>
        </w:rPr>
        <w:t>建筑基本情况</w:t>
      </w:r>
    </w:p>
    <w:p>
      <w:pPr>
        <w:spacing w:before="156" w:beforeLines="50" w:after="156" w:afterLines="50" w:line="400" w:lineRule="exact"/>
        <w:ind w:firstLine="480" w:firstLineChars="200"/>
        <w:rPr>
          <w:rFonts w:ascii="黑体" w:hAnsi="宋体" w:eastAsia="宋体" w:cs="黑体"/>
          <w:bCs/>
          <w:sz w:val="24"/>
        </w:rPr>
      </w:pPr>
      <w:r>
        <w:rPr>
          <w:rFonts w:hint="eastAsia" w:ascii="黑体" w:hAnsi="宋体" w:eastAsia="宋体" w:cs="宋体"/>
          <w:bCs/>
          <w:sz w:val="24"/>
        </w:rPr>
        <w:t>位于海南省海口市南海大道</w:t>
      </w:r>
      <w:r>
        <w:rPr>
          <w:rFonts w:hint="eastAsia" w:ascii="黑体" w:hAnsi="宋体" w:eastAsia="宋体" w:cs="黑体"/>
          <w:bCs/>
          <w:sz w:val="24"/>
        </w:rPr>
        <w:t>285</w:t>
      </w:r>
      <w:r>
        <w:rPr>
          <w:rFonts w:hint="eastAsia" w:ascii="黑体" w:hAnsi="宋体" w:eastAsia="宋体" w:cs="宋体"/>
          <w:bCs/>
          <w:sz w:val="24"/>
        </w:rPr>
        <w:t>号，占地面积</w:t>
      </w:r>
      <w:r>
        <w:rPr>
          <w:rFonts w:hint="eastAsia" w:ascii="黑体" w:hAnsi="宋体" w:eastAsia="宋体" w:cs="黑体"/>
          <w:bCs/>
          <w:sz w:val="24"/>
        </w:rPr>
        <w:t>17</w:t>
      </w:r>
      <w:r>
        <w:rPr>
          <w:rFonts w:hint="eastAsia" w:ascii="黑体" w:hAnsi="宋体" w:eastAsia="宋体" w:cs="宋体"/>
          <w:bCs/>
          <w:sz w:val="24"/>
        </w:rPr>
        <w:t>亩，大楼建设面积</w:t>
      </w:r>
      <w:r>
        <w:rPr>
          <w:rFonts w:hint="eastAsia" w:ascii="黑体" w:hAnsi="宋体" w:eastAsia="宋体" w:cs="黑体"/>
          <w:bCs/>
          <w:sz w:val="24"/>
        </w:rPr>
        <w:t>14156.21</w:t>
      </w:r>
      <w:r>
        <w:rPr>
          <w:rFonts w:hint="eastAsia" w:ascii="黑体" w:hAnsi="宋体" w:eastAsia="宋体" w:cs="宋体"/>
          <w:bCs/>
          <w:sz w:val="24"/>
        </w:rPr>
        <w:t>平米，地下一层，建筑面积</w:t>
      </w:r>
      <w:r>
        <w:rPr>
          <w:rFonts w:hint="eastAsia" w:ascii="黑体" w:hAnsi="宋体" w:eastAsia="宋体" w:cs="黑体"/>
          <w:bCs/>
          <w:sz w:val="24"/>
        </w:rPr>
        <w:t>1926.86</w:t>
      </w:r>
      <w:r>
        <w:rPr>
          <w:rFonts w:hint="eastAsia" w:ascii="黑体" w:hAnsi="宋体" w:eastAsia="宋体" w:cs="宋体"/>
          <w:bCs/>
          <w:sz w:val="24"/>
        </w:rPr>
        <w:t>平米；地上十层，建筑面积</w:t>
      </w:r>
      <w:r>
        <w:rPr>
          <w:rFonts w:hint="eastAsia" w:ascii="黑体" w:hAnsi="宋体" w:eastAsia="宋体" w:cs="黑体"/>
          <w:bCs/>
          <w:sz w:val="24"/>
        </w:rPr>
        <w:t>12229.35</w:t>
      </w:r>
      <w:r>
        <w:rPr>
          <w:rFonts w:hint="eastAsia" w:ascii="黑体" w:hAnsi="宋体" w:eastAsia="宋体" w:cs="宋体"/>
          <w:bCs/>
          <w:sz w:val="24"/>
        </w:rPr>
        <w:t>平米。总建筑高度</w:t>
      </w:r>
      <w:r>
        <w:rPr>
          <w:rFonts w:hint="eastAsia" w:ascii="黑体" w:hAnsi="宋体" w:eastAsia="宋体" w:cs="黑体"/>
          <w:bCs/>
          <w:sz w:val="24"/>
        </w:rPr>
        <w:t>42.9</w:t>
      </w:r>
      <w:r>
        <w:rPr>
          <w:rFonts w:hint="eastAsia" w:ascii="黑体" w:hAnsi="宋体" w:eastAsia="宋体" w:cs="宋体"/>
          <w:bCs/>
          <w:sz w:val="24"/>
        </w:rPr>
        <w:t>米。现投入使用</w:t>
      </w:r>
      <w:r>
        <w:rPr>
          <w:rFonts w:hint="eastAsia" w:ascii="黑体" w:hAnsi="宋体" w:eastAsia="宋体" w:cs="黑体"/>
          <w:bCs/>
          <w:sz w:val="24"/>
        </w:rPr>
        <w:t>1</w:t>
      </w:r>
      <w:r>
        <w:rPr>
          <w:rFonts w:hint="eastAsia" w:ascii="黑体" w:hAnsi="宋体" w:eastAsia="宋体" w:cs="宋体"/>
          <w:bCs/>
          <w:sz w:val="24"/>
        </w:rPr>
        <w:t>、</w:t>
      </w:r>
      <w:r>
        <w:rPr>
          <w:rFonts w:hint="eastAsia" w:ascii="黑体" w:hAnsi="宋体" w:eastAsia="宋体" w:cs="黑体"/>
          <w:bCs/>
          <w:sz w:val="24"/>
        </w:rPr>
        <w:t>2</w:t>
      </w:r>
      <w:r>
        <w:rPr>
          <w:rFonts w:hint="eastAsia" w:ascii="黑体" w:hAnsi="宋体" w:eastAsia="宋体" w:cs="宋体"/>
          <w:bCs/>
          <w:sz w:val="24"/>
        </w:rPr>
        <w:t>、</w:t>
      </w:r>
      <w:r>
        <w:rPr>
          <w:rFonts w:hint="eastAsia" w:ascii="黑体" w:hAnsi="宋体" w:eastAsia="宋体" w:cs="黑体"/>
          <w:bCs/>
          <w:sz w:val="24"/>
        </w:rPr>
        <w:t>3</w:t>
      </w:r>
      <w:r>
        <w:rPr>
          <w:rFonts w:hint="eastAsia" w:ascii="黑体" w:hAnsi="宋体" w:eastAsia="宋体" w:cs="宋体"/>
          <w:bCs/>
          <w:sz w:val="24"/>
        </w:rPr>
        <w:t>、</w:t>
      </w:r>
      <w:r>
        <w:rPr>
          <w:rFonts w:hint="eastAsia" w:ascii="黑体" w:hAnsi="宋体" w:eastAsia="宋体" w:cs="黑体"/>
          <w:bCs/>
          <w:sz w:val="24"/>
        </w:rPr>
        <w:t>7</w:t>
      </w:r>
      <w:r>
        <w:rPr>
          <w:rFonts w:hint="eastAsia" w:ascii="黑体" w:hAnsi="宋体" w:eastAsia="宋体" w:cs="宋体"/>
          <w:bCs/>
          <w:sz w:val="24"/>
        </w:rPr>
        <w:t>、</w:t>
      </w:r>
      <w:r>
        <w:rPr>
          <w:rFonts w:hint="eastAsia" w:ascii="黑体" w:hAnsi="宋体" w:eastAsia="宋体" w:cs="黑体"/>
          <w:bCs/>
          <w:sz w:val="24"/>
        </w:rPr>
        <w:t>8</w:t>
      </w:r>
      <w:r>
        <w:rPr>
          <w:rFonts w:hint="eastAsia" w:ascii="黑体" w:hAnsi="宋体" w:eastAsia="宋体" w:cs="宋体"/>
          <w:bCs/>
          <w:sz w:val="24"/>
        </w:rPr>
        <w:t>、</w:t>
      </w:r>
      <w:r>
        <w:rPr>
          <w:rFonts w:hint="eastAsia" w:ascii="黑体" w:hAnsi="宋体" w:eastAsia="宋体" w:cs="黑体"/>
          <w:bCs/>
          <w:sz w:val="24"/>
        </w:rPr>
        <w:t>9</w:t>
      </w:r>
      <w:r>
        <w:rPr>
          <w:rFonts w:hint="eastAsia" w:ascii="黑体" w:hAnsi="宋体" w:eastAsia="宋体" w:cs="宋体"/>
          <w:bCs/>
          <w:sz w:val="24"/>
        </w:rPr>
        <w:t>楼和地下室。</w:t>
      </w:r>
    </w:p>
    <w:p>
      <w:pPr>
        <w:numPr>
          <w:ilvl w:val="0"/>
          <w:numId w:val="1"/>
        </w:numPr>
        <w:spacing w:before="156" w:beforeLines="50" w:after="156" w:afterLines="50" w:line="400" w:lineRule="exact"/>
        <w:rPr>
          <w:rFonts w:ascii="黑体" w:hAnsi="宋体" w:eastAsia="宋体" w:cs="黑体"/>
          <w:bCs/>
          <w:sz w:val="24"/>
        </w:rPr>
      </w:pPr>
      <w:r>
        <w:rPr>
          <w:rFonts w:hint="eastAsia" w:ascii="黑体" w:hAnsi="宋体" w:eastAsia="宋体" w:cs="宋体"/>
          <w:bCs/>
          <w:sz w:val="24"/>
        </w:rPr>
        <w:t>维保服务范围</w:t>
      </w:r>
    </w:p>
    <w:p>
      <w:pPr>
        <w:spacing w:before="156" w:beforeLines="50" w:after="156" w:afterLines="50" w:line="400" w:lineRule="exact"/>
        <w:rPr>
          <w:rFonts w:ascii="宋体" w:hAnsi="宋体" w:eastAsia="宋体" w:cs="宋体"/>
          <w:bCs/>
          <w:kern w:val="0"/>
          <w:sz w:val="24"/>
        </w:rPr>
      </w:pPr>
      <w:r>
        <w:rPr>
          <w:rFonts w:hint="eastAsia" w:ascii="黑体" w:hAnsi="宋体" w:eastAsia="宋体" w:cs="宋体"/>
          <w:bCs/>
          <w:sz w:val="24"/>
        </w:rPr>
        <w:t>维保服务内容包括空调系统（除</w:t>
      </w:r>
      <w:r>
        <w:rPr>
          <w:rFonts w:hint="eastAsia" w:ascii="黑体" w:hAnsi="宋体" w:eastAsia="宋体" w:cs="黑体"/>
          <w:bCs/>
          <w:sz w:val="24"/>
        </w:rPr>
        <w:t>2</w:t>
      </w:r>
      <w:r>
        <w:rPr>
          <w:rFonts w:hint="eastAsia" w:ascii="黑体" w:hAnsi="宋体" w:eastAsia="宋体" w:cs="宋体"/>
          <w:bCs/>
          <w:sz w:val="24"/>
        </w:rPr>
        <w:t>台空调主机）、新排风系统、洁净系统、供气系统、纯水系统、污水处理系统及屋面管道、消防风机和广场消防栓的除锈喷漆。</w:t>
      </w:r>
    </w:p>
    <w:p>
      <w:pPr>
        <w:spacing w:before="156" w:beforeLines="50" w:after="156" w:afterLines="50" w:line="400" w:lineRule="exact"/>
        <w:rPr>
          <w:rFonts w:ascii="宋体" w:hAnsi="宋体" w:eastAsia="宋体" w:cs="宋体"/>
          <w:bCs/>
          <w:kern w:val="0"/>
          <w:sz w:val="24"/>
        </w:rPr>
      </w:pPr>
      <w:r>
        <w:rPr>
          <w:rFonts w:hint="eastAsia" w:ascii="宋体" w:hAnsi="宋体" w:eastAsia="宋体" w:cs="宋体"/>
          <w:bCs/>
          <w:kern w:val="0"/>
          <w:sz w:val="24"/>
        </w:rPr>
        <w:t>三、现场考察</w:t>
      </w:r>
    </w:p>
    <w:p>
      <w:pPr>
        <w:spacing w:before="156" w:beforeLines="50" w:after="156" w:afterLines="50" w:line="400" w:lineRule="exact"/>
        <w:ind w:firstLine="720" w:firstLineChars="300"/>
        <w:rPr>
          <w:rFonts w:ascii="宋体" w:hAnsi="宋体" w:eastAsia="宋体" w:cs="宋体"/>
          <w:bCs/>
          <w:kern w:val="0"/>
          <w:sz w:val="24"/>
        </w:rPr>
      </w:pPr>
      <w:r>
        <w:rPr>
          <w:rFonts w:hint="eastAsia" w:ascii="宋体" w:hAnsi="宋体" w:eastAsia="宋体" w:cs="宋体"/>
          <w:bCs/>
          <w:kern w:val="0"/>
          <w:sz w:val="24"/>
        </w:rPr>
        <w:t>公告期内，报名单位需现场考察的，可联系海南省食品检验检测中心仪器设备管理科。</w:t>
      </w:r>
    </w:p>
    <w:p>
      <w:pPr>
        <w:pStyle w:val="5"/>
        <w:spacing w:before="40" w:beforeAutospacing="0" w:afterAutospacing="0" w:line="560" w:lineRule="exact"/>
        <w:ind w:firstLine="720" w:firstLineChars="300"/>
        <w:rPr>
          <w:rFonts w:hint="default" w:cs="宋体"/>
          <w:bCs/>
          <w:sz w:val="24"/>
          <w:szCs w:val="24"/>
        </w:rPr>
      </w:pPr>
      <w:r>
        <w:rPr>
          <w:rFonts w:cs="宋体"/>
          <w:bCs/>
          <w:sz w:val="24"/>
          <w:szCs w:val="24"/>
        </w:rPr>
        <w:t>联系人：郑先生</w:t>
      </w:r>
      <w:r>
        <w:rPr>
          <w:rFonts w:ascii="Times New Roman" w:hAnsi="Times New Roman" w:cs="宋体"/>
          <w:spacing w:val="15"/>
          <w:kern w:val="56"/>
          <w:sz w:val="24"/>
          <w:szCs w:val="24"/>
          <w:shd w:val="clear" w:color="auto" w:fill="FFFFFF"/>
        </w:rPr>
        <w:t>，联系电话：</w:t>
      </w:r>
      <w:r>
        <w:rPr>
          <w:rFonts w:cs="宋体"/>
          <w:spacing w:val="15"/>
          <w:kern w:val="56"/>
          <w:sz w:val="24"/>
          <w:szCs w:val="24"/>
          <w:shd w:val="clear" w:color="auto" w:fill="FFFFFF"/>
        </w:rPr>
        <w:t>686</w:t>
      </w:r>
      <w:r>
        <w:rPr>
          <w:rFonts w:hint="eastAsia" w:cs="宋体"/>
          <w:spacing w:val="15"/>
          <w:kern w:val="56"/>
          <w:sz w:val="24"/>
          <w:szCs w:val="24"/>
          <w:shd w:val="clear" w:color="auto" w:fill="FFFFFF"/>
          <w:lang w:val="en-US" w:eastAsia="zh-CN"/>
        </w:rPr>
        <w:t>83025</w:t>
      </w:r>
      <w:r>
        <w:rPr>
          <w:rFonts w:cs="宋体"/>
          <w:spacing w:val="15"/>
          <w:kern w:val="56"/>
          <w:sz w:val="24"/>
          <w:szCs w:val="24"/>
          <w:shd w:val="clear" w:color="auto" w:fill="FFFFFF"/>
        </w:rPr>
        <w:t>。</w:t>
      </w:r>
    </w:p>
    <w:p>
      <w:pPr>
        <w:spacing w:before="156" w:beforeLines="50" w:after="156" w:afterLines="50" w:line="400" w:lineRule="exact"/>
        <w:rPr>
          <w:rFonts w:ascii="黑体" w:hAnsi="宋体" w:eastAsia="宋体" w:cs="黑体"/>
          <w:bCs/>
          <w:sz w:val="24"/>
        </w:rPr>
      </w:pPr>
      <w:r>
        <w:rPr>
          <w:rFonts w:hint="eastAsia" w:ascii="黑体" w:hAnsi="宋体" w:eastAsia="宋体" w:cs="宋体"/>
          <w:bCs/>
          <w:sz w:val="24"/>
        </w:rPr>
        <w:t>四、</w:t>
      </w:r>
      <w:r>
        <w:rPr>
          <w:rFonts w:hint="eastAsia" w:ascii="黑体" w:hAnsi="宋体" w:eastAsia="宋体" w:cs="宋体"/>
          <w:bCs/>
          <w:sz w:val="24"/>
        </w:rPr>
        <w:t>维保</w:t>
      </w:r>
      <w:bookmarkStart w:id="1" w:name="_GoBack"/>
      <w:bookmarkEnd w:id="1"/>
      <w:r>
        <w:rPr>
          <w:rFonts w:hint="eastAsia" w:ascii="黑体" w:hAnsi="宋体" w:eastAsia="宋体" w:cs="宋体"/>
          <w:bCs/>
          <w:sz w:val="24"/>
        </w:rPr>
        <w:t>要求</w:t>
      </w:r>
    </w:p>
    <w:tbl>
      <w:tblPr>
        <w:tblStyle w:val="6"/>
        <w:tblW w:w="10515" w:type="dxa"/>
        <w:jc w:val="center"/>
        <w:tblLayout w:type="fixed"/>
        <w:tblCellMar>
          <w:top w:w="0" w:type="dxa"/>
          <w:left w:w="108" w:type="dxa"/>
          <w:bottom w:w="0" w:type="dxa"/>
          <w:right w:w="108" w:type="dxa"/>
        </w:tblCellMar>
      </w:tblPr>
      <w:tblGrid>
        <w:gridCol w:w="519"/>
        <w:gridCol w:w="3138"/>
        <w:gridCol w:w="680"/>
        <w:gridCol w:w="580"/>
        <w:gridCol w:w="1020"/>
        <w:gridCol w:w="2739"/>
        <w:gridCol w:w="1839"/>
      </w:tblGrid>
      <w:tr>
        <w:tblPrEx>
          <w:tblCellMar>
            <w:top w:w="0" w:type="dxa"/>
            <w:left w:w="108" w:type="dxa"/>
            <w:bottom w:w="0" w:type="dxa"/>
            <w:right w:w="108" w:type="dxa"/>
          </w:tblCellMar>
        </w:tblPrEx>
        <w:trPr>
          <w:trHeight w:val="312" w:hRule="atLeast"/>
          <w:jc w:val="center"/>
        </w:trPr>
        <w:tc>
          <w:tcPr>
            <w:tcW w:w="520" w:type="dxa"/>
            <w:vMerge w:val="restart"/>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eastAsia="宋体" w:cs="宋体"/>
                <w:b/>
                <w:kern w:val="0"/>
              </w:rPr>
            </w:pPr>
            <w:r>
              <w:rPr>
                <w:rFonts w:hint="eastAsia" w:ascii="宋体" w:hAnsi="宋体" w:eastAsia="宋体" w:cs="宋体"/>
                <w:b/>
                <w:kern w:val="0"/>
                <w:szCs w:val="20"/>
              </w:rPr>
              <w:t>序号</w:t>
            </w:r>
          </w:p>
        </w:tc>
        <w:tc>
          <w:tcPr>
            <w:tcW w:w="3140" w:type="dxa"/>
            <w:vMerge w:val="restart"/>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eastAsia="宋体" w:cs="宋体"/>
                <w:b/>
                <w:kern w:val="0"/>
              </w:rPr>
            </w:pPr>
            <w:r>
              <w:rPr>
                <w:rFonts w:hint="eastAsia" w:ascii="宋体" w:hAnsi="宋体" w:eastAsia="宋体" w:cs="宋体"/>
                <w:b/>
                <w:kern w:val="0"/>
                <w:szCs w:val="20"/>
              </w:rPr>
              <w:t>项目名称</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eastAsia="宋体" w:cs="宋体"/>
                <w:b/>
                <w:kern w:val="0"/>
              </w:rPr>
            </w:pPr>
            <w:r>
              <w:rPr>
                <w:rFonts w:hint="eastAsia" w:ascii="宋体" w:hAnsi="宋体" w:eastAsia="宋体" w:cs="宋体"/>
                <w:b/>
                <w:kern w:val="0"/>
                <w:szCs w:val="20"/>
              </w:rPr>
              <w:t>计量单位</w:t>
            </w:r>
          </w:p>
        </w:tc>
        <w:tc>
          <w:tcPr>
            <w:tcW w:w="580" w:type="dxa"/>
            <w:vMerge w:val="restart"/>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eastAsia="宋体" w:cs="宋体"/>
                <w:b/>
                <w:kern w:val="0"/>
              </w:rPr>
            </w:pPr>
            <w:r>
              <w:rPr>
                <w:rFonts w:hint="eastAsia" w:ascii="宋体" w:hAnsi="宋体" w:eastAsia="宋体" w:cs="宋体"/>
                <w:b/>
                <w:kern w:val="0"/>
                <w:szCs w:val="20"/>
              </w:rPr>
              <w:t>数量</w:t>
            </w:r>
          </w:p>
        </w:tc>
        <w:tc>
          <w:tcPr>
            <w:tcW w:w="1020" w:type="dxa"/>
            <w:vMerge w:val="restart"/>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eastAsia="宋体" w:cs="宋体"/>
                <w:b/>
                <w:kern w:val="0"/>
              </w:rPr>
            </w:pPr>
            <w:r>
              <w:rPr>
                <w:rFonts w:hint="eastAsia" w:ascii="宋体" w:hAnsi="宋体" w:eastAsia="宋体" w:cs="宋体"/>
                <w:b/>
                <w:kern w:val="0"/>
                <w:szCs w:val="20"/>
              </w:rPr>
              <w:t>维保期限(年)</w:t>
            </w:r>
          </w:p>
        </w:tc>
        <w:tc>
          <w:tcPr>
            <w:tcW w:w="2740" w:type="dxa"/>
            <w:vMerge w:val="restart"/>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eastAsia="宋体" w:cs="宋体"/>
                <w:b/>
                <w:kern w:val="0"/>
              </w:rPr>
            </w:pPr>
            <w:r>
              <w:rPr>
                <w:rFonts w:hint="eastAsia" w:ascii="宋体" w:hAnsi="宋体" w:eastAsia="宋体" w:cs="宋体"/>
                <w:b/>
                <w:kern w:val="0"/>
                <w:szCs w:val="20"/>
              </w:rPr>
              <w:t>维保内容</w:t>
            </w:r>
          </w:p>
        </w:tc>
        <w:tc>
          <w:tcPr>
            <w:tcW w:w="1840" w:type="dxa"/>
            <w:vMerge w:val="restart"/>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center"/>
              <w:rPr>
                <w:rFonts w:ascii="宋体" w:hAnsi="宋体" w:eastAsia="宋体" w:cs="宋体"/>
                <w:b/>
                <w:kern w:val="0"/>
              </w:rPr>
            </w:pPr>
            <w:r>
              <w:rPr>
                <w:rFonts w:hint="eastAsia" w:ascii="宋体" w:hAnsi="宋体" w:eastAsia="宋体" w:cs="宋体"/>
                <w:b/>
                <w:kern w:val="0"/>
                <w:szCs w:val="20"/>
              </w:rPr>
              <w:t>备注</w:t>
            </w:r>
          </w:p>
        </w:tc>
      </w:tr>
      <w:tr>
        <w:tblPrEx>
          <w:tblCellMar>
            <w:top w:w="0" w:type="dxa"/>
            <w:left w:w="108" w:type="dxa"/>
            <w:bottom w:w="0" w:type="dxa"/>
            <w:right w:w="108" w:type="dxa"/>
          </w:tblCellMar>
        </w:tblPrEx>
        <w:trPr>
          <w:trHeight w:val="765" w:hRule="atLeast"/>
          <w:jc w:val="center"/>
        </w:trPr>
        <w:tc>
          <w:tcPr>
            <w:tcW w:w="520"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rPr>
                <w:rFonts w:ascii="Calibri" w:hAnsi="Calibri" w:cs="Times New Roman"/>
                <w:sz w:val="20"/>
                <w:szCs w:val="20"/>
              </w:rPr>
            </w:pPr>
          </w:p>
        </w:tc>
        <w:tc>
          <w:tcPr>
            <w:tcW w:w="3140"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rPr>
                <w:rFonts w:ascii="Calibri" w:hAnsi="Calibri" w:cs="Times New Roman"/>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rPr>
                <w:rFonts w:ascii="Calibri" w:hAnsi="Calibri" w:cs="Times New Roman"/>
                <w:sz w:val="20"/>
                <w:szCs w:val="20"/>
              </w:rPr>
            </w:pPr>
          </w:p>
        </w:tc>
        <w:tc>
          <w:tcPr>
            <w:tcW w:w="580"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rPr>
                <w:rFonts w:ascii="Calibri" w:hAnsi="Calibri" w:cs="Times New Roman"/>
                <w:sz w:val="20"/>
                <w:szCs w:val="20"/>
              </w:rPr>
            </w:pPr>
          </w:p>
        </w:tc>
        <w:tc>
          <w:tcPr>
            <w:tcW w:w="1020"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rPr>
                <w:rFonts w:ascii="Calibri" w:hAnsi="Calibri" w:cs="Times New Roman"/>
                <w:sz w:val="20"/>
                <w:szCs w:val="20"/>
              </w:rPr>
            </w:pPr>
          </w:p>
        </w:tc>
        <w:tc>
          <w:tcPr>
            <w:tcW w:w="2740"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rPr>
                <w:rFonts w:ascii="Calibri" w:hAnsi="Calibri" w:cs="Times New Roman"/>
                <w:sz w:val="20"/>
                <w:szCs w:val="20"/>
              </w:rPr>
            </w:pPr>
          </w:p>
        </w:tc>
        <w:tc>
          <w:tcPr>
            <w:tcW w:w="1840"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rPr>
                <w:rFonts w:ascii="Calibri" w:hAnsi="Calibri" w:cs="Times New Roman"/>
                <w:sz w:val="20"/>
                <w:szCs w:val="20"/>
              </w:rPr>
            </w:pPr>
          </w:p>
        </w:tc>
      </w:tr>
      <w:tr>
        <w:tblPrEx>
          <w:tblCellMar>
            <w:top w:w="0" w:type="dxa"/>
            <w:left w:w="108" w:type="dxa"/>
            <w:bottom w:w="0" w:type="dxa"/>
            <w:right w:w="108" w:type="dxa"/>
          </w:tblCellMar>
        </w:tblPrEx>
        <w:trPr>
          <w:trHeight w:val="585" w:hRule="atLeast"/>
          <w:jc w:val="center"/>
        </w:trPr>
        <w:tc>
          <w:tcPr>
            <w:tcW w:w="10520" w:type="dxa"/>
            <w:gridSpan w:val="7"/>
            <w:tcBorders>
              <w:top w:val="single" w:color="auto" w:sz="4" w:space="0"/>
              <w:left w:val="single" w:color="auto" w:sz="8" w:space="0"/>
              <w:bottom w:val="single" w:color="auto" w:sz="4" w:space="0"/>
              <w:right w:val="single" w:color="000000" w:sz="8" w:space="0"/>
            </w:tcBorders>
            <w:shd w:val="clear" w:color="auto" w:fill="FFFFFF"/>
            <w:vAlign w:val="center"/>
          </w:tcPr>
          <w:p>
            <w:pPr>
              <w:widowControl/>
              <w:rPr>
                <w:rFonts w:ascii="宋体" w:hAnsi="宋体" w:eastAsia="宋体" w:cs="宋体"/>
                <w:b/>
                <w:kern w:val="0"/>
              </w:rPr>
            </w:pPr>
            <w:r>
              <w:rPr>
                <w:rFonts w:hint="eastAsia" w:ascii="宋体" w:hAnsi="宋体" w:eastAsia="宋体" w:cs="宋体"/>
                <w:b/>
                <w:kern w:val="0"/>
                <w:szCs w:val="20"/>
              </w:rPr>
              <w:t>一、1-3层、7-8层空调维保内容</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3140" w:type="dxa"/>
            <w:tcBorders>
              <w:top w:val="single" w:color="auto" w:sz="4" w:space="0"/>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卧式单吸泵（冷冻水泵）维护保养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8</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水泵是否漏水、密封圈检查，轴承检查、风扇检查、止回阀</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半年一次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横流式方形低噪声冷却塔维护保养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电气、电机检查、减速机、皮带</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横流式方形低噪声冷却塔维护保养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填料清洗、水质置换</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4</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横流式方形低噪声冷却塔维护保养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除藻、水系统检查</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一个月一次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5</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管道清洗维护保养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冷却水和冷冻水系统滤网杂质检测、滤网清洗，排放空气、阀门检测</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半年一次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6</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空调出风口过滤网维护保养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172</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rPr>
                <w:rFonts w:ascii="宋体" w:hAnsi="宋体" w:eastAsia="宋体" w:cs="宋体"/>
                <w:kern w:val="0"/>
              </w:rPr>
            </w:pPr>
            <w:r>
              <w:rPr>
                <w:rFonts w:hint="eastAsia" w:ascii="宋体" w:hAnsi="宋体" w:eastAsia="宋体" w:cs="宋体"/>
                <w:kern w:val="0"/>
                <w:szCs w:val="20"/>
              </w:rPr>
              <w:t>电机和蒸发器滤网积灰检查、清洗、更换</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7</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空调电控系统维护保养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除尘、线路检查、接线端子是否松动、老化并更换</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72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8</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空调控制柜维护</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除尘、报警指示灯等仪表检查、校正、更换，各操作按钮灵活性检查</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539" w:hRule="atLeast"/>
          <w:jc w:val="center"/>
        </w:trPr>
        <w:tc>
          <w:tcPr>
            <w:tcW w:w="10520" w:type="dxa"/>
            <w:gridSpan w:val="7"/>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rPr>
                <w:rFonts w:ascii="宋体" w:hAnsi="宋体" w:eastAsia="宋体" w:cs="宋体"/>
                <w:kern w:val="0"/>
              </w:rPr>
            </w:pPr>
            <w:r>
              <w:rPr>
                <w:rFonts w:hint="eastAsia" w:ascii="宋体" w:hAnsi="宋体" w:eastAsia="宋体" w:cs="宋体"/>
                <w:b/>
                <w:kern w:val="0"/>
                <w:szCs w:val="20"/>
              </w:rPr>
              <w:t>二、7-9层新排风维保工程量清单</w:t>
            </w:r>
          </w:p>
        </w:tc>
      </w:tr>
      <w:tr>
        <w:tblPrEx>
          <w:tblCellMar>
            <w:top w:w="0" w:type="dxa"/>
            <w:left w:w="108" w:type="dxa"/>
            <w:bottom w:w="0" w:type="dxa"/>
            <w:right w:w="108" w:type="dxa"/>
          </w:tblCellMar>
        </w:tblPrEx>
        <w:trPr>
          <w:trHeight w:val="55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酸雾净化塔维护</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5</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水泵维护保养，清洗、更换填料，水质置换、排污阀排污</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活性炭净化塔维护保养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rPr>
                <w:rFonts w:ascii="宋体" w:hAnsi="宋体" w:eastAsia="宋体" w:cs="宋体"/>
                <w:kern w:val="0"/>
              </w:rPr>
            </w:pPr>
            <w:r>
              <w:rPr>
                <w:rFonts w:hint="eastAsia" w:ascii="宋体" w:hAnsi="宋体" w:eastAsia="宋体" w:cs="宋体"/>
                <w:kern w:val="0"/>
                <w:szCs w:val="20"/>
              </w:rPr>
              <w:t>阻力检测、活性炭更换</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一年一次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离心风机更换机油</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6</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rPr>
                <w:rFonts w:ascii="宋体" w:hAnsi="宋体" w:eastAsia="宋体" w:cs="宋体"/>
                <w:kern w:val="0"/>
              </w:rPr>
            </w:pPr>
            <w:r>
              <w:rPr>
                <w:rFonts w:hint="eastAsia" w:ascii="宋体" w:hAnsi="宋体" w:eastAsia="宋体" w:cs="宋体"/>
                <w:kern w:val="0"/>
                <w:szCs w:val="20"/>
              </w:rPr>
              <w:t>更换机油、皮带</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半年一次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4</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新风换气机组维护</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16</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滤网清洗、风机电机、减速器、皮带轮日常维护保养</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半年一次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5</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新排风电控系统的维护</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交流变频器除尘、线路检查、接线端子是否松动、老化并更换</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通风柜系统检查及维护</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台</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30</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表面风速检测、通风柜照明插座、视窗检查</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万向罩排风系统检查及维护</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个</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86</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万向罩固定、关节转动</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82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6</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酸雾塔变频控制柜</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台</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变频器、线路端子检查、维修、更换、指示灯控制按钮等</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半年一次</w:t>
            </w:r>
          </w:p>
        </w:tc>
      </w:tr>
      <w:tr>
        <w:tblPrEx>
          <w:tblCellMar>
            <w:top w:w="0" w:type="dxa"/>
            <w:left w:w="108" w:type="dxa"/>
            <w:bottom w:w="0" w:type="dxa"/>
            <w:right w:w="108" w:type="dxa"/>
          </w:tblCellMar>
        </w:tblPrEx>
        <w:trPr>
          <w:trHeight w:val="525" w:hRule="atLeast"/>
          <w:jc w:val="center"/>
        </w:trPr>
        <w:tc>
          <w:tcPr>
            <w:tcW w:w="10520"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b/>
                <w:kern w:val="0"/>
                <w:szCs w:val="20"/>
              </w:rPr>
              <w:t>三、洁净室维保工程量清单</w:t>
            </w:r>
            <w:r>
              <w:rPr>
                <w:rFonts w:hint="eastAsia" w:ascii="宋体" w:hAnsi="宋体" w:eastAsia="宋体" w:cs="宋体"/>
                <w:kern w:val="0"/>
                <w:szCs w:val="20"/>
              </w:rPr>
              <w:t>　</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洁净机组维护保养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机组清洁、减震器是否松动、冷凝水排水检查</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半年一次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冷冻水泵维护保养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水泵是否漏水、密封圈检查，轴承检查、风扇检查</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半年一次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空调机组风机维护保养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风机电机、减速器、皮带轮日常维护保养</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半年一次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4</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净化排风机维护保养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风机电机、减速器、皮带轮日常维护保养</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半年一次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5</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空调机组内置型灭菌装置维护保养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线路检查</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6</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空调机组过滤器阀门维护保养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个</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6</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过滤器压差检测、清洗、更换、阀门检查校正</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45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7</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空调机组电极加湿器维护保养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清洗污垢、水位检查、线路检查</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45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8</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空调机组电加热维护保养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线路检查、清理</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45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9</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净化风管维护保养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管道破损、泄露检查</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半年一次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10</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高效送风口防堵压差检查维护、更换高效过滤器</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高效送风口防堵压差检测、过滤器更换</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45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11</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洁净实验室压差检查维护</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压差检测</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45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12</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洁净实验室温湿度检查维护</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5</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温湿度检测</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45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13</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洁净实验室洁净度检查维护</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洁净度检测</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14</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其他洁净风系统相关仪器仪表维护</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各阀门工作状态、开关动作、信号节点连接检测</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15</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其他洁净水系统相关仪器仪表维护</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各阀门工作状态、开关动作、信号节点连接检测</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450" w:hRule="atLeast"/>
          <w:jc w:val="center"/>
        </w:trPr>
        <w:tc>
          <w:tcPr>
            <w:tcW w:w="10520" w:type="dxa"/>
            <w:gridSpan w:val="7"/>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rPr>
                <w:rFonts w:ascii="宋体" w:hAnsi="宋体" w:eastAsia="宋体" w:cs="宋体"/>
                <w:kern w:val="0"/>
              </w:rPr>
            </w:pPr>
            <w:r>
              <w:rPr>
                <w:rFonts w:hint="eastAsia" w:ascii="宋体" w:hAnsi="宋体" w:eastAsia="宋体" w:cs="宋体"/>
                <w:b/>
                <w:kern w:val="0"/>
                <w:szCs w:val="20"/>
              </w:rPr>
              <w:t>四、洁净空调自控系统</w:t>
            </w:r>
            <w:r>
              <w:rPr>
                <w:rFonts w:hint="eastAsia" w:ascii="宋体" w:hAnsi="宋体" w:eastAsia="宋体" w:cs="宋体"/>
                <w:kern w:val="0"/>
                <w:szCs w:val="20"/>
              </w:rPr>
              <w:t>　</w:t>
            </w:r>
          </w:p>
        </w:tc>
      </w:tr>
      <w:tr>
        <w:tblPrEx>
          <w:tblCellMar>
            <w:top w:w="0" w:type="dxa"/>
            <w:left w:w="108" w:type="dxa"/>
            <w:bottom w:w="0" w:type="dxa"/>
            <w:right w:w="108" w:type="dxa"/>
          </w:tblCellMar>
        </w:tblPrEx>
        <w:trPr>
          <w:trHeight w:val="72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空调水泵控制柜维护保养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除尘、报警指示灯等仪表检查、校正、更换，各操作按钮灵活性检查</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空调控制柜变频器维护保养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除尘、线路老化</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空调控制柜控制器维护保养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除尘、线路老化</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4</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空调控制柜扩展模块维护保养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除尘、线路老化</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5</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空调控制柜空气开关维护保养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除尘、线路老化</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6</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空调控制柜电线信号线维护保养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除尘、线路检查、接线端子是否松动、老化并更换</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7</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风压传感器维护保养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4</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除尘、线路老化</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8</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温湿度传感器维护保养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4</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除尘、线路老化</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9</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室内压差传感器维护保养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除尘、线路老化</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10</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电动比例积分阀维护保养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4</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阀门动作检测、自控检测</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11</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液晶触摸显示屏系统维护</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4</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参数显示、自控检测</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12</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洁净室监控系统软件维护</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监控系统软件检测</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13</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洁净空调初效过滤网的维护保养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个</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9</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清洗、故障时更换</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一月一次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14</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洁净空调中效过滤网的维护保养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个</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9</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清洗、故障时更换</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一月一次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15</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洁净空调高效过滤网的维护保养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个</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26</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清洗</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一月一次</w:t>
            </w:r>
          </w:p>
        </w:tc>
      </w:tr>
      <w:tr>
        <w:tblPrEx>
          <w:tblCellMar>
            <w:top w:w="0" w:type="dxa"/>
            <w:left w:w="108" w:type="dxa"/>
            <w:bottom w:w="0" w:type="dxa"/>
            <w:right w:w="108" w:type="dxa"/>
          </w:tblCellMar>
        </w:tblPrEx>
        <w:trPr>
          <w:trHeight w:val="450" w:hRule="atLeast"/>
          <w:jc w:val="center"/>
        </w:trPr>
        <w:tc>
          <w:tcPr>
            <w:tcW w:w="10520" w:type="dxa"/>
            <w:gridSpan w:val="7"/>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rPr>
                <w:rFonts w:ascii="宋体" w:hAnsi="宋体" w:eastAsia="宋体" w:cs="宋体"/>
                <w:kern w:val="0"/>
              </w:rPr>
            </w:pPr>
            <w:r>
              <w:rPr>
                <w:rFonts w:hint="eastAsia" w:ascii="宋体" w:hAnsi="宋体" w:eastAsia="宋体" w:cs="宋体"/>
                <w:b/>
                <w:kern w:val="0"/>
                <w:szCs w:val="20"/>
              </w:rPr>
              <w:t>五、气体、纯水、污水设备</w:t>
            </w:r>
            <w:r>
              <w:rPr>
                <w:rFonts w:hint="eastAsia" w:ascii="宋体" w:hAnsi="宋体" w:eastAsia="宋体" w:cs="宋体"/>
                <w:kern w:val="0"/>
                <w:szCs w:val="20"/>
              </w:rPr>
              <w:t>　</w:t>
            </w:r>
          </w:p>
        </w:tc>
      </w:tr>
      <w:tr>
        <w:tblPrEx>
          <w:tblCellMar>
            <w:top w:w="0" w:type="dxa"/>
            <w:left w:w="108" w:type="dxa"/>
            <w:bottom w:w="0" w:type="dxa"/>
            <w:right w:w="108" w:type="dxa"/>
          </w:tblCellMar>
        </w:tblPrEx>
        <w:trPr>
          <w:trHeight w:val="45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污水设备清洗</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污水设备清洗</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半年一次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污水设备更换药水及调试</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污水设备更换药水及调试</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半年一次</w:t>
            </w:r>
          </w:p>
        </w:tc>
      </w:tr>
      <w:tr>
        <w:tblPrEx>
          <w:tblCellMar>
            <w:top w:w="0" w:type="dxa"/>
            <w:left w:w="108" w:type="dxa"/>
            <w:bottom w:w="0" w:type="dxa"/>
            <w:right w:w="108" w:type="dxa"/>
          </w:tblCellMar>
        </w:tblPrEx>
        <w:trPr>
          <w:trHeight w:val="450"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纯水设备管道清洗</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纯水设备管道清洗</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半年一次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4</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纯水设备维护和保养</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纯水设备维护和保养</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半年一次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5</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气体报警系统测试</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rPr>
            </w:pPr>
            <w:r>
              <w:rPr>
                <w:rFonts w:hint="eastAsia" w:ascii="宋体" w:hAnsi="宋体" w:eastAsia="宋体" w:cs="宋体"/>
                <w:kern w:val="0"/>
                <w:szCs w:val="20"/>
              </w:rPr>
              <w:t>气体报警系统测试</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6</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气体管道检查、阀门检查</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气体管道检查、阀门检查</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7</w:t>
            </w:r>
          </w:p>
        </w:tc>
        <w:tc>
          <w:tcPr>
            <w:tcW w:w="3140" w:type="dxa"/>
            <w:tcBorders>
              <w:top w:val="nil"/>
              <w:left w:val="nil"/>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所有电气配电箱检查测试</w:t>
            </w:r>
          </w:p>
        </w:tc>
        <w:tc>
          <w:tcPr>
            <w:tcW w:w="6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电气配电箱检查测试</w:t>
            </w:r>
          </w:p>
        </w:tc>
        <w:tc>
          <w:tcPr>
            <w:tcW w:w="184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285" w:hRule="atLeast"/>
          <w:jc w:val="center"/>
        </w:trPr>
        <w:tc>
          <w:tcPr>
            <w:tcW w:w="520" w:type="dxa"/>
            <w:tcBorders>
              <w:top w:val="nil"/>
              <w:left w:val="single" w:color="auto" w:sz="4" w:space="0"/>
              <w:bottom w:val="nil"/>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8</w:t>
            </w:r>
          </w:p>
        </w:tc>
        <w:tc>
          <w:tcPr>
            <w:tcW w:w="3140" w:type="dxa"/>
            <w:tcBorders>
              <w:top w:val="nil"/>
              <w:left w:val="nil"/>
              <w:bottom w:val="nil"/>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所有自控配电箱控制箱检查测试</w:t>
            </w:r>
          </w:p>
        </w:tc>
        <w:tc>
          <w:tcPr>
            <w:tcW w:w="680" w:type="dxa"/>
            <w:tcBorders>
              <w:top w:val="nil"/>
              <w:left w:val="nil"/>
              <w:bottom w:val="nil"/>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项</w:t>
            </w:r>
          </w:p>
        </w:tc>
        <w:tc>
          <w:tcPr>
            <w:tcW w:w="580" w:type="dxa"/>
            <w:tcBorders>
              <w:top w:val="nil"/>
              <w:left w:val="nil"/>
              <w:bottom w:val="nil"/>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nil"/>
              <w:left w:val="nil"/>
              <w:bottom w:val="nil"/>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nil"/>
              <w:left w:val="nil"/>
              <w:bottom w:val="nil"/>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自控配电箱控制箱检查测试</w:t>
            </w:r>
          </w:p>
        </w:tc>
        <w:tc>
          <w:tcPr>
            <w:tcW w:w="1840" w:type="dxa"/>
            <w:tcBorders>
              <w:top w:val="nil"/>
              <w:left w:val="nil"/>
              <w:bottom w:val="nil"/>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一季度一次</w:t>
            </w:r>
          </w:p>
        </w:tc>
      </w:tr>
      <w:tr>
        <w:tblPrEx>
          <w:tblCellMar>
            <w:top w:w="0" w:type="dxa"/>
            <w:left w:w="108" w:type="dxa"/>
            <w:bottom w:w="0" w:type="dxa"/>
            <w:right w:w="108" w:type="dxa"/>
          </w:tblCellMar>
        </w:tblPrEx>
        <w:trPr>
          <w:trHeight w:val="285" w:hRule="atLeast"/>
          <w:jc w:val="center"/>
        </w:trPr>
        <w:tc>
          <w:tcPr>
            <w:tcW w:w="10520" w:type="dxa"/>
            <w:gridSpan w:val="7"/>
            <w:tcBorders>
              <w:top w:val="nil"/>
              <w:left w:val="single" w:color="auto" w:sz="4" w:space="0"/>
              <w:bottom w:val="single" w:color="auto" w:sz="4" w:space="0"/>
              <w:right w:val="single" w:color="auto" w:sz="4" w:space="0"/>
            </w:tcBorders>
            <w:shd w:val="clear" w:color="auto" w:fill="FFFFFF"/>
            <w:vAlign w:val="center"/>
          </w:tcPr>
          <w:p>
            <w:pPr>
              <w:widowControl/>
              <w:rPr>
                <w:rFonts w:ascii="宋体" w:hAnsi="宋体" w:eastAsia="宋体" w:cs="宋体"/>
                <w:color w:val="000000"/>
                <w:kern w:val="0"/>
              </w:rPr>
            </w:pPr>
            <w:r>
              <w:rPr>
                <w:rFonts w:hint="eastAsia" w:ascii="宋体" w:hAnsi="宋体" w:eastAsia="宋体" w:cs="宋体"/>
                <w:b/>
                <w:color w:val="000000"/>
                <w:kern w:val="0"/>
                <w:szCs w:val="20"/>
              </w:rPr>
              <w:t>六、除锈喷漆</w:t>
            </w:r>
          </w:p>
        </w:tc>
      </w:tr>
      <w:tr>
        <w:tblPrEx>
          <w:tblCellMar>
            <w:top w:w="0" w:type="dxa"/>
            <w:left w:w="108" w:type="dxa"/>
            <w:bottom w:w="0" w:type="dxa"/>
            <w:right w:w="108" w:type="dxa"/>
          </w:tblCellMar>
        </w:tblPrEx>
        <w:trPr>
          <w:trHeight w:val="285" w:hRule="atLeast"/>
          <w:jc w:val="center"/>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3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广场消防栓</w:t>
            </w:r>
          </w:p>
        </w:tc>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个</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6</w:t>
            </w:r>
          </w:p>
        </w:tc>
        <w:tc>
          <w:tcPr>
            <w:tcW w:w="1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除锈刷漆</w:t>
            </w:r>
          </w:p>
        </w:tc>
        <w:tc>
          <w:tcPr>
            <w:tcW w:w="18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一年一次</w:t>
            </w:r>
          </w:p>
        </w:tc>
      </w:tr>
      <w:tr>
        <w:tblPrEx>
          <w:tblCellMar>
            <w:top w:w="0" w:type="dxa"/>
            <w:left w:w="108" w:type="dxa"/>
            <w:bottom w:w="0" w:type="dxa"/>
            <w:right w:w="108" w:type="dxa"/>
          </w:tblCellMar>
        </w:tblPrEx>
        <w:trPr>
          <w:trHeight w:val="289" w:hRule="atLeast"/>
          <w:jc w:val="center"/>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w:t>
            </w:r>
          </w:p>
        </w:tc>
        <w:tc>
          <w:tcPr>
            <w:tcW w:w="3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屋面冷却水管</w:t>
            </w:r>
          </w:p>
        </w:tc>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除锈刷漆</w:t>
            </w:r>
          </w:p>
        </w:tc>
        <w:tc>
          <w:tcPr>
            <w:tcW w:w="18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一年一次</w:t>
            </w:r>
          </w:p>
        </w:tc>
      </w:tr>
      <w:tr>
        <w:tblPrEx>
          <w:tblCellMar>
            <w:top w:w="0" w:type="dxa"/>
            <w:left w:w="108" w:type="dxa"/>
            <w:bottom w:w="0" w:type="dxa"/>
            <w:right w:w="108" w:type="dxa"/>
          </w:tblCellMar>
        </w:tblPrEx>
        <w:trPr>
          <w:trHeight w:val="285" w:hRule="atLeast"/>
          <w:jc w:val="center"/>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3</w:t>
            </w:r>
          </w:p>
        </w:tc>
        <w:tc>
          <w:tcPr>
            <w:tcW w:w="3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屋面铁楼梯扶手架</w:t>
            </w:r>
          </w:p>
        </w:tc>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个</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w:t>
            </w:r>
          </w:p>
        </w:tc>
        <w:tc>
          <w:tcPr>
            <w:tcW w:w="1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除锈刷漆</w:t>
            </w:r>
          </w:p>
        </w:tc>
        <w:tc>
          <w:tcPr>
            <w:tcW w:w="18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一年一次</w:t>
            </w:r>
          </w:p>
        </w:tc>
      </w:tr>
      <w:tr>
        <w:tblPrEx>
          <w:tblCellMar>
            <w:top w:w="0" w:type="dxa"/>
            <w:left w:w="108" w:type="dxa"/>
            <w:bottom w:w="0" w:type="dxa"/>
            <w:right w:w="108" w:type="dxa"/>
          </w:tblCellMar>
        </w:tblPrEx>
        <w:trPr>
          <w:trHeight w:val="285" w:hRule="atLeast"/>
          <w:jc w:val="center"/>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4</w:t>
            </w:r>
          </w:p>
        </w:tc>
        <w:tc>
          <w:tcPr>
            <w:tcW w:w="3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屋面消防管</w:t>
            </w:r>
          </w:p>
        </w:tc>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套</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1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除锈刷漆</w:t>
            </w:r>
          </w:p>
        </w:tc>
        <w:tc>
          <w:tcPr>
            <w:tcW w:w="18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一年一次</w:t>
            </w:r>
          </w:p>
        </w:tc>
      </w:tr>
      <w:tr>
        <w:tblPrEx>
          <w:tblCellMar>
            <w:top w:w="0" w:type="dxa"/>
            <w:left w:w="108" w:type="dxa"/>
            <w:bottom w:w="0" w:type="dxa"/>
            <w:right w:w="108" w:type="dxa"/>
          </w:tblCellMar>
        </w:tblPrEx>
        <w:trPr>
          <w:trHeight w:val="285" w:hRule="atLeast"/>
          <w:jc w:val="center"/>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5</w:t>
            </w:r>
          </w:p>
        </w:tc>
        <w:tc>
          <w:tcPr>
            <w:tcW w:w="3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hAnsi="宋体" w:eastAsia="宋体" w:cs="宋体"/>
                <w:kern w:val="0"/>
              </w:rPr>
            </w:pPr>
            <w:r>
              <w:rPr>
                <w:rFonts w:hint="eastAsia" w:ascii="宋体" w:hAnsi="宋体" w:eastAsia="宋体" w:cs="宋体"/>
                <w:kern w:val="0"/>
                <w:szCs w:val="20"/>
              </w:rPr>
              <w:t>消防风机</w:t>
            </w:r>
          </w:p>
        </w:tc>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台</w:t>
            </w:r>
          </w:p>
        </w:tc>
        <w:tc>
          <w:tcPr>
            <w:tcW w:w="5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2</w:t>
            </w:r>
          </w:p>
        </w:tc>
        <w:tc>
          <w:tcPr>
            <w:tcW w:w="10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1</w:t>
            </w:r>
          </w:p>
        </w:tc>
        <w:tc>
          <w:tcPr>
            <w:tcW w:w="27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kern w:val="0"/>
              </w:rPr>
            </w:pPr>
            <w:r>
              <w:rPr>
                <w:rFonts w:hint="eastAsia" w:ascii="宋体" w:hAnsi="宋体" w:eastAsia="宋体" w:cs="宋体"/>
                <w:kern w:val="0"/>
                <w:szCs w:val="20"/>
              </w:rPr>
              <w:t>除锈刷漆</w:t>
            </w:r>
          </w:p>
        </w:tc>
        <w:tc>
          <w:tcPr>
            <w:tcW w:w="18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color w:val="000000"/>
                <w:kern w:val="0"/>
              </w:rPr>
            </w:pPr>
            <w:r>
              <w:rPr>
                <w:rFonts w:hint="eastAsia" w:ascii="宋体" w:hAnsi="宋体" w:eastAsia="宋体" w:cs="宋体"/>
                <w:color w:val="000000"/>
                <w:kern w:val="0"/>
                <w:szCs w:val="20"/>
              </w:rPr>
              <w:t>一年一次</w:t>
            </w:r>
          </w:p>
        </w:tc>
      </w:tr>
    </w:tbl>
    <w:p>
      <w:pPr>
        <w:widowControl/>
        <w:adjustRightInd w:val="0"/>
        <w:snapToGrid w:val="0"/>
        <w:spacing w:line="360" w:lineRule="auto"/>
        <w:ind w:firstLine="472" w:firstLineChars="196"/>
        <w:jc w:val="left"/>
        <w:rPr>
          <w:rFonts w:ascii="宋体" w:hAnsi="宋体" w:eastAsia="宋体" w:cs="宋体"/>
          <w:b/>
          <w:sz w:val="24"/>
        </w:rPr>
      </w:pPr>
      <w:r>
        <w:rPr>
          <w:rFonts w:hint="eastAsia" w:ascii="宋体" w:hAnsi="宋体" w:eastAsia="宋体" w:cs="宋体"/>
          <w:b/>
          <w:sz w:val="24"/>
        </w:rPr>
        <w:t>注：维保服务含以上但不仅限以上维护内容，还应包扩各系统配套附属</w:t>
      </w:r>
      <w:r>
        <w:rPr>
          <w:rFonts w:hint="eastAsia" w:ascii="宋体" w:hAnsi="宋体" w:eastAsia="宋体" w:cs="宋体"/>
          <w:b/>
          <w:kern w:val="0"/>
          <w:sz w:val="24"/>
        </w:rPr>
        <w:t>设施设备</w:t>
      </w:r>
      <w:r>
        <w:rPr>
          <w:rFonts w:hint="eastAsia" w:ascii="宋体" w:hAnsi="宋体" w:eastAsia="宋体" w:cs="宋体"/>
          <w:b/>
          <w:sz w:val="24"/>
        </w:rPr>
        <w:t>的维护工作。</w:t>
      </w:r>
    </w:p>
    <w:p>
      <w:pPr>
        <w:widowControl/>
        <w:adjustRightInd w:val="0"/>
        <w:snapToGrid w:val="0"/>
        <w:spacing w:line="360" w:lineRule="auto"/>
        <w:ind w:firstLine="480" w:firstLineChars="200"/>
        <w:jc w:val="left"/>
        <w:rPr>
          <w:rFonts w:ascii="宋体" w:hAnsi="宋体" w:eastAsia="宋体" w:cs="宋体"/>
          <w:bCs/>
          <w:sz w:val="24"/>
        </w:rPr>
      </w:pPr>
      <w:r>
        <w:rPr>
          <w:rFonts w:hint="eastAsia" w:ascii="宋体" w:hAnsi="宋体" w:eastAsia="宋体" w:cs="宋体"/>
          <w:bCs/>
          <w:sz w:val="24"/>
        </w:rPr>
        <w:t>五、故障抢修</w:t>
      </w:r>
    </w:p>
    <w:p>
      <w:pPr>
        <w:widowControl/>
        <w:adjustRightInd w:val="0"/>
        <w:snapToGrid w:val="0"/>
        <w:spacing w:line="360" w:lineRule="auto"/>
        <w:ind w:firstLine="480"/>
        <w:jc w:val="left"/>
        <w:rPr>
          <w:rFonts w:ascii="宋体" w:hAnsi="宋体" w:eastAsia="宋体" w:cs="宋体"/>
          <w:bCs/>
          <w:sz w:val="24"/>
        </w:rPr>
      </w:pPr>
      <w:r>
        <w:rPr>
          <w:rFonts w:hint="eastAsia" w:ascii="宋体" w:hAnsi="宋体" w:eastAsia="宋体" w:cs="宋体"/>
          <w:bCs/>
          <w:sz w:val="24"/>
        </w:rPr>
        <w:t>当维保单位接到甲方的故障通知书或电话通知时，应在4小时内立即派工作人员对该故障进行排除。一般故障应该立即排除，严重故障应该在24小时内修复。当需超过2天尚无法修复时，需书面通知甲方工作人员，增加日常管理人员与维保单位工作人员一同作好维修期间的安全防范。同时维保方增加技术力量，尽快修复故障。</w:t>
      </w:r>
    </w:p>
    <w:p>
      <w:pPr>
        <w:widowControl/>
        <w:adjustRightInd w:val="0"/>
        <w:snapToGrid w:val="0"/>
        <w:spacing w:line="360" w:lineRule="auto"/>
        <w:ind w:firstLine="480"/>
        <w:jc w:val="left"/>
        <w:rPr>
          <w:rFonts w:ascii="宋体" w:hAnsi="宋体" w:eastAsia="宋体" w:cs="宋体"/>
          <w:bCs/>
          <w:sz w:val="24"/>
        </w:rPr>
      </w:pPr>
      <w:r>
        <w:rPr>
          <w:rFonts w:hint="eastAsia" w:ascii="宋体" w:hAnsi="宋体" w:eastAsia="宋体" w:cs="宋体"/>
          <w:bCs/>
          <w:sz w:val="24"/>
        </w:rPr>
        <w:t>六、其它商务要求</w:t>
      </w:r>
    </w:p>
    <w:p>
      <w:pPr>
        <w:widowControl/>
        <w:adjustRightInd w:val="0"/>
        <w:snapToGrid w:val="0"/>
        <w:spacing w:line="360" w:lineRule="auto"/>
        <w:ind w:firstLine="480"/>
        <w:jc w:val="left"/>
        <w:rPr>
          <w:rFonts w:ascii="宋体" w:hAnsi="宋体" w:eastAsia="宋体" w:cs="宋体"/>
          <w:bCs/>
          <w:sz w:val="24"/>
        </w:rPr>
      </w:pPr>
      <w:r>
        <w:rPr>
          <w:rFonts w:hint="eastAsia" w:ascii="宋体" w:hAnsi="宋体" w:eastAsia="宋体" w:cs="宋体"/>
          <w:bCs/>
          <w:sz w:val="24"/>
        </w:rPr>
        <w:t>1、维保方需固定1-2个熟悉中心大楼维护的工作人员。</w:t>
      </w:r>
    </w:p>
    <w:p>
      <w:pPr>
        <w:widowControl/>
        <w:adjustRightInd w:val="0"/>
        <w:snapToGrid w:val="0"/>
        <w:spacing w:line="360" w:lineRule="auto"/>
        <w:ind w:firstLine="480"/>
        <w:jc w:val="left"/>
        <w:rPr>
          <w:rFonts w:ascii="宋体" w:hAnsi="宋体" w:eastAsia="宋体" w:cs="宋体"/>
          <w:bCs/>
          <w:sz w:val="24"/>
        </w:rPr>
      </w:pPr>
      <w:r>
        <w:rPr>
          <w:rFonts w:hint="eastAsia" w:ascii="宋体" w:hAnsi="宋体" w:eastAsia="宋体" w:cs="宋体"/>
          <w:bCs/>
          <w:sz w:val="24"/>
        </w:rPr>
        <w:t>2、做好消防设施资料建档工作，及时更新老的资料。</w:t>
      </w:r>
    </w:p>
    <w:p>
      <w:pPr>
        <w:widowControl/>
        <w:adjustRightInd w:val="0"/>
        <w:snapToGrid w:val="0"/>
        <w:spacing w:line="360" w:lineRule="auto"/>
        <w:ind w:firstLine="480"/>
        <w:jc w:val="left"/>
        <w:rPr>
          <w:rFonts w:ascii="宋体" w:hAnsi="宋体" w:eastAsia="宋体" w:cs="宋体"/>
          <w:bCs/>
          <w:sz w:val="24"/>
        </w:rPr>
      </w:pPr>
      <w:r>
        <w:rPr>
          <w:rFonts w:hint="eastAsia" w:ascii="宋体" w:hAnsi="宋体" w:eastAsia="宋体" w:cs="宋体"/>
          <w:bCs/>
          <w:sz w:val="24"/>
        </w:rPr>
        <w:t>3、有责任和义务配合甲方及上级主管部门组织各项检查工作。</w:t>
      </w:r>
    </w:p>
    <w:p>
      <w:pPr>
        <w:widowControl/>
        <w:adjustRightInd w:val="0"/>
        <w:snapToGrid w:val="0"/>
        <w:spacing w:line="360" w:lineRule="auto"/>
        <w:ind w:firstLine="480"/>
        <w:jc w:val="left"/>
        <w:rPr>
          <w:rFonts w:ascii="宋体" w:hAnsi="宋体" w:eastAsia="宋体" w:cs="宋体"/>
          <w:bCs/>
          <w:sz w:val="24"/>
        </w:rPr>
      </w:pPr>
      <w:r>
        <w:rPr>
          <w:rFonts w:hint="eastAsia" w:ascii="宋体" w:hAnsi="宋体" w:eastAsia="宋体" w:cs="宋体"/>
          <w:bCs/>
          <w:sz w:val="24"/>
        </w:rPr>
        <w:t>4、全面认真执行国家的有关规定，并承担相应的责任。</w:t>
      </w:r>
    </w:p>
    <w:p>
      <w:pPr>
        <w:widowControl/>
        <w:adjustRightInd w:val="0"/>
        <w:snapToGrid w:val="0"/>
        <w:spacing w:line="360" w:lineRule="auto"/>
        <w:ind w:firstLine="480"/>
        <w:jc w:val="left"/>
        <w:rPr>
          <w:rFonts w:ascii="宋体" w:hAnsi="宋体" w:eastAsia="宋体" w:cs="宋体"/>
          <w:bCs/>
          <w:sz w:val="24"/>
        </w:rPr>
      </w:pPr>
      <w:r>
        <w:rPr>
          <w:rFonts w:hint="eastAsia" w:ascii="宋体" w:hAnsi="宋体" w:eastAsia="宋体" w:cs="宋体"/>
          <w:bCs/>
          <w:sz w:val="24"/>
        </w:rPr>
        <w:t>5、维保情况需以书面报告向甲方汇报，发现问题及时提出整改意见，保证随时发现和解决问题，确保设备运行状况良好。</w:t>
      </w:r>
    </w:p>
    <w:p>
      <w:pPr>
        <w:widowControl/>
        <w:adjustRightInd w:val="0"/>
        <w:snapToGrid w:val="0"/>
        <w:spacing w:line="360" w:lineRule="auto"/>
        <w:ind w:firstLine="480"/>
        <w:jc w:val="left"/>
        <w:rPr>
          <w:rFonts w:ascii="宋体" w:hAnsi="宋体" w:eastAsia="宋体" w:cs="宋体"/>
          <w:bCs/>
          <w:sz w:val="24"/>
        </w:rPr>
      </w:pPr>
      <w:r>
        <w:rPr>
          <w:rFonts w:hint="eastAsia" w:ascii="宋体" w:hAnsi="宋体" w:eastAsia="宋体" w:cs="宋体"/>
          <w:bCs/>
          <w:sz w:val="24"/>
        </w:rPr>
        <w:t>6、参与维保工作人员必须具有作业人员上岗证书，设专人进行现场监管。拆卸、搬迁和安装过程中，不得损坏其它公共设施及个人。财产，文明施工，工完场清。维保施工过程中，正确使用各种操作工具，确保维保施工人员和甲方相关工作人员的人身和财产的安全。</w:t>
      </w:r>
    </w:p>
    <w:p>
      <w:pPr>
        <w:widowControl/>
        <w:adjustRightInd w:val="0"/>
        <w:snapToGrid w:val="0"/>
        <w:spacing w:line="360" w:lineRule="auto"/>
        <w:ind w:firstLine="480"/>
        <w:jc w:val="left"/>
        <w:rPr>
          <w:rFonts w:ascii="宋体" w:hAnsi="宋体" w:eastAsia="宋体" w:cs="宋体"/>
          <w:bCs/>
          <w:sz w:val="24"/>
        </w:rPr>
      </w:pPr>
      <w:r>
        <w:rPr>
          <w:rFonts w:hint="eastAsia" w:ascii="宋体" w:hAnsi="宋体" w:eastAsia="宋体" w:cs="宋体"/>
          <w:bCs/>
          <w:sz w:val="24"/>
        </w:rPr>
        <w:t>7、维保过程中，必须设置必要的防护和警示标志。高空施工必需配戴安帽及安全带。因维保施工发生任何安生意外事故与中心无关，但维保施工中违规造成中心相关工作人员的人身和财产损害和损失的。将由维保单位承担一切经济和法律责任。</w:t>
      </w:r>
    </w:p>
    <w:p>
      <w:pPr>
        <w:widowControl/>
        <w:adjustRightInd w:val="0"/>
        <w:snapToGrid w:val="0"/>
        <w:spacing w:line="360" w:lineRule="auto"/>
        <w:ind w:firstLine="480"/>
        <w:jc w:val="left"/>
        <w:rPr>
          <w:rFonts w:ascii="宋体" w:hAnsi="宋体" w:eastAsia="宋体" w:cs="宋体"/>
          <w:bCs/>
          <w:sz w:val="24"/>
        </w:rPr>
      </w:pPr>
      <w:r>
        <w:rPr>
          <w:rFonts w:hint="eastAsia" w:ascii="宋体" w:hAnsi="宋体" w:eastAsia="宋体" w:cs="宋体"/>
          <w:bCs/>
          <w:sz w:val="24"/>
        </w:rPr>
        <w:t>8、维保单位需到现场了解消防及配套设备的运行情况，并有针对性制定维保方案和实施方案，对于甲方提出维保要求如有缺少相关维保规范要求，维保单位应按规范要求给予补充完善。</w:t>
      </w: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B093C9"/>
    <w:multiLevelType w:val="multilevel"/>
    <w:tmpl w:val="3CB093C9"/>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DF04DD"/>
    <w:rsid w:val="000B5E3C"/>
    <w:rsid w:val="004645AD"/>
    <w:rsid w:val="005A42DD"/>
    <w:rsid w:val="006B30AC"/>
    <w:rsid w:val="00A4414B"/>
    <w:rsid w:val="00B621FE"/>
    <w:rsid w:val="00D97C59"/>
    <w:rsid w:val="00DF04DD"/>
    <w:rsid w:val="00F35100"/>
    <w:rsid w:val="04E0005C"/>
    <w:rsid w:val="449C31C2"/>
    <w:rsid w:val="6B1264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9"/>
    <w:uiPriority w:val="0"/>
    <w:pPr>
      <w:ind w:firstLine="420" w:firstLineChars="200"/>
    </w:pPr>
    <w:rPr>
      <w:rFonts w:hint="eastAsia" w:ascii="仿宋_GB2312" w:hAnsi="Calibri" w:eastAsia="宋体" w:cs="Times New Roman"/>
      <w:b/>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link w:val="8"/>
    <w:uiPriority w:val="0"/>
    <w:pPr>
      <w:widowControl/>
      <w:spacing w:beforeAutospacing="1" w:afterAutospacing="1"/>
      <w:jc w:val="left"/>
    </w:pPr>
    <w:rPr>
      <w:rFonts w:hint="eastAsia" w:ascii="宋体" w:hAnsi="宋体" w:eastAsia="宋体" w:cs="Times New Roman"/>
      <w:kern w:val="0"/>
      <w:sz w:val="18"/>
      <w:szCs w:val="20"/>
    </w:rPr>
  </w:style>
  <w:style w:type="character" w:customStyle="1" w:styleId="8">
    <w:name w:val="普通(网站) 字符"/>
    <w:basedOn w:val="7"/>
    <w:link w:val="5"/>
    <w:uiPriority w:val="0"/>
    <w:rPr>
      <w:rFonts w:hint="eastAsia" w:ascii="宋体" w:hAnsi="宋体" w:eastAsia="宋体" w:cs="宋体"/>
      <w:sz w:val="18"/>
    </w:rPr>
  </w:style>
  <w:style w:type="character" w:customStyle="1" w:styleId="9">
    <w:name w:val="正文缩进 字符"/>
    <w:basedOn w:val="7"/>
    <w:link w:val="2"/>
    <w:uiPriority w:val="0"/>
    <w:rPr>
      <w:rFonts w:hint="eastAsia" w:ascii="仿宋_GB2312" w:eastAsia="仿宋_GB2312" w:cs="仿宋_GB2312"/>
      <w:b/>
      <w:kern w:val="2"/>
      <w:sz w:val="21"/>
    </w:rPr>
  </w:style>
  <w:style w:type="character" w:customStyle="1" w:styleId="10">
    <w:name w:val="页眉 字符"/>
    <w:basedOn w:val="7"/>
    <w:link w:val="4"/>
    <w:uiPriority w:val="0"/>
    <w:rPr>
      <w:rFonts w:asciiTheme="minorHAnsi" w:hAnsiTheme="minorHAnsi" w:eastAsiaTheme="minorEastAsia" w:cstheme="minorBidi"/>
      <w:kern w:val="2"/>
      <w:sz w:val="18"/>
      <w:szCs w:val="18"/>
    </w:rPr>
  </w:style>
  <w:style w:type="character" w:customStyle="1" w:styleId="11">
    <w:name w:val="页脚 字符"/>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519</Words>
  <Characters>2960</Characters>
  <Lines>24</Lines>
  <Paragraphs>6</Paragraphs>
  <TotalTime>13</TotalTime>
  <ScaleCrop>false</ScaleCrop>
  <LinksUpToDate>false</LinksUpToDate>
  <CharactersWithSpaces>3473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2020-07-06T07:26:00Z</dcterms:created>
  <dc:creator>shizi</dc:creator>
  <cp:lastModifiedBy>Kailun</cp:lastModifiedBy>
  <dcterms:modified xsi:type="dcterms:W3CDTF">2023-10-10T01:01:32Z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ACE969006FCD4EEAA30203295807534C</vt:lpwstr>
  </property>
</Properties>
</file>