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D810">
      <w:pPr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《地理标志产品 陵水圣女果》DB46/T 412-2025</w:t>
      </w:r>
    </w:p>
    <w:p w14:paraId="1B4DEF89">
      <w:pPr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修订编制说明</w:t>
      </w:r>
    </w:p>
    <w:p w14:paraId="17EB2D7E">
      <w:pPr>
        <w:spacing w:line="600" w:lineRule="exact"/>
        <w:ind w:firstLine="557" w:firstLineChars="19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一、项目简况</w:t>
      </w:r>
    </w:p>
    <w:p w14:paraId="343D02A1">
      <w:pPr>
        <w:spacing w:line="600" w:lineRule="exact"/>
        <w:ind w:firstLine="557" w:firstLineChars="19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（一）标准名称</w:t>
      </w:r>
    </w:p>
    <w:p w14:paraId="239ABBBF">
      <w:pPr>
        <w:spacing w:line="600" w:lineRule="exact"/>
        <w:ind w:firstLine="554" w:firstLineChars="198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《地理标志产品 陵水圣女果》DB46/T 412-2025</w:t>
      </w:r>
    </w:p>
    <w:p w14:paraId="02215F63"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（二）任务来源</w:t>
      </w:r>
    </w:p>
    <w:p w14:paraId="5CA22C42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</w:rPr>
        <w:t>根据海南省市场监督管理局</w:t>
      </w:r>
      <w:r>
        <w:rPr>
          <w:rFonts w:ascii="宋体" w:hAnsi="宋体" w:eastAsia="宋体" w:cs="宋体"/>
          <w:bCs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</w:rPr>
        <w:t>关于下达海南省2023年第二批地方标准制修订项目计划的通知</w:t>
      </w:r>
      <w:r>
        <w:rPr>
          <w:rFonts w:ascii="宋体" w:hAnsi="宋体" w:eastAsia="宋体" w:cs="宋体"/>
          <w:bCs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ascii="宋体" w:hAnsi="宋体" w:eastAsia="宋体" w:cs="宋体"/>
          <w:sz w:val="28"/>
          <w:szCs w:val="28"/>
        </w:rPr>
        <w:t>DB46/T 412-201</w:t>
      </w:r>
      <w:r>
        <w:rPr>
          <w:rFonts w:ascii="宋体" w:hAnsi="宋体" w:eastAsia="宋体" w:cs="宋体"/>
          <w:sz w:val="28"/>
          <w:szCs w:val="28"/>
          <w:highlight w:val="none"/>
        </w:rPr>
        <w:t>6《地理标志产品 陵水圣女果》列入修订计划，由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海南省知识产权局牵头，</w:t>
      </w:r>
      <w:bookmarkStart w:id="0" w:name="OLE_LINK2"/>
      <w:r>
        <w:rPr>
          <w:rFonts w:hint="eastAsia" w:ascii="宋体" w:hAnsi="宋体" w:eastAsia="宋体" w:cs="宋体"/>
          <w:sz w:val="28"/>
          <w:szCs w:val="28"/>
          <w:highlight w:val="none"/>
        </w:rPr>
        <w:t>海南省陵水黎族自治县市场监督管理局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联络，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海南省农业科学院蔬菜研究所、陵水黎族自治县光坡镇人民政府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海南智行科技服务有限公司</w:t>
      </w:r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、海南云智检质量技术服务有限公司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等</w:t>
      </w:r>
      <w:r>
        <w:rPr>
          <w:rFonts w:ascii="宋体" w:hAnsi="宋体" w:eastAsia="宋体" w:cs="宋体"/>
          <w:sz w:val="28"/>
          <w:szCs w:val="28"/>
          <w:highlight w:val="none"/>
        </w:rPr>
        <w:t>共同承担修订任务。</w:t>
      </w:r>
    </w:p>
    <w:p w14:paraId="0C845125"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（三）起草单位</w:t>
      </w:r>
    </w:p>
    <w:p w14:paraId="1CDAF1EF">
      <w:pPr>
        <w:spacing w:line="6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海南省农业科学院蔬菜研究所、陵水黎族自治县光坡镇人民政府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海南智行科技服务有限公司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海南云智检质量技术服务有限公司。</w:t>
      </w:r>
    </w:p>
    <w:p w14:paraId="16803186">
      <w:pPr>
        <w:spacing w:line="600" w:lineRule="exact"/>
        <w:ind w:firstLine="557" w:firstLineChars="198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（四）标准起草人</w:t>
      </w:r>
    </w:p>
    <w:p w14:paraId="3FFC976F">
      <w:pPr>
        <w:spacing w:line="600" w:lineRule="exact"/>
        <w:ind w:firstLine="554" w:firstLineChars="198"/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本标准主要起草人： 伍壮生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，苏兴通，陈声权，唐海云，周建宇，吉翠婷</w:t>
      </w:r>
    </w:p>
    <w:p w14:paraId="3BB12DDA">
      <w:pPr>
        <w:spacing w:line="600" w:lineRule="exact"/>
        <w:ind w:firstLine="557" w:firstLineChars="19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二、编制情况</w:t>
      </w:r>
    </w:p>
    <w:p w14:paraId="1738DD10">
      <w:pPr>
        <w:spacing w:line="600" w:lineRule="exact"/>
        <w:ind w:firstLine="557" w:firstLineChars="19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（一）本标准修订的必要性和意义及背景</w:t>
      </w:r>
    </w:p>
    <w:p w14:paraId="43B3DB71">
      <w:pPr>
        <w:spacing w:line="600" w:lineRule="exact"/>
        <w:ind w:firstLine="554" w:firstLineChars="198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DB46/T 412-2016《地理标志产品 陵水圣女果》自2017年</w:t>
      </w:r>
      <w:r>
        <w:rPr>
          <w:rFonts w:hint="eastAsia" w:ascii="宋体" w:hAnsi="宋体" w:eastAsia="宋体" w:cs="宋体"/>
          <w:bCs/>
          <w:sz w:val="28"/>
          <w:szCs w:val="28"/>
        </w:rPr>
        <w:t>2月</w:t>
      </w:r>
      <w:r>
        <w:rPr>
          <w:rFonts w:ascii="宋体" w:hAnsi="宋体" w:eastAsia="宋体" w:cs="宋体"/>
          <w:bCs/>
          <w:sz w:val="28"/>
          <w:szCs w:val="28"/>
        </w:rPr>
        <w:t>实施以来，对规范陵水圣女果生产、提升品牌价值发挥了重要作用。随着农业技术进步和市场需求变化，原标准中部分引用文件已更新，理化指标需进一步优化</w:t>
      </w:r>
      <w:r>
        <w:rPr>
          <w:rFonts w:hint="eastAsia" w:ascii="宋体" w:hAnsi="宋体" w:eastAsia="宋体" w:cs="宋体"/>
          <w:bCs/>
          <w:sz w:val="28"/>
          <w:szCs w:val="28"/>
        </w:rPr>
        <w:t>，从而提升市场竞争力，维护“陵水圣女果”的品牌价值。</w:t>
      </w:r>
    </w:p>
    <w:p w14:paraId="621F7EE0">
      <w:pPr>
        <w:spacing w:line="600" w:lineRule="exact"/>
        <w:ind w:firstLine="564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b/>
          <w:sz w:val="28"/>
          <w:szCs w:val="28"/>
        </w:rPr>
        <w:t>编制过程简介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</w:p>
    <w:p w14:paraId="6DAFBA6A"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海南省市场监督管理局</w:t>
      </w:r>
      <w:r>
        <w:rPr>
          <w:rFonts w:hint="eastAsia" w:ascii="宋体" w:hAnsi="宋体" w:eastAsia="宋体" w:cs="宋体"/>
          <w:bCs/>
          <w:sz w:val="28"/>
          <w:szCs w:val="28"/>
        </w:rPr>
        <w:t>2023年8月4日发布的</w:t>
      </w:r>
      <w:bookmarkStart w:id="1" w:name="OLE_LINK1"/>
      <w:r>
        <w:rPr>
          <w:rFonts w:ascii="宋体" w:hAnsi="宋体" w:eastAsia="宋体" w:cs="宋体"/>
          <w:bCs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sz w:val="28"/>
          <w:szCs w:val="28"/>
        </w:rPr>
        <w:t>关于下达海南省2023年第二批地方标准制修订项目计划的通知</w:t>
      </w:r>
      <w:r>
        <w:rPr>
          <w:rFonts w:ascii="宋体" w:hAnsi="宋体" w:eastAsia="宋体" w:cs="宋体"/>
          <w:bCs/>
          <w:sz w:val="28"/>
          <w:szCs w:val="28"/>
        </w:rPr>
        <w:t>》</w:t>
      </w:r>
      <w:bookmarkEnd w:id="1"/>
      <w:r>
        <w:rPr>
          <w:rFonts w:hint="eastAsia" w:ascii="宋体" w:hAnsi="宋体" w:eastAsia="宋体" w:cs="宋体"/>
          <w:bCs/>
          <w:sz w:val="28"/>
          <w:szCs w:val="28"/>
        </w:rPr>
        <w:t>中将</w:t>
      </w:r>
      <w:r>
        <w:rPr>
          <w:rFonts w:ascii="宋体" w:hAnsi="宋体" w:eastAsia="宋体" w:cs="宋体"/>
          <w:bCs/>
          <w:sz w:val="28"/>
          <w:szCs w:val="28"/>
        </w:rPr>
        <w:t>《地理标志产品 陵水圣女果》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ascii="宋体" w:hAnsi="宋体" w:eastAsia="宋体" w:cs="宋体"/>
          <w:bCs/>
          <w:sz w:val="28"/>
          <w:szCs w:val="28"/>
        </w:rPr>
        <w:t>DB46/T 412-2016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ascii="宋体" w:hAnsi="宋体" w:eastAsia="宋体" w:cs="宋体"/>
          <w:bCs/>
          <w:sz w:val="28"/>
          <w:szCs w:val="28"/>
        </w:rPr>
        <w:t>列入修订计划，</w:t>
      </w:r>
      <w:r>
        <w:rPr>
          <w:rFonts w:ascii="宋体" w:hAnsi="宋体" w:eastAsia="宋体" w:cs="宋体"/>
          <w:sz w:val="28"/>
          <w:szCs w:val="28"/>
        </w:rPr>
        <w:t>由</w:t>
      </w:r>
      <w:r>
        <w:rPr>
          <w:rFonts w:hint="eastAsia" w:ascii="宋体" w:hAnsi="宋体" w:eastAsia="宋体" w:cs="宋体"/>
          <w:sz w:val="28"/>
          <w:szCs w:val="28"/>
        </w:rPr>
        <w:t>海南省知识产权局牵头，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海南省陵水黎族自治县市场监督管理局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联络，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海南省农业科学院蔬菜研究所、陵水黎族自治县光坡镇人民政府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海南智行科技服务有限公司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、海南云智检质量技术服务有限公司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等</w:t>
      </w:r>
      <w:r>
        <w:rPr>
          <w:rFonts w:ascii="宋体" w:hAnsi="宋体" w:eastAsia="宋体" w:cs="宋体"/>
          <w:sz w:val="28"/>
          <w:szCs w:val="28"/>
          <w:highlight w:val="none"/>
        </w:rPr>
        <w:t>共同承担修订任务。</w:t>
      </w:r>
    </w:p>
    <w:p w14:paraId="3CB3ABB3">
      <w:pPr>
        <w:spacing w:line="600" w:lineRule="exact"/>
        <w:ind w:firstLine="564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该标准由海南省知识产权局提出并归口，海南省知识产权局十分重视，立即联系原标准起草单位陵水县市场监督管理局，要求其启动标准修订工作并成立</w:t>
      </w:r>
      <w:r>
        <w:rPr>
          <w:rFonts w:ascii="宋体" w:hAnsi="宋体" w:eastAsia="宋体" w:cs="宋体"/>
          <w:bCs/>
          <w:sz w:val="28"/>
          <w:szCs w:val="28"/>
        </w:rPr>
        <w:t>标准修订工作组</w:t>
      </w:r>
      <w:r>
        <w:rPr>
          <w:rFonts w:hint="eastAsia" w:ascii="宋体" w:hAnsi="宋体" w:eastAsia="宋体" w:cs="宋体"/>
          <w:bCs/>
          <w:sz w:val="28"/>
          <w:szCs w:val="28"/>
        </w:rPr>
        <w:t>。陵水县市场监督管理局于2023年底经调查研究，成立</w:t>
      </w:r>
      <w:r>
        <w:rPr>
          <w:rFonts w:ascii="宋体" w:hAnsi="宋体" w:eastAsia="宋体" w:cs="宋体"/>
          <w:bCs/>
          <w:sz w:val="28"/>
          <w:szCs w:val="28"/>
        </w:rPr>
        <w:t>包括农业科研专家、标准化技术专家、生产企业代表及检测机构技术人员</w:t>
      </w:r>
      <w:r>
        <w:rPr>
          <w:rFonts w:hint="eastAsia" w:ascii="宋体" w:hAnsi="宋体" w:eastAsia="宋体" w:cs="宋体"/>
          <w:bCs/>
          <w:sz w:val="28"/>
          <w:szCs w:val="28"/>
        </w:rPr>
        <w:t>共同组成的标准修订工作组。标准修订工作组</w:t>
      </w:r>
      <w:r>
        <w:rPr>
          <w:rFonts w:ascii="宋体" w:hAnsi="宋体" w:eastAsia="宋体" w:cs="宋体"/>
          <w:bCs/>
          <w:sz w:val="28"/>
          <w:szCs w:val="28"/>
        </w:rPr>
        <w:t>分工</w:t>
      </w:r>
      <w:r>
        <w:rPr>
          <w:rFonts w:hint="eastAsia" w:ascii="宋体" w:hAnsi="宋体" w:eastAsia="宋体" w:cs="宋体"/>
          <w:bCs/>
          <w:sz w:val="28"/>
          <w:szCs w:val="28"/>
        </w:rPr>
        <w:t>明确、</w:t>
      </w:r>
      <w:r>
        <w:rPr>
          <w:rFonts w:ascii="宋体" w:hAnsi="宋体" w:eastAsia="宋体" w:cs="宋体"/>
          <w:bCs/>
          <w:sz w:val="28"/>
          <w:szCs w:val="28"/>
        </w:rPr>
        <w:t>职责</w:t>
      </w:r>
      <w:r>
        <w:rPr>
          <w:rFonts w:hint="eastAsia" w:ascii="宋体" w:hAnsi="宋体" w:eastAsia="宋体" w:cs="宋体"/>
          <w:bCs/>
          <w:sz w:val="28"/>
          <w:szCs w:val="28"/>
        </w:rPr>
        <w:t>清晰</w:t>
      </w:r>
      <w:r>
        <w:rPr>
          <w:rFonts w:ascii="宋体" w:hAnsi="宋体" w:eastAsia="宋体" w:cs="宋体"/>
          <w:bCs/>
          <w:sz w:val="28"/>
          <w:szCs w:val="28"/>
        </w:rPr>
        <w:t>。</w:t>
      </w:r>
    </w:p>
    <w:p w14:paraId="5B8C4E92">
      <w:pPr>
        <w:spacing w:line="6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2024年初标准修订工作组通过</w:t>
      </w:r>
      <w:r>
        <w:rPr>
          <w:rFonts w:ascii="宋体" w:hAnsi="宋体" w:eastAsia="宋体" w:cs="宋体"/>
          <w:bCs/>
          <w:sz w:val="28"/>
          <w:szCs w:val="28"/>
        </w:rPr>
        <w:t>对陵水圣女果主产区进行实地调研，了解种植技术、品质现状及市场反馈</w:t>
      </w:r>
      <w:r>
        <w:rPr>
          <w:rFonts w:hint="eastAsia" w:ascii="宋体" w:hAnsi="宋体" w:eastAsia="宋体" w:cs="宋体"/>
          <w:bCs/>
          <w:sz w:val="28"/>
          <w:szCs w:val="28"/>
        </w:rPr>
        <w:t>初步形成修订意见</w:t>
      </w:r>
      <w:r>
        <w:rPr>
          <w:rFonts w:ascii="宋体" w:hAnsi="宋体" w:eastAsia="宋体" w:cs="宋体"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</w:rPr>
        <w:t>后又通过</w:t>
      </w:r>
      <w:r>
        <w:rPr>
          <w:rFonts w:ascii="宋体" w:hAnsi="宋体" w:eastAsia="宋体" w:cs="宋体"/>
          <w:bCs/>
          <w:sz w:val="28"/>
          <w:szCs w:val="28"/>
        </w:rPr>
        <w:t>收集国内外圣女果相关标准及陵水圣女果历年检测数据</w:t>
      </w:r>
      <w:r>
        <w:rPr>
          <w:rFonts w:hint="eastAsia" w:ascii="宋体" w:hAnsi="宋体" w:eastAsia="宋体" w:cs="宋体"/>
          <w:bCs/>
          <w:sz w:val="28"/>
          <w:szCs w:val="28"/>
        </w:rPr>
        <w:t>，</w:t>
      </w:r>
      <w:r>
        <w:rPr>
          <w:rFonts w:ascii="宋体" w:hAnsi="宋体" w:eastAsia="宋体" w:cs="宋体"/>
          <w:bCs/>
          <w:sz w:val="28"/>
          <w:szCs w:val="28"/>
        </w:rPr>
        <w:t>分析DB46/T 412-2016实施以来的问题与不足，确定修订重点。</w:t>
      </w:r>
    </w:p>
    <w:p w14:paraId="3E8C4340">
      <w:pPr>
        <w:spacing w:line="6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经多次调研及检测研究，商定</w:t>
      </w:r>
      <w:r>
        <w:rPr>
          <w:rFonts w:ascii="宋体" w:hAnsi="宋体" w:eastAsia="宋体" w:cs="宋体"/>
          <w:bCs/>
          <w:sz w:val="28"/>
          <w:szCs w:val="28"/>
        </w:rPr>
        <w:t>在DB46/T 412-2016基础上，</w:t>
      </w:r>
      <w:r>
        <w:rPr>
          <w:rFonts w:hint="eastAsia" w:ascii="宋体" w:hAnsi="宋体" w:eastAsia="宋体" w:cs="宋体"/>
          <w:bCs/>
          <w:sz w:val="28"/>
          <w:szCs w:val="28"/>
        </w:rPr>
        <w:t>修订以下内容</w:t>
      </w:r>
      <w:r>
        <w:rPr>
          <w:rFonts w:ascii="宋体" w:hAnsi="宋体" w:eastAsia="宋体" w:cs="宋体"/>
          <w:bCs/>
          <w:sz w:val="28"/>
          <w:szCs w:val="28"/>
        </w:rPr>
        <w:t>：更新引用标准</w:t>
      </w:r>
      <w:r>
        <w:rPr>
          <w:rFonts w:hint="eastAsia" w:ascii="宋体" w:hAnsi="宋体" w:eastAsia="宋体" w:cs="宋体"/>
          <w:bCs/>
          <w:sz w:val="28"/>
          <w:szCs w:val="28"/>
        </w:rPr>
        <w:t>、</w:t>
      </w:r>
      <w:r>
        <w:rPr>
          <w:rFonts w:ascii="宋体" w:hAnsi="宋体" w:eastAsia="宋体" w:cs="宋体"/>
          <w:bCs/>
          <w:sz w:val="28"/>
          <w:szCs w:val="28"/>
        </w:rPr>
        <w:t>优化理化指标（可溶性糖、总酸含量）。</w:t>
      </w:r>
    </w:p>
    <w:p w14:paraId="07A898CF">
      <w:pPr>
        <w:spacing w:line="6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2025年初形成该标准的征求意见稿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并于3月份开展征求意见工作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征求了中国热带农业科学院品种资源研究所、海南省农业科学院蔬菜研究所、陵水光坡益农农业农民专业合作社和圣女果种植户，汇总意见如下：</w:t>
      </w:r>
    </w:p>
    <w:tbl>
      <w:tblPr>
        <w:tblStyle w:val="5"/>
        <w:tblW w:w="9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20"/>
        <w:gridCol w:w="590"/>
        <w:gridCol w:w="1983"/>
        <w:gridCol w:w="2490"/>
        <w:gridCol w:w="1845"/>
        <w:gridCol w:w="974"/>
      </w:tblGrid>
      <w:tr w14:paraId="3F181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13" w:type="dxa"/>
          </w:tcPr>
          <w:p w14:paraId="5E4C1B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240" w:lineRule="auto"/>
              <w:ind w:right="13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pacing w:val="0"/>
                <w:w w:val="100"/>
                <w:kern w:val="0"/>
                <w:sz w:val="21"/>
                <w:szCs w:val="21"/>
                <w:fitText w:val="420" w:id="2106997055"/>
              </w:rPr>
              <w:t>序号</w:t>
            </w:r>
          </w:p>
        </w:tc>
        <w:tc>
          <w:tcPr>
            <w:tcW w:w="920" w:type="dxa"/>
          </w:tcPr>
          <w:p w14:paraId="5FA023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240" w:lineRule="auto"/>
              <w:ind w:right="81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  <w:t>专家姓名</w:t>
            </w:r>
          </w:p>
        </w:tc>
        <w:tc>
          <w:tcPr>
            <w:tcW w:w="590" w:type="dxa"/>
          </w:tcPr>
          <w:p w14:paraId="323A0B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  <w:t>标准章条号</w:t>
            </w:r>
          </w:p>
        </w:tc>
        <w:tc>
          <w:tcPr>
            <w:tcW w:w="1983" w:type="dxa"/>
          </w:tcPr>
          <w:p w14:paraId="3E4129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  <w:t>征求意见稿原文</w:t>
            </w:r>
          </w:p>
        </w:tc>
        <w:tc>
          <w:tcPr>
            <w:tcW w:w="2490" w:type="dxa"/>
          </w:tcPr>
          <w:p w14:paraId="57D74E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240" w:lineRule="auto"/>
              <w:ind w:right="112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  <w:t>修改建议</w:t>
            </w:r>
          </w:p>
        </w:tc>
        <w:tc>
          <w:tcPr>
            <w:tcW w:w="1845" w:type="dxa"/>
          </w:tcPr>
          <w:p w14:paraId="6ED1E2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240" w:lineRule="auto"/>
              <w:ind w:right="10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  <w:t>理由</w:t>
            </w:r>
          </w:p>
        </w:tc>
        <w:tc>
          <w:tcPr>
            <w:tcW w:w="974" w:type="dxa"/>
          </w:tcPr>
          <w:p w14:paraId="644685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w w:val="90"/>
                <w:sz w:val="21"/>
                <w:szCs w:val="21"/>
              </w:rPr>
              <w:t>处理意见</w:t>
            </w:r>
          </w:p>
        </w:tc>
      </w:tr>
      <w:tr w14:paraId="3E4E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413" w:type="dxa"/>
            <w:vAlign w:val="center"/>
          </w:tcPr>
          <w:p w14:paraId="6C137C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  <w:t>1</w:t>
            </w:r>
          </w:p>
        </w:tc>
        <w:tc>
          <w:tcPr>
            <w:tcW w:w="920" w:type="dxa"/>
          </w:tcPr>
          <w:p w14:paraId="3637DF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</w:p>
          <w:p w14:paraId="138988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13B99A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3460CB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杜公福</w:t>
            </w:r>
          </w:p>
        </w:tc>
        <w:tc>
          <w:tcPr>
            <w:tcW w:w="590" w:type="dxa"/>
          </w:tcPr>
          <w:p w14:paraId="1EAA97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559D5A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2B7BC2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6878EA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983" w:type="dxa"/>
          </w:tcPr>
          <w:p w14:paraId="066EFD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缺陷</w:t>
            </w:r>
          </w:p>
          <w:p w14:paraId="53A4A6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由于日灼、裂果、机械伤、病虫害症状、绿色果肩、畸形等导致果实外观和/或内在品质受到影响 的瑕疵。</w:t>
            </w:r>
          </w:p>
        </w:tc>
        <w:tc>
          <w:tcPr>
            <w:tcW w:w="2490" w:type="dxa"/>
          </w:tcPr>
          <w:p w14:paraId="1FFEDA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缺陷</w:t>
            </w:r>
          </w:p>
          <w:p w14:paraId="2DD3D6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由于日灼、裂果、机械伤、病虫害症状、绿色果肩、畸形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果萼变黄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等导致果实外观和/或内在品质受到影响 的瑕疵。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并增加“果萼变黄”的解释。</w:t>
            </w:r>
          </w:p>
        </w:tc>
        <w:tc>
          <w:tcPr>
            <w:tcW w:w="1845" w:type="dxa"/>
          </w:tcPr>
          <w:p w14:paraId="6FFB4D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0" w:line="240" w:lineRule="auto"/>
              <w:ind w:left="108" w:right="24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通过前期田间调查在陵水光坡镇、提蒙等圣女果种植区，发现不少圣女果种植地块出现果萼变黄现象，将会影响圣女果外观和商品价值。</w:t>
            </w:r>
          </w:p>
        </w:tc>
        <w:tc>
          <w:tcPr>
            <w:tcW w:w="974" w:type="dxa"/>
          </w:tcPr>
          <w:p w14:paraId="630163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</w:p>
          <w:p w14:paraId="4C2A8A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部分采纳</w:t>
            </w:r>
          </w:p>
        </w:tc>
      </w:tr>
      <w:tr w14:paraId="314A5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13" w:type="dxa"/>
            <w:vAlign w:val="center"/>
          </w:tcPr>
          <w:p w14:paraId="2C42C0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  <w:t>2</w:t>
            </w:r>
          </w:p>
        </w:tc>
        <w:tc>
          <w:tcPr>
            <w:tcW w:w="920" w:type="dxa"/>
          </w:tcPr>
          <w:p w14:paraId="071B2C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</w:p>
          <w:p w14:paraId="35B800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569A69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742786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杜公福</w:t>
            </w:r>
          </w:p>
        </w:tc>
        <w:tc>
          <w:tcPr>
            <w:tcW w:w="590" w:type="dxa"/>
          </w:tcPr>
          <w:p w14:paraId="5E3766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</w:p>
          <w:p w14:paraId="21EAB9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1B75F7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616896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83" w:type="dxa"/>
          </w:tcPr>
          <w:p w14:paraId="6400F8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6栽培技术</w:t>
            </w:r>
          </w:p>
          <w:p w14:paraId="63DB6B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按DB 46/Ｔ 413的规定执行。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ab/>
            </w:r>
          </w:p>
          <w:p w14:paraId="1D2707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2490" w:type="dxa"/>
          </w:tcPr>
          <w:p w14:paraId="445AA1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6栽培技术</w:t>
            </w:r>
          </w:p>
          <w:p w14:paraId="79358D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left="108" w:right="96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选择抗病嫁接种苗种植，加强植株管理，科学施肥、综合应用病虫害绿色防控等关键技术，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  <w:t>按DB 46/Ｔ 413的规定执行。</w:t>
            </w:r>
          </w:p>
        </w:tc>
        <w:tc>
          <w:tcPr>
            <w:tcW w:w="1845" w:type="dxa"/>
          </w:tcPr>
          <w:p w14:paraId="36C437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建议把执行的标准关键技术简要提一下，有利于理解栽培技术。</w:t>
            </w:r>
          </w:p>
        </w:tc>
        <w:tc>
          <w:tcPr>
            <w:tcW w:w="974" w:type="dxa"/>
          </w:tcPr>
          <w:p w14:paraId="1335E7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</w:rPr>
            </w:pPr>
          </w:p>
          <w:p w14:paraId="7D863D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不采纳</w:t>
            </w:r>
          </w:p>
        </w:tc>
      </w:tr>
      <w:tr w14:paraId="1F9FF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413" w:type="dxa"/>
            <w:vAlign w:val="center"/>
          </w:tcPr>
          <w:p w14:paraId="2CDDA8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</w:tcPr>
          <w:p w14:paraId="1FB584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771622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77BFCF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80" w:firstLine="189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廖道龙</w:t>
            </w:r>
          </w:p>
        </w:tc>
        <w:tc>
          <w:tcPr>
            <w:tcW w:w="590" w:type="dxa"/>
          </w:tcPr>
          <w:p w14:paraId="70C496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4BE0E9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3.4-3.15</w:t>
            </w:r>
          </w:p>
        </w:tc>
        <w:tc>
          <w:tcPr>
            <w:tcW w:w="1983" w:type="dxa"/>
          </w:tcPr>
          <w:p w14:paraId="087A22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08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3.5和3.6的内容应从属于3.4；3.7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3.15同时从属于3.4-3.6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490" w:type="dxa"/>
          </w:tcPr>
          <w:p w14:paraId="652857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left="108" w:right="96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建议将3.5和3.6合并为3.4；3.7-3.15修改为3.4.1-3.4.8</w:t>
            </w:r>
          </w:p>
          <w:p w14:paraId="65EB75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left="108" w:right="96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</w:tcPr>
          <w:p w14:paraId="3C4CA9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3.5和3.6的内容应从属于3.4；3.7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  <w:t>3.15同样从属于3.4-3.6</w:t>
            </w:r>
          </w:p>
        </w:tc>
        <w:tc>
          <w:tcPr>
            <w:tcW w:w="974" w:type="dxa"/>
          </w:tcPr>
          <w:p w14:paraId="1306FB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7FBB0F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不采纳</w:t>
            </w:r>
          </w:p>
        </w:tc>
      </w:tr>
      <w:tr w14:paraId="5A7F5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413" w:type="dxa"/>
            <w:vAlign w:val="center"/>
          </w:tcPr>
          <w:p w14:paraId="2788A4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</w:tcPr>
          <w:p w14:paraId="0DF8FE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5D63E5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4A8A2E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54BE18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1DE6F8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廖道龙</w:t>
            </w:r>
          </w:p>
        </w:tc>
        <w:tc>
          <w:tcPr>
            <w:tcW w:w="590" w:type="dxa"/>
          </w:tcPr>
          <w:p w14:paraId="6E5473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761C16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3F2590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4A957F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17026B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983" w:type="dxa"/>
          </w:tcPr>
          <w:p w14:paraId="4DBB64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缺陷</w:t>
            </w:r>
          </w:p>
          <w:p w14:paraId="18E27D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由于日灼、裂果、机械伤、病虫害症状、绿色果肩、畸形等导致果实外观和/或内在品质受到影响 的</w:t>
            </w:r>
          </w:p>
          <w:p w14:paraId="558E34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瑕疵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490" w:type="dxa"/>
          </w:tcPr>
          <w:p w14:paraId="3C0BA0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right="96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去掉“影响”与“的”的空格</w:t>
            </w:r>
          </w:p>
        </w:tc>
        <w:tc>
          <w:tcPr>
            <w:tcW w:w="1845" w:type="dxa"/>
          </w:tcPr>
          <w:p w14:paraId="3699D4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红色后期定义不清晰，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且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有的品种成熟期是黄色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、紫色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或者黄色</w:t>
            </w:r>
          </w:p>
        </w:tc>
        <w:tc>
          <w:tcPr>
            <w:tcW w:w="974" w:type="dxa"/>
          </w:tcPr>
          <w:p w14:paraId="289710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15C600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6CCCAF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采纳</w:t>
            </w:r>
          </w:p>
        </w:tc>
      </w:tr>
      <w:tr w14:paraId="047D6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413" w:type="dxa"/>
            <w:vAlign w:val="center"/>
          </w:tcPr>
          <w:p w14:paraId="2E20F5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</w:tcPr>
          <w:p w14:paraId="2E2AED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46AB92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60A4B3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6AE904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31E7B1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0" w:right="8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11DE7E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80" w:firstLine="189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廖道龙</w:t>
            </w:r>
          </w:p>
        </w:tc>
        <w:tc>
          <w:tcPr>
            <w:tcW w:w="590" w:type="dxa"/>
          </w:tcPr>
          <w:p w14:paraId="671AD8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530297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245012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2152C9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1B7EF9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8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0A4931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189" w:firstLineChars="100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3.19</w:t>
            </w:r>
          </w:p>
        </w:tc>
        <w:tc>
          <w:tcPr>
            <w:tcW w:w="1983" w:type="dxa"/>
          </w:tcPr>
          <w:p w14:paraId="0BEF7F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成熟适度</w:t>
            </w:r>
          </w:p>
          <w:p w14:paraId="2C2398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果实发育达到该品种固有的色泽、大小和品质风味，适合市场需求的成熟程度。</w:t>
            </w:r>
          </w:p>
          <w:p w14:paraId="1BCE0B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注：一般陵水圣女果在红色后期为成熟适度；未熟的果实其生长未充分定形，果皮绿色，无光泽； 过熟的果实果肉组织开始软化。</w:t>
            </w:r>
          </w:p>
        </w:tc>
        <w:tc>
          <w:tcPr>
            <w:tcW w:w="2490" w:type="dxa"/>
          </w:tcPr>
          <w:p w14:paraId="161E7A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</w:pPr>
          </w:p>
          <w:p w14:paraId="2C86C7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注：一般陵水圣女果果实充分定形，且果皮转色均匀，有光泽和弹性；未熟的果实其生长未充分定形，果皮绿色，无光泽； 过熟的果实果肉组织开始软化。</w:t>
            </w:r>
          </w:p>
        </w:tc>
        <w:tc>
          <w:tcPr>
            <w:tcW w:w="1845" w:type="dxa"/>
          </w:tcPr>
          <w:p w14:paraId="33FB0A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</w:pPr>
          </w:p>
          <w:p w14:paraId="6D9204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</w:pPr>
          </w:p>
          <w:p w14:paraId="6C19ED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红色后期定义不清晰，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且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有的品种成熟期是黄色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、紫色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w w:val="90"/>
                <w:kern w:val="2"/>
                <w:sz w:val="21"/>
                <w:szCs w:val="21"/>
                <w:lang w:val="en-US" w:eastAsia="zh-CN" w:bidi="en-US"/>
              </w:rPr>
              <w:t>或者黄色</w:t>
            </w:r>
          </w:p>
        </w:tc>
        <w:tc>
          <w:tcPr>
            <w:tcW w:w="974" w:type="dxa"/>
          </w:tcPr>
          <w:p w14:paraId="61CD26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3FD2E6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6DCC56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</w:p>
          <w:p w14:paraId="04ECCA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1"/>
                <w:szCs w:val="21"/>
                <w:lang w:val="en-US" w:eastAsia="zh-CN"/>
              </w:rPr>
              <w:t>不采纳</w:t>
            </w:r>
          </w:p>
        </w:tc>
      </w:tr>
    </w:tbl>
    <w:p w14:paraId="551D392F">
      <w:pPr>
        <w:spacing w:line="600" w:lineRule="exac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bookmarkStart w:id="2" w:name="_GoBack"/>
      <w:bookmarkEnd w:id="2"/>
    </w:p>
    <w:p w14:paraId="40FFFC08">
      <w:pPr>
        <w:pStyle w:val="8"/>
        <w:numPr>
          <w:ilvl w:val="0"/>
          <w:numId w:val="1"/>
        </w:numPr>
        <w:spacing w:line="600" w:lineRule="exact"/>
        <w:ind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制定标准的原则和依据，与现行法律法规、标准的关系</w:t>
      </w:r>
    </w:p>
    <w:p w14:paraId="02CD6C22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1.标准格式上按照 GB/T 1.1-2020《标准化工作导则 第1部分：标准化文件的结构和起草规则》的规定进行编写。</w:t>
      </w:r>
    </w:p>
    <w:p w14:paraId="6DD41662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</w:t>
      </w:r>
      <w:r>
        <w:rPr>
          <w:rFonts w:ascii="宋体" w:hAnsi="宋体" w:eastAsia="宋体" w:cs="宋体"/>
          <w:sz w:val="28"/>
          <w:szCs w:val="28"/>
        </w:rPr>
        <w:t>标准制定严格遵循《中华人民共和国标准化法》《地理标志产品保护规定》等法律法规，确保与国家对地理标志产品的保护要求一致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C6BAE53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</w:t>
      </w:r>
      <w:r>
        <w:rPr>
          <w:rFonts w:ascii="宋体" w:hAnsi="宋体" w:eastAsia="宋体" w:cs="宋体"/>
          <w:sz w:val="28"/>
          <w:szCs w:val="28"/>
        </w:rPr>
        <w:t>标准引用多项国家及行业标准，如《食品安全国家标准 食品中污染物限量》（GB 2762）、《</w:t>
      </w:r>
      <w:r>
        <w:rPr>
          <w:rFonts w:hint="eastAsia" w:ascii="宋体" w:hAnsi="宋体" w:eastAsia="宋体" w:cs="宋体"/>
          <w:sz w:val="28"/>
          <w:szCs w:val="28"/>
        </w:rPr>
        <w:t>茄果类蔬菜贮藏保鲜技术规程</w:t>
      </w:r>
      <w:r>
        <w:rPr>
          <w:rFonts w:ascii="宋体" w:hAnsi="宋体" w:eastAsia="宋体" w:cs="宋体"/>
          <w:sz w:val="28"/>
          <w:szCs w:val="28"/>
        </w:rPr>
        <w:t>》（</w:t>
      </w:r>
      <w:r>
        <w:rPr>
          <w:rFonts w:hint="eastAsia" w:ascii="宋体" w:hAnsi="宋体" w:eastAsia="宋体" w:cs="宋体"/>
          <w:sz w:val="28"/>
          <w:szCs w:val="28"/>
        </w:rPr>
        <w:t>NY/T 1203</w:t>
      </w:r>
      <w:r>
        <w:rPr>
          <w:rFonts w:ascii="宋体" w:hAnsi="宋体" w:eastAsia="宋体" w:cs="宋体"/>
          <w:sz w:val="28"/>
          <w:szCs w:val="28"/>
        </w:rPr>
        <w:t>）等，确保技术指标的先进性和科学性。</w:t>
      </w:r>
    </w:p>
    <w:p w14:paraId="4A0BA8C1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ascii="宋体" w:hAnsi="宋体" w:eastAsia="宋体" w:cs="宋体"/>
          <w:sz w:val="28"/>
          <w:szCs w:val="28"/>
        </w:rPr>
        <w:t>标准DB46/T 413-2016《生产技术规程》细化种植技术，确保标准的可操作性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形成技术闭环，覆盖生产、检测、包装全流程，强化标准的系统性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2CE685B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Fonts w:ascii="宋体" w:hAnsi="宋体" w:eastAsia="宋体" w:cs="宋体"/>
          <w:sz w:val="28"/>
          <w:szCs w:val="28"/>
        </w:rPr>
        <w:t>规范包装标识等要</w:t>
      </w:r>
      <w:r>
        <w:rPr>
          <w:rFonts w:hint="eastAsia" w:ascii="宋体" w:hAnsi="宋体" w:eastAsia="宋体" w:cs="宋体"/>
          <w:sz w:val="28"/>
          <w:szCs w:val="28"/>
        </w:rPr>
        <w:t>求等</w:t>
      </w:r>
      <w:r>
        <w:rPr>
          <w:rFonts w:ascii="宋体" w:hAnsi="宋体" w:eastAsia="宋体" w:cs="宋体"/>
          <w:sz w:val="28"/>
          <w:szCs w:val="28"/>
        </w:rPr>
        <w:t>，与国家标准动态协调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保障食品安全和消费者知情权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48ED75ED"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（四）主要条款的说明，主要技术指标、参数、试验验证的论述</w:t>
      </w:r>
    </w:p>
    <w:p w14:paraId="550FF243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本文的章节由术语和定义、地理标志产品保护范围、自然环境、栽培技术、要求、试验方法、检验规则、包装、标识、贮存和运输等技术要求组成。</w:t>
      </w:r>
    </w:p>
    <w:p w14:paraId="31689930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本次标准修订内容主要涉及理化指标中可溶性糖含量、可滴定酸（总酸）含量指标的修订。</w:t>
      </w:r>
    </w:p>
    <w:p w14:paraId="5E28AC50">
      <w:pPr>
        <w:spacing w:line="600" w:lineRule="exact"/>
        <w:ind w:firstLine="560" w:firstLineChars="200"/>
        <w:rPr>
          <w:rFonts w:hint="eastAsia" w:cs="宋体" w:asciiTheme="majorEastAsia" w:hAnsiTheme="majorEastAsia" w:eastAsiaTheme="majorEastAsia"/>
          <w:sz w:val="28"/>
          <w:szCs w:val="28"/>
        </w:rPr>
      </w:pPr>
      <w:r>
        <w:rPr>
          <w:rFonts w:cs="宋体" w:asciiTheme="majorEastAsia" w:hAnsiTheme="majorEastAsia" w:eastAsiaTheme="majorEastAsia"/>
          <w:sz w:val="28"/>
          <w:szCs w:val="28"/>
        </w:rPr>
        <w:t>可溶性糖含量：由“≥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7.30</w:t>
      </w:r>
      <w:r>
        <w:rPr>
          <w:rFonts w:cs="宋体" w:asciiTheme="majorEastAsia" w:hAnsiTheme="majorEastAsia" w:eastAsiaTheme="majorEastAsia"/>
          <w:sz w:val="28"/>
          <w:szCs w:val="28"/>
        </w:rPr>
        <w:t>%”调整为“≥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8.0</w:t>
      </w:r>
      <w:r>
        <w:rPr>
          <w:rFonts w:cs="宋体" w:asciiTheme="majorEastAsia" w:hAnsiTheme="majorEastAsia" w:eastAsiaTheme="majorEastAsia"/>
          <w:sz w:val="28"/>
          <w:szCs w:val="28"/>
        </w:rPr>
        <w:t>%”，响应市场</w:t>
      </w: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>消费者</w:t>
      </w:r>
      <w:r>
        <w:rPr>
          <w:rFonts w:cs="宋体" w:asciiTheme="majorEastAsia" w:hAnsiTheme="majorEastAsia" w:eastAsiaTheme="majorEastAsia"/>
          <w:sz w:val="28"/>
          <w:szCs w:val="28"/>
        </w:rPr>
        <w:t>对高甜度产品的需求。</w:t>
      </w:r>
    </w:p>
    <w:p w14:paraId="1E15F1D3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cs="宋体" w:asciiTheme="majorEastAsia" w:hAnsiTheme="majorEastAsia" w:eastAsiaTheme="majorEastAsia"/>
          <w:sz w:val="28"/>
          <w:szCs w:val="28"/>
        </w:rPr>
        <w:t>可滴定酸（总酸）含量：</w:t>
      </w:r>
      <w:r>
        <w:rPr>
          <w:rFonts w:ascii="宋体" w:hAnsi="宋体" w:eastAsia="宋体" w:cs="宋体"/>
          <w:sz w:val="28"/>
          <w:szCs w:val="28"/>
        </w:rPr>
        <w:t>由“≤</w:t>
      </w:r>
      <w:r>
        <w:rPr>
          <w:rFonts w:hint="eastAsia" w:ascii="宋体" w:hAnsi="宋体" w:eastAsia="宋体" w:cs="宋体"/>
          <w:sz w:val="28"/>
          <w:szCs w:val="28"/>
        </w:rPr>
        <w:t>8.80</w:t>
      </w:r>
      <w:r>
        <w:rPr>
          <w:rFonts w:ascii="宋体" w:hAnsi="宋体" w:eastAsia="宋体" w:cs="宋体"/>
          <w:sz w:val="28"/>
          <w:szCs w:val="28"/>
        </w:rPr>
        <w:t>%”修订为“≤</w:t>
      </w:r>
      <w:r>
        <w:rPr>
          <w:rFonts w:hint="eastAsia" w:ascii="宋体" w:hAnsi="宋体" w:eastAsia="宋体" w:cs="宋体"/>
          <w:sz w:val="28"/>
          <w:szCs w:val="28"/>
        </w:rPr>
        <w:t>4.0</w:t>
      </w:r>
      <w:r>
        <w:rPr>
          <w:rFonts w:ascii="宋体" w:hAnsi="宋体" w:eastAsia="宋体" w:cs="宋体"/>
          <w:sz w:val="28"/>
          <w:szCs w:val="28"/>
        </w:rPr>
        <w:t>”，优化酸甜比以提升风味平衡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B599CDD">
      <w:pPr>
        <w:spacing w:line="60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以上指标的修订，充分结合了种植经验、销售情况和经济效能。</w:t>
      </w:r>
    </w:p>
    <w:p w14:paraId="4AEAEC2A">
      <w:pPr>
        <w:spacing w:line="600" w:lineRule="exact"/>
        <w:ind w:left="-600" w:firstLine="1124" w:firstLineChars="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（五）与国际、国外对比情况</w:t>
      </w:r>
    </w:p>
    <w:p w14:paraId="3172F029">
      <w:pPr>
        <w:spacing w:line="600" w:lineRule="exact"/>
        <w:ind w:left="420" w:firstLine="280" w:firstLineChars="1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本文件修订过程中未查到同类国际、国外标准。</w:t>
      </w:r>
    </w:p>
    <w:p w14:paraId="217413C3">
      <w:pPr>
        <w:spacing w:line="600" w:lineRule="exact"/>
        <w:ind w:left="-600" w:firstLine="1124" w:firstLineChars="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（六）重大意见分歧的处理经过和依据</w:t>
      </w:r>
    </w:p>
    <w:p w14:paraId="7D26E286">
      <w:pPr>
        <w:spacing w:line="60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在修订过程中未发生重大分歧意见。起草组与评审组专家对标准进行充分的沟通，对专家提出的意见均采纳。</w:t>
      </w:r>
    </w:p>
    <w:p w14:paraId="57CD21D8">
      <w:pPr>
        <w:spacing w:line="600" w:lineRule="exact"/>
        <w:ind w:left="-600" w:firstLine="1124" w:firstLineChars="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（七）贯彻标准的要求和措施建议</w:t>
      </w:r>
    </w:p>
    <w:p w14:paraId="73983C59">
      <w:pPr>
        <w:spacing w:line="600" w:lineRule="exac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标准修订后，将由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海南省陵水黎族自治县市场监督管理局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组织广大种植户和用标单位进行标准宣贯。切实将标准修订的背景和目的宣传给大家，从而提升陵水圣女果的标准，更高质量种植，更据经济效益销售，从而扩大市场影响力。</w:t>
      </w:r>
    </w:p>
    <w:p w14:paraId="32501D37">
      <w:pPr>
        <w:spacing w:line="600" w:lineRule="exact"/>
        <w:ind w:left="-600" w:firstLine="1124" w:firstLineChars="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（八）废止现行相关标准的建议</w:t>
      </w:r>
    </w:p>
    <w:p w14:paraId="467D9CA0">
      <w:pPr>
        <w:spacing w:line="60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无</w:t>
      </w:r>
    </w:p>
    <w:p w14:paraId="5BEE7134">
      <w:pPr>
        <w:spacing w:line="60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 w14:paraId="22231C6F">
      <w:pPr>
        <w:spacing w:line="600" w:lineRule="exact"/>
        <w:rPr>
          <w:rFonts w:hint="eastAsia" w:ascii="宋体" w:hAnsi="宋体" w:eastAsia="宋体" w:cs="宋体"/>
          <w:b/>
          <w:sz w:val="28"/>
          <w:szCs w:val="28"/>
        </w:rPr>
      </w:pPr>
    </w:p>
    <w:p w14:paraId="6579B1E1">
      <w:pPr>
        <w:spacing w:line="600" w:lineRule="exact"/>
        <w:ind w:firstLine="280" w:firstLineChars="1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《地理标志产品 陵水圣女果》标准修订工作组</w:t>
      </w:r>
    </w:p>
    <w:p w14:paraId="08A9E45A">
      <w:pPr>
        <w:spacing w:line="600" w:lineRule="exact"/>
        <w:ind w:firstLine="280" w:firstLineChars="1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    2025年03月2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 w14:paraId="78A9FB7A">
      <w:pPr>
        <w:spacing w:line="600" w:lineRule="exact"/>
        <w:ind w:firstLine="280" w:firstLineChars="100"/>
        <w:rPr>
          <w:rFonts w:hint="eastAsia" w:ascii="宋体" w:hAnsi="宋体" w:eastAsia="宋体" w:cs="宋体"/>
          <w:bCs/>
          <w:sz w:val="28"/>
          <w:szCs w:val="28"/>
        </w:rPr>
      </w:pPr>
    </w:p>
    <w:p w14:paraId="2C216CA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734DB"/>
    <w:multiLevelType w:val="multilevel"/>
    <w:tmpl w:val="0E1734DB"/>
    <w:lvl w:ilvl="0" w:tentative="0">
      <w:start w:val="3"/>
      <w:numFmt w:val="japaneseCounting"/>
      <w:lvlText w:val="（%1）"/>
      <w:lvlJc w:val="left"/>
      <w:pPr>
        <w:ind w:left="1440" w:hanging="864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1736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96" w:hanging="440"/>
      </w:pPr>
    </w:lvl>
    <w:lvl w:ilvl="3" w:tentative="0">
      <w:start w:val="1"/>
      <w:numFmt w:val="decimal"/>
      <w:lvlText w:val="%4."/>
      <w:lvlJc w:val="left"/>
      <w:pPr>
        <w:ind w:left="2336" w:hanging="440"/>
      </w:pPr>
    </w:lvl>
    <w:lvl w:ilvl="4" w:tentative="0">
      <w:start w:val="1"/>
      <w:numFmt w:val="lowerLetter"/>
      <w:lvlText w:val="%5)"/>
      <w:lvlJc w:val="left"/>
      <w:pPr>
        <w:ind w:left="2776" w:hanging="440"/>
      </w:pPr>
    </w:lvl>
    <w:lvl w:ilvl="5" w:tentative="0">
      <w:start w:val="1"/>
      <w:numFmt w:val="lowerRoman"/>
      <w:lvlText w:val="%6."/>
      <w:lvlJc w:val="right"/>
      <w:pPr>
        <w:ind w:left="3216" w:hanging="440"/>
      </w:pPr>
    </w:lvl>
    <w:lvl w:ilvl="6" w:tentative="0">
      <w:start w:val="1"/>
      <w:numFmt w:val="decimal"/>
      <w:lvlText w:val="%7."/>
      <w:lvlJc w:val="left"/>
      <w:pPr>
        <w:ind w:left="3656" w:hanging="440"/>
      </w:pPr>
    </w:lvl>
    <w:lvl w:ilvl="7" w:tentative="0">
      <w:start w:val="1"/>
      <w:numFmt w:val="lowerLetter"/>
      <w:lvlText w:val="%8)"/>
      <w:lvlJc w:val="left"/>
      <w:pPr>
        <w:ind w:left="4096" w:hanging="440"/>
      </w:pPr>
    </w:lvl>
    <w:lvl w:ilvl="8" w:tentative="0">
      <w:start w:val="1"/>
      <w:numFmt w:val="lowerRoman"/>
      <w:lvlText w:val="%9."/>
      <w:lvlJc w:val="right"/>
      <w:pPr>
        <w:ind w:left="453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</w:docVars>
  <w:rsids>
    <w:rsidRoot w:val="00737A4A"/>
    <w:rsid w:val="000338CE"/>
    <w:rsid w:val="000C248D"/>
    <w:rsid w:val="00153B5B"/>
    <w:rsid w:val="002765A4"/>
    <w:rsid w:val="002B3A2B"/>
    <w:rsid w:val="002D6048"/>
    <w:rsid w:val="003859E6"/>
    <w:rsid w:val="003D5DA5"/>
    <w:rsid w:val="003D637A"/>
    <w:rsid w:val="00461A27"/>
    <w:rsid w:val="004C321B"/>
    <w:rsid w:val="004C466E"/>
    <w:rsid w:val="004E14F5"/>
    <w:rsid w:val="0052184D"/>
    <w:rsid w:val="00553A28"/>
    <w:rsid w:val="00737A4A"/>
    <w:rsid w:val="00826209"/>
    <w:rsid w:val="008842F2"/>
    <w:rsid w:val="00917305"/>
    <w:rsid w:val="0094746E"/>
    <w:rsid w:val="009C0AE1"/>
    <w:rsid w:val="00A81ADD"/>
    <w:rsid w:val="00B25B90"/>
    <w:rsid w:val="00B75606"/>
    <w:rsid w:val="00BF00CA"/>
    <w:rsid w:val="00C0219D"/>
    <w:rsid w:val="00C41CFD"/>
    <w:rsid w:val="00C53E73"/>
    <w:rsid w:val="00D24C15"/>
    <w:rsid w:val="00DF7624"/>
    <w:rsid w:val="00E705EE"/>
    <w:rsid w:val="00EC6F4E"/>
    <w:rsid w:val="00F5083B"/>
    <w:rsid w:val="00FE30AB"/>
    <w:rsid w:val="00FE3FBC"/>
    <w:rsid w:val="02513B8A"/>
    <w:rsid w:val="02B64C59"/>
    <w:rsid w:val="05832999"/>
    <w:rsid w:val="09026019"/>
    <w:rsid w:val="09444220"/>
    <w:rsid w:val="0A001E3A"/>
    <w:rsid w:val="0A6854E5"/>
    <w:rsid w:val="0B075D49"/>
    <w:rsid w:val="0B615F24"/>
    <w:rsid w:val="0BE72E0F"/>
    <w:rsid w:val="0CFC4DA3"/>
    <w:rsid w:val="0D062877"/>
    <w:rsid w:val="1374198C"/>
    <w:rsid w:val="139479AA"/>
    <w:rsid w:val="151574F7"/>
    <w:rsid w:val="152E046E"/>
    <w:rsid w:val="159E6596"/>
    <w:rsid w:val="189B5BA6"/>
    <w:rsid w:val="1A402054"/>
    <w:rsid w:val="1B6074BF"/>
    <w:rsid w:val="1C5F4D57"/>
    <w:rsid w:val="1CE06AEE"/>
    <w:rsid w:val="1DB506E4"/>
    <w:rsid w:val="1EF8653C"/>
    <w:rsid w:val="1FC432D4"/>
    <w:rsid w:val="211571CC"/>
    <w:rsid w:val="22954111"/>
    <w:rsid w:val="23E55239"/>
    <w:rsid w:val="24EC77C9"/>
    <w:rsid w:val="25984105"/>
    <w:rsid w:val="260A6861"/>
    <w:rsid w:val="26AF6D46"/>
    <w:rsid w:val="26C2637F"/>
    <w:rsid w:val="27C812B4"/>
    <w:rsid w:val="2C205ACF"/>
    <w:rsid w:val="2C705209"/>
    <w:rsid w:val="2CB82428"/>
    <w:rsid w:val="2EA22C79"/>
    <w:rsid w:val="2ED31E3E"/>
    <w:rsid w:val="2FEB4230"/>
    <w:rsid w:val="312630A7"/>
    <w:rsid w:val="33D21F87"/>
    <w:rsid w:val="36CF6F21"/>
    <w:rsid w:val="3B905061"/>
    <w:rsid w:val="3BB31D1A"/>
    <w:rsid w:val="42E46CD9"/>
    <w:rsid w:val="47D41F37"/>
    <w:rsid w:val="4AA67517"/>
    <w:rsid w:val="4E46242D"/>
    <w:rsid w:val="55B46CBF"/>
    <w:rsid w:val="569C7E2B"/>
    <w:rsid w:val="59861A8C"/>
    <w:rsid w:val="5D643B7A"/>
    <w:rsid w:val="64182F3E"/>
    <w:rsid w:val="64AF55EF"/>
    <w:rsid w:val="65826BA0"/>
    <w:rsid w:val="6B7404F8"/>
    <w:rsid w:val="6C4E6C53"/>
    <w:rsid w:val="6D0D314A"/>
    <w:rsid w:val="6E094833"/>
    <w:rsid w:val="6F186E4C"/>
    <w:rsid w:val="6FB81646"/>
    <w:rsid w:val="707C3D62"/>
    <w:rsid w:val="73F0159C"/>
    <w:rsid w:val="74B64D13"/>
    <w:rsid w:val="753B0BFF"/>
    <w:rsid w:val="75B83D0F"/>
    <w:rsid w:val="75E87FDA"/>
    <w:rsid w:val="769B0432"/>
    <w:rsid w:val="76AE2B0E"/>
    <w:rsid w:val="79CD7DFD"/>
    <w:rsid w:val="7A79330E"/>
    <w:rsid w:val="7DE45D24"/>
    <w:rsid w:val="7F1B6314"/>
    <w:rsid w:val="7F8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33DB-EBFF-47A5-AEF2-05086F4D3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2156</Words>
  <Characters>2330</Characters>
  <Lines>12</Lines>
  <Paragraphs>3</Paragraphs>
  <TotalTime>1</TotalTime>
  <ScaleCrop>false</ScaleCrop>
  <LinksUpToDate>false</LinksUpToDate>
  <CharactersWithSpaces>2420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2025-03-21T03:48:00Z</dcterms:created>
  <dc:creator>HP</dc:creator>
  <cp:lastModifiedBy>dj123</cp:lastModifiedBy>
  <dcterms:modified xsi:type="dcterms:W3CDTF">2025-03-28T01:38:01Z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BC7DBDE29CFA4A7AAC77D505275E4C1E</vt:lpwstr>
  </property>
  <property fmtid="{D5CDD505-2E9C-101B-9397-08002B2CF9AE}" pid="4" name="KSOTemplateDocerSaveRecord">
    <vt:lpwstr>eyJoZGlkIjoiODc3MDI3ZDI4ODBlNWVlOWViYWYwMWU4M2VkZWUzMjYiLCJ1c2VySWQiOiIxNTUyNjM0NzEyIn0=</vt:lpwstr>
  </property>
</Properties>
</file>