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after="0" w:line="560" w:lineRule="exact"/>
        <w:jc w:val="center"/>
        <w:rPr>
          <w:rFonts w:ascii="方正小标宋简体" w:eastAsia="方正小标宋简体"/>
          <w:kern w:val="2"/>
          <w:sz w:val="44"/>
          <w:szCs w:val="44"/>
        </w:rPr>
      </w:pPr>
      <w:bookmarkStart w:id="0" w:name="OLE_LINK6"/>
      <w:bookmarkStart w:id="1" w:name="OLE_LINK8"/>
    </w:p>
    <w:p>
      <w:pPr>
        <w:widowControl w:val="0"/>
        <w:autoSpaceDE w:val="0"/>
        <w:spacing w:after="0" w:line="560" w:lineRule="exact"/>
        <w:jc w:val="center"/>
        <w:rPr>
          <w:rFonts w:ascii="方正小标宋简体" w:eastAsia="方正小标宋简体"/>
          <w:kern w:val="2"/>
          <w:sz w:val="44"/>
          <w:szCs w:val="44"/>
        </w:rPr>
      </w:pPr>
      <w:r>
        <w:rPr>
          <w:rFonts w:hint="eastAsia" w:ascii="方正小标宋简体" w:eastAsia="方正小标宋简体"/>
          <w:kern w:val="2"/>
          <w:sz w:val="44"/>
          <w:szCs w:val="44"/>
        </w:rPr>
        <w:t>《海南省“十五五”知识产权保护和运用规划</w:t>
      </w:r>
      <w:bookmarkEnd w:id="0"/>
      <w:bookmarkEnd w:id="1"/>
      <w:r>
        <w:rPr>
          <w:rFonts w:hint="eastAsia" w:ascii="方正小标宋简体" w:eastAsia="方正小标宋简体"/>
          <w:kern w:val="2"/>
          <w:sz w:val="44"/>
          <w:szCs w:val="44"/>
        </w:rPr>
        <w:t>》研究</w:t>
      </w:r>
      <w:r>
        <w:rPr>
          <w:rFonts w:hint="eastAsia" w:ascii="方正小标宋简体" w:eastAsia="方正小标宋简体"/>
          <w:kern w:val="2"/>
          <w:sz w:val="44"/>
          <w:szCs w:val="44"/>
          <w:lang w:eastAsia="zh-CN"/>
        </w:rPr>
        <w:t>工作</w:t>
      </w:r>
      <w:r>
        <w:rPr>
          <w:rFonts w:hint="eastAsia" w:ascii="方正小标宋简体" w:eastAsia="方正小标宋简体"/>
          <w:kern w:val="2"/>
          <w:sz w:val="44"/>
          <w:szCs w:val="44"/>
        </w:rPr>
        <w:t>方案</w:t>
      </w:r>
    </w:p>
    <w:p>
      <w:pPr>
        <w:widowControl w:val="0"/>
        <w:autoSpaceDE w:val="0"/>
        <w:spacing w:after="0" w:line="560" w:lineRule="exact"/>
        <w:jc w:val="center"/>
        <w:rPr>
          <w:rFonts w:ascii="方正小标宋简体" w:eastAsia="方正小标宋简体"/>
          <w:kern w:val="2"/>
          <w:sz w:val="44"/>
          <w:szCs w:val="44"/>
        </w:rPr>
      </w:pP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为做好海南省“十五五”知识产权规划编制，研究谋划“十五五”时期重点目标任务、工作举措、工程项目</w:t>
      </w:r>
      <w:r>
        <w:rPr>
          <w:rFonts w:hint="eastAsia" w:ascii="仿宋_GB2312" w:eastAsia="仿宋_GB2312"/>
          <w:sz w:val="32"/>
          <w:szCs w:val="32"/>
          <w:lang w:val="en"/>
        </w:rPr>
        <w:t>，</w:t>
      </w:r>
      <w:r>
        <w:rPr>
          <w:rFonts w:ascii="仿宋_GB2312" w:eastAsia="仿宋_GB2312"/>
          <w:sz w:val="32"/>
          <w:szCs w:val="32"/>
          <w:lang w:val="en"/>
        </w:rPr>
        <w:t>为实现</w:t>
      </w:r>
      <w:r>
        <w:rPr>
          <w:rFonts w:hint="eastAsia" w:ascii="仿宋_GB2312" w:eastAsia="仿宋_GB2312"/>
          <w:sz w:val="32"/>
          <w:szCs w:val="32"/>
        </w:rPr>
        <w:t>“十五五”</w:t>
      </w:r>
      <w:r>
        <w:rPr>
          <w:rFonts w:ascii="仿宋_GB2312" w:eastAsia="仿宋_GB2312"/>
          <w:sz w:val="32"/>
          <w:szCs w:val="32"/>
          <w:lang w:val="en"/>
        </w:rPr>
        <w:t>良好开局打牢基础</w:t>
      </w:r>
      <w:r>
        <w:rPr>
          <w:rFonts w:hint="eastAsia" w:ascii="仿宋_GB2312" w:eastAsia="仿宋_GB2312"/>
          <w:sz w:val="32"/>
          <w:szCs w:val="32"/>
        </w:rPr>
        <w:t>。</w:t>
      </w:r>
    </w:p>
    <w:p>
      <w:pPr>
        <w:spacing w:after="0" w:line="560" w:lineRule="exact"/>
        <w:ind w:left="64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、项目目标</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十五五”时期海南省自贸港建设封关运作之后的第一个五年，是海南省加快转入高质量发展轨道，基本实现现代化承上启下的关键时期。面对新形势新要求，高标准研究编制“十五五”知识产权发展规划，就是为海南加快建设知识产权强省和全面贯彻落实党的二十届三中全会深化改革任务提供有力的工作抓手，为海南建立高效的知识产权综合管理体制、充分发挥知识产权市场基础性制度和国际贸易重要规则作用，提供科学、准确、清晰的工作蓝图。</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全面贯彻党的二十大和二十届二中、三中全会精神，全面落实党中央关于知识产权工作的各项决策部署，全面落实省八次党代会精神，研究制定《海南省“十五五”知识产权保护和运用规划（建议稿）》。确保海南省“十五五”知识产权发展规划与国家知识产权战略、海南省经济社会发展战略方向高度一致、有效衔接，同时充分考虑海南省的产业结构、经济发展水平以及未来发展趋势等因素，体现海南自由贸易港在引领对外开放、制度集成创新等方面的优势特色，切实做到顶层设计科学、总体谋划合理、任务部署得当、保障措施有力，兼具前瞻性和可操作性。</w:t>
      </w:r>
    </w:p>
    <w:p>
      <w:pPr>
        <w:spacing w:after="0" w:line="560" w:lineRule="exact"/>
        <w:ind w:firstLine="640" w:firstLineChars="200"/>
        <w:rPr>
          <w:rFonts w:hint="eastAsia" w:ascii="黑体" w:hAnsi="黑体" w:eastAsia="黑体"/>
          <w:sz w:val="32"/>
          <w:szCs w:val="32"/>
        </w:rPr>
      </w:pPr>
      <w:bookmarkStart w:id="2" w:name="_Toc102048015"/>
      <w:r>
        <w:rPr>
          <w:rFonts w:hint="default" w:ascii="黑体" w:hAnsi="黑体" w:eastAsia="黑体"/>
          <w:sz w:val="32"/>
          <w:szCs w:val="32"/>
          <w:lang w:eastAsia="zh-CN"/>
        </w:rPr>
        <w:t>二</w:t>
      </w:r>
      <w:r>
        <w:rPr>
          <w:rFonts w:hint="eastAsia" w:ascii="黑体" w:hAnsi="黑体" w:eastAsia="黑体"/>
          <w:sz w:val="32"/>
          <w:szCs w:val="32"/>
        </w:rPr>
        <w:t>、进度安排</w:t>
      </w:r>
    </w:p>
    <w:p>
      <w:pPr>
        <w:spacing w:after="0" w:line="560" w:lineRule="exact"/>
        <w:ind w:firstLine="640" w:firstLineChars="200"/>
        <w:rPr>
          <w:rFonts w:hint="eastAsia" w:ascii="仿宋_GB2312" w:eastAsia="仿宋_GB2312"/>
          <w:kern w:val="2"/>
          <w:sz w:val="32"/>
          <w:szCs w:val="32"/>
          <w:lang w:eastAsia="zh-CN"/>
        </w:rPr>
      </w:pPr>
      <w:r>
        <w:rPr>
          <w:rFonts w:hint="eastAsia" w:ascii="仿宋_GB2312" w:eastAsia="仿宋_GB2312"/>
          <w:kern w:val="2"/>
          <w:sz w:val="32"/>
          <w:szCs w:val="32"/>
        </w:rPr>
        <w:t>2</w:t>
      </w:r>
      <w:r>
        <w:rPr>
          <w:rFonts w:ascii="仿宋_GB2312" w:eastAsia="仿宋_GB2312"/>
          <w:kern w:val="2"/>
          <w:sz w:val="32"/>
          <w:szCs w:val="32"/>
        </w:rPr>
        <w:t>02</w:t>
      </w:r>
      <w:r>
        <w:rPr>
          <w:rFonts w:hint="eastAsia" w:ascii="仿宋_GB2312" w:eastAsia="仿宋_GB2312"/>
          <w:kern w:val="2"/>
          <w:sz w:val="32"/>
          <w:szCs w:val="32"/>
        </w:rPr>
        <w:t>5</w:t>
      </w:r>
      <w:r>
        <w:rPr>
          <w:rFonts w:ascii="仿宋_GB2312" w:eastAsia="仿宋_GB2312"/>
          <w:kern w:val="2"/>
          <w:sz w:val="32"/>
          <w:szCs w:val="32"/>
        </w:rPr>
        <w:t>.0</w:t>
      </w:r>
      <w:r>
        <w:rPr>
          <w:rFonts w:hint="eastAsia" w:ascii="仿宋_GB2312" w:eastAsia="仿宋_GB2312"/>
          <w:kern w:val="2"/>
          <w:sz w:val="32"/>
          <w:szCs w:val="32"/>
          <w:lang w:val="en-US" w:eastAsia="zh-CN"/>
        </w:rPr>
        <w:t>5</w:t>
      </w:r>
      <w:r>
        <w:rPr>
          <w:rFonts w:ascii="仿宋_GB2312" w:eastAsia="仿宋_GB2312"/>
          <w:kern w:val="2"/>
          <w:sz w:val="32"/>
          <w:szCs w:val="32"/>
        </w:rPr>
        <w:t>-</w:t>
      </w:r>
      <w:r>
        <w:rPr>
          <w:rFonts w:hint="eastAsia" w:ascii="仿宋_GB2312" w:eastAsia="仿宋_GB2312"/>
          <w:kern w:val="2"/>
          <w:sz w:val="32"/>
          <w:szCs w:val="32"/>
        </w:rPr>
        <w:t>2</w:t>
      </w:r>
      <w:r>
        <w:rPr>
          <w:rFonts w:ascii="仿宋_GB2312" w:eastAsia="仿宋_GB2312"/>
          <w:kern w:val="2"/>
          <w:sz w:val="32"/>
          <w:szCs w:val="32"/>
        </w:rPr>
        <w:t>02</w:t>
      </w:r>
      <w:r>
        <w:rPr>
          <w:rFonts w:hint="eastAsia" w:ascii="仿宋_GB2312" w:eastAsia="仿宋_GB2312"/>
          <w:kern w:val="2"/>
          <w:sz w:val="32"/>
          <w:szCs w:val="32"/>
        </w:rPr>
        <w:t>5.</w:t>
      </w:r>
      <w:r>
        <w:rPr>
          <w:rFonts w:ascii="仿宋_GB2312" w:eastAsia="仿宋_GB2312"/>
          <w:kern w:val="2"/>
          <w:sz w:val="32"/>
          <w:szCs w:val="32"/>
        </w:rPr>
        <w:t>0</w:t>
      </w:r>
      <w:r>
        <w:rPr>
          <w:rFonts w:hint="eastAsia" w:ascii="仿宋_GB2312" w:eastAsia="仿宋_GB2312"/>
          <w:kern w:val="2"/>
          <w:sz w:val="32"/>
          <w:szCs w:val="32"/>
          <w:lang w:val="en-US" w:eastAsia="zh-CN"/>
        </w:rPr>
        <w:t>6全面</w:t>
      </w:r>
      <w:r>
        <w:rPr>
          <w:rFonts w:hint="eastAsia" w:ascii="仿宋_GB2312" w:eastAsia="仿宋_GB2312"/>
          <w:kern w:val="2"/>
          <w:sz w:val="32"/>
          <w:szCs w:val="32"/>
        </w:rPr>
        <w:t>总结十四五工作，</w:t>
      </w:r>
      <w:r>
        <w:rPr>
          <w:rFonts w:hint="eastAsia" w:ascii="仿宋_GB2312" w:eastAsia="仿宋_GB2312"/>
          <w:kern w:val="2"/>
          <w:sz w:val="32"/>
          <w:szCs w:val="32"/>
          <w:lang w:eastAsia="zh-CN"/>
        </w:rPr>
        <w:t>深入开展调研，</w:t>
      </w:r>
    </w:p>
    <w:p>
      <w:pPr>
        <w:spacing w:after="0" w:line="560" w:lineRule="exact"/>
        <w:ind w:firstLine="3200" w:firstLineChars="1000"/>
        <w:rPr>
          <w:rFonts w:hint="eastAsia" w:ascii="仿宋_GB2312" w:eastAsia="仿宋_GB2312"/>
          <w:kern w:val="2"/>
          <w:sz w:val="32"/>
          <w:szCs w:val="32"/>
        </w:rPr>
      </w:pPr>
      <w:r>
        <w:rPr>
          <w:rFonts w:hint="eastAsia" w:ascii="仿宋_GB2312" w:eastAsia="仿宋_GB2312"/>
          <w:kern w:val="2"/>
          <w:sz w:val="32"/>
          <w:szCs w:val="32"/>
        </w:rPr>
        <w:t>明确发展现状、主要成效、问题和不</w:t>
      </w:r>
    </w:p>
    <w:p>
      <w:pPr>
        <w:spacing w:after="0" w:line="560" w:lineRule="exact"/>
        <w:ind w:firstLine="3200" w:firstLineChars="1000"/>
        <w:rPr>
          <w:rFonts w:ascii="仿宋_GB2312" w:eastAsia="仿宋_GB2312"/>
          <w:kern w:val="2"/>
          <w:sz w:val="32"/>
          <w:szCs w:val="32"/>
        </w:rPr>
      </w:pPr>
      <w:r>
        <w:rPr>
          <w:rFonts w:hint="eastAsia" w:ascii="仿宋_GB2312" w:eastAsia="仿宋_GB2312"/>
          <w:kern w:val="2"/>
          <w:sz w:val="32"/>
          <w:szCs w:val="32"/>
        </w:rPr>
        <w:t>足，形成规划</w:t>
      </w:r>
      <w:r>
        <w:rPr>
          <w:rFonts w:hint="eastAsia" w:ascii="仿宋_GB2312" w:eastAsia="仿宋_GB2312"/>
          <w:kern w:val="2"/>
          <w:sz w:val="32"/>
          <w:szCs w:val="32"/>
          <w:lang w:eastAsia="zh-CN"/>
        </w:rPr>
        <w:t>编制</w:t>
      </w:r>
      <w:r>
        <w:rPr>
          <w:rFonts w:hint="eastAsia" w:ascii="仿宋_GB2312" w:eastAsia="仿宋_GB2312"/>
          <w:kern w:val="2"/>
          <w:sz w:val="32"/>
          <w:szCs w:val="32"/>
        </w:rPr>
        <w:t>思路。</w:t>
      </w:r>
    </w:p>
    <w:p>
      <w:pPr>
        <w:spacing w:after="0" w:line="560" w:lineRule="exact"/>
        <w:ind w:firstLine="640" w:firstLineChars="200"/>
        <w:rPr>
          <w:rFonts w:hint="eastAsia" w:ascii="仿宋_GB2312" w:eastAsia="仿宋_GB2312"/>
          <w:kern w:val="2"/>
          <w:sz w:val="32"/>
          <w:szCs w:val="32"/>
          <w:lang w:eastAsia="zh-CN"/>
        </w:rPr>
      </w:pPr>
      <w:r>
        <w:rPr>
          <w:rFonts w:hint="eastAsia" w:ascii="仿宋_GB2312" w:eastAsia="仿宋_GB2312"/>
          <w:kern w:val="2"/>
          <w:sz w:val="32"/>
          <w:szCs w:val="32"/>
        </w:rPr>
        <w:t>2025.0</w:t>
      </w:r>
      <w:r>
        <w:rPr>
          <w:rFonts w:hint="eastAsia" w:ascii="仿宋_GB2312" w:eastAsia="仿宋_GB2312"/>
          <w:kern w:val="2"/>
          <w:sz w:val="32"/>
          <w:szCs w:val="32"/>
          <w:lang w:val="en-US" w:eastAsia="zh-CN"/>
        </w:rPr>
        <w:t>7</w:t>
      </w:r>
      <w:r>
        <w:rPr>
          <w:rFonts w:hint="eastAsia" w:ascii="仿宋_GB2312" w:eastAsia="仿宋_GB2312"/>
          <w:kern w:val="2"/>
          <w:sz w:val="32"/>
          <w:szCs w:val="32"/>
        </w:rPr>
        <w:t>-2025.10</w:t>
      </w:r>
      <w:r>
        <w:rPr>
          <w:rFonts w:hint="eastAsia" w:ascii="仿宋_GB2312" w:eastAsia="仿宋_GB2312"/>
          <w:kern w:val="2"/>
          <w:sz w:val="32"/>
          <w:szCs w:val="32"/>
          <w:lang w:eastAsia="zh-CN"/>
        </w:rPr>
        <w:t>结合省知识产权协调领导小组各成员</w:t>
      </w:r>
    </w:p>
    <w:p>
      <w:pPr>
        <w:spacing w:after="0" w:line="560" w:lineRule="exact"/>
        <w:ind w:firstLine="3200" w:firstLineChars="1000"/>
        <w:rPr>
          <w:rFonts w:hint="eastAsia" w:ascii="仿宋_GB2312" w:eastAsia="仿宋_GB2312"/>
          <w:kern w:val="2"/>
          <w:sz w:val="32"/>
          <w:szCs w:val="32"/>
          <w:lang w:eastAsia="zh-CN"/>
        </w:rPr>
      </w:pPr>
      <w:r>
        <w:rPr>
          <w:rFonts w:hint="eastAsia" w:ascii="仿宋_GB2312" w:eastAsia="仿宋_GB2312"/>
          <w:kern w:val="2"/>
          <w:sz w:val="32"/>
          <w:szCs w:val="32"/>
          <w:lang w:eastAsia="zh-CN"/>
        </w:rPr>
        <w:t>单位意见和有关专家、创新主体意见</w:t>
      </w:r>
    </w:p>
    <w:p>
      <w:pPr>
        <w:spacing w:after="0" w:line="560" w:lineRule="exact"/>
        <w:ind w:firstLine="3200" w:firstLineChars="1000"/>
        <w:rPr>
          <w:rFonts w:ascii="仿宋_GB2312" w:eastAsia="仿宋_GB2312"/>
          <w:kern w:val="2"/>
          <w:sz w:val="32"/>
          <w:szCs w:val="32"/>
        </w:rPr>
      </w:pPr>
      <w:r>
        <w:rPr>
          <w:rFonts w:hint="eastAsia" w:ascii="仿宋_GB2312" w:eastAsia="仿宋_GB2312"/>
          <w:kern w:val="2"/>
          <w:sz w:val="32"/>
          <w:szCs w:val="32"/>
          <w:lang w:eastAsia="zh-CN"/>
        </w:rPr>
        <w:t>建议，</w:t>
      </w:r>
      <w:r>
        <w:rPr>
          <w:rFonts w:hint="eastAsia" w:ascii="仿宋_GB2312" w:eastAsia="仿宋_GB2312"/>
          <w:kern w:val="2"/>
          <w:sz w:val="32"/>
          <w:szCs w:val="32"/>
        </w:rPr>
        <w:t>起草规划建议稿。</w:t>
      </w:r>
    </w:p>
    <w:p>
      <w:pPr>
        <w:spacing w:after="0" w:line="56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2025.11</w:t>
      </w:r>
      <w:r>
        <w:rPr>
          <w:rFonts w:hint="eastAsia" w:ascii="仿宋_GB2312" w:eastAsia="仿宋_GB2312"/>
          <w:kern w:val="2"/>
          <w:sz w:val="32"/>
          <w:szCs w:val="32"/>
        </w:rPr>
        <w:tab/>
      </w:r>
      <w:r>
        <w:rPr>
          <w:rFonts w:hint="eastAsia" w:ascii="仿宋_GB2312" w:eastAsia="仿宋_GB2312"/>
          <w:kern w:val="2"/>
          <w:sz w:val="32"/>
          <w:szCs w:val="32"/>
        </w:rPr>
        <w:t xml:space="preserve">      召开专家评审会，课题验收。</w:t>
      </w:r>
      <w:bookmarkEnd w:id="2"/>
    </w:p>
    <w:p>
      <w:pPr>
        <w:pStyle w:val="16"/>
        <w:numPr>
          <w:ilvl w:val="0"/>
          <w:numId w:val="0"/>
        </w:numPr>
        <w:spacing w:after="0" w:line="560" w:lineRule="exact"/>
        <w:ind w:left="640" w:leftChars="0"/>
        <w:rPr>
          <w:rFonts w:hint="eastAsia" w:ascii="黑体" w:hAnsi="黑体" w:eastAsia="黑体"/>
          <w:sz w:val="32"/>
          <w:szCs w:val="32"/>
        </w:rPr>
      </w:pPr>
      <w:r>
        <w:rPr>
          <w:rFonts w:hint="default" w:ascii="黑体" w:hAnsi="黑体" w:eastAsia="黑体"/>
          <w:sz w:val="32"/>
          <w:szCs w:val="32"/>
          <w:lang w:eastAsia="zh-CN"/>
        </w:rPr>
        <w:t>三</w:t>
      </w:r>
      <w:r>
        <w:rPr>
          <w:rFonts w:hint="eastAsia" w:ascii="黑体" w:hAnsi="黑体" w:eastAsia="黑体"/>
          <w:sz w:val="32"/>
          <w:szCs w:val="32"/>
          <w:lang w:eastAsia="zh-CN"/>
        </w:rPr>
        <w:t>、</w:t>
      </w:r>
      <w:r>
        <w:rPr>
          <w:rFonts w:hint="eastAsia" w:ascii="黑体" w:hAnsi="黑体" w:eastAsia="黑体"/>
          <w:sz w:val="32"/>
          <w:szCs w:val="32"/>
        </w:rPr>
        <w:t>主要内容</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紧密围绕海南自由贸易港“一本三基四梁八柱”战略框架和“三区一中心”战略定位，充分对接国家对海南的战略定位，全面贯彻省委、省政府和国家知识产权局的工作要求，研究谋划“十五五”时期全省知识产权事业发展的重点目标任务、工作举措、工程项目，着力构建具有海南特色的知识产权保护运用工作体系，提升全省知识产权治理能力和治理水平，为建设新时期对外开放门户、培育特色优势现代化产业体系、打造发展新质生产力重要实践地，提供有力支撑。</w:t>
      </w:r>
    </w:p>
    <w:p>
      <w:pPr>
        <w:spacing w:after="0" w:line="560" w:lineRule="exact"/>
        <w:ind w:firstLine="640" w:firstLineChars="200"/>
        <w:rPr>
          <w:rFonts w:hint="eastAsia" w:ascii="仿宋_GB2312" w:eastAsia="仿宋_GB2312"/>
          <w:kern w:val="2"/>
          <w:sz w:val="32"/>
          <w:szCs w:val="32"/>
        </w:rPr>
      </w:pPr>
      <w:r>
        <w:rPr>
          <w:rFonts w:hint="eastAsia" w:ascii="仿宋_GB2312" w:eastAsia="仿宋_GB2312"/>
          <w:sz w:val="32"/>
          <w:szCs w:val="32"/>
        </w:rPr>
        <w:t>规划总体谋划要统筹兼顾，将知识产权创造、运用、保护、管理和服务等各个环节纳入整体考量范围，形成协同发展的良好局面；任务部署要精准得当，明确发展现状、目标、差距、解决路径和时限，明确各部门、各阶段的工作任务和责任分工，确保各项工作有序推进；保障措施要切实有力，从政策支持、资金投入、人才培养等多方面为规划的实施提供坚实保障。</w:t>
      </w:r>
      <w:bookmarkStart w:id="3" w:name="_GoBack"/>
      <w:bookmarkEnd w:id="3"/>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70742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xZTQzMjVjMDZiNWI5ZDc4ZDhlNjZhZTdmZGJhYjEifQ=="/>
  </w:docVars>
  <w:rsids>
    <w:rsidRoot w:val="008856C6"/>
    <w:rsid w:val="00017F7C"/>
    <w:rsid w:val="0003513A"/>
    <w:rsid w:val="0004467C"/>
    <w:rsid w:val="00066D44"/>
    <w:rsid w:val="000A700B"/>
    <w:rsid w:val="000B27D1"/>
    <w:rsid w:val="000B66E5"/>
    <w:rsid w:val="000B6F1E"/>
    <w:rsid w:val="000B7C26"/>
    <w:rsid w:val="000D6795"/>
    <w:rsid w:val="000E3420"/>
    <w:rsid w:val="00102CFF"/>
    <w:rsid w:val="00107955"/>
    <w:rsid w:val="00146988"/>
    <w:rsid w:val="001773D5"/>
    <w:rsid w:val="001B0AAA"/>
    <w:rsid w:val="001B36E8"/>
    <w:rsid w:val="001F0925"/>
    <w:rsid w:val="0021308F"/>
    <w:rsid w:val="00217913"/>
    <w:rsid w:val="002237E9"/>
    <w:rsid w:val="002424B0"/>
    <w:rsid w:val="0027178C"/>
    <w:rsid w:val="0029465B"/>
    <w:rsid w:val="002A7E0F"/>
    <w:rsid w:val="00302248"/>
    <w:rsid w:val="00322912"/>
    <w:rsid w:val="0032777A"/>
    <w:rsid w:val="00373FB7"/>
    <w:rsid w:val="003740A3"/>
    <w:rsid w:val="003D6EB9"/>
    <w:rsid w:val="003E348A"/>
    <w:rsid w:val="00433312"/>
    <w:rsid w:val="0045312E"/>
    <w:rsid w:val="00472403"/>
    <w:rsid w:val="00491785"/>
    <w:rsid w:val="0049256F"/>
    <w:rsid w:val="004B58CD"/>
    <w:rsid w:val="004C69C7"/>
    <w:rsid w:val="004F0D23"/>
    <w:rsid w:val="004F64C0"/>
    <w:rsid w:val="00502200"/>
    <w:rsid w:val="00505E57"/>
    <w:rsid w:val="005100C2"/>
    <w:rsid w:val="005278F7"/>
    <w:rsid w:val="00527E8E"/>
    <w:rsid w:val="00530A90"/>
    <w:rsid w:val="00531ED4"/>
    <w:rsid w:val="005322E3"/>
    <w:rsid w:val="005626B1"/>
    <w:rsid w:val="00564C1E"/>
    <w:rsid w:val="00564EFB"/>
    <w:rsid w:val="00572CD4"/>
    <w:rsid w:val="005814C6"/>
    <w:rsid w:val="0058426F"/>
    <w:rsid w:val="00591870"/>
    <w:rsid w:val="00594340"/>
    <w:rsid w:val="005A4B42"/>
    <w:rsid w:val="005A6F8D"/>
    <w:rsid w:val="005C64FE"/>
    <w:rsid w:val="005F1EF4"/>
    <w:rsid w:val="00616453"/>
    <w:rsid w:val="00624C82"/>
    <w:rsid w:val="00630665"/>
    <w:rsid w:val="006717DF"/>
    <w:rsid w:val="00695105"/>
    <w:rsid w:val="006B644C"/>
    <w:rsid w:val="006C0B43"/>
    <w:rsid w:val="006C5CAE"/>
    <w:rsid w:val="006C68BE"/>
    <w:rsid w:val="006E358A"/>
    <w:rsid w:val="006F4C4F"/>
    <w:rsid w:val="00702E21"/>
    <w:rsid w:val="00712CA9"/>
    <w:rsid w:val="00740CB2"/>
    <w:rsid w:val="007471C8"/>
    <w:rsid w:val="00753409"/>
    <w:rsid w:val="007B7D88"/>
    <w:rsid w:val="007C7865"/>
    <w:rsid w:val="007E06DC"/>
    <w:rsid w:val="007E6AF6"/>
    <w:rsid w:val="007E793D"/>
    <w:rsid w:val="007F60E3"/>
    <w:rsid w:val="00807D73"/>
    <w:rsid w:val="00810B17"/>
    <w:rsid w:val="008116F5"/>
    <w:rsid w:val="008323E1"/>
    <w:rsid w:val="0085269E"/>
    <w:rsid w:val="00864414"/>
    <w:rsid w:val="008856C6"/>
    <w:rsid w:val="00893E04"/>
    <w:rsid w:val="008A18B0"/>
    <w:rsid w:val="008A7C50"/>
    <w:rsid w:val="008C2162"/>
    <w:rsid w:val="008C3E00"/>
    <w:rsid w:val="008E3A2F"/>
    <w:rsid w:val="008E7EE2"/>
    <w:rsid w:val="008F752C"/>
    <w:rsid w:val="00923290"/>
    <w:rsid w:val="009547AB"/>
    <w:rsid w:val="009878A8"/>
    <w:rsid w:val="0099025A"/>
    <w:rsid w:val="00993148"/>
    <w:rsid w:val="009A0BA8"/>
    <w:rsid w:val="009B353D"/>
    <w:rsid w:val="009B6DA6"/>
    <w:rsid w:val="009C0956"/>
    <w:rsid w:val="009C206D"/>
    <w:rsid w:val="00A014DC"/>
    <w:rsid w:val="00A0785A"/>
    <w:rsid w:val="00AA166C"/>
    <w:rsid w:val="00AA1EDA"/>
    <w:rsid w:val="00AB740E"/>
    <w:rsid w:val="00AC4DFC"/>
    <w:rsid w:val="00AC5F2D"/>
    <w:rsid w:val="00AC6816"/>
    <w:rsid w:val="00AC7CCB"/>
    <w:rsid w:val="00AF0542"/>
    <w:rsid w:val="00B022A9"/>
    <w:rsid w:val="00B12ECB"/>
    <w:rsid w:val="00B24701"/>
    <w:rsid w:val="00B26BD8"/>
    <w:rsid w:val="00B81EC6"/>
    <w:rsid w:val="00B96381"/>
    <w:rsid w:val="00BB4033"/>
    <w:rsid w:val="00BC17CC"/>
    <w:rsid w:val="00BF0C96"/>
    <w:rsid w:val="00C0393A"/>
    <w:rsid w:val="00C03E70"/>
    <w:rsid w:val="00C145DE"/>
    <w:rsid w:val="00C17672"/>
    <w:rsid w:val="00C24D72"/>
    <w:rsid w:val="00C34B12"/>
    <w:rsid w:val="00C61624"/>
    <w:rsid w:val="00C75685"/>
    <w:rsid w:val="00C94280"/>
    <w:rsid w:val="00CA684F"/>
    <w:rsid w:val="00CB488F"/>
    <w:rsid w:val="00CD6417"/>
    <w:rsid w:val="00CE721F"/>
    <w:rsid w:val="00D33E69"/>
    <w:rsid w:val="00D46859"/>
    <w:rsid w:val="00D90C63"/>
    <w:rsid w:val="00D91031"/>
    <w:rsid w:val="00DA10DC"/>
    <w:rsid w:val="00DC12DA"/>
    <w:rsid w:val="00DC5D63"/>
    <w:rsid w:val="00DD1D6B"/>
    <w:rsid w:val="00DE3124"/>
    <w:rsid w:val="00DF4B83"/>
    <w:rsid w:val="00E02AE7"/>
    <w:rsid w:val="00E11456"/>
    <w:rsid w:val="00E504E9"/>
    <w:rsid w:val="00E52A68"/>
    <w:rsid w:val="00E53B88"/>
    <w:rsid w:val="00E6737D"/>
    <w:rsid w:val="00E712D0"/>
    <w:rsid w:val="00E73032"/>
    <w:rsid w:val="00E81321"/>
    <w:rsid w:val="00EC5FD6"/>
    <w:rsid w:val="00ED0C3E"/>
    <w:rsid w:val="00ED2DF4"/>
    <w:rsid w:val="00ED67CF"/>
    <w:rsid w:val="00EF2D59"/>
    <w:rsid w:val="00F03DE2"/>
    <w:rsid w:val="00F107CB"/>
    <w:rsid w:val="00F4666D"/>
    <w:rsid w:val="00F523DD"/>
    <w:rsid w:val="00F712EC"/>
    <w:rsid w:val="00F81150"/>
    <w:rsid w:val="00F81677"/>
    <w:rsid w:val="00F9011E"/>
    <w:rsid w:val="00FD0800"/>
    <w:rsid w:val="00FE4D92"/>
    <w:rsid w:val="00FE67E5"/>
    <w:rsid w:val="00FF4996"/>
    <w:rsid w:val="00FF5923"/>
    <w:rsid w:val="03906A9D"/>
    <w:rsid w:val="06780FAB"/>
    <w:rsid w:val="0C7C5871"/>
    <w:rsid w:val="183232D6"/>
    <w:rsid w:val="1BDE091E"/>
    <w:rsid w:val="1CF3F573"/>
    <w:rsid w:val="1E27A8DB"/>
    <w:rsid w:val="1F7555EB"/>
    <w:rsid w:val="22224CC7"/>
    <w:rsid w:val="23D762F6"/>
    <w:rsid w:val="26415CA9"/>
    <w:rsid w:val="2862565D"/>
    <w:rsid w:val="347C51F3"/>
    <w:rsid w:val="3535429E"/>
    <w:rsid w:val="3D1B7D2D"/>
    <w:rsid w:val="3D7B3FF4"/>
    <w:rsid w:val="3FF620CE"/>
    <w:rsid w:val="414D1DC4"/>
    <w:rsid w:val="41F33CC9"/>
    <w:rsid w:val="441136CE"/>
    <w:rsid w:val="4B57CB25"/>
    <w:rsid w:val="4C2B7EBD"/>
    <w:rsid w:val="520E0886"/>
    <w:rsid w:val="55BF2C98"/>
    <w:rsid w:val="58B6729B"/>
    <w:rsid w:val="58BF5B9C"/>
    <w:rsid w:val="5F7D6D18"/>
    <w:rsid w:val="5F7E529D"/>
    <w:rsid w:val="634136E6"/>
    <w:rsid w:val="6BB722D5"/>
    <w:rsid w:val="6BFF8D5D"/>
    <w:rsid w:val="6EC30D01"/>
    <w:rsid w:val="73CFFE82"/>
    <w:rsid w:val="79DE750C"/>
    <w:rsid w:val="79F3C92E"/>
    <w:rsid w:val="7A920DAF"/>
    <w:rsid w:val="7C0342E5"/>
    <w:rsid w:val="7C9E0C82"/>
    <w:rsid w:val="7D6F16A3"/>
    <w:rsid w:val="7DFBB8C4"/>
    <w:rsid w:val="7ECF6792"/>
    <w:rsid w:val="7F1B8E06"/>
    <w:rsid w:val="7FB3EBF2"/>
    <w:rsid w:val="7FB72A05"/>
    <w:rsid w:val="7FF762F4"/>
    <w:rsid w:val="8BCF063C"/>
    <w:rsid w:val="B8B60B22"/>
    <w:rsid w:val="BF7FB60D"/>
    <w:rsid w:val="C47FEB83"/>
    <w:rsid w:val="C5BF4978"/>
    <w:rsid w:val="CF97CD8D"/>
    <w:rsid w:val="DDB7A312"/>
    <w:rsid w:val="DFFE49A7"/>
    <w:rsid w:val="EFFDD256"/>
    <w:rsid w:val="EFFFA7A2"/>
    <w:rsid w:val="FEC74F86"/>
    <w:rsid w:val="FFA5CEFA"/>
    <w:rsid w:val="FFF5D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jc w:val="both"/>
    </w:pPr>
    <w:rPr>
      <w:rFonts w:ascii="Calibri" w:hAnsi="Calibri" w:eastAsia="宋体" w:cs="宋体"/>
      <w:color w:val="000000"/>
      <w:sz w:val="21"/>
      <w:szCs w:val="21"/>
      <w:lang w:val="en-US" w:eastAsia="zh-CN" w:bidi="ar-SA"/>
    </w:rPr>
  </w:style>
  <w:style w:type="paragraph" w:styleId="2">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cs="Times New Roman"/>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5"/>
    <w:unhideWhenUsed/>
    <w:qFormat/>
    <w:uiPriority w:val="99"/>
    <w:pPr>
      <w:widowControl w:val="0"/>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6">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sz w:val="24"/>
      <w:szCs w:val="24"/>
    </w:rPr>
  </w:style>
  <w:style w:type="paragraph" w:styleId="8">
    <w:name w:val="Normal (Web)"/>
    <w:basedOn w:val="1"/>
    <w:semiHidden/>
    <w:unhideWhenUsed/>
    <w:qFormat/>
    <w:uiPriority w:val="99"/>
    <w:pPr>
      <w:spacing w:beforeAutospacing="1" w:afterAutospacing="1"/>
      <w:jc w:val="left"/>
    </w:pPr>
    <w:rPr>
      <w:rFonts w:cs="Times New Roman"/>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styleId="16">
    <w:name w:val="List Paragraph"/>
    <w:basedOn w:val="1"/>
    <w:qFormat/>
    <w:uiPriority w:val="34"/>
    <w:pPr>
      <w:ind w:firstLine="420" w:firstLineChars="200"/>
    </w:pPr>
  </w:style>
  <w:style w:type="table" w:customStyle="1" w:styleId="17">
    <w:name w:val="网格型1"/>
    <w:basedOn w:val="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3 字符"/>
    <w:basedOn w:val="11"/>
    <w:link w:val="2"/>
    <w:semiHidden/>
    <w:qFormat/>
    <w:uiPriority w:val="9"/>
    <w:rPr>
      <w:rFonts w:ascii="Calibri" w:hAnsi="Calibri" w:cs="宋体"/>
      <w:b/>
      <w:bCs/>
      <w:color w:val="000000"/>
      <w:sz w:val="32"/>
      <w:szCs w:val="32"/>
    </w:rPr>
  </w:style>
  <w:style w:type="character" w:customStyle="1" w:styleId="19">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3261</Words>
  <Characters>173</Characters>
  <Lines>10</Lines>
  <Paragraphs>68</Paragraphs>
  <TotalTime>0</TotalTime>
  <ScaleCrop>false</ScaleCrop>
  <LinksUpToDate>false</LinksUpToDate>
  <CharactersWithSpaces>3366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2024-03-07T06:23:00Z</dcterms:created>
  <dc:creator>顾昕</dc:creator>
  <cp:lastModifiedBy>李慧</cp:lastModifiedBy>
  <dcterms:modified xsi:type="dcterms:W3CDTF">2025-05-15T10:51:48Z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78619E67E11C4CAEA45275449E0A5787_13</vt:lpwstr>
  </property>
  <property fmtid="{D5CDD505-2E9C-101B-9397-08002B2CF9AE}" pid="4" name="KSOTemplateDocerSaveRecord">
    <vt:lpwstr>eyJoZGlkIjoiZGEyZmU0OTk3YzllOTM2YTFlZTEwZjNhMDYxZTExNTIiLCJ1c2VySWQiOiI0MDA5ODkwMDcifQ==</vt:lpwstr>
  </property>
</Properties>
</file>