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60555">
      <w:pPr>
        <w:spacing w:line="578" w:lineRule="exact"/>
        <w:jc w:val="center"/>
        <w:rPr>
          <w:rFonts w:hint="eastAsia" w:asciiTheme="majorEastAsia" w:hAnsiTheme="majorEastAsia" w:eastAsiaTheme="majorEastAsia" w:cstheme="majorEastAsia"/>
          <w:b/>
          <w:bCs/>
          <w:sz w:val="44"/>
          <w:szCs w:val="44"/>
          <w:highlight w:val="none"/>
        </w:rPr>
      </w:pPr>
      <w:r>
        <w:rPr>
          <w:rFonts w:hint="eastAsia" w:asciiTheme="majorEastAsia" w:hAnsiTheme="majorEastAsia" w:eastAsiaTheme="majorEastAsia" w:cstheme="majorEastAsia"/>
          <w:b/>
          <w:bCs/>
          <w:sz w:val="44"/>
          <w:szCs w:val="44"/>
          <w:highlight w:val="none"/>
        </w:rPr>
        <w:t>海南省消费者委员会办公室</w:t>
      </w:r>
      <w:r>
        <w:rPr>
          <w:rFonts w:hint="default" w:asciiTheme="majorEastAsia" w:hAnsiTheme="majorEastAsia" w:eastAsiaTheme="majorEastAsia" w:cstheme="majorEastAsia"/>
          <w:b/>
          <w:bCs/>
          <w:sz w:val="44"/>
          <w:szCs w:val="44"/>
          <w:highlight w:val="none"/>
          <w:lang w:val="en-US"/>
        </w:rPr>
        <w:t>2025</w:t>
      </w:r>
      <w:r>
        <w:rPr>
          <w:rFonts w:hint="eastAsia" w:asciiTheme="majorEastAsia" w:hAnsiTheme="majorEastAsia" w:eastAsiaTheme="majorEastAsia" w:cstheme="majorEastAsia"/>
          <w:b/>
          <w:bCs/>
          <w:sz w:val="44"/>
          <w:szCs w:val="44"/>
          <w:highlight w:val="none"/>
        </w:rPr>
        <w:t>年度部门决算公开报告</w:t>
      </w:r>
    </w:p>
    <w:p w14:paraId="1A6FD91F">
      <w:pPr>
        <w:spacing w:line="578" w:lineRule="exact"/>
        <w:jc w:val="center"/>
        <w:rPr>
          <w:rFonts w:hint="eastAsia" w:ascii="黑体" w:hAnsi="ˎ̥" w:eastAsia="黑体"/>
          <w:b/>
          <w:sz w:val="32"/>
          <w:szCs w:val="32"/>
          <w:highlight w:val="none"/>
        </w:rPr>
      </w:pPr>
    </w:p>
    <w:p w14:paraId="0B2434D2">
      <w:pPr>
        <w:spacing w:line="578" w:lineRule="exact"/>
        <w:jc w:val="center"/>
        <w:rPr>
          <w:rFonts w:hint="eastAsia" w:ascii="黑体" w:hAnsi="黑体" w:eastAsia="黑体" w:cs="黑体"/>
          <w:sz w:val="44"/>
          <w:szCs w:val="44"/>
          <w:highlight w:val="none"/>
        </w:rPr>
      </w:pPr>
      <w:bookmarkStart w:id="0" w:name="_Toc11440_WPSOffice_Type2"/>
      <w:r>
        <w:rPr>
          <w:rFonts w:hint="eastAsia" w:ascii="黑体" w:hAnsi="黑体" w:eastAsia="黑体" w:cs="黑体"/>
          <w:sz w:val="44"/>
          <w:szCs w:val="44"/>
          <w:highlight w:val="none"/>
        </w:rPr>
        <w:t>目  录</w:t>
      </w:r>
    </w:p>
    <w:p w14:paraId="5A63CED0">
      <w:pPr>
        <w:pStyle w:val="22"/>
        <w:tabs>
          <w:tab w:val="right" w:leader="dot" w:pos="8306"/>
        </w:tabs>
        <w:spacing w:line="578" w:lineRule="exact"/>
        <w:rPr>
          <w:rFonts w:hint="eastAsia"/>
          <w:sz w:val="32"/>
          <w:szCs w:val="32"/>
          <w:highlight w:val="none"/>
        </w:rPr>
      </w:pPr>
      <w:r>
        <w:rPr>
          <w:sz w:val="32"/>
          <w:szCs w:val="32"/>
          <w:highlight w:val="none"/>
        </w:rPr>
        <w:fldChar w:fldCharType="begin"/>
      </w:r>
      <w:r>
        <w:rPr>
          <w:sz w:val="32"/>
          <w:szCs w:val="32"/>
          <w:highlight w:val="none"/>
        </w:rPr>
        <w:instrText xml:space="preserve"> HYPERLINK \l _Toc1704_WPSOffice_Level1 </w:instrText>
      </w:r>
      <w:r>
        <w:rPr>
          <w:sz w:val="32"/>
          <w:szCs w:val="32"/>
          <w:highlight w:val="none"/>
        </w:rPr>
        <w:fldChar w:fldCharType="separate"/>
      </w:r>
      <w:r>
        <w:rPr>
          <w:rFonts w:hint="eastAsia" w:ascii="黑体" w:hAnsi="ˎ̥" w:eastAsia="黑体"/>
          <w:sz w:val="32"/>
          <w:szCs w:val="32"/>
          <w:highlight w:val="none"/>
        </w:rPr>
        <w:t>第一部分 基本情况</w:t>
      </w:r>
      <w:r>
        <w:rPr>
          <w:sz w:val="32"/>
          <w:szCs w:val="32"/>
          <w:highlight w:val="none"/>
        </w:rPr>
        <w:tab/>
      </w:r>
      <w:r>
        <w:rPr>
          <w:sz w:val="32"/>
          <w:szCs w:val="32"/>
          <w:highlight w:val="none"/>
        </w:rPr>
        <w:fldChar w:fldCharType="end"/>
      </w:r>
      <w:r>
        <w:rPr>
          <w:rFonts w:hint="eastAsia" w:ascii="仿宋" w:hAnsi="仿宋" w:eastAsia="仿宋" w:cs="仿宋"/>
          <w:color w:val="auto"/>
          <w:sz w:val="32"/>
          <w:szCs w:val="32"/>
          <w:highlight w:val="none"/>
          <w:lang w:val="en-US" w:eastAsia="zh-CN"/>
        </w:rPr>
        <w:t>1</w:t>
      </w:r>
    </w:p>
    <w:p w14:paraId="745FBCBE">
      <w:pPr>
        <w:pStyle w:val="27"/>
        <w:tabs>
          <w:tab w:val="right" w:leader="dot" w:pos="8306"/>
        </w:tabs>
        <w:spacing w:line="578" w:lineRule="exact"/>
        <w:ind w:leftChars="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_Toc20274_WPSOffice_Level2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一、单位职责</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rPr>
        <w:t>2</w:t>
      </w:r>
    </w:p>
    <w:p w14:paraId="2FE728CA">
      <w:pPr>
        <w:pStyle w:val="27"/>
        <w:tabs>
          <w:tab w:val="right" w:leader="dot" w:pos="8306"/>
        </w:tabs>
        <w:spacing w:line="578" w:lineRule="exact"/>
        <w:ind w:leftChars="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_Toc4833_WPSOffice_Level2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二、机构设置</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rPr>
        <w:t>2</w:t>
      </w:r>
    </w:p>
    <w:p w14:paraId="6E1CAFFE">
      <w:pPr>
        <w:pStyle w:val="22"/>
        <w:tabs>
          <w:tab w:val="right" w:leader="dot" w:pos="8306"/>
        </w:tabs>
        <w:spacing w:line="578" w:lineRule="exact"/>
        <w:rPr>
          <w:rFonts w:hint="eastAsia" w:eastAsia="宋体;方正书宋_GBK"/>
          <w:sz w:val="32"/>
          <w:szCs w:val="32"/>
          <w:highlight w:val="none"/>
          <w:lang w:val="en-US" w:eastAsia="zh-CN"/>
        </w:rPr>
      </w:pPr>
      <w:r>
        <w:rPr>
          <w:sz w:val="32"/>
          <w:szCs w:val="32"/>
          <w:highlight w:val="none"/>
        </w:rPr>
        <w:fldChar w:fldCharType="begin"/>
      </w:r>
      <w:r>
        <w:rPr>
          <w:sz w:val="32"/>
          <w:szCs w:val="32"/>
          <w:highlight w:val="none"/>
        </w:rPr>
        <w:instrText xml:space="preserve"> HYPERLINK \l _Toc28253_WPSOffice_Level1 </w:instrText>
      </w:r>
      <w:r>
        <w:rPr>
          <w:sz w:val="32"/>
          <w:szCs w:val="32"/>
          <w:highlight w:val="none"/>
        </w:rPr>
        <w:fldChar w:fldCharType="separate"/>
      </w:r>
      <w:r>
        <w:rPr>
          <w:rFonts w:hint="eastAsia" w:ascii="黑体" w:hAnsi="ˎ̥" w:eastAsia="黑体"/>
          <w:sz w:val="32"/>
          <w:szCs w:val="32"/>
          <w:highlight w:val="none"/>
        </w:rPr>
        <w:t xml:space="preserve">第二部分  </w:t>
      </w:r>
      <w:r>
        <w:rPr>
          <w:rFonts w:hint="default" w:ascii="黑体" w:hAnsi="ˎ̥" w:eastAsia="黑体"/>
          <w:sz w:val="32"/>
          <w:szCs w:val="32"/>
          <w:highlight w:val="none"/>
          <w:lang w:val="en-US"/>
        </w:rPr>
        <w:t>2025</w:t>
      </w:r>
      <w:r>
        <w:rPr>
          <w:rFonts w:hint="eastAsia" w:ascii="黑体" w:hAnsi="ˎ̥" w:eastAsia="黑体"/>
          <w:sz w:val="32"/>
          <w:szCs w:val="32"/>
          <w:highlight w:val="none"/>
        </w:rPr>
        <w:t>年度部门决算公开表</w:t>
      </w:r>
      <w:r>
        <w:rPr>
          <w:sz w:val="32"/>
          <w:szCs w:val="32"/>
          <w:highlight w:val="none"/>
        </w:rPr>
        <w:tab/>
      </w:r>
      <w:r>
        <w:rPr>
          <w:sz w:val="32"/>
          <w:szCs w:val="32"/>
          <w:highlight w:val="none"/>
        </w:rPr>
        <w:fldChar w:fldCharType="end"/>
      </w:r>
      <w:r>
        <w:rPr>
          <w:rFonts w:hint="eastAsia" w:ascii="仿宋" w:hAnsi="仿宋" w:eastAsia="仿宋" w:cs="仿宋"/>
          <w:color w:val="auto"/>
          <w:sz w:val="32"/>
          <w:szCs w:val="32"/>
          <w:highlight w:val="none"/>
          <w:lang w:val="en-US" w:eastAsia="zh-CN"/>
        </w:rPr>
        <w:t>2</w:t>
      </w:r>
    </w:p>
    <w:p w14:paraId="2F35CC78">
      <w:pPr>
        <w:pStyle w:val="22"/>
        <w:tabs>
          <w:tab w:val="right" w:leader="dot" w:pos="8306"/>
        </w:tabs>
        <w:spacing w:line="578" w:lineRule="exact"/>
        <w:rPr>
          <w:rFonts w:hint="eastAsia" w:eastAsia="宋体;方正书宋_GBK"/>
          <w:sz w:val="32"/>
          <w:szCs w:val="32"/>
          <w:highlight w:val="none"/>
          <w:lang w:val="en-US" w:eastAsia="zh-CN"/>
        </w:rPr>
      </w:pPr>
      <w:r>
        <w:rPr>
          <w:sz w:val="32"/>
          <w:szCs w:val="32"/>
          <w:highlight w:val="none"/>
        </w:rPr>
        <w:fldChar w:fldCharType="begin"/>
      </w:r>
      <w:r>
        <w:rPr>
          <w:sz w:val="32"/>
          <w:szCs w:val="32"/>
          <w:highlight w:val="none"/>
        </w:rPr>
        <w:instrText xml:space="preserve"> HYPERLINK \l _Toc27590_WPSOffice_Level1 </w:instrText>
      </w:r>
      <w:r>
        <w:rPr>
          <w:sz w:val="32"/>
          <w:szCs w:val="32"/>
          <w:highlight w:val="none"/>
        </w:rPr>
        <w:fldChar w:fldCharType="separate"/>
      </w:r>
      <w:r>
        <w:rPr>
          <w:rFonts w:hint="eastAsia" w:ascii="黑体" w:hAnsi="黑体" w:eastAsia="黑体" w:cs="黑体"/>
          <w:sz w:val="32"/>
          <w:szCs w:val="32"/>
          <w:highlight w:val="none"/>
        </w:rPr>
        <w:t>第三部分</w:t>
      </w:r>
      <w:r>
        <w:rPr>
          <w:rFonts w:hint="eastAsia"/>
          <w:sz w:val="32"/>
          <w:szCs w:val="32"/>
          <w:highlight w:val="none"/>
        </w:rPr>
        <w:t xml:space="preserve">  </w:t>
      </w:r>
      <w:r>
        <w:rPr>
          <w:rFonts w:hint="default" w:ascii="黑体" w:hAnsi="ˎ̥" w:eastAsia="黑体"/>
          <w:sz w:val="32"/>
          <w:szCs w:val="32"/>
          <w:highlight w:val="none"/>
          <w:lang w:val="en-US"/>
        </w:rPr>
        <w:t>2025</w:t>
      </w:r>
      <w:r>
        <w:rPr>
          <w:rFonts w:hint="eastAsia" w:ascii="黑体" w:hAnsi="ˎ̥" w:eastAsia="黑体"/>
          <w:sz w:val="32"/>
          <w:szCs w:val="32"/>
          <w:highlight w:val="none"/>
        </w:rPr>
        <w:t>年度部门决算情况说明</w:t>
      </w:r>
      <w:r>
        <w:rPr>
          <w:sz w:val="32"/>
          <w:szCs w:val="32"/>
          <w:highlight w:val="none"/>
        </w:rPr>
        <w:tab/>
      </w:r>
      <w:r>
        <w:rPr>
          <w:sz w:val="32"/>
          <w:szCs w:val="32"/>
          <w:highlight w:val="none"/>
        </w:rPr>
        <w:fldChar w:fldCharType="end"/>
      </w:r>
      <w:r>
        <w:rPr>
          <w:rFonts w:hint="eastAsia" w:ascii="仿宋" w:hAnsi="仿宋" w:eastAsia="仿宋" w:cs="仿宋"/>
          <w:color w:val="auto"/>
          <w:sz w:val="32"/>
          <w:szCs w:val="32"/>
          <w:highlight w:val="none"/>
          <w:lang w:val="en-US" w:eastAsia="zh-CN"/>
        </w:rPr>
        <w:t>3</w:t>
      </w:r>
    </w:p>
    <w:p w14:paraId="153832D4">
      <w:pPr>
        <w:pStyle w:val="27"/>
        <w:tabs>
          <w:tab w:val="right" w:leader="dot" w:pos="8306"/>
        </w:tabs>
        <w:spacing w:line="578" w:lineRule="exact"/>
        <w:ind w:leftChars="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_Toc21737_WPSOffice_Level2 </w:instrText>
      </w:r>
      <w:r>
        <w:rPr>
          <w:rFonts w:hint="eastAsia" w:ascii="仿宋" w:hAnsi="仿宋" w:eastAsia="仿宋" w:cs="仿宋"/>
          <w:color w:val="auto"/>
          <w:sz w:val="32"/>
          <w:szCs w:val="32"/>
          <w:highlight w:val="none"/>
        </w:rPr>
        <w:fldChar w:fldCharType="separate"/>
      </w:r>
      <w:r>
        <w:rPr>
          <w:rFonts w:hint="eastAsia" w:ascii="仿宋" w:hAnsi="仿宋" w:eastAsia="仿宋" w:cs="仿宋"/>
          <w:bCs/>
          <w:color w:val="auto"/>
          <w:sz w:val="32"/>
          <w:szCs w:val="32"/>
          <w:highlight w:val="none"/>
        </w:rPr>
        <w:t>一、收入支出总体情况说明</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lang w:val="en-US" w:eastAsia="zh-CN"/>
        </w:rPr>
        <w:t>3</w:t>
      </w:r>
    </w:p>
    <w:p w14:paraId="07A3E3AC">
      <w:pPr>
        <w:pStyle w:val="27"/>
        <w:tabs>
          <w:tab w:val="right" w:leader="dot" w:pos="8306"/>
        </w:tabs>
        <w:spacing w:line="578" w:lineRule="exact"/>
        <w:ind w:leftChars="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_Toc19535_WPSOffice_Level2 </w:instrText>
      </w:r>
      <w:r>
        <w:rPr>
          <w:rFonts w:hint="eastAsia" w:ascii="仿宋" w:hAnsi="仿宋" w:eastAsia="仿宋" w:cs="仿宋"/>
          <w:color w:val="auto"/>
          <w:sz w:val="32"/>
          <w:szCs w:val="32"/>
          <w:highlight w:val="none"/>
        </w:rPr>
        <w:fldChar w:fldCharType="separate"/>
      </w:r>
      <w:r>
        <w:rPr>
          <w:rFonts w:hint="eastAsia" w:ascii="仿宋" w:hAnsi="仿宋" w:eastAsia="仿宋" w:cs="仿宋"/>
          <w:bCs/>
          <w:color w:val="auto"/>
          <w:sz w:val="32"/>
          <w:szCs w:val="32"/>
          <w:highlight w:val="none"/>
        </w:rPr>
        <w:t>二、收入决算情况说明</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lang w:val="en-US" w:eastAsia="zh-CN"/>
        </w:rPr>
        <w:t>3</w:t>
      </w:r>
    </w:p>
    <w:p w14:paraId="3E2564B7">
      <w:pPr>
        <w:pStyle w:val="27"/>
        <w:tabs>
          <w:tab w:val="right" w:leader="dot" w:pos="8306"/>
        </w:tabs>
        <w:spacing w:line="578" w:lineRule="exact"/>
        <w:ind w:leftChars="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_Toc19535_WPSOffice_Level2 </w:instrText>
      </w:r>
      <w:r>
        <w:rPr>
          <w:rFonts w:hint="eastAsia" w:ascii="仿宋" w:hAnsi="仿宋" w:eastAsia="仿宋" w:cs="仿宋"/>
          <w:color w:val="auto"/>
          <w:sz w:val="32"/>
          <w:szCs w:val="32"/>
          <w:highlight w:val="none"/>
        </w:rPr>
        <w:fldChar w:fldCharType="separate"/>
      </w:r>
      <w:r>
        <w:rPr>
          <w:rFonts w:hint="eastAsia" w:ascii="仿宋" w:hAnsi="仿宋" w:eastAsia="仿宋" w:cs="仿宋"/>
          <w:bCs/>
          <w:color w:val="auto"/>
          <w:sz w:val="32"/>
          <w:szCs w:val="32"/>
          <w:highlight w:val="none"/>
        </w:rPr>
        <w:t>三、支出决算情况说明</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lang w:val="en-US" w:eastAsia="zh-CN"/>
        </w:rPr>
        <w:t>3</w:t>
      </w:r>
    </w:p>
    <w:p w14:paraId="523291CD">
      <w:pPr>
        <w:pStyle w:val="27"/>
        <w:tabs>
          <w:tab w:val="right" w:leader="dot" w:pos="8306"/>
        </w:tabs>
        <w:spacing w:line="578" w:lineRule="exact"/>
        <w:ind w:leftChars="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_Toc19535_WPSOffice_Level2 </w:instrText>
      </w:r>
      <w:r>
        <w:rPr>
          <w:rFonts w:hint="eastAsia" w:ascii="仿宋" w:hAnsi="仿宋" w:eastAsia="仿宋" w:cs="仿宋"/>
          <w:color w:val="auto"/>
          <w:sz w:val="32"/>
          <w:szCs w:val="32"/>
          <w:highlight w:val="none"/>
        </w:rPr>
        <w:fldChar w:fldCharType="separate"/>
      </w:r>
      <w:r>
        <w:rPr>
          <w:rFonts w:hint="eastAsia" w:ascii="仿宋" w:hAnsi="仿宋" w:eastAsia="仿宋" w:cs="仿宋"/>
          <w:bCs/>
          <w:color w:val="auto"/>
          <w:sz w:val="32"/>
          <w:szCs w:val="32"/>
          <w:highlight w:val="none"/>
        </w:rPr>
        <w:t>四、财政拨款收入支出决算</w:t>
      </w:r>
      <w:r>
        <w:rPr>
          <w:rFonts w:hint="eastAsia" w:ascii="仿宋" w:hAnsi="仿宋" w:eastAsia="仿宋" w:cs="仿宋"/>
          <w:bCs/>
          <w:color w:val="auto"/>
          <w:sz w:val="32"/>
          <w:szCs w:val="32"/>
          <w:highlight w:val="none"/>
          <w:lang w:val="en-US" w:eastAsia="zh-CN"/>
        </w:rPr>
        <w:t>总体</w:t>
      </w:r>
      <w:r>
        <w:rPr>
          <w:rFonts w:hint="eastAsia" w:ascii="仿宋" w:hAnsi="仿宋" w:eastAsia="仿宋" w:cs="仿宋"/>
          <w:bCs/>
          <w:color w:val="auto"/>
          <w:sz w:val="32"/>
          <w:szCs w:val="32"/>
          <w:highlight w:val="none"/>
        </w:rPr>
        <w:t>情况说明</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lang w:val="en-US" w:eastAsia="zh-CN"/>
        </w:rPr>
        <w:t>4</w:t>
      </w:r>
    </w:p>
    <w:p w14:paraId="14480B71">
      <w:pPr>
        <w:pStyle w:val="27"/>
        <w:tabs>
          <w:tab w:val="right" w:leader="dot" w:pos="8306"/>
        </w:tabs>
        <w:spacing w:line="578" w:lineRule="exact"/>
        <w:ind w:leftChars="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_Toc19535_WPSOffice_Level2 </w:instrText>
      </w:r>
      <w:r>
        <w:rPr>
          <w:rFonts w:hint="eastAsia" w:ascii="仿宋" w:hAnsi="仿宋" w:eastAsia="仿宋" w:cs="仿宋"/>
          <w:color w:val="auto"/>
          <w:sz w:val="32"/>
          <w:szCs w:val="32"/>
          <w:highlight w:val="none"/>
        </w:rPr>
        <w:fldChar w:fldCharType="separate"/>
      </w:r>
      <w:r>
        <w:rPr>
          <w:rFonts w:hint="eastAsia" w:ascii="仿宋" w:hAnsi="仿宋" w:eastAsia="仿宋" w:cs="仿宋"/>
          <w:bCs/>
          <w:color w:val="auto"/>
          <w:sz w:val="32"/>
          <w:szCs w:val="32"/>
          <w:highlight w:val="none"/>
        </w:rPr>
        <w:t>五、一般公共预算财政拨款支出决算情况说明</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lang w:val="en-US" w:eastAsia="zh-CN"/>
        </w:rPr>
        <w:t>4</w:t>
      </w:r>
    </w:p>
    <w:p w14:paraId="4E89D0A0">
      <w:pPr>
        <w:pStyle w:val="27"/>
        <w:tabs>
          <w:tab w:val="right" w:leader="dot" w:pos="8306"/>
        </w:tabs>
        <w:spacing w:line="578" w:lineRule="exact"/>
        <w:ind w:leftChars="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_Toc19535_WPSOffice_Level2 </w:instrText>
      </w:r>
      <w:r>
        <w:rPr>
          <w:rFonts w:hint="eastAsia" w:ascii="仿宋" w:hAnsi="仿宋" w:eastAsia="仿宋" w:cs="仿宋"/>
          <w:color w:val="auto"/>
          <w:sz w:val="32"/>
          <w:szCs w:val="32"/>
          <w:highlight w:val="none"/>
        </w:rPr>
        <w:fldChar w:fldCharType="separate"/>
      </w:r>
      <w:r>
        <w:rPr>
          <w:rFonts w:hint="eastAsia" w:ascii="仿宋" w:hAnsi="仿宋" w:eastAsia="仿宋" w:cs="仿宋"/>
          <w:bCs/>
          <w:color w:val="auto"/>
          <w:sz w:val="32"/>
          <w:szCs w:val="32"/>
          <w:highlight w:val="none"/>
        </w:rPr>
        <w:t>六、一般公共预算财政拨款基本支出决算情况说明</w:t>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lang w:val="en-US" w:eastAsia="zh-CN"/>
        </w:rPr>
        <w:t>6</w:t>
      </w:r>
    </w:p>
    <w:p w14:paraId="0E6603F1">
      <w:pPr>
        <w:pStyle w:val="27"/>
        <w:numPr>
          <w:ilvl w:val="0"/>
          <w:numId w:val="0"/>
        </w:numPr>
        <w:tabs>
          <w:tab w:val="right" w:leader="dot" w:pos="8306"/>
        </w:tabs>
        <w:spacing w:line="578" w:lineRule="exact"/>
        <w:rPr>
          <w:rFonts w:hint="eastAsia" w:ascii="仿宋" w:hAnsi="仿宋" w:eastAsia="仿宋" w:cs="仿宋"/>
          <w:color w:val="auto"/>
          <w:sz w:val="32"/>
          <w:szCs w:val="32"/>
          <w:highlight w:val="none"/>
          <w:lang w:eastAsia="zh-CN"/>
        </w:rPr>
      </w:pPr>
      <w:r>
        <w:rPr>
          <w:rFonts w:hint="eastAsia" w:ascii="仿宋" w:hAnsi="仿宋" w:eastAsia="仿宋" w:cs="仿宋"/>
          <w:bCs/>
          <w:color w:val="auto"/>
          <w:sz w:val="32"/>
          <w:szCs w:val="32"/>
          <w:highlight w:val="none"/>
          <w:lang w:val="en-US" w:eastAsia="zh-CN"/>
        </w:rPr>
        <w:t>七、</w:t>
      </w:r>
      <w:r>
        <w:rPr>
          <w:rFonts w:hint="eastAsia" w:ascii="仿宋" w:hAnsi="仿宋" w:eastAsia="仿宋" w:cs="仿宋"/>
          <w:bCs/>
          <w:color w:val="auto"/>
          <w:sz w:val="32"/>
          <w:szCs w:val="32"/>
          <w:highlight w:val="none"/>
        </w:rPr>
        <w:t>政府性基金预算财政拨款支出决算情况说明</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lang w:val="en-US" w:eastAsia="zh-CN"/>
        </w:rPr>
        <w:t>7</w:t>
      </w:r>
    </w:p>
    <w:p w14:paraId="056D57BC">
      <w:pPr>
        <w:pStyle w:val="27"/>
        <w:numPr>
          <w:ilvl w:val="0"/>
          <w:numId w:val="0"/>
        </w:numPr>
        <w:tabs>
          <w:tab w:val="right" w:leader="dot" w:pos="8306"/>
        </w:tabs>
        <w:spacing w:line="578" w:lineRule="exact"/>
        <w:rPr>
          <w:rFonts w:hint="eastAsia" w:ascii="仿宋" w:hAnsi="仿宋" w:eastAsia="仿宋" w:cs="仿宋"/>
          <w:color w:val="auto"/>
          <w:sz w:val="32"/>
          <w:szCs w:val="32"/>
          <w:highlight w:val="none"/>
          <w:lang w:eastAsia="zh-CN"/>
        </w:rPr>
      </w:pPr>
      <w:r>
        <w:rPr>
          <w:rFonts w:hint="eastAsia" w:ascii="仿宋" w:hAnsi="仿宋" w:eastAsia="仿宋" w:cs="仿宋"/>
          <w:bCs/>
          <w:color w:val="auto"/>
          <w:sz w:val="32"/>
          <w:szCs w:val="32"/>
          <w:highlight w:val="none"/>
          <w:lang w:val="en-US" w:eastAsia="zh-CN"/>
        </w:rPr>
        <w:t>八、</w:t>
      </w:r>
      <w:r>
        <w:rPr>
          <w:rFonts w:hint="eastAsia" w:ascii="仿宋" w:hAnsi="仿宋" w:eastAsia="仿宋" w:cs="仿宋"/>
          <w:bCs/>
          <w:color w:val="auto"/>
          <w:sz w:val="32"/>
          <w:szCs w:val="32"/>
          <w:highlight w:val="none"/>
        </w:rPr>
        <w:t>国有资本经营预算财政拨款支出决算情况说明</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lang w:val="en-US" w:eastAsia="zh-CN"/>
        </w:rPr>
        <w:t>7</w:t>
      </w:r>
    </w:p>
    <w:p w14:paraId="4A19715F">
      <w:pPr>
        <w:pStyle w:val="27"/>
        <w:tabs>
          <w:tab w:val="right" w:leader="dot" w:pos="8306"/>
        </w:tabs>
        <w:spacing w:line="578" w:lineRule="exact"/>
        <w:ind w:leftChars="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_Toc19535_WPSOffice_Level2 </w:instrText>
      </w:r>
      <w:r>
        <w:rPr>
          <w:rFonts w:hint="eastAsia" w:ascii="仿宋" w:hAnsi="仿宋" w:eastAsia="仿宋" w:cs="仿宋"/>
          <w:color w:val="auto"/>
          <w:sz w:val="32"/>
          <w:szCs w:val="32"/>
          <w:highlight w:val="none"/>
        </w:rPr>
        <w:fldChar w:fldCharType="separate"/>
      </w:r>
      <w:r>
        <w:rPr>
          <w:rFonts w:hint="eastAsia" w:ascii="仿宋" w:hAnsi="仿宋" w:eastAsia="仿宋" w:cs="仿宋"/>
          <w:bCs/>
          <w:color w:val="auto"/>
          <w:sz w:val="32"/>
          <w:szCs w:val="32"/>
          <w:highlight w:val="none"/>
        </w:rPr>
        <w:t>九、财政拨款“三公”经费支出决算情况说明</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lang w:val="en-US" w:eastAsia="zh-CN"/>
        </w:rPr>
        <w:t>7</w:t>
      </w:r>
    </w:p>
    <w:p w14:paraId="375A6E2A">
      <w:pPr>
        <w:pStyle w:val="27"/>
        <w:tabs>
          <w:tab w:val="right" w:leader="dot" w:pos="8306"/>
        </w:tabs>
        <w:spacing w:line="578" w:lineRule="exact"/>
        <w:ind w:leftChars="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_Toc19535_WPSOffice_Level2 </w:instrText>
      </w:r>
      <w:r>
        <w:rPr>
          <w:rFonts w:hint="eastAsia" w:ascii="仿宋" w:hAnsi="仿宋" w:eastAsia="仿宋" w:cs="仿宋"/>
          <w:color w:val="auto"/>
          <w:sz w:val="32"/>
          <w:szCs w:val="32"/>
          <w:highlight w:val="none"/>
        </w:rPr>
        <w:fldChar w:fldCharType="separate"/>
      </w:r>
      <w:r>
        <w:rPr>
          <w:rFonts w:hint="eastAsia" w:ascii="仿宋" w:hAnsi="仿宋" w:eastAsia="仿宋" w:cs="仿宋"/>
          <w:bCs/>
          <w:color w:val="auto"/>
          <w:sz w:val="32"/>
          <w:szCs w:val="32"/>
          <w:highlight w:val="none"/>
        </w:rPr>
        <w:t>十、预算绩效情况说明</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lang w:val="en-US" w:eastAsia="zh-CN"/>
        </w:rPr>
        <w:t>9</w:t>
      </w:r>
    </w:p>
    <w:p w14:paraId="05499FD6">
      <w:pPr>
        <w:pStyle w:val="27"/>
        <w:numPr>
          <w:ilvl w:val="0"/>
          <w:numId w:val="0"/>
        </w:numPr>
        <w:tabs>
          <w:tab w:val="right" w:leader="dot" w:pos="8306"/>
        </w:tabs>
        <w:spacing w:line="578" w:lineRule="exact"/>
        <w:rPr>
          <w:rFonts w:hint="eastAsia" w:ascii="仿宋" w:hAnsi="仿宋" w:eastAsia="仿宋" w:cs="仿宋"/>
          <w:color w:val="auto"/>
          <w:sz w:val="32"/>
          <w:szCs w:val="32"/>
          <w:highlight w:val="none"/>
          <w:lang w:val="en-US" w:eastAsia="zh-CN"/>
        </w:rPr>
      </w:pPr>
      <w:r>
        <w:rPr>
          <w:rFonts w:hint="eastAsia" w:ascii="仿宋" w:hAnsi="仿宋" w:eastAsia="仿宋" w:cs="仿宋"/>
          <w:bCs/>
          <w:color w:val="auto"/>
          <w:sz w:val="32"/>
          <w:szCs w:val="32"/>
          <w:highlight w:val="none"/>
          <w:lang w:val="en-US" w:eastAsia="zh-CN"/>
        </w:rPr>
        <w:t>十一、</w:t>
      </w:r>
      <w:r>
        <w:rPr>
          <w:rFonts w:hint="eastAsia" w:ascii="仿宋" w:hAnsi="仿宋" w:eastAsia="仿宋" w:cs="仿宋"/>
          <w:bCs/>
          <w:color w:val="auto"/>
          <w:sz w:val="32"/>
          <w:szCs w:val="32"/>
          <w:highlight w:val="none"/>
        </w:rPr>
        <w:t>落实习惯过紧日子要求、保障重点支出情况说明</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1</w:t>
      </w:r>
    </w:p>
    <w:p w14:paraId="1FEBF50B">
      <w:pPr>
        <w:pStyle w:val="27"/>
        <w:tabs>
          <w:tab w:val="right" w:leader="dot" w:pos="8306"/>
        </w:tabs>
        <w:spacing w:line="578" w:lineRule="exact"/>
        <w:ind w:leftChars="0"/>
        <w:rPr>
          <w:rFonts w:hint="eastAsia" w:ascii="仿宋" w:hAnsi="仿宋" w:eastAsia="仿宋" w:cs="仿宋"/>
          <w:color w:val="auto"/>
          <w:sz w:val="32"/>
          <w:szCs w:val="32"/>
          <w:highlight w:val="none"/>
          <w:lang w:val="en-US" w:eastAsia="zh-CN"/>
        </w:rPr>
      </w:pPr>
      <w:r>
        <w:rPr>
          <w:rFonts w:hint="eastAsia" w:ascii="仿宋" w:hAnsi="仿宋" w:eastAsia="仿宋" w:cs="仿宋"/>
          <w:bCs/>
          <w:color w:val="auto"/>
          <w:sz w:val="32"/>
          <w:szCs w:val="32"/>
          <w:highlight w:val="none"/>
        </w:rPr>
        <w:t>十</w:t>
      </w:r>
      <w:r>
        <w:rPr>
          <w:rFonts w:hint="eastAsia" w:ascii="仿宋" w:hAnsi="仿宋" w:eastAsia="仿宋" w:cs="仿宋"/>
          <w:bCs/>
          <w:color w:val="auto"/>
          <w:sz w:val="32"/>
          <w:szCs w:val="32"/>
          <w:highlight w:val="none"/>
          <w:lang w:val="en-US" w:eastAsia="zh-CN"/>
        </w:rPr>
        <w:t>二</w:t>
      </w:r>
      <w:r>
        <w:rPr>
          <w:rFonts w:hint="eastAsia" w:ascii="仿宋" w:hAnsi="仿宋" w:eastAsia="仿宋" w:cs="仿宋"/>
          <w:bCs/>
          <w:color w:val="auto"/>
          <w:sz w:val="32"/>
          <w:szCs w:val="32"/>
          <w:highlight w:val="none"/>
        </w:rPr>
        <w:t>、其他重要事项情况说明</w:t>
      </w:r>
      <w:r>
        <w:rPr>
          <w:rFonts w:hint="eastAsia" w:ascii="仿宋" w:hAnsi="仿宋" w:eastAsia="仿宋" w:cs="仿宋"/>
          <w:color w:val="auto"/>
          <w:sz w:val="32"/>
          <w:szCs w:val="32"/>
          <w:highlight w:val="none"/>
        </w:rPr>
        <w:tab/>
      </w: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1</w:t>
      </w:r>
    </w:p>
    <w:p w14:paraId="451AEE7F">
      <w:pPr>
        <w:pStyle w:val="22"/>
        <w:tabs>
          <w:tab w:val="right" w:leader="dot" w:pos="8306"/>
        </w:tabs>
        <w:spacing w:line="578" w:lineRule="exact"/>
        <w:jc w:val="both"/>
        <w:rPr>
          <w:rFonts w:hint="eastAsia" w:ascii="黑体" w:hAnsi="ˎ̥" w:eastAsia="宋体;方正书宋_GBK"/>
          <w:sz w:val="32"/>
          <w:szCs w:val="32"/>
          <w:highlight w:val="none"/>
          <w:lang w:eastAsia="zh-CN"/>
        </w:rPr>
      </w:pPr>
      <w:r>
        <w:rPr>
          <w:sz w:val="32"/>
          <w:szCs w:val="32"/>
          <w:highlight w:val="none"/>
        </w:rPr>
        <w:fldChar w:fldCharType="begin"/>
      </w:r>
      <w:r>
        <w:rPr>
          <w:sz w:val="32"/>
          <w:szCs w:val="32"/>
          <w:highlight w:val="none"/>
        </w:rPr>
        <w:instrText xml:space="preserve"> HYPERLINK \l _Toc15425_WPSOffice_Level1 </w:instrText>
      </w:r>
      <w:r>
        <w:rPr>
          <w:sz w:val="32"/>
          <w:szCs w:val="32"/>
          <w:highlight w:val="none"/>
        </w:rPr>
        <w:fldChar w:fldCharType="separate"/>
      </w:r>
      <w:r>
        <w:rPr>
          <w:rFonts w:hint="eastAsia" w:ascii="黑体" w:hAnsi="ˎ̥" w:eastAsia="黑体"/>
          <w:sz w:val="32"/>
          <w:szCs w:val="32"/>
          <w:highlight w:val="none"/>
        </w:rPr>
        <w:t>第四部分  名词解释</w:t>
      </w:r>
      <w:r>
        <w:rPr>
          <w:sz w:val="32"/>
          <w:szCs w:val="32"/>
          <w:highlight w:val="none"/>
        </w:rPr>
        <w:tab/>
      </w:r>
      <w:bookmarkStart w:id="1" w:name="_Toc15425_WPSOffice_Level1Page"/>
      <w:r>
        <w:rPr>
          <w:rFonts w:hint="eastAsia" w:ascii="仿宋" w:hAnsi="仿宋" w:eastAsia="仿宋" w:cs="仿宋"/>
          <w:color w:val="auto"/>
          <w:sz w:val="32"/>
          <w:szCs w:val="32"/>
          <w:highlight w:val="none"/>
        </w:rPr>
        <w:t>1</w:t>
      </w:r>
      <w:bookmarkEnd w:id="1"/>
      <w:r>
        <w:rPr>
          <w:sz w:val="32"/>
          <w:szCs w:val="32"/>
          <w:highlight w:val="none"/>
        </w:rPr>
        <w:fldChar w:fldCharType="end"/>
      </w:r>
      <w:bookmarkEnd w:id="0"/>
      <w:bookmarkStart w:id="2" w:name="_Toc24238_WPSOffice_Level2"/>
      <w:bookmarkStart w:id="3" w:name="_Toc26580_WPSOffice_Level2"/>
      <w:bookmarkStart w:id="4" w:name="_Toc22941_WPSOffice_Level1"/>
      <w:bookmarkStart w:id="5" w:name="_Toc20274_WPSOffice_Level2"/>
      <w:bookmarkStart w:id="6" w:name="_Toc23465_WPSOffice_Level1"/>
      <w:bookmarkStart w:id="7" w:name="_Toc1704_WPSOffice_Level1"/>
      <w:bookmarkStart w:id="8" w:name="_Toc10049_WPSOffice_Level1"/>
      <w:bookmarkStart w:id="9" w:name="_Toc20205_WPSOffice_Level2"/>
      <w:bookmarkStart w:id="10" w:name="_Toc14159_WPSOffice_Level2"/>
      <w:bookmarkStart w:id="11" w:name="_Toc10720_WPSOffice_Level1"/>
      <w:bookmarkStart w:id="12" w:name="_Toc32433_WPSOffice_Level1"/>
      <w:bookmarkStart w:id="13" w:name="_Toc32622_WPSOffice_Level2"/>
      <w:r>
        <w:rPr>
          <w:rFonts w:hint="eastAsia" w:ascii="仿宋" w:hAnsi="仿宋" w:eastAsia="仿宋" w:cs="仿宋"/>
          <w:color w:val="auto"/>
          <w:sz w:val="32"/>
          <w:szCs w:val="32"/>
          <w:highlight w:val="none"/>
          <w:lang w:val="en-US" w:eastAsia="zh-CN"/>
        </w:rPr>
        <w:t>2</w:t>
      </w:r>
      <w:bookmarkStart w:id="16" w:name="_GoBack"/>
      <w:bookmarkEnd w:id="16"/>
    </w:p>
    <w:bookmarkEnd w:id="2"/>
    <w:bookmarkEnd w:id="3"/>
    <w:bookmarkEnd w:id="4"/>
    <w:bookmarkEnd w:id="5"/>
    <w:bookmarkEnd w:id="6"/>
    <w:bookmarkEnd w:id="7"/>
    <w:bookmarkEnd w:id="8"/>
    <w:bookmarkEnd w:id="9"/>
    <w:bookmarkEnd w:id="10"/>
    <w:bookmarkEnd w:id="11"/>
    <w:bookmarkEnd w:id="12"/>
    <w:bookmarkEnd w:id="13"/>
    <w:p w14:paraId="6316D65F">
      <w:pPr>
        <w:spacing w:line="576" w:lineRule="exact"/>
        <w:jc w:val="center"/>
        <w:rPr>
          <w:rFonts w:ascii="黑体;方正黑体_GBK" w:hAnsi="黑体;方正黑体_GBK" w:eastAsia="黑体;方正黑体_GBK" w:cs="ˎ̥;思源宋体"/>
          <w:sz w:val="32"/>
          <w:szCs w:val="32"/>
          <w:highlight w:val="none"/>
        </w:rPr>
        <w:sectPr>
          <w:headerReference r:id="rId3" w:type="default"/>
          <w:footerReference r:id="rId4" w:type="default"/>
          <w:pgSz w:w="11906" w:h="16838"/>
          <w:pgMar w:top="2098" w:right="1474" w:bottom="1985" w:left="1588" w:header="851" w:footer="992" w:gutter="0"/>
          <w:pgNumType w:fmt="numberInDash" w:start="1"/>
          <w:cols w:space="720" w:num="1"/>
          <w:formProt w:val="0"/>
          <w:docGrid w:type="lines" w:linePitch="312" w:charSpace="0"/>
        </w:sectPr>
      </w:pPr>
    </w:p>
    <w:p w14:paraId="32E1C25D">
      <w:pPr>
        <w:spacing w:line="576" w:lineRule="exact"/>
        <w:jc w:val="center"/>
        <w:rPr>
          <w:rFonts w:ascii="黑体;方正黑体_GBK" w:hAnsi="黑体;方正黑体_GBK" w:eastAsia="黑体;方正黑体_GBK" w:cs="ˎ̥;思源宋体"/>
          <w:sz w:val="32"/>
          <w:szCs w:val="32"/>
          <w:highlight w:val="none"/>
        </w:rPr>
      </w:pPr>
      <w:r>
        <w:rPr>
          <w:rFonts w:ascii="黑体;方正黑体_GBK" w:hAnsi="黑体;方正黑体_GBK" w:eastAsia="黑体;方正黑体_GBK" w:cs="ˎ̥;思源宋体"/>
          <w:sz w:val="32"/>
          <w:szCs w:val="32"/>
          <w:highlight w:val="none"/>
        </w:rPr>
        <w:t xml:space="preserve">第一部分  </w:t>
      </w:r>
      <w:r>
        <w:rPr>
          <w:rFonts w:ascii="黑体;方正黑体_GBK" w:hAnsi="黑体;方正黑体_GBK" w:eastAsia="黑体;方正黑体_GBK" w:cs="ˎ̥;思源宋体"/>
          <w:color w:val="auto"/>
          <w:sz w:val="32"/>
          <w:szCs w:val="32"/>
          <w:highlight w:val="none"/>
        </w:rPr>
        <w:t>基本情况</w:t>
      </w:r>
    </w:p>
    <w:p w14:paraId="29B93E59">
      <w:pPr>
        <w:spacing w:line="576" w:lineRule="exact"/>
        <w:ind w:firstLine="640"/>
        <w:jc w:val="both"/>
        <w:rPr>
          <w:rFonts w:ascii="楷体;方正楷体_GBK" w:hAnsi="楷体;方正楷体_GBK" w:eastAsia="楷体;方正楷体_GBK" w:cs="楷体;方正楷体_GBK"/>
          <w:sz w:val="32"/>
          <w:szCs w:val="32"/>
          <w:highlight w:val="none"/>
        </w:rPr>
      </w:pPr>
    </w:p>
    <w:p w14:paraId="05AF6B5F">
      <w:pPr>
        <w:pStyle w:val="19"/>
        <w:numPr>
          <w:ilvl w:val="0"/>
          <w:numId w:val="1"/>
        </w:numPr>
        <w:spacing w:line="576" w:lineRule="exact"/>
        <w:jc w:val="both"/>
        <w:rPr>
          <w:rFonts w:ascii="黑体;方正黑体_GBK" w:hAnsi="黑体;方正黑体_GBK" w:eastAsia="黑体;方正黑体_GBK" w:cs="黑体;方正黑体_GBK"/>
          <w:sz w:val="32"/>
          <w:szCs w:val="32"/>
          <w:highlight w:val="none"/>
        </w:rPr>
      </w:pPr>
      <w:r>
        <w:rPr>
          <w:rFonts w:ascii="黑体;方正黑体_GBK" w:hAnsi="黑体;方正黑体_GBK" w:eastAsia="黑体;方正黑体_GBK" w:cs="黑体;方正黑体_GBK"/>
          <w:sz w:val="32"/>
          <w:szCs w:val="32"/>
          <w:highlight w:val="none"/>
        </w:rPr>
        <w:t>单位职责</w:t>
      </w:r>
    </w:p>
    <w:p w14:paraId="1357A8ED">
      <w:pPr>
        <w:ind w:firstLine="633"/>
        <w:jc w:val="both"/>
        <w:rPr>
          <w:rFonts w:ascii="仿宋_GB2312" w:hAnsi="仿宋_GB2312" w:eastAsia="仿宋_GB2312" w:cs="仿宋;方正仿宋_GBK"/>
          <w:sz w:val="32"/>
          <w:szCs w:val="32"/>
          <w:highlight w:val="none"/>
        </w:rPr>
      </w:pPr>
      <w:r>
        <w:rPr>
          <w:rFonts w:ascii="仿宋_GB2312" w:hAnsi="仿宋_GB2312" w:eastAsia="仿宋_GB2312" w:cs="仿宋;方正仿宋_GBK"/>
          <w:sz w:val="32"/>
          <w:szCs w:val="32"/>
          <w:highlight w:val="none"/>
        </w:rPr>
        <w:t>海南省消费者委员会办公室依照《</w:t>
      </w:r>
      <w:r>
        <w:rPr>
          <w:rFonts w:hint="eastAsia" w:ascii="仿宋_GB2312" w:hAnsi="仿宋_GB2312" w:eastAsia="仿宋_GB2312" w:cs="仿宋;方正仿宋_GBK"/>
          <w:sz w:val="32"/>
          <w:szCs w:val="32"/>
          <w:highlight w:val="none"/>
          <w:lang w:eastAsia="zh-CN"/>
        </w:rPr>
        <w:t>中华人民共和国消费者权益保护法</w:t>
      </w:r>
      <w:r>
        <w:rPr>
          <w:rFonts w:ascii="仿宋_GB2312" w:hAnsi="仿宋_GB2312" w:eastAsia="仿宋_GB2312" w:cs="仿宋;方正仿宋_GBK"/>
          <w:sz w:val="32"/>
          <w:szCs w:val="32"/>
          <w:highlight w:val="none"/>
        </w:rPr>
        <w:t>》第三十七条之规定履行下列公益性职责：一是向消费者提供消费信息和咨询服务，提高消费者维护自身合法权益的能力，引导文明、健康、节约资源和保护环境的消费方式；二是参与制定有关消费者权益的法律、法规、规章和强制性标准；三是参与有关行政部门对商品和服务的监督、检查；四是就有关消费者合法权益的问题，向有关行政部门反映、查询，提出建议；五是受理消费者的投诉，对投诉事项进行调查、调解；六是投诉事项涉及商品和服务质量问题的，可以委托具备资格的鉴定人鉴定；七是就损害消费者合法权益的行为，支持受损害消费者提起诉讼；八是对损害消费者合法权益的行为，通过大众传播媒介予以揭露、批评。</w:t>
      </w:r>
    </w:p>
    <w:p w14:paraId="671F6D66">
      <w:pPr>
        <w:spacing w:line="560" w:lineRule="exact"/>
        <w:ind w:firstLine="640"/>
        <w:jc w:val="both"/>
        <w:rPr>
          <w:rFonts w:ascii="黑体;方正黑体_GBK" w:hAnsi="黑体;方正黑体_GBK" w:eastAsia="黑体;方正黑体_GBK" w:cs="黑体;方正黑体_GBK"/>
          <w:color w:val="auto"/>
          <w:sz w:val="32"/>
          <w:szCs w:val="32"/>
          <w:highlight w:val="none"/>
        </w:rPr>
      </w:pPr>
      <w:r>
        <w:rPr>
          <w:rFonts w:ascii="黑体;方正黑体_GBK" w:hAnsi="黑体;方正黑体_GBK" w:eastAsia="黑体;方正黑体_GBK" w:cs="黑体;方正黑体_GBK"/>
          <w:sz w:val="32"/>
          <w:szCs w:val="32"/>
          <w:highlight w:val="none"/>
        </w:rPr>
        <w:t>二、机构</w:t>
      </w:r>
      <w:r>
        <w:rPr>
          <w:rFonts w:ascii="黑体;方正黑体_GBK" w:hAnsi="黑体;方正黑体_GBK" w:eastAsia="黑体;方正黑体_GBK" w:cs="黑体;方正黑体_GBK"/>
          <w:color w:val="auto"/>
          <w:sz w:val="32"/>
          <w:szCs w:val="32"/>
          <w:highlight w:val="none"/>
        </w:rPr>
        <w:t>设置</w:t>
      </w:r>
    </w:p>
    <w:p w14:paraId="628DDA00">
      <w:pPr>
        <w:spacing w:line="580"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海南省消费者委员会办公室</w:t>
      </w:r>
      <w:r>
        <w:rPr>
          <w:rFonts w:ascii="CESI宋体-GB2312" w:hAnsi="CESI宋体-GB2312" w:eastAsia="仿宋_GB2312" w:cs="仿宋_GB2312"/>
          <w:sz w:val="32"/>
          <w:szCs w:val="32"/>
          <w:highlight w:val="none"/>
          <w:lang w:val="zh-CN" w:bidi="ar"/>
        </w:rPr>
        <w:t>纳入海南省市场监督管理局2025年度部门决算编制范围的二级预算单位。</w:t>
      </w:r>
      <w:r>
        <w:rPr>
          <w:rFonts w:ascii="CESI宋体-GB2312" w:hAnsi="CESI宋体-GB2312" w:eastAsia="仿宋_GB2312" w:cs="CESI宋体-GB2312"/>
          <w:sz w:val="32"/>
          <w:szCs w:val="32"/>
          <w:highlight w:val="none"/>
        </w:rPr>
        <w:t>本单位无内设机构。</w:t>
      </w:r>
    </w:p>
    <w:p w14:paraId="7370A643">
      <w:pPr>
        <w:spacing w:line="576" w:lineRule="exact"/>
        <w:jc w:val="both"/>
        <w:rPr>
          <w:rFonts w:ascii="黑体;方正黑体_GBK" w:hAnsi="黑体;方正黑体_GBK" w:eastAsia="黑体;方正黑体_GBK" w:cs="ˎ̥;思源宋体"/>
          <w:sz w:val="32"/>
          <w:szCs w:val="32"/>
          <w:highlight w:val="none"/>
        </w:rPr>
      </w:pPr>
      <w:bookmarkStart w:id="14" w:name="__RefHeading___Toc28253_WPSOffice_Level1"/>
    </w:p>
    <w:p w14:paraId="07E9DB73">
      <w:pPr>
        <w:spacing w:line="576" w:lineRule="exact"/>
        <w:jc w:val="both"/>
        <w:rPr>
          <w:rFonts w:ascii="黑体;方正黑体_GBK" w:hAnsi="黑体;方正黑体_GBK" w:eastAsia="黑体;方正黑体_GBK" w:cs="ˎ̥;思源宋体"/>
          <w:sz w:val="32"/>
          <w:szCs w:val="32"/>
          <w:highlight w:val="none"/>
        </w:rPr>
      </w:pPr>
    </w:p>
    <w:p w14:paraId="070DD11A">
      <w:pPr>
        <w:spacing w:line="576" w:lineRule="exact"/>
        <w:jc w:val="center"/>
        <w:rPr>
          <w:rFonts w:ascii="黑体;方正黑体_GBK" w:hAnsi="黑体;方正黑体_GBK" w:eastAsia="黑体;方正黑体_GBK" w:cs="ˎ̥;思源宋体"/>
          <w:sz w:val="32"/>
          <w:szCs w:val="32"/>
          <w:highlight w:val="none"/>
        </w:rPr>
      </w:pPr>
      <w:r>
        <w:rPr>
          <w:rFonts w:ascii="黑体;方正黑体_GBK" w:hAnsi="黑体;方正黑体_GBK" w:eastAsia="黑体;方正黑体_GBK" w:cs="ˎ̥;思源宋体"/>
          <w:sz w:val="32"/>
          <w:szCs w:val="32"/>
          <w:highlight w:val="none"/>
        </w:rPr>
        <w:t xml:space="preserve">第二部分     </w:t>
      </w:r>
      <w:r>
        <w:rPr>
          <w:rFonts w:ascii="黑体;方正黑体_GBK" w:hAnsi="黑体;方正黑体_GBK" w:eastAsia="黑体;方正黑体_GBK" w:cs="ˎ̥;思源宋体"/>
          <w:sz w:val="32"/>
          <w:szCs w:val="32"/>
          <w:highlight w:val="none"/>
          <w:lang w:eastAsia="zh-CN"/>
        </w:rPr>
        <w:t>2025</w:t>
      </w:r>
      <w:r>
        <w:rPr>
          <w:rFonts w:ascii="黑体;方正黑体_GBK" w:hAnsi="黑体;方正黑体_GBK" w:eastAsia="黑体;方正黑体_GBK" w:cs="ˎ̥;思源宋体"/>
          <w:sz w:val="32"/>
          <w:szCs w:val="32"/>
          <w:highlight w:val="none"/>
        </w:rPr>
        <w:t>年度部门决算公开报表</w:t>
      </w:r>
      <w:bookmarkEnd w:id="14"/>
    </w:p>
    <w:p w14:paraId="0E7269DF">
      <w:pPr>
        <w:spacing w:line="576" w:lineRule="exact"/>
        <w:ind w:firstLine="645"/>
        <w:jc w:val="both"/>
        <w:rPr>
          <w:rFonts w:ascii="黑体;方正黑体_GBK" w:hAnsi="黑体;方正黑体_GBK" w:eastAsia="黑体;方正黑体_GBK" w:cs="黑体;方正黑体_GBK"/>
          <w:sz w:val="32"/>
          <w:szCs w:val="32"/>
          <w:highlight w:val="none"/>
        </w:rPr>
      </w:pPr>
    </w:p>
    <w:p w14:paraId="581ECCFA">
      <w:pPr>
        <w:spacing w:line="560" w:lineRule="exact"/>
        <w:ind w:firstLine="640"/>
        <w:jc w:val="both"/>
        <w:rPr>
          <w:rFonts w:ascii="黑体;方正黑体_GBK" w:hAnsi="黑体;方正黑体_GBK" w:eastAsia="黑体;方正黑体_GBK" w:cs="黑体;方正黑体_GBK"/>
          <w:color w:val="auto"/>
          <w:sz w:val="32"/>
          <w:szCs w:val="32"/>
          <w:highlight w:val="none"/>
        </w:rPr>
      </w:pPr>
      <w:r>
        <w:rPr>
          <w:rFonts w:ascii="黑体;方正黑体_GBK" w:hAnsi="黑体;方正黑体_GBK" w:eastAsia="黑体;方正黑体_GBK" w:cs="黑体;方正黑体_GBK"/>
          <w:color w:val="auto"/>
          <w:sz w:val="32"/>
          <w:szCs w:val="32"/>
          <w:highlight w:val="none"/>
        </w:rPr>
        <w:t>一、收入支出决算公开表</w:t>
      </w:r>
    </w:p>
    <w:p w14:paraId="1ECBACA9">
      <w:pPr>
        <w:spacing w:line="560" w:lineRule="exact"/>
        <w:ind w:firstLine="640"/>
        <w:jc w:val="both"/>
        <w:rPr>
          <w:rFonts w:ascii="黑体;方正黑体_GBK" w:hAnsi="黑体;方正黑体_GBK" w:eastAsia="黑体;方正黑体_GBK" w:cs="黑体;方正黑体_GBK"/>
          <w:color w:val="auto"/>
          <w:sz w:val="32"/>
          <w:szCs w:val="32"/>
          <w:highlight w:val="none"/>
        </w:rPr>
      </w:pPr>
      <w:r>
        <w:rPr>
          <w:rFonts w:ascii="黑体;方正黑体_GBK" w:hAnsi="黑体;方正黑体_GBK" w:eastAsia="黑体;方正黑体_GBK" w:cs="黑体;方正黑体_GBK"/>
          <w:color w:val="auto"/>
          <w:sz w:val="32"/>
          <w:szCs w:val="32"/>
          <w:highlight w:val="none"/>
        </w:rPr>
        <w:t>二、收入决算公开表</w:t>
      </w:r>
    </w:p>
    <w:p w14:paraId="40083B81">
      <w:pPr>
        <w:spacing w:line="560" w:lineRule="exact"/>
        <w:ind w:firstLine="640"/>
        <w:jc w:val="both"/>
        <w:rPr>
          <w:rFonts w:ascii="黑体;方正黑体_GBK" w:hAnsi="黑体;方正黑体_GBK" w:eastAsia="黑体;方正黑体_GBK" w:cs="黑体;方正黑体_GBK"/>
          <w:color w:val="auto"/>
          <w:sz w:val="32"/>
          <w:szCs w:val="32"/>
          <w:highlight w:val="none"/>
        </w:rPr>
      </w:pPr>
      <w:r>
        <w:rPr>
          <w:rFonts w:ascii="黑体;方正黑体_GBK" w:hAnsi="黑体;方正黑体_GBK" w:eastAsia="黑体;方正黑体_GBK" w:cs="黑体;方正黑体_GBK"/>
          <w:color w:val="auto"/>
          <w:sz w:val="32"/>
          <w:szCs w:val="32"/>
          <w:highlight w:val="none"/>
        </w:rPr>
        <w:t>三、支出决算公开表</w:t>
      </w:r>
    </w:p>
    <w:p w14:paraId="4A92DED3">
      <w:pPr>
        <w:spacing w:line="560" w:lineRule="exact"/>
        <w:ind w:firstLine="640"/>
        <w:jc w:val="both"/>
        <w:rPr>
          <w:rFonts w:ascii="黑体;方正黑体_GBK" w:hAnsi="黑体;方正黑体_GBK" w:eastAsia="黑体;方正黑体_GBK" w:cs="黑体;方正黑体_GBK"/>
          <w:color w:val="auto"/>
          <w:sz w:val="32"/>
          <w:szCs w:val="32"/>
          <w:highlight w:val="none"/>
        </w:rPr>
      </w:pPr>
      <w:r>
        <w:rPr>
          <w:rFonts w:ascii="黑体;方正黑体_GBK" w:hAnsi="黑体;方正黑体_GBK" w:eastAsia="黑体;方正黑体_GBK" w:cs="黑体;方正黑体_GBK"/>
          <w:color w:val="auto"/>
          <w:sz w:val="32"/>
          <w:szCs w:val="32"/>
          <w:highlight w:val="none"/>
        </w:rPr>
        <w:t>四、财政拨款收入支出决算公开表</w:t>
      </w:r>
    </w:p>
    <w:p w14:paraId="751532AC">
      <w:pPr>
        <w:spacing w:line="560" w:lineRule="exact"/>
        <w:ind w:firstLine="640"/>
        <w:jc w:val="both"/>
        <w:rPr>
          <w:rFonts w:ascii="黑体;方正黑体_GBK" w:hAnsi="黑体;方正黑体_GBK" w:eastAsia="黑体;方正黑体_GBK" w:cs="黑体;方正黑体_GBK"/>
          <w:color w:val="auto"/>
          <w:sz w:val="32"/>
          <w:szCs w:val="32"/>
          <w:highlight w:val="none"/>
        </w:rPr>
      </w:pPr>
      <w:r>
        <w:rPr>
          <w:rFonts w:ascii="黑体;方正黑体_GBK" w:hAnsi="黑体;方正黑体_GBK" w:eastAsia="黑体;方正黑体_GBK" w:cs="黑体;方正黑体_GBK"/>
          <w:color w:val="auto"/>
          <w:sz w:val="32"/>
          <w:szCs w:val="32"/>
          <w:highlight w:val="none"/>
        </w:rPr>
        <w:t>五、一般公共预算财政拨款收入支出决算公开表</w:t>
      </w:r>
    </w:p>
    <w:p w14:paraId="41033570">
      <w:pPr>
        <w:spacing w:line="560" w:lineRule="exact"/>
        <w:ind w:firstLine="640"/>
        <w:jc w:val="both"/>
        <w:rPr>
          <w:rFonts w:ascii="黑体;方正黑体_GBK" w:hAnsi="黑体;方正黑体_GBK" w:eastAsia="黑体;方正黑体_GBK" w:cs="黑体;方正黑体_GBK"/>
          <w:color w:val="auto"/>
          <w:sz w:val="32"/>
          <w:szCs w:val="32"/>
          <w:highlight w:val="none"/>
        </w:rPr>
      </w:pPr>
      <w:r>
        <w:rPr>
          <w:rFonts w:ascii="黑体;方正黑体_GBK" w:hAnsi="黑体;方正黑体_GBK" w:eastAsia="黑体;方正黑体_GBK" w:cs="黑体;方正黑体_GBK"/>
          <w:color w:val="auto"/>
          <w:sz w:val="32"/>
          <w:szCs w:val="32"/>
          <w:highlight w:val="none"/>
        </w:rPr>
        <w:t>六、一般公共预算财政拨款基本支出决算公开表</w:t>
      </w:r>
    </w:p>
    <w:p w14:paraId="0A70CD79">
      <w:pPr>
        <w:spacing w:line="560" w:lineRule="exact"/>
        <w:ind w:firstLine="640"/>
        <w:jc w:val="both"/>
        <w:rPr>
          <w:rFonts w:ascii="黑体;方正黑体_GBK" w:hAnsi="黑体;方正黑体_GBK" w:eastAsia="黑体;方正黑体_GBK" w:cs="黑体;方正黑体_GBK"/>
          <w:color w:val="auto"/>
          <w:sz w:val="32"/>
          <w:szCs w:val="32"/>
          <w:highlight w:val="none"/>
        </w:rPr>
      </w:pPr>
      <w:r>
        <w:rPr>
          <w:rFonts w:ascii="黑体;方正黑体_GBK" w:hAnsi="黑体;方正黑体_GBK" w:eastAsia="黑体;方正黑体_GBK" w:cs="黑体;方正黑体_GBK"/>
          <w:color w:val="auto"/>
          <w:sz w:val="32"/>
          <w:szCs w:val="32"/>
          <w:highlight w:val="none"/>
        </w:rPr>
        <w:t>七、政府性基金预算财政拨款收入支出决算公开表</w:t>
      </w:r>
    </w:p>
    <w:p w14:paraId="4EDE5164">
      <w:pPr>
        <w:spacing w:line="560" w:lineRule="exact"/>
        <w:ind w:firstLine="640"/>
        <w:jc w:val="both"/>
        <w:rPr>
          <w:rFonts w:ascii="黑体;方正黑体_GBK" w:hAnsi="黑体;方正黑体_GBK" w:eastAsia="黑体;方正黑体_GBK" w:cs="黑体;方正黑体_GBK"/>
          <w:color w:val="auto"/>
          <w:sz w:val="32"/>
          <w:szCs w:val="32"/>
          <w:highlight w:val="none"/>
        </w:rPr>
      </w:pPr>
      <w:r>
        <w:rPr>
          <w:rFonts w:ascii="黑体;方正黑体_GBK" w:hAnsi="黑体;方正黑体_GBK" w:eastAsia="黑体;方正黑体_GBK" w:cs="黑体;方正黑体_GBK"/>
          <w:color w:val="auto"/>
          <w:sz w:val="32"/>
          <w:szCs w:val="32"/>
          <w:highlight w:val="none"/>
        </w:rPr>
        <w:t>八、国有资本经营预算财政拨款收入支出决算公开表</w:t>
      </w:r>
    </w:p>
    <w:p w14:paraId="275CC78E">
      <w:pPr>
        <w:spacing w:line="560" w:lineRule="exact"/>
        <w:ind w:firstLine="640"/>
        <w:jc w:val="both"/>
        <w:rPr>
          <w:rFonts w:ascii="黑体;方正黑体_GBK" w:hAnsi="黑体;方正黑体_GBK" w:eastAsia="黑体;方正黑体_GBK" w:cs="黑体;方正黑体_GBK"/>
          <w:color w:val="auto"/>
          <w:sz w:val="32"/>
          <w:szCs w:val="32"/>
          <w:highlight w:val="none"/>
        </w:rPr>
      </w:pPr>
      <w:r>
        <w:rPr>
          <w:rFonts w:ascii="黑体;方正黑体_GBK" w:hAnsi="黑体;方正黑体_GBK" w:eastAsia="黑体;方正黑体_GBK" w:cs="黑体;方正黑体_GBK"/>
          <w:color w:val="auto"/>
          <w:sz w:val="32"/>
          <w:szCs w:val="32"/>
          <w:highlight w:val="none"/>
        </w:rPr>
        <w:t>九、财政拨款“三公”经费支出决算公开表</w:t>
      </w:r>
    </w:p>
    <w:p w14:paraId="06B1E8CB">
      <w:pPr>
        <w:spacing w:line="560" w:lineRule="exact"/>
        <w:ind w:firstLine="614"/>
        <w:jc w:val="both"/>
        <w:rPr>
          <w:rFonts w:ascii="仿宋_GB2312" w:hAnsi="仿宋_GB2312" w:eastAsia="仿宋_GB2312" w:cs="黑体;方正黑体_GBK"/>
          <w:color w:val="auto"/>
          <w:sz w:val="32"/>
          <w:szCs w:val="32"/>
          <w:highlight w:val="none"/>
        </w:rPr>
      </w:pPr>
      <w:r>
        <w:rPr>
          <w:rFonts w:ascii="仿宋_GB2312" w:hAnsi="仿宋_GB2312" w:eastAsia="仿宋_GB2312" w:cs="黑体;方正黑体_GBK"/>
          <w:color w:val="auto"/>
          <w:w w:val="96"/>
          <w:sz w:val="32"/>
          <w:szCs w:val="32"/>
          <w:highlight w:val="none"/>
        </w:rPr>
        <w:t xml:space="preserve">以上报表见附件1。   </w:t>
      </w:r>
    </w:p>
    <w:p w14:paraId="6DDD650C">
      <w:pPr>
        <w:spacing w:line="576" w:lineRule="exact"/>
        <w:jc w:val="both"/>
        <w:rPr>
          <w:rFonts w:ascii="仿宋_GB2312" w:hAnsi="仿宋_GB2312" w:eastAsia="仿宋_GB2312" w:cs="黑体;方正黑体_GBK"/>
          <w:color w:val="auto"/>
          <w:sz w:val="32"/>
          <w:szCs w:val="32"/>
          <w:highlight w:val="none"/>
        </w:rPr>
      </w:pPr>
    </w:p>
    <w:p w14:paraId="04B94450">
      <w:pPr>
        <w:spacing w:line="576" w:lineRule="exact"/>
        <w:jc w:val="center"/>
        <w:rPr>
          <w:rFonts w:ascii="黑体;方正黑体_GBK" w:hAnsi="黑体;方正黑体_GBK" w:eastAsia="黑体;方正黑体_GBK" w:cs="ˎ̥;思源宋体"/>
          <w:sz w:val="32"/>
          <w:szCs w:val="32"/>
          <w:highlight w:val="none"/>
        </w:rPr>
      </w:pPr>
    </w:p>
    <w:p w14:paraId="3B251E8E">
      <w:pPr>
        <w:spacing w:line="576" w:lineRule="exact"/>
        <w:jc w:val="center"/>
        <w:rPr>
          <w:rFonts w:ascii="黑体;方正黑体_GBK" w:hAnsi="黑体;方正黑体_GBK" w:eastAsia="黑体;方正黑体_GBK" w:cs="ˎ̥;思源宋体"/>
          <w:sz w:val="32"/>
          <w:szCs w:val="32"/>
          <w:highlight w:val="none"/>
        </w:rPr>
      </w:pPr>
    </w:p>
    <w:p w14:paraId="3618BD83">
      <w:pPr>
        <w:spacing w:line="576" w:lineRule="exact"/>
        <w:jc w:val="center"/>
        <w:rPr>
          <w:rFonts w:ascii="黑体;方正黑体_GBK" w:hAnsi="黑体;方正黑体_GBK" w:eastAsia="黑体;方正黑体_GBK" w:cs="ˎ̥;思源宋体"/>
          <w:sz w:val="32"/>
          <w:szCs w:val="32"/>
          <w:highlight w:val="none"/>
        </w:rPr>
      </w:pPr>
    </w:p>
    <w:p w14:paraId="6DD9A2CA">
      <w:pPr>
        <w:spacing w:line="576" w:lineRule="exact"/>
        <w:jc w:val="center"/>
        <w:rPr>
          <w:rFonts w:ascii="黑体;方正黑体_GBK" w:hAnsi="黑体;方正黑体_GBK" w:eastAsia="黑体;方正黑体_GBK" w:cs="ˎ̥;思源宋体"/>
          <w:sz w:val="32"/>
          <w:szCs w:val="32"/>
          <w:highlight w:val="none"/>
        </w:rPr>
      </w:pPr>
    </w:p>
    <w:p w14:paraId="19299DDA">
      <w:pPr>
        <w:spacing w:line="576" w:lineRule="exact"/>
        <w:jc w:val="center"/>
        <w:rPr>
          <w:rFonts w:ascii="黑体;方正黑体_GBK" w:hAnsi="黑体;方正黑体_GBK" w:eastAsia="黑体;方正黑体_GBK" w:cs="ˎ̥;思源宋体"/>
          <w:sz w:val="32"/>
          <w:szCs w:val="32"/>
          <w:highlight w:val="none"/>
        </w:rPr>
      </w:pPr>
    </w:p>
    <w:p w14:paraId="59F37874">
      <w:pPr>
        <w:spacing w:line="576" w:lineRule="exact"/>
        <w:jc w:val="center"/>
        <w:rPr>
          <w:rFonts w:ascii="黑体;方正黑体_GBK" w:hAnsi="黑体;方正黑体_GBK" w:eastAsia="黑体;方正黑体_GBK" w:cs="ˎ̥;思源宋体"/>
          <w:sz w:val="32"/>
          <w:szCs w:val="32"/>
          <w:highlight w:val="none"/>
        </w:rPr>
      </w:pPr>
    </w:p>
    <w:p w14:paraId="3792C0B1">
      <w:pPr>
        <w:spacing w:line="576" w:lineRule="exact"/>
        <w:jc w:val="center"/>
        <w:rPr>
          <w:rFonts w:ascii="黑体;方正黑体_GBK" w:hAnsi="黑体;方正黑体_GBK" w:eastAsia="黑体;方正黑体_GBK" w:cs="ˎ̥;思源宋体"/>
          <w:sz w:val="32"/>
          <w:szCs w:val="32"/>
          <w:highlight w:val="none"/>
        </w:rPr>
      </w:pPr>
    </w:p>
    <w:p w14:paraId="4FF77495">
      <w:pPr>
        <w:spacing w:line="576" w:lineRule="exact"/>
        <w:jc w:val="center"/>
        <w:rPr>
          <w:rFonts w:ascii="黑体;方正黑体_GBK" w:hAnsi="黑体;方正黑体_GBK" w:eastAsia="黑体;方正黑体_GBK" w:cs="ˎ̥;思源宋体"/>
          <w:sz w:val="32"/>
          <w:szCs w:val="32"/>
          <w:highlight w:val="none"/>
        </w:rPr>
      </w:pPr>
    </w:p>
    <w:p w14:paraId="5A377F26">
      <w:pPr>
        <w:spacing w:line="576" w:lineRule="exact"/>
        <w:jc w:val="center"/>
        <w:rPr>
          <w:rFonts w:ascii="黑体;方正黑体_GBK" w:hAnsi="黑体;方正黑体_GBK" w:eastAsia="黑体;方正黑体_GBK" w:cs="ˎ̥;思源宋体"/>
          <w:sz w:val="32"/>
          <w:szCs w:val="32"/>
          <w:highlight w:val="none"/>
        </w:rPr>
      </w:pPr>
    </w:p>
    <w:p w14:paraId="3D84501B">
      <w:pPr>
        <w:spacing w:line="576" w:lineRule="exact"/>
        <w:jc w:val="center"/>
        <w:rPr>
          <w:rFonts w:ascii="黑体;方正黑体_GBK" w:hAnsi="黑体;方正黑体_GBK" w:eastAsia="黑体;方正黑体_GBK" w:cs="ˎ̥;思源宋体"/>
          <w:sz w:val="32"/>
          <w:szCs w:val="32"/>
          <w:highlight w:val="none"/>
        </w:rPr>
      </w:pPr>
      <w:r>
        <w:rPr>
          <w:rFonts w:ascii="黑体;方正黑体_GBK" w:hAnsi="黑体;方正黑体_GBK" w:eastAsia="黑体;方正黑体_GBK" w:cs="ˎ̥;思源宋体"/>
          <w:sz w:val="32"/>
          <w:szCs w:val="32"/>
          <w:highlight w:val="none"/>
        </w:rPr>
        <w:t xml:space="preserve">第三部分  </w:t>
      </w:r>
      <w:r>
        <w:rPr>
          <w:rFonts w:ascii="黑体;方正黑体_GBK" w:hAnsi="黑体;方正黑体_GBK" w:eastAsia="黑体;方正黑体_GBK" w:cs="ˎ̥;思源宋体"/>
          <w:sz w:val="32"/>
          <w:szCs w:val="32"/>
          <w:highlight w:val="none"/>
          <w:lang w:eastAsia="zh-CN"/>
        </w:rPr>
        <w:t>2025</w:t>
      </w:r>
      <w:r>
        <w:rPr>
          <w:rFonts w:ascii="黑体;方正黑体_GBK" w:hAnsi="黑体;方正黑体_GBK" w:eastAsia="黑体;方正黑体_GBK" w:cs="ˎ̥;思源宋体"/>
          <w:sz w:val="32"/>
          <w:szCs w:val="32"/>
          <w:highlight w:val="none"/>
        </w:rPr>
        <w:t>年度部门决算情况说明</w:t>
      </w:r>
    </w:p>
    <w:p w14:paraId="1AC62238">
      <w:pPr>
        <w:spacing w:line="576" w:lineRule="exact"/>
        <w:jc w:val="both"/>
        <w:rPr>
          <w:rFonts w:ascii="黑体;方正黑体_GBK" w:hAnsi="黑体;方正黑体_GBK" w:eastAsia="黑体;方正黑体_GBK" w:cs="ˎ̥;思源宋体"/>
          <w:sz w:val="32"/>
          <w:szCs w:val="32"/>
          <w:highlight w:val="none"/>
        </w:rPr>
      </w:pPr>
    </w:p>
    <w:p w14:paraId="43F85BDA">
      <w:pPr>
        <w:spacing w:line="576" w:lineRule="exact"/>
        <w:ind w:firstLine="640"/>
        <w:jc w:val="both"/>
        <w:rPr>
          <w:rFonts w:ascii="黑体;方正黑体_GBK" w:hAnsi="黑体;方正黑体_GBK" w:eastAsia="黑体;方正黑体_GBK" w:cs="黑体;方正黑体_GBK"/>
          <w:bCs/>
          <w:sz w:val="32"/>
          <w:szCs w:val="32"/>
          <w:highlight w:val="none"/>
        </w:rPr>
      </w:pPr>
      <w:r>
        <w:rPr>
          <w:rFonts w:ascii="黑体;方正黑体_GBK" w:hAnsi="黑体;方正黑体_GBK" w:eastAsia="黑体;方正黑体_GBK" w:cs="黑体;方正黑体_GBK"/>
          <w:bCs/>
          <w:sz w:val="32"/>
          <w:szCs w:val="32"/>
          <w:highlight w:val="none"/>
        </w:rPr>
        <w:t>一、收入支出决算总体情况说明</w:t>
      </w:r>
    </w:p>
    <w:p w14:paraId="1465374E">
      <w:pPr>
        <w:spacing w:line="560"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lang w:eastAsia="zh-CN"/>
        </w:rPr>
        <w:t>2025</w:t>
      </w:r>
      <w:r>
        <w:rPr>
          <w:rFonts w:ascii="CESI宋体-GB2312" w:hAnsi="CESI宋体-GB2312" w:eastAsia="仿宋_GB2312" w:cs="CESI宋体-GB2312"/>
          <w:sz w:val="32"/>
          <w:szCs w:val="32"/>
          <w:highlight w:val="none"/>
        </w:rPr>
        <w:t>年度收入总计</w:t>
      </w:r>
      <w:r>
        <w:rPr>
          <w:rFonts w:ascii="CESI宋体-GB2312" w:hAnsi="CESI宋体-GB2312" w:eastAsia="仿宋_GB2312" w:cs="CESI宋体-GB2312"/>
          <w:sz w:val="32"/>
          <w:szCs w:val="32"/>
          <w:highlight w:val="none"/>
          <w:lang w:val="en-US" w:eastAsia="zh-CN"/>
        </w:rPr>
        <w:t>163.06</w:t>
      </w:r>
      <w:r>
        <w:rPr>
          <w:rFonts w:ascii="CESI宋体-GB2312" w:hAnsi="CESI宋体-GB2312" w:eastAsia="仿宋_GB2312" w:cs="CESI宋体-GB2312"/>
          <w:sz w:val="32"/>
          <w:szCs w:val="32"/>
          <w:highlight w:val="none"/>
        </w:rPr>
        <w:t>万元，支出总计</w:t>
      </w:r>
      <w:r>
        <w:rPr>
          <w:rFonts w:ascii="CESI宋体-GB2312" w:hAnsi="CESI宋体-GB2312" w:eastAsia="仿宋_GB2312" w:cs="CESI宋体-GB2312"/>
          <w:sz w:val="32"/>
          <w:szCs w:val="32"/>
          <w:highlight w:val="none"/>
          <w:lang w:val="en-US" w:eastAsia="zh-CN"/>
        </w:rPr>
        <w:t>163.06</w:t>
      </w:r>
      <w:r>
        <w:rPr>
          <w:rFonts w:ascii="CESI宋体-GB2312" w:hAnsi="CESI宋体-GB2312" w:eastAsia="仿宋_GB2312" w:cs="CESI宋体-GB2312"/>
          <w:sz w:val="32"/>
          <w:szCs w:val="32"/>
          <w:highlight w:val="none"/>
        </w:rPr>
        <w:t>万元，与202</w:t>
      </w:r>
      <w:r>
        <w:rPr>
          <w:rFonts w:ascii="CESI宋体-GB2312" w:hAnsi="CESI宋体-GB2312" w:eastAsia="仿宋_GB2312" w:cs="CESI宋体-GB2312"/>
          <w:sz w:val="32"/>
          <w:szCs w:val="32"/>
          <w:highlight w:val="none"/>
          <w:lang w:val="en-US" w:eastAsia="zh-CN"/>
        </w:rPr>
        <w:t>4</w:t>
      </w:r>
      <w:r>
        <w:rPr>
          <w:rFonts w:ascii="CESI宋体-GB2312" w:hAnsi="CESI宋体-GB2312" w:eastAsia="仿宋_GB2312" w:cs="CESI宋体-GB2312"/>
          <w:sz w:val="32"/>
          <w:szCs w:val="32"/>
          <w:highlight w:val="none"/>
        </w:rPr>
        <w:t>年度相比，收入、支出总计各减少</w:t>
      </w:r>
      <w:r>
        <w:rPr>
          <w:rFonts w:ascii="CESI宋体-GB2312" w:hAnsi="CESI宋体-GB2312" w:eastAsia="仿宋_GB2312" w:cs="CESI宋体-GB2312"/>
          <w:sz w:val="32"/>
          <w:szCs w:val="32"/>
          <w:highlight w:val="none"/>
          <w:lang w:val="en-US" w:eastAsia="zh-CN"/>
        </w:rPr>
        <w:t>22.65</w:t>
      </w:r>
      <w:r>
        <w:rPr>
          <w:rFonts w:ascii="CESI宋体-GB2312" w:hAnsi="CESI宋体-GB2312" w:eastAsia="仿宋_GB2312" w:cs="CESI宋体-GB2312"/>
          <w:sz w:val="32"/>
          <w:szCs w:val="32"/>
          <w:highlight w:val="none"/>
        </w:rPr>
        <w:t>万元，下降</w:t>
      </w:r>
      <w:r>
        <w:rPr>
          <w:rFonts w:hint="eastAsia" w:ascii="CESI宋体-GB2312" w:hAnsi="CESI宋体-GB2312" w:eastAsia="仿宋_GB2312" w:cs="CESI宋体-GB2312"/>
          <w:color w:val="auto"/>
          <w:sz w:val="32"/>
          <w:szCs w:val="32"/>
          <w:highlight w:val="none"/>
          <w:lang w:val="en-US" w:eastAsia="zh-CN"/>
        </w:rPr>
        <w:t>12.2</w:t>
      </w:r>
      <w:r>
        <w:rPr>
          <w:rFonts w:ascii="CESI宋体-GB2312" w:hAnsi="CESI宋体-GB2312" w:eastAsia="仿宋_GB2312" w:cs="CESI宋体-GB2312"/>
          <w:sz w:val="32"/>
          <w:szCs w:val="32"/>
          <w:highlight w:val="none"/>
        </w:rPr>
        <w:t>%。主要原因是：2025年不再缴纳以前年度应记实职业年金。</w:t>
      </w:r>
    </w:p>
    <w:p w14:paraId="5260C5B6">
      <w:pPr>
        <w:spacing w:line="578" w:lineRule="exact"/>
        <w:ind w:firstLine="640"/>
        <w:jc w:val="both"/>
        <w:rPr>
          <w:rFonts w:ascii="CESI宋体-GB2312" w:hAnsi="CESI宋体-GB2312" w:eastAsia="楷体;方正楷体_GBK" w:cs="楷体;方正楷体_GBK"/>
          <w:sz w:val="32"/>
          <w:szCs w:val="32"/>
          <w:highlight w:val="none"/>
        </w:rPr>
      </w:pPr>
      <w:r>
        <w:rPr>
          <w:rFonts w:ascii="CESI宋体-GB2312" w:hAnsi="CESI宋体-GB2312" w:eastAsia="楷体;方正楷体_GBK" w:cs="楷体;方正楷体_GBK"/>
          <w:sz w:val="32"/>
          <w:szCs w:val="32"/>
          <w:highlight w:val="none"/>
        </w:rPr>
        <w:t>（一）收入总计主要构成。</w:t>
      </w:r>
    </w:p>
    <w:p w14:paraId="6CB13513">
      <w:pPr>
        <w:spacing w:line="580"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本年收入</w:t>
      </w:r>
      <w:r>
        <w:rPr>
          <w:rFonts w:ascii="CESI宋体-GB2312" w:hAnsi="CESI宋体-GB2312" w:eastAsia="仿宋_GB2312" w:cs="CESI宋体-GB2312"/>
          <w:sz w:val="32"/>
          <w:szCs w:val="32"/>
          <w:highlight w:val="none"/>
          <w:lang w:eastAsia="zh-CN"/>
        </w:rPr>
        <w:t>163.06</w:t>
      </w:r>
      <w:r>
        <w:rPr>
          <w:rFonts w:ascii="CESI宋体-GB2312" w:hAnsi="CESI宋体-GB2312" w:eastAsia="仿宋_GB2312" w:cs="CESI宋体-GB2312"/>
          <w:sz w:val="32"/>
          <w:szCs w:val="32"/>
          <w:highlight w:val="none"/>
        </w:rPr>
        <w:t>万元。</w:t>
      </w:r>
    </w:p>
    <w:p w14:paraId="0A20BCD9">
      <w:pPr>
        <w:spacing w:line="580" w:lineRule="exact"/>
        <w:ind w:firstLine="640"/>
        <w:jc w:val="both"/>
        <w:rPr>
          <w:rFonts w:ascii="CESI宋体-GB2312" w:hAnsi="CESI宋体-GB2312" w:eastAsia="仿宋_GB2312" w:cs="仿宋_GB2312"/>
          <w:sz w:val="32"/>
          <w:szCs w:val="32"/>
          <w:highlight w:val="none"/>
          <w:lang w:bidi="ar"/>
        </w:rPr>
      </w:pPr>
      <w:r>
        <w:rPr>
          <w:rFonts w:ascii="CESI宋体-GB2312" w:hAnsi="CESI宋体-GB2312" w:eastAsia="仿宋_GB2312" w:cs="CESI宋体-GB2312"/>
          <w:sz w:val="32"/>
          <w:szCs w:val="32"/>
          <w:highlight w:val="none"/>
        </w:rPr>
        <w:t>使用非财政拨款结余</w:t>
      </w:r>
      <w:r>
        <w:rPr>
          <w:rFonts w:ascii="CESI宋体-GB2312" w:hAnsi="CESI宋体-GB2312" w:eastAsia="仿宋;方正仿宋_GBK" w:cs="仿宋;方正仿宋_GBK"/>
          <w:sz w:val="32"/>
          <w:szCs w:val="32"/>
          <w:highlight w:val="none"/>
        </w:rPr>
        <w:t>（含专用结余）</w:t>
      </w:r>
      <w:r>
        <w:rPr>
          <w:rFonts w:ascii="CESI宋体-GB2312" w:hAnsi="CESI宋体-GB2312" w:eastAsia="仿宋_GB2312" w:cs="CESI宋体-GB2312"/>
          <w:sz w:val="32"/>
          <w:szCs w:val="32"/>
          <w:highlight w:val="none"/>
        </w:rPr>
        <w:t>0万元，</w:t>
      </w:r>
      <w:r>
        <w:rPr>
          <w:rFonts w:ascii="CESI宋体-GB2312" w:hAnsi="CESI宋体-GB2312" w:eastAsia="仿宋_GB2312" w:cs="仿宋_GB2312"/>
          <w:sz w:val="32"/>
          <w:szCs w:val="32"/>
          <w:highlight w:val="none"/>
          <w:lang w:bidi="ar"/>
        </w:rPr>
        <w:t>与</w:t>
      </w:r>
      <w:r>
        <w:rPr>
          <w:rFonts w:ascii="CESI宋体-GB2312" w:hAnsi="CESI宋体-GB2312" w:eastAsia="仿宋_GB2312" w:cs="仿宋_GB2312"/>
          <w:sz w:val="32"/>
          <w:szCs w:val="32"/>
          <w:highlight w:val="none"/>
          <w:lang w:eastAsia="zh-CN" w:bidi="ar"/>
        </w:rPr>
        <w:t>2024</w:t>
      </w:r>
      <w:r>
        <w:rPr>
          <w:rFonts w:ascii="CESI宋体-GB2312" w:hAnsi="CESI宋体-GB2312" w:eastAsia="仿宋_GB2312" w:cs="仿宋_GB2312"/>
          <w:sz w:val="32"/>
          <w:szCs w:val="32"/>
          <w:highlight w:val="none"/>
          <w:lang w:bidi="ar"/>
        </w:rPr>
        <w:t>年度决算数持平。</w:t>
      </w:r>
    </w:p>
    <w:p w14:paraId="64BE05DD">
      <w:pPr>
        <w:spacing w:line="580" w:lineRule="exact"/>
        <w:ind w:firstLine="640"/>
        <w:jc w:val="both"/>
        <w:rPr>
          <w:rFonts w:ascii="CESI宋体-GB2312" w:hAnsi="CESI宋体-GB2312" w:eastAsia="仿宋_GB2312" w:cs="仿宋_GB2312"/>
          <w:sz w:val="32"/>
          <w:szCs w:val="32"/>
          <w:highlight w:val="none"/>
          <w:lang w:bidi="ar"/>
        </w:rPr>
      </w:pPr>
      <w:r>
        <w:rPr>
          <w:rFonts w:ascii="CESI宋体-GB2312" w:hAnsi="CESI宋体-GB2312" w:eastAsia="仿宋_GB2312" w:cs="CESI宋体-GB2312"/>
          <w:sz w:val="32"/>
          <w:szCs w:val="32"/>
          <w:highlight w:val="none"/>
        </w:rPr>
        <w:t>年初结转结余0万元，</w:t>
      </w:r>
      <w:r>
        <w:rPr>
          <w:rFonts w:ascii="CESI宋体-GB2312" w:hAnsi="CESI宋体-GB2312" w:eastAsia="仿宋_GB2312" w:cs="仿宋_GB2312"/>
          <w:sz w:val="32"/>
          <w:szCs w:val="32"/>
          <w:highlight w:val="none"/>
          <w:lang w:bidi="ar"/>
        </w:rPr>
        <w:t>与</w:t>
      </w:r>
      <w:r>
        <w:rPr>
          <w:rFonts w:ascii="CESI宋体-GB2312" w:hAnsi="CESI宋体-GB2312" w:eastAsia="仿宋_GB2312" w:cs="仿宋_GB2312"/>
          <w:sz w:val="32"/>
          <w:szCs w:val="32"/>
          <w:highlight w:val="none"/>
          <w:lang w:eastAsia="zh-CN" w:bidi="ar"/>
        </w:rPr>
        <w:t>2024</w:t>
      </w:r>
      <w:r>
        <w:rPr>
          <w:rFonts w:ascii="CESI宋体-GB2312" w:hAnsi="CESI宋体-GB2312" w:eastAsia="仿宋_GB2312" w:cs="仿宋_GB2312"/>
          <w:sz w:val="32"/>
          <w:szCs w:val="32"/>
          <w:highlight w:val="none"/>
          <w:lang w:bidi="ar"/>
        </w:rPr>
        <w:t>年度决算数持平。</w:t>
      </w:r>
    </w:p>
    <w:p w14:paraId="73CD84B9">
      <w:pPr>
        <w:spacing w:line="578" w:lineRule="exact"/>
        <w:ind w:firstLine="640"/>
        <w:jc w:val="both"/>
        <w:rPr>
          <w:rFonts w:ascii="CESI宋体-GB2312" w:hAnsi="CESI宋体-GB2312" w:eastAsia="楷体;方正楷体_GBK" w:cs="楷体;方正楷体_GBK"/>
          <w:sz w:val="32"/>
          <w:szCs w:val="32"/>
          <w:highlight w:val="none"/>
        </w:rPr>
      </w:pPr>
      <w:r>
        <w:rPr>
          <w:rFonts w:ascii="CESI宋体-GB2312" w:hAnsi="CESI宋体-GB2312" w:eastAsia="楷体;方正楷体_GBK" w:cs="楷体;方正楷体_GBK"/>
          <w:sz w:val="32"/>
          <w:szCs w:val="32"/>
          <w:highlight w:val="none"/>
        </w:rPr>
        <w:t>（二）支出总计主要构成。</w:t>
      </w:r>
    </w:p>
    <w:p w14:paraId="036F11E9">
      <w:pPr>
        <w:spacing w:line="580"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本年支出</w:t>
      </w:r>
      <w:r>
        <w:rPr>
          <w:rFonts w:ascii="CESI宋体-GB2312" w:hAnsi="CESI宋体-GB2312" w:eastAsia="仿宋_GB2312" w:cs="CESI宋体-GB2312"/>
          <w:sz w:val="32"/>
          <w:szCs w:val="32"/>
          <w:highlight w:val="none"/>
          <w:lang w:eastAsia="zh-CN"/>
        </w:rPr>
        <w:t>163.06</w:t>
      </w:r>
      <w:r>
        <w:rPr>
          <w:rFonts w:ascii="CESI宋体-GB2312" w:hAnsi="CESI宋体-GB2312" w:eastAsia="仿宋_GB2312" w:cs="CESI宋体-GB2312"/>
          <w:sz w:val="32"/>
          <w:szCs w:val="32"/>
          <w:highlight w:val="none"/>
        </w:rPr>
        <w:t>万元。</w:t>
      </w:r>
    </w:p>
    <w:p w14:paraId="08A4D682">
      <w:pPr>
        <w:spacing w:line="580" w:lineRule="exact"/>
        <w:ind w:firstLine="640"/>
        <w:jc w:val="both"/>
        <w:rPr>
          <w:rFonts w:ascii="CESI宋体-GB2312" w:hAnsi="CESI宋体-GB2312" w:eastAsia="仿宋_GB2312" w:cs="仿宋_GB2312"/>
          <w:sz w:val="32"/>
          <w:szCs w:val="32"/>
          <w:highlight w:val="none"/>
          <w:lang w:bidi="ar"/>
        </w:rPr>
      </w:pPr>
      <w:r>
        <w:rPr>
          <w:rFonts w:ascii="CESI宋体-GB2312" w:hAnsi="CESI宋体-GB2312" w:eastAsia="仿宋_GB2312" w:cs="CESI宋体-GB2312"/>
          <w:sz w:val="32"/>
          <w:szCs w:val="32"/>
          <w:highlight w:val="none"/>
        </w:rPr>
        <w:t>结余分配0万元，</w:t>
      </w:r>
      <w:r>
        <w:rPr>
          <w:rFonts w:ascii="CESI宋体-GB2312" w:hAnsi="CESI宋体-GB2312" w:eastAsia="仿宋_GB2312" w:cs="仿宋_GB2312"/>
          <w:sz w:val="32"/>
          <w:szCs w:val="32"/>
          <w:highlight w:val="none"/>
          <w:lang w:bidi="ar"/>
        </w:rPr>
        <w:t>与</w:t>
      </w:r>
      <w:r>
        <w:rPr>
          <w:rFonts w:ascii="CESI宋体-GB2312" w:hAnsi="CESI宋体-GB2312" w:eastAsia="仿宋_GB2312" w:cs="仿宋_GB2312"/>
          <w:sz w:val="32"/>
          <w:szCs w:val="32"/>
          <w:highlight w:val="none"/>
          <w:lang w:eastAsia="zh-CN" w:bidi="ar"/>
        </w:rPr>
        <w:t>2024</w:t>
      </w:r>
      <w:r>
        <w:rPr>
          <w:rFonts w:ascii="CESI宋体-GB2312" w:hAnsi="CESI宋体-GB2312" w:eastAsia="仿宋_GB2312" w:cs="仿宋_GB2312"/>
          <w:sz w:val="32"/>
          <w:szCs w:val="32"/>
          <w:highlight w:val="none"/>
          <w:lang w:bidi="ar"/>
        </w:rPr>
        <w:t>年度决算数持平。</w:t>
      </w:r>
    </w:p>
    <w:p w14:paraId="23F31678">
      <w:pPr>
        <w:spacing w:line="580" w:lineRule="exact"/>
        <w:ind w:firstLine="640"/>
        <w:jc w:val="both"/>
        <w:rPr>
          <w:rFonts w:ascii="CESI宋体-GB2312" w:hAnsi="CESI宋体-GB2312" w:eastAsia="仿宋_GB2312" w:cs="仿宋_GB2312"/>
          <w:sz w:val="32"/>
          <w:szCs w:val="32"/>
          <w:highlight w:val="none"/>
          <w:lang w:bidi="ar"/>
        </w:rPr>
      </w:pPr>
      <w:r>
        <w:rPr>
          <w:rFonts w:ascii="CESI宋体-GB2312" w:hAnsi="CESI宋体-GB2312" w:eastAsia="仿宋_GB2312" w:cs="CESI宋体-GB2312"/>
          <w:sz w:val="32"/>
          <w:szCs w:val="32"/>
          <w:highlight w:val="none"/>
        </w:rPr>
        <w:t>年末结转结余0万元，</w:t>
      </w:r>
      <w:r>
        <w:rPr>
          <w:rFonts w:ascii="CESI宋体-GB2312" w:hAnsi="CESI宋体-GB2312" w:eastAsia="仿宋_GB2312" w:cs="仿宋_GB2312"/>
          <w:sz w:val="32"/>
          <w:szCs w:val="32"/>
          <w:highlight w:val="none"/>
          <w:lang w:bidi="ar"/>
        </w:rPr>
        <w:t>与</w:t>
      </w:r>
      <w:r>
        <w:rPr>
          <w:rFonts w:ascii="CESI宋体-GB2312" w:hAnsi="CESI宋体-GB2312" w:eastAsia="仿宋_GB2312" w:cs="仿宋_GB2312"/>
          <w:sz w:val="32"/>
          <w:szCs w:val="32"/>
          <w:highlight w:val="none"/>
          <w:lang w:eastAsia="zh-CN" w:bidi="ar"/>
        </w:rPr>
        <w:t>2024</w:t>
      </w:r>
      <w:r>
        <w:rPr>
          <w:rFonts w:ascii="CESI宋体-GB2312" w:hAnsi="CESI宋体-GB2312" w:eastAsia="仿宋_GB2312" w:cs="仿宋_GB2312"/>
          <w:sz w:val="32"/>
          <w:szCs w:val="32"/>
          <w:highlight w:val="none"/>
          <w:lang w:bidi="ar"/>
        </w:rPr>
        <w:t>年度决算数持平。</w:t>
      </w:r>
      <w:r>
        <w:rPr>
          <w:rFonts w:ascii="CESI宋体-GB2312" w:hAnsi="CESI宋体-GB2312" w:eastAsia="CESI宋体-GB2312" w:cs="CESI宋体-GB2312"/>
          <w:sz w:val="32"/>
          <w:szCs w:val="32"/>
          <w:highlight w:val="none"/>
        </w:rPr>
        <w:t xml:space="preserve"> </w:t>
      </w:r>
    </w:p>
    <w:p w14:paraId="304645B3">
      <w:pPr>
        <w:spacing w:line="576" w:lineRule="exact"/>
        <w:ind w:firstLine="640"/>
        <w:jc w:val="both"/>
        <w:rPr>
          <w:rFonts w:ascii="CESI宋体-GB2312" w:hAnsi="CESI宋体-GB2312" w:eastAsia="仿宋_GB2312" w:cs="CESI宋体-GB2312"/>
          <w:sz w:val="32"/>
          <w:szCs w:val="32"/>
          <w:highlight w:val="none"/>
        </w:rPr>
      </w:pPr>
      <w:r>
        <w:rPr>
          <w:rFonts w:ascii="CESI宋体-GB2312" w:hAnsi="CESI宋体-GB2312" w:eastAsia="黑体;方正黑体_GBK" w:cs="黑体;方正黑体_GBK"/>
          <w:bCs/>
          <w:sz w:val="32"/>
          <w:szCs w:val="32"/>
          <w:highlight w:val="none"/>
        </w:rPr>
        <w:t>二、收入决算情况说明</w:t>
      </w:r>
      <w:r>
        <w:rPr>
          <w:rFonts w:ascii="CESI宋体-GB2312" w:hAnsi="CESI宋体-GB2312" w:eastAsia="黑体;方正黑体_GBK" w:cs="黑体;方正黑体_GBK"/>
          <w:bCs/>
          <w:sz w:val="32"/>
          <w:szCs w:val="32"/>
          <w:highlight w:val="none"/>
        </w:rPr>
        <w:br w:type="textWrapping"/>
      </w:r>
      <w:r>
        <w:rPr>
          <w:rFonts w:ascii="CESI宋体-GB2312" w:hAnsi="CESI宋体-GB2312" w:eastAsia="仿宋_GB2312" w:cs="CESI宋体-GB2312"/>
          <w:sz w:val="32"/>
          <w:szCs w:val="32"/>
          <w:highlight w:val="none"/>
        </w:rPr>
        <w:t xml:space="preserve">    本年收入合计</w:t>
      </w:r>
      <w:r>
        <w:rPr>
          <w:rFonts w:ascii="CESI宋体-GB2312" w:hAnsi="CESI宋体-GB2312" w:eastAsia="仿宋_GB2312" w:cs="CESI宋体-GB2312"/>
          <w:sz w:val="32"/>
          <w:szCs w:val="32"/>
          <w:highlight w:val="none"/>
          <w:lang w:eastAsia="zh-CN"/>
        </w:rPr>
        <w:t>163.06</w:t>
      </w:r>
      <w:r>
        <w:rPr>
          <w:rFonts w:ascii="CESI宋体-GB2312" w:hAnsi="CESI宋体-GB2312" w:eastAsia="仿宋_GB2312" w:cs="CESI宋体-GB2312"/>
          <w:sz w:val="32"/>
          <w:szCs w:val="32"/>
          <w:highlight w:val="none"/>
        </w:rPr>
        <w:t>万元，其中：财政拨款收入</w:t>
      </w:r>
      <w:r>
        <w:rPr>
          <w:rFonts w:ascii="CESI宋体-GB2312" w:hAnsi="CESI宋体-GB2312" w:eastAsia="仿宋_GB2312" w:cs="CESI宋体-GB2312"/>
          <w:sz w:val="32"/>
          <w:szCs w:val="32"/>
          <w:highlight w:val="none"/>
          <w:lang w:eastAsia="zh-CN"/>
        </w:rPr>
        <w:t>163.06</w:t>
      </w:r>
      <w:r>
        <w:rPr>
          <w:rFonts w:ascii="CESI宋体-GB2312" w:hAnsi="CESI宋体-GB2312" w:eastAsia="仿宋_GB2312" w:cs="CESI宋体-GB2312"/>
          <w:sz w:val="32"/>
          <w:szCs w:val="32"/>
          <w:highlight w:val="none"/>
        </w:rPr>
        <w:t>万元，占100%；上级补助收入</w:t>
      </w:r>
      <w:r>
        <w:rPr>
          <w:rFonts w:hint="eastAsia" w:ascii="CESI宋体-GB2312" w:hAnsi="CESI宋体-GB2312" w:eastAsia="仿宋_GB2312" w:cs="CESI宋体-GB2312"/>
          <w:color w:val="auto"/>
          <w:sz w:val="32"/>
          <w:szCs w:val="32"/>
          <w:highlight w:val="none"/>
          <w:lang w:val="en-US" w:eastAsia="zh-CN"/>
        </w:rPr>
        <w:t>0</w:t>
      </w:r>
      <w:r>
        <w:rPr>
          <w:rFonts w:ascii="CESI宋体-GB2312" w:hAnsi="CESI宋体-GB2312" w:eastAsia="仿宋_GB2312" w:cs="CESI宋体-GB2312"/>
          <w:sz w:val="32"/>
          <w:szCs w:val="32"/>
          <w:highlight w:val="none"/>
        </w:rPr>
        <w:t>万元，占0%；事业收入0万元，占0%；经营收入0万元，占0%；附属单位上缴收入0万元，占0%；其他收入0万元，占0%。</w:t>
      </w:r>
    </w:p>
    <w:p w14:paraId="39F4B75C">
      <w:pPr>
        <w:spacing w:line="576" w:lineRule="exact"/>
        <w:ind w:firstLine="640"/>
        <w:jc w:val="both"/>
        <w:rPr>
          <w:rFonts w:ascii="CESI宋体-GB2312" w:hAnsi="CESI宋体-GB2312" w:eastAsia="黑体;方正黑体_GBK" w:cs="黑体;方正黑体_GBK"/>
          <w:bCs/>
          <w:sz w:val="32"/>
          <w:szCs w:val="32"/>
          <w:highlight w:val="none"/>
        </w:rPr>
      </w:pPr>
      <w:r>
        <w:rPr>
          <w:rFonts w:ascii="CESI宋体-GB2312" w:hAnsi="CESI宋体-GB2312" w:eastAsia="黑体;方正黑体_GBK" w:cs="黑体;方正黑体_GBK"/>
          <w:bCs/>
          <w:sz w:val="32"/>
          <w:szCs w:val="32"/>
          <w:highlight w:val="none"/>
        </w:rPr>
        <w:t>三、支出决算情况说明</w:t>
      </w:r>
    </w:p>
    <w:p w14:paraId="7033CD25">
      <w:pPr>
        <w:spacing w:line="576"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本年支出合计</w:t>
      </w:r>
      <w:r>
        <w:rPr>
          <w:rFonts w:ascii="CESI宋体-GB2312" w:hAnsi="CESI宋体-GB2312" w:eastAsia="仿宋_GB2312" w:cs="CESI宋体-GB2312"/>
          <w:sz w:val="32"/>
          <w:szCs w:val="32"/>
          <w:highlight w:val="none"/>
          <w:lang w:eastAsia="zh-CN"/>
        </w:rPr>
        <w:t>163.06</w:t>
      </w:r>
      <w:r>
        <w:rPr>
          <w:rFonts w:ascii="CESI宋体-GB2312" w:hAnsi="CESI宋体-GB2312" w:eastAsia="仿宋_GB2312" w:cs="CESI宋体-GB2312"/>
          <w:sz w:val="32"/>
          <w:szCs w:val="32"/>
          <w:highlight w:val="none"/>
        </w:rPr>
        <w:t>万元，其中：基本支出</w:t>
      </w:r>
      <w:r>
        <w:rPr>
          <w:rFonts w:ascii="CESI宋体-GB2312" w:hAnsi="CESI宋体-GB2312" w:eastAsia="仿宋_GB2312" w:cs="CESI宋体-GB2312"/>
          <w:sz w:val="32"/>
          <w:szCs w:val="32"/>
          <w:highlight w:val="none"/>
          <w:lang w:val="en-US" w:eastAsia="zh-CN"/>
        </w:rPr>
        <w:t>150.04</w:t>
      </w:r>
      <w:r>
        <w:rPr>
          <w:rFonts w:ascii="CESI宋体-GB2312" w:hAnsi="CESI宋体-GB2312" w:eastAsia="仿宋_GB2312" w:cs="CESI宋体-GB2312"/>
          <w:sz w:val="32"/>
          <w:szCs w:val="32"/>
          <w:highlight w:val="none"/>
        </w:rPr>
        <w:t>万元，占92%；项目支出</w:t>
      </w:r>
      <w:r>
        <w:rPr>
          <w:rFonts w:hint="eastAsia" w:ascii="CESI宋体-GB2312" w:hAnsi="CESI宋体-GB2312" w:eastAsia="仿宋_GB2312" w:cs="CESI宋体-GB2312"/>
          <w:color w:val="auto"/>
          <w:sz w:val="32"/>
          <w:szCs w:val="32"/>
          <w:highlight w:val="none"/>
          <w:lang w:val="en-US" w:eastAsia="zh-CN"/>
        </w:rPr>
        <w:t>13.02</w:t>
      </w:r>
      <w:r>
        <w:rPr>
          <w:rFonts w:ascii="CESI宋体-GB2312" w:hAnsi="CESI宋体-GB2312" w:eastAsia="仿宋_GB2312" w:cs="CESI宋体-GB2312"/>
          <w:sz w:val="32"/>
          <w:szCs w:val="32"/>
          <w:highlight w:val="none"/>
        </w:rPr>
        <w:t>万元，占</w:t>
      </w:r>
      <w:r>
        <w:rPr>
          <w:rFonts w:hint="eastAsia" w:ascii="CESI宋体-GB2312" w:hAnsi="CESI宋体-GB2312" w:eastAsia="仿宋_GB2312" w:cs="CESI宋体-GB2312"/>
          <w:sz w:val="32"/>
          <w:szCs w:val="32"/>
          <w:highlight w:val="none"/>
          <w:lang w:val="en-US" w:eastAsia="zh-CN"/>
        </w:rPr>
        <w:t>8</w:t>
      </w:r>
      <w:r>
        <w:rPr>
          <w:rFonts w:ascii="CESI宋体-GB2312" w:hAnsi="CESI宋体-GB2312" w:eastAsia="仿宋_GB2312" w:cs="CESI宋体-GB2312"/>
          <w:sz w:val="32"/>
          <w:szCs w:val="32"/>
          <w:highlight w:val="none"/>
        </w:rPr>
        <w:t>%；上缴上级支出0万元，占0%；经营支出0万元，占0%；对附属单位补助支出0万元，占0%。</w:t>
      </w:r>
    </w:p>
    <w:p w14:paraId="2FDE5728">
      <w:pPr>
        <w:spacing w:line="576" w:lineRule="exact"/>
        <w:ind w:firstLine="640"/>
        <w:jc w:val="both"/>
        <w:rPr>
          <w:rFonts w:ascii="CESI宋体-GB2312" w:hAnsi="CESI宋体-GB2312" w:eastAsia="黑体;方正黑体_GBK" w:cs="黑体;方正黑体_GBK"/>
          <w:bCs/>
          <w:sz w:val="32"/>
          <w:szCs w:val="32"/>
          <w:highlight w:val="none"/>
        </w:rPr>
      </w:pPr>
      <w:r>
        <w:rPr>
          <w:rFonts w:ascii="CESI宋体-GB2312" w:hAnsi="CESI宋体-GB2312" w:eastAsia="黑体;方正黑体_GBK" w:cs="黑体;方正黑体_GBK"/>
          <w:bCs/>
          <w:sz w:val="32"/>
          <w:szCs w:val="32"/>
          <w:highlight w:val="none"/>
        </w:rPr>
        <w:t>四、财政拨款收入支出决算总体情况说明</w:t>
      </w:r>
    </w:p>
    <w:p w14:paraId="05B72176">
      <w:pPr>
        <w:spacing w:line="560"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lang w:eastAsia="zh-CN"/>
        </w:rPr>
        <w:t>2025</w:t>
      </w:r>
      <w:r>
        <w:rPr>
          <w:rFonts w:ascii="CESI宋体-GB2312" w:hAnsi="CESI宋体-GB2312" w:eastAsia="仿宋_GB2312" w:cs="CESI宋体-GB2312"/>
          <w:sz w:val="32"/>
          <w:szCs w:val="32"/>
          <w:highlight w:val="none"/>
        </w:rPr>
        <w:t>年度财政拨款收入</w:t>
      </w:r>
      <w:r>
        <w:rPr>
          <w:rFonts w:ascii="CESI宋体-GB2312" w:hAnsi="CESI宋体-GB2312" w:eastAsia="仿宋_GB2312" w:cs="CESI宋体-GB2312"/>
          <w:sz w:val="32"/>
          <w:szCs w:val="32"/>
          <w:highlight w:val="none"/>
          <w:lang w:eastAsia="zh-CN"/>
        </w:rPr>
        <w:t>163.06</w:t>
      </w:r>
      <w:r>
        <w:rPr>
          <w:rFonts w:ascii="CESI宋体-GB2312" w:hAnsi="CESI宋体-GB2312" w:eastAsia="仿宋_GB2312" w:cs="CESI宋体-GB2312"/>
          <w:sz w:val="32"/>
          <w:szCs w:val="32"/>
          <w:highlight w:val="none"/>
        </w:rPr>
        <w:t>万元，支出</w:t>
      </w:r>
      <w:r>
        <w:rPr>
          <w:rFonts w:ascii="CESI宋体-GB2312" w:hAnsi="CESI宋体-GB2312" w:eastAsia="仿宋_GB2312" w:cs="CESI宋体-GB2312"/>
          <w:sz w:val="32"/>
          <w:szCs w:val="32"/>
          <w:highlight w:val="none"/>
          <w:lang w:eastAsia="zh-CN"/>
        </w:rPr>
        <w:t>163.06</w:t>
      </w:r>
      <w:r>
        <w:rPr>
          <w:rFonts w:ascii="CESI宋体-GB2312" w:hAnsi="CESI宋体-GB2312" w:eastAsia="仿宋_GB2312" w:cs="CESI宋体-GB2312"/>
          <w:sz w:val="32"/>
          <w:szCs w:val="32"/>
          <w:highlight w:val="none"/>
        </w:rPr>
        <w:t>万元。与</w:t>
      </w:r>
      <w:r>
        <w:rPr>
          <w:rFonts w:ascii="CESI宋体-GB2312" w:hAnsi="CESI宋体-GB2312" w:eastAsia="仿宋_GB2312" w:cs="CESI宋体-GB2312"/>
          <w:sz w:val="32"/>
          <w:szCs w:val="32"/>
          <w:highlight w:val="none"/>
          <w:lang w:eastAsia="zh-CN"/>
        </w:rPr>
        <w:t>2024</w:t>
      </w:r>
      <w:r>
        <w:rPr>
          <w:rFonts w:ascii="CESI宋体-GB2312" w:hAnsi="CESI宋体-GB2312" w:eastAsia="仿宋_GB2312" w:cs="CESI宋体-GB2312"/>
          <w:sz w:val="32"/>
          <w:szCs w:val="32"/>
          <w:highlight w:val="none"/>
        </w:rPr>
        <w:t>年度相比，财政拨款收入减少</w:t>
      </w:r>
      <w:r>
        <w:rPr>
          <w:rFonts w:ascii="CESI宋体-GB2312" w:hAnsi="CESI宋体-GB2312" w:eastAsia="仿宋_GB2312" w:cs="CESI宋体-GB2312"/>
          <w:sz w:val="32"/>
          <w:szCs w:val="32"/>
          <w:highlight w:val="none"/>
          <w:lang w:val="en-US" w:eastAsia="zh-CN"/>
        </w:rPr>
        <w:t>22.65</w:t>
      </w:r>
      <w:r>
        <w:rPr>
          <w:rFonts w:ascii="CESI宋体-GB2312" w:hAnsi="CESI宋体-GB2312" w:eastAsia="仿宋_GB2312" w:cs="CESI宋体-GB2312"/>
          <w:sz w:val="32"/>
          <w:szCs w:val="32"/>
          <w:highlight w:val="none"/>
        </w:rPr>
        <w:t>万元，下降</w:t>
      </w:r>
      <w:r>
        <w:rPr>
          <w:rFonts w:hint="eastAsia" w:ascii="CESI宋体-GB2312" w:hAnsi="CESI宋体-GB2312" w:eastAsia="仿宋_GB2312" w:cs="CESI宋体-GB2312"/>
          <w:color w:val="auto"/>
          <w:sz w:val="32"/>
          <w:szCs w:val="32"/>
          <w:highlight w:val="none"/>
          <w:lang w:val="en-US" w:eastAsia="zh-CN"/>
        </w:rPr>
        <w:t>12.2</w:t>
      </w:r>
      <w:r>
        <w:rPr>
          <w:rFonts w:ascii="CESI宋体-GB2312" w:hAnsi="CESI宋体-GB2312" w:eastAsia="仿宋_GB2312" w:cs="CESI宋体-GB2312"/>
          <w:sz w:val="32"/>
          <w:szCs w:val="32"/>
          <w:highlight w:val="none"/>
        </w:rPr>
        <w:t>%。主要原因是：2025年不再缴纳以前年度应记实职业年金</w:t>
      </w:r>
      <w:r>
        <w:rPr>
          <w:rFonts w:ascii="CESI宋体-GB2312" w:hAnsi="CESI宋体-GB2312" w:eastAsia="仿宋_GB2312" w:cs="CESI宋体-GB2312"/>
          <w:color w:val="auto"/>
          <w:sz w:val="32"/>
          <w:szCs w:val="32"/>
          <w:highlight w:val="none"/>
        </w:rPr>
        <w:t>。</w:t>
      </w:r>
      <w:r>
        <w:rPr>
          <w:rFonts w:ascii="CESI宋体-GB2312" w:hAnsi="CESI宋体-GB2312" w:eastAsia="仿宋_GB2312" w:cs="CESI宋体-GB2312"/>
          <w:sz w:val="32"/>
          <w:szCs w:val="32"/>
          <w:highlight w:val="none"/>
        </w:rPr>
        <w:t>支出减少</w:t>
      </w:r>
      <w:r>
        <w:rPr>
          <w:rFonts w:ascii="CESI宋体-GB2312" w:hAnsi="CESI宋体-GB2312" w:eastAsia="仿宋_GB2312" w:cs="CESI宋体-GB2312"/>
          <w:sz w:val="32"/>
          <w:szCs w:val="32"/>
          <w:highlight w:val="none"/>
          <w:lang w:val="en-US" w:eastAsia="zh-CN"/>
        </w:rPr>
        <w:t>22.65</w:t>
      </w:r>
      <w:r>
        <w:rPr>
          <w:rFonts w:ascii="CESI宋体-GB2312" w:hAnsi="CESI宋体-GB2312" w:eastAsia="仿宋_GB2312" w:cs="CESI宋体-GB2312"/>
          <w:sz w:val="32"/>
          <w:szCs w:val="32"/>
          <w:highlight w:val="none"/>
        </w:rPr>
        <w:t>万元，下降</w:t>
      </w:r>
      <w:r>
        <w:rPr>
          <w:rFonts w:hint="eastAsia" w:ascii="CESI宋体-GB2312" w:hAnsi="CESI宋体-GB2312" w:eastAsia="仿宋_GB2312" w:cs="CESI宋体-GB2312"/>
          <w:color w:val="auto"/>
          <w:sz w:val="32"/>
          <w:szCs w:val="32"/>
          <w:highlight w:val="none"/>
          <w:lang w:val="en-US" w:eastAsia="zh-CN"/>
        </w:rPr>
        <w:t>12.2</w:t>
      </w:r>
      <w:r>
        <w:rPr>
          <w:rFonts w:ascii="CESI宋体-GB2312" w:hAnsi="CESI宋体-GB2312" w:eastAsia="仿宋_GB2312" w:cs="CESI宋体-GB2312"/>
          <w:sz w:val="32"/>
          <w:szCs w:val="32"/>
          <w:highlight w:val="none"/>
        </w:rPr>
        <w:t>%。主要原因是：2025年不再缴纳以前年度应记实职业年金</w:t>
      </w:r>
      <w:r>
        <w:rPr>
          <w:rFonts w:ascii="CESI宋体-GB2312" w:hAnsi="CESI宋体-GB2312" w:eastAsia="仿宋_GB2312" w:cs="CESI宋体-GB2312"/>
          <w:color w:val="auto"/>
          <w:sz w:val="32"/>
          <w:szCs w:val="32"/>
          <w:highlight w:val="none"/>
        </w:rPr>
        <w:t>。</w:t>
      </w:r>
    </w:p>
    <w:p w14:paraId="16C650A6">
      <w:pPr>
        <w:spacing w:line="580" w:lineRule="exact"/>
        <w:ind w:firstLine="640"/>
        <w:jc w:val="both"/>
        <w:rPr>
          <w:rFonts w:ascii="CESI宋体-GB2312" w:hAnsi="CESI宋体-GB2312" w:eastAsia="仿宋_GB2312" w:cs="仿宋_GB2312"/>
          <w:sz w:val="32"/>
          <w:szCs w:val="32"/>
          <w:highlight w:val="none"/>
          <w:lang w:bidi="ar"/>
        </w:rPr>
      </w:pPr>
      <w:r>
        <w:rPr>
          <w:rFonts w:ascii="CESI宋体-GB2312" w:hAnsi="CESI宋体-GB2312" w:eastAsia="仿宋_GB2312" w:cs="CESI宋体-GB2312"/>
          <w:sz w:val="32"/>
          <w:szCs w:val="32"/>
          <w:highlight w:val="none"/>
        </w:rPr>
        <w:t>财政拨款年初结转结余0万元，</w:t>
      </w:r>
      <w:r>
        <w:rPr>
          <w:rFonts w:ascii="CESI宋体-GB2312" w:hAnsi="CESI宋体-GB2312" w:eastAsia="仿宋_GB2312" w:cs="仿宋_GB2312"/>
          <w:sz w:val="32"/>
          <w:szCs w:val="32"/>
          <w:highlight w:val="none"/>
          <w:lang w:bidi="ar"/>
        </w:rPr>
        <w:t>与</w:t>
      </w:r>
      <w:r>
        <w:rPr>
          <w:rFonts w:ascii="CESI宋体-GB2312" w:hAnsi="CESI宋体-GB2312" w:eastAsia="仿宋_GB2312" w:cs="仿宋_GB2312"/>
          <w:sz w:val="32"/>
          <w:szCs w:val="32"/>
          <w:highlight w:val="none"/>
          <w:lang w:eastAsia="zh-CN" w:bidi="ar"/>
        </w:rPr>
        <w:t>2024</w:t>
      </w:r>
      <w:r>
        <w:rPr>
          <w:rFonts w:ascii="CESI宋体-GB2312" w:hAnsi="CESI宋体-GB2312" w:eastAsia="仿宋_GB2312" w:cs="仿宋_GB2312"/>
          <w:sz w:val="32"/>
          <w:szCs w:val="32"/>
          <w:highlight w:val="none"/>
          <w:lang w:bidi="ar"/>
        </w:rPr>
        <w:t>年度决算数持平。</w:t>
      </w:r>
    </w:p>
    <w:p w14:paraId="1246202F">
      <w:pPr>
        <w:spacing w:line="580" w:lineRule="exact"/>
        <w:ind w:firstLine="640"/>
        <w:jc w:val="both"/>
        <w:rPr>
          <w:rFonts w:ascii="CESI宋体-GB2312" w:hAnsi="CESI宋体-GB2312" w:eastAsia="仿宋_GB2312" w:cs="仿宋_GB2312"/>
          <w:sz w:val="32"/>
          <w:szCs w:val="32"/>
          <w:highlight w:val="none"/>
          <w:lang w:bidi="ar"/>
        </w:rPr>
      </w:pPr>
      <w:r>
        <w:rPr>
          <w:rFonts w:ascii="CESI宋体-GB2312" w:hAnsi="CESI宋体-GB2312" w:eastAsia="仿宋_GB2312" w:cs="CESI宋体-GB2312"/>
          <w:sz w:val="32"/>
          <w:szCs w:val="32"/>
          <w:highlight w:val="none"/>
        </w:rPr>
        <w:t>财政拨款年末结转结余0万元，</w:t>
      </w:r>
      <w:r>
        <w:rPr>
          <w:rFonts w:ascii="CESI宋体-GB2312" w:hAnsi="CESI宋体-GB2312" w:eastAsia="仿宋_GB2312" w:cs="仿宋_GB2312"/>
          <w:sz w:val="32"/>
          <w:szCs w:val="32"/>
          <w:highlight w:val="none"/>
          <w:lang w:bidi="ar"/>
        </w:rPr>
        <w:t>与</w:t>
      </w:r>
      <w:r>
        <w:rPr>
          <w:rFonts w:ascii="CESI宋体-GB2312" w:hAnsi="CESI宋体-GB2312" w:eastAsia="仿宋_GB2312" w:cs="仿宋_GB2312"/>
          <w:sz w:val="32"/>
          <w:szCs w:val="32"/>
          <w:highlight w:val="none"/>
          <w:lang w:eastAsia="zh-CN" w:bidi="ar"/>
        </w:rPr>
        <w:t>2024</w:t>
      </w:r>
      <w:r>
        <w:rPr>
          <w:rFonts w:ascii="CESI宋体-GB2312" w:hAnsi="CESI宋体-GB2312" w:eastAsia="仿宋_GB2312" w:cs="仿宋_GB2312"/>
          <w:sz w:val="32"/>
          <w:szCs w:val="32"/>
          <w:highlight w:val="none"/>
          <w:lang w:bidi="ar"/>
        </w:rPr>
        <w:t>年度决算数持平。</w:t>
      </w:r>
    </w:p>
    <w:p w14:paraId="365A39EE">
      <w:pPr>
        <w:spacing w:line="560" w:lineRule="exact"/>
        <w:ind w:firstLine="640"/>
        <w:jc w:val="both"/>
        <w:rPr>
          <w:rFonts w:ascii="CESI宋体-GB2312" w:hAnsi="CESI宋体-GB2312" w:eastAsia="仿宋_GB2312" w:cs="CESI宋体-GB2312"/>
          <w:sz w:val="32"/>
          <w:szCs w:val="32"/>
          <w:highlight w:val="none"/>
        </w:rPr>
      </w:pPr>
      <w:r>
        <w:rPr>
          <w:rFonts w:ascii="CESI宋体-GB2312" w:hAnsi="CESI宋体-GB2312" w:eastAsia="黑体;方正黑体_GBK" w:cs="黑体;方正黑体_GBK"/>
          <w:bCs/>
          <w:color w:val="auto"/>
          <w:sz w:val="32"/>
          <w:szCs w:val="32"/>
          <w:highlight w:val="none"/>
        </w:rPr>
        <w:t>五、一般公共预算财政拨款支出决算情况说明</w:t>
      </w:r>
    </w:p>
    <w:p w14:paraId="165D3E4F">
      <w:pPr>
        <w:spacing w:line="576" w:lineRule="exact"/>
        <w:ind w:firstLine="640"/>
        <w:jc w:val="both"/>
        <w:rPr>
          <w:rFonts w:ascii="CESI宋体-GB2312" w:hAnsi="CESI宋体-GB2312" w:eastAsia="楷体;方正楷体_GBK" w:cs="楷体;方正楷体_GBK"/>
          <w:sz w:val="32"/>
          <w:szCs w:val="32"/>
          <w:highlight w:val="none"/>
        </w:rPr>
      </w:pPr>
      <w:r>
        <w:rPr>
          <w:rFonts w:ascii="CESI宋体-GB2312" w:hAnsi="CESI宋体-GB2312" w:eastAsia="楷体;方正楷体_GBK" w:cs="楷体;方正楷体_GBK"/>
          <w:sz w:val="32"/>
          <w:szCs w:val="32"/>
          <w:highlight w:val="none"/>
        </w:rPr>
        <w:t>（一）一般公共预算财政拨款支出决算总体情况。</w:t>
      </w:r>
    </w:p>
    <w:p w14:paraId="0EE018F3">
      <w:pPr>
        <w:spacing w:line="560"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lang w:eastAsia="zh-CN"/>
        </w:rPr>
        <w:t>2025</w:t>
      </w:r>
      <w:r>
        <w:rPr>
          <w:rFonts w:ascii="CESI宋体-GB2312" w:hAnsi="CESI宋体-GB2312" w:eastAsia="仿宋_GB2312" w:cs="CESI宋体-GB2312"/>
          <w:sz w:val="32"/>
          <w:szCs w:val="32"/>
          <w:highlight w:val="none"/>
        </w:rPr>
        <w:t>年度一般公共预算财政拨款支出</w:t>
      </w:r>
      <w:r>
        <w:rPr>
          <w:rFonts w:ascii="CESI宋体-GB2312" w:hAnsi="CESI宋体-GB2312" w:eastAsia="仿宋_GB2312" w:cs="CESI宋体-GB2312"/>
          <w:sz w:val="32"/>
          <w:szCs w:val="32"/>
          <w:highlight w:val="none"/>
          <w:lang w:eastAsia="zh-CN"/>
        </w:rPr>
        <w:t>163.06</w:t>
      </w:r>
      <w:r>
        <w:rPr>
          <w:rFonts w:ascii="CESI宋体-GB2312" w:hAnsi="CESI宋体-GB2312" w:eastAsia="仿宋_GB2312" w:cs="CESI宋体-GB2312"/>
          <w:sz w:val="32"/>
          <w:szCs w:val="32"/>
          <w:highlight w:val="none"/>
        </w:rPr>
        <w:t>万元，占本年支出合计的100%。与</w:t>
      </w:r>
      <w:r>
        <w:rPr>
          <w:rFonts w:ascii="CESI宋体-GB2312" w:hAnsi="CESI宋体-GB2312" w:eastAsia="仿宋_GB2312" w:cs="CESI宋体-GB2312"/>
          <w:sz w:val="32"/>
          <w:szCs w:val="32"/>
          <w:highlight w:val="none"/>
          <w:lang w:eastAsia="zh-CN"/>
        </w:rPr>
        <w:t>2024</w:t>
      </w:r>
      <w:r>
        <w:rPr>
          <w:rFonts w:ascii="CESI宋体-GB2312" w:hAnsi="CESI宋体-GB2312" w:eastAsia="仿宋_GB2312" w:cs="CESI宋体-GB2312"/>
          <w:sz w:val="32"/>
          <w:szCs w:val="32"/>
          <w:highlight w:val="none"/>
        </w:rPr>
        <w:t>年度相比，一般公共预算财政拨款支出</w:t>
      </w:r>
      <w:bookmarkStart w:id="15" w:name="__RefHeading___Toc19535_WPSOffice_Level2"/>
      <w:r>
        <w:rPr>
          <w:rFonts w:ascii="CESI宋体-GB2312" w:hAnsi="CESI宋体-GB2312" w:eastAsia="仿宋_GB2312" w:cs="CESI宋体-GB2312"/>
          <w:sz w:val="32"/>
          <w:szCs w:val="32"/>
          <w:highlight w:val="none"/>
        </w:rPr>
        <w:t>减少</w:t>
      </w:r>
      <w:r>
        <w:rPr>
          <w:rFonts w:ascii="CESI宋体-GB2312" w:hAnsi="CESI宋体-GB2312" w:eastAsia="仿宋_GB2312" w:cs="CESI宋体-GB2312"/>
          <w:sz w:val="32"/>
          <w:szCs w:val="32"/>
          <w:highlight w:val="none"/>
          <w:lang w:val="en-US" w:eastAsia="zh-CN"/>
        </w:rPr>
        <w:t>22.65</w:t>
      </w:r>
      <w:r>
        <w:rPr>
          <w:rFonts w:ascii="CESI宋体-GB2312" w:hAnsi="CESI宋体-GB2312" w:eastAsia="仿宋_GB2312" w:cs="CESI宋体-GB2312"/>
          <w:sz w:val="32"/>
          <w:szCs w:val="32"/>
          <w:highlight w:val="none"/>
        </w:rPr>
        <w:t>万元，下降</w:t>
      </w:r>
      <w:r>
        <w:rPr>
          <w:rFonts w:hint="eastAsia" w:ascii="CESI宋体-GB2312" w:hAnsi="CESI宋体-GB2312" w:eastAsia="仿宋_GB2312" w:cs="CESI宋体-GB2312"/>
          <w:color w:val="auto"/>
          <w:sz w:val="32"/>
          <w:szCs w:val="32"/>
          <w:highlight w:val="none"/>
          <w:lang w:val="en-US" w:eastAsia="zh-CN"/>
        </w:rPr>
        <w:t>12.2</w:t>
      </w:r>
      <w:r>
        <w:rPr>
          <w:rFonts w:ascii="CESI宋体-GB2312" w:hAnsi="CESI宋体-GB2312" w:eastAsia="仿宋_GB2312" w:cs="CESI宋体-GB2312"/>
          <w:sz w:val="32"/>
          <w:szCs w:val="32"/>
          <w:highlight w:val="none"/>
        </w:rPr>
        <w:t>%。主要原因是2025年不再缴纳以前年度应记实职业年金</w:t>
      </w:r>
      <w:r>
        <w:rPr>
          <w:rFonts w:ascii="CESI宋体-GB2312" w:hAnsi="CESI宋体-GB2312" w:eastAsia="仿宋_GB2312" w:cs="CESI宋体-GB2312"/>
          <w:color w:val="auto"/>
          <w:sz w:val="32"/>
          <w:szCs w:val="32"/>
          <w:highlight w:val="none"/>
        </w:rPr>
        <w:t>。</w:t>
      </w:r>
    </w:p>
    <w:p w14:paraId="31A9F7A6">
      <w:pPr>
        <w:spacing w:line="576" w:lineRule="exact"/>
        <w:ind w:firstLine="640"/>
        <w:jc w:val="both"/>
        <w:rPr>
          <w:rFonts w:ascii="CESI宋体-GB2312" w:hAnsi="CESI宋体-GB2312" w:eastAsia="楷体;方正楷体_GBK" w:cs="楷体;方正楷体_GBK"/>
          <w:sz w:val="32"/>
          <w:szCs w:val="32"/>
          <w:highlight w:val="none"/>
        </w:rPr>
      </w:pPr>
      <w:r>
        <w:rPr>
          <w:rFonts w:ascii="CESI宋体-GB2312" w:hAnsi="CESI宋体-GB2312" w:eastAsia="楷体;方正楷体_GBK" w:cs="楷体;方正楷体_GBK"/>
          <w:sz w:val="32"/>
          <w:szCs w:val="32"/>
          <w:highlight w:val="none"/>
        </w:rPr>
        <w:t>（二）一般公共预算财政拨款支出决算结构情况。</w:t>
      </w:r>
      <w:bookmarkEnd w:id="15"/>
    </w:p>
    <w:p w14:paraId="03FE2A78">
      <w:pPr>
        <w:spacing w:line="576"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lang w:eastAsia="zh-CN"/>
        </w:rPr>
        <w:t>2025</w:t>
      </w:r>
      <w:r>
        <w:rPr>
          <w:rFonts w:ascii="CESI宋体-GB2312" w:hAnsi="CESI宋体-GB2312" w:eastAsia="仿宋_GB2312" w:cs="CESI宋体-GB2312"/>
          <w:sz w:val="32"/>
          <w:szCs w:val="32"/>
          <w:highlight w:val="none"/>
        </w:rPr>
        <w:t>年度一般公共预算财政拨款支出</w:t>
      </w:r>
      <w:r>
        <w:rPr>
          <w:rFonts w:ascii="CESI宋体-GB2312" w:hAnsi="CESI宋体-GB2312" w:eastAsia="仿宋_GB2312" w:cs="CESI宋体-GB2312"/>
          <w:sz w:val="32"/>
          <w:szCs w:val="32"/>
          <w:highlight w:val="none"/>
          <w:lang w:eastAsia="zh-CN"/>
        </w:rPr>
        <w:t>163.06</w:t>
      </w:r>
      <w:r>
        <w:rPr>
          <w:rFonts w:ascii="CESI宋体-GB2312" w:hAnsi="CESI宋体-GB2312" w:eastAsia="仿宋_GB2312" w:cs="CESI宋体-GB2312"/>
          <w:sz w:val="32"/>
          <w:szCs w:val="32"/>
          <w:highlight w:val="none"/>
        </w:rPr>
        <w:t>万元，主要用于以下方面：</w:t>
      </w:r>
      <w:r>
        <w:rPr>
          <w:rFonts w:ascii="CESI宋体-GB2312" w:hAnsi="CESI宋体-GB2312" w:eastAsia="仿宋_GB2312" w:cs="CESI宋体-GB2312"/>
          <w:b/>
          <w:bCs/>
          <w:sz w:val="32"/>
          <w:szCs w:val="32"/>
          <w:highlight w:val="none"/>
        </w:rPr>
        <w:t>一般公共服务（类）</w:t>
      </w:r>
      <w:r>
        <w:rPr>
          <w:rFonts w:ascii="CESI宋体-GB2312" w:hAnsi="CESI宋体-GB2312" w:eastAsia="仿宋_GB2312" w:cs="CESI宋体-GB2312"/>
          <w:sz w:val="32"/>
          <w:szCs w:val="32"/>
          <w:highlight w:val="none"/>
        </w:rPr>
        <w:t>支出</w:t>
      </w:r>
      <w:r>
        <w:rPr>
          <w:rFonts w:ascii="CESI宋体-GB2312" w:hAnsi="CESI宋体-GB2312" w:eastAsia="仿宋_GB2312" w:cs="CESI宋体-GB2312"/>
          <w:sz w:val="32"/>
          <w:szCs w:val="32"/>
          <w:highlight w:val="none"/>
          <w:lang w:val="en-US" w:eastAsia="zh-CN"/>
        </w:rPr>
        <w:t>131.11</w:t>
      </w:r>
      <w:r>
        <w:rPr>
          <w:rFonts w:ascii="CESI宋体-GB2312" w:hAnsi="CESI宋体-GB2312" w:eastAsia="仿宋_GB2312" w:cs="CESI宋体-GB2312"/>
          <w:sz w:val="32"/>
          <w:szCs w:val="32"/>
          <w:highlight w:val="none"/>
        </w:rPr>
        <w:t>万元，占</w:t>
      </w:r>
      <w:r>
        <w:rPr>
          <w:rFonts w:ascii="CESI宋体-GB2312" w:hAnsi="CESI宋体-GB2312" w:eastAsia="仿宋_GB2312" w:cs="CESI宋体-GB2312"/>
          <w:sz w:val="32"/>
          <w:szCs w:val="32"/>
          <w:highlight w:val="none"/>
          <w:lang w:val="en-US" w:eastAsia="zh-CN"/>
        </w:rPr>
        <w:t>80.4</w:t>
      </w:r>
      <w:r>
        <w:rPr>
          <w:rFonts w:ascii="CESI宋体-GB2312" w:hAnsi="CESI宋体-GB2312" w:eastAsia="仿宋_GB2312" w:cs="CESI宋体-GB2312"/>
          <w:sz w:val="32"/>
          <w:szCs w:val="32"/>
          <w:highlight w:val="none"/>
        </w:rPr>
        <w:t>%；</w:t>
      </w:r>
      <w:r>
        <w:rPr>
          <w:rFonts w:ascii="CESI宋体-GB2312" w:hAnsi="CESI宋体-GB2312" w:eastAsia="仿宋_GB2312" w:cs="CESI宋体-GB2312"/>
          <w:b/>
          <w:bCs/>
          <w:sz w:val="32"/>
          <w:szCs w:val="32"/>
          <w:highlight w:val="none"/>
        </w:rPr>
        <w:t>社会保障和就业（类）</w:t>
      </w:r>
      <w:r>
        <w:rPr>
          <w:rFonts w:ascii="CESI宋体-GB2312" w:hAnsi="CESI宋体-GB2312" w:eastAsia="仿宋_GB2312" w:cs="CESI宋体-GB2312"/>
          <w:sz w:val="32"/>
          <w:szCs w:val="32"/>
          <w:highlight w:val="none"/>
        </w:rPr>
        <w:t>支出</w:t>
      </w:r>
      <w:r>
        <w:rPr>
          <w:rFonts w:ascii="CESI宋体-GB2312" w:hAnsi="CESI宋体-GB2312" w:eastAsia="仿宋_GB2312" w:cs="CESI宋体-GB2312"/>
          <w:sz w:val="32"/>
          <w:szCs w:val="32"/>
          <w:highlight w:val="none"/>
          <w:lang w:val="en-US" w:eastAsia="zh-CN"/>
        </w:rPr>
        <w:t>17.42</w:t>
      </w:r>
      <w:r>
        <w:rPr>
          <w:rFonts w:ascii="CESI宋体-GB2312" w:hAnsi="CESI宋体-GB2312" w:eastAsia="仿宋_GB2312" w:cs="CESI宋体-GB2312"/>
          <w:sz w:val="32"/>
          <w:szCs w:val="32"/>
          <w:highlight w:val="none"/>
        </w:rPr>
        <w:t>万元，占1</w:t>
      </w:r>
      <w:r>
        <w:rPr>
          <w:rFonts w:ascii="CESI宋体-GB2312" w:hAnsi="CESI宋体-GB2312" w:eastAsia="仿宋_GB2312" w:cs="CESI宋体-GB2312"/>
          <w:sz w:val="32"/>
          <w:szCs w:val="32"/>
          <w:highlight w:val="none"/>
          <w:lang w:val="en-US" w:eastAsia="zh-CN"/>
        </w:rPr>
        <w:t>0.</w:t>
      </w:r>
      <w:r>
        <w:rPr>
          <w:rFonts w:hint="eastAsia" w:ascii="CESI宋体-GB2312" w:hAnsi="CESI宋体-GB2312" w:eastAsia="仿宋_GB2312" w:cs="CESI宋体-GB2312"/>
          <w:sz w:val="32"/>
          <w:szCs w:val="32"/>
          <w:highlight w:val="none"/>
          <w:lang w:val="en-US" w:eastAsia="zh-CN"/>
        </w:rPr>
        <w:t>7</w:t>
      </w:r>
      <w:r>
        <w:rPr>
          <w:rFonts w:ascii="CESI宋体-GB2312" w:hAnsi="CESI宋体-GB2312" w:eastAsia="仿宋_GB2312" w:cs="CESI宋体-GB2312"/>
          <w:sz w:val="32"/>
          <w:szCs w:val="32"/>
          <w:highlight w:val="none"/>
        </w:rPr>
        <w:t>%；</w:t>
      </w:r>
      <w:r>
        <w:rPr>
          <w:rFonts w:ascii="CESI宋体-GB2312" w:hAnsi="CESI宋体-GB2312" w:eastAsia="仿宋_GB2312" w:cs="CESI宋体-GB2312"/>
          <w:b/>
          <w:bCs/>
          <w:sz w:val="32"/>
          <w:szCs w:val="32"/>
          <w:highlight w:val="none"/>
        </w:rPr>
        <w:t>卫生健康（类）</w:t>
      </w:r>
      <w:r>
        <w:rPr>
          <w:rFonts w:ascii="CESI宋体-GB2312" w:hAnsi="CESI宋体-GB2312" w:eastAsia="仿宋_GB2312" w:cs="CESI宋体-GB2312"/>
          <w:sz w:val="32"/>
          <w:szCs w:val="32"/>
          <w:highlight w:val="none"/>
        </w:rPr>
        <w:t>支出</w:t>
      </w:r>
      <w:r>
        <w:rPr>
          <w:rFonts w:ascii="CESI宋体-GB2312" w:hAnsi="CESI宋体-GB2312" w:eastAsia="仿宋_GB2312" w:cs="CESI宋体-GB2312"/>
          <w:sz w:val="32"/>
          <w:szCs w:val="32"/>
          <w:highlight w:val="none"/>
          <w:lang w:val="en-US" w:eastAsia="zh-CN"/>
        </w:rPr>
        <w:t>4.07</w:t>
      </w:r>
      <w:r>
        <w:rPr>
          <w:rFonts w:ascii="CESI宋体-GB2312" w:hAnsi="CESI宋体-GB2312" w:eastAsia="仿宋_GB2312" w:cs="CESI宋体-GB2312"/>
          <w:sz w:val="32"/>
          <w:szCs w:val="32"/>
          <w:highlight w:val="none"/>
        </w:rPr>
        <w:t>万元，占2.</w:t>
      </w:r>
      <w:r>
        <w:rPr>
          <w:rFonts w:ascii="CESI宋体-GB2312" w:hAnsi="CESI宋体-GB2312" w:eastAsia="仿宋_GB2312" w:cs="CESI宋体-GB2312"/>
          <w:sz w:val="32"/>
          <w:szCs w:val="32"/>
          <w:highlight w:val="none"/>
          <w:lang w:val="en-US" w:eastAsia="zh-CN"/>
        </w:rPr>
        <w:t>5</w:t>
      </w:r>
      <w:r>
        <w:rPr>
          <w:rFonts w:ascii="CESI宋体-GB2312" w:hAnsi="CESI宋体-GB2312" w:eastAsia="仿宋_GB2312" w:cs="CESI宋体-GB2312"/>
          <w:sz w:val="32"/>
          <w:szCs w:val="32"/>
          <w:highlight w:val="none"/>
        </w:rPr>
        <w:t>%；</w:t>
      </w:r>
      <w:r>
        <w:rPr>
          <w:rFonts w:ascii="CESI宋体-GB2312" w:hAnsi="CESI宋体-GB2312" w:eastAsia="仿宋_GB2312" w:cs="CESI宋体-GB2312"/>
          <w:b/>
          <w:sz w:val="32"/>
          <w:szCs w:val="32"/>
          <w:highlight w:val="none"/>
        </w:rPr>
        <w:t>住房保障（类）</w:t>
      </w:r>
      <w:r>
        <w:rPr>
          <w:rFonts w:ascii="CESI宋体-GB2312" w:hAnsi="CESI宋体-GB2312" w:eastAsia="仿宋_GB2312" w:cs="CESI宋体-GB2312"/>
          <w:sz w:val="32"/>
          <w:szCs w:val="32"/>
          <w:highlight w:val="none"/>
        </w:rPr>
        <w:t>支出</w:t>
      </w:r>
      <w:r>
        <w:rPr>
          <w:rFonts w:hint="eastAsia" w:ascii="CESI宋体-GB2312" w:hAnsi="CESI宋体-GB2312" w:eastAsia="仿宋_GB2312" w:cs="CESI宋体-GB2312"/>
          <w:color w:val="auto"/>
          <w:sz w:val="32"/>
          <w:szCs w:val="32"/>
          <w:highlight w:val="none"/>
          <w:lang w:val="en-US" w:eastAsia="zh-CN"/>
        </w:rPr>
        <w:t>10.45</w:t>
      </w:r>
      <w:r>
        <w:rPr>
          <w:rFonts w:ascii="CESI宋体-GB2312" w:hAnsi="CESI宋体-GB2312" w:eastAsia="仿宋_GB2312" w:cs="CESI宋体-GB2312"/>
          <w:sz w:val="32"/>
          <w:szCs w:val="32"/>
          <w:highlight w:val="none"/>
        </w:rPr>
        <w:t>万元，占</w:t>
      </w:r>
      <w:r>
        <w:rPr>
          <w:rFonts w:ascii="CESI宋体-GB2312" w:hAnsi="CESI宋体-GB2312" w:eastAsia="仿宋_GB2312" w:cs="CESI宋体-GB2312"/>
          <w:sz w:val="32"/>
          <w:szCs w:val="32"/>
          <w:highlight w:val="none"/>
          <w:lang w:val="en-US" w:eastAsia="zh-CN"/>
        </w:rPr>
        <w:t>6.4</w:t>
      </w:r>
      <w:r>
        <w:rPr>
          <w:rFonts w:ascii="CESI宋体-GB2312" w:hAnsi="CESI宋体-GB2312" w:eastAsia="仿宋_GB2312" w:cs="CESI宋体-GB2312"/>
          <w:sz w:val="32"/>
          <w:szCs w:val="32"/>
          <w:highlight w:val="none"/>
        </w:rPr>
        <w:t>%。</w:t>
      </w:r>
    </w:p>
    <w:p w14:paraId="17BC185A">
      <w:pPr>
        <w:spacing w:line="576" w:lineRule="exact"/>
        <w:ind w:firstLine="640"/>
        <w:jc w:val="both"/>
        <w:rPr>
          <w:rFonts w:ascii="CESI宋体-GB2312" w:hAnsi="CESI宋体-GB2312" w:eastAsia="楷体;方正楷体_GBK" w:cs="楷体;方正楷体_GBK"/>
          <w:sz w:val="32"/>
          <w:szCs w:val="32"/>
          <w:highlight w:val="none"/>
        </w:rPr>
      </w:pPr>
      <w:r>
        <w:rPr>
          <w:rFonts w:ascii="CESI宋体-GB2312" w:hAnsi="CESI宋体-GB2312" w:eastAsia="楷体;方正楷体_GBK" w:cs="楷体;方正楷体_GBK"/>
          <w:sz w:val="32"/>
          <w:szCs w:val="32"/>
          <w:highlight w:val="none"/>
        </w:rPr>
        <w:t>（三）一般公共预算财政拨款支出决算具体情况。</w:t>
      </w:r>
    </w:p>
    <w:p w14:paraId="4289C104">
      <w:pPr>
        <w:spacing w:line="576"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lang w:eastAsia="zh-CN"/>
        </w:rPr>
        <w:t>2025</w:t>
      </w:r>
      <w:r>
        <w:rPr>
          <w:rFonts w:ascii="CESI宋体-GB2312" w:hAnsi="CESI宋体-GB2312" w:eastAsia="仿宋_GB2312" w:cs="CESI宋体-GB2312"/>
          <w:sz w:val="32"/>
          <w:szCs w:val="32"/>
          <w:highlight w:val="none"/>
        </w:rPr>
        <w:t>年度一般公共预算财政拨款支出年初预算为</w:t>
      </w:r>
      <w:r>
        <w:rPr>
          <w:rFonts w:ascii="CESI宋体-GB2312" w:hAnsi="CESI宋体-GB2312" w:eastAsia="仿宋_GB2312" w:cs="CESI宋体-GB2312"/>
          <w:color w:val="auto"/>
          <w:sz w:val="32"/>
          <w:szCs w:val="32"/>
          <w:highlight w:val="none"/>
          <w:lang w:val="en-US" w:eastAsia="zh-CN"/>
        </w:rPr>
        <w:t>165.56</w:t>
      </w:r>
      <w:r>
        <w:rPr>
          <w:rFonts w:ascii="CESI宋体-GB2312" w:hAnsi="CESI宋体-GB2312" w:eastAsia="仿宋_GB2312" w:cs="CESI宋体-GB2312"/>
          <w:sz w:val="32"/>
          <w:szCs w:val="32"/>
          <w:highlight w:val="none"/>
        </w:rPr>
        <w:t>万元，支出决算为</w:t>
      </w:r>
      <w:r>
        <w:rPr>
          <w:rFonts w:ascii="CESI宋体-GB2312" w:hAnsi="CESI宋体-GB2312" w:eastAsia="仿宋_GB2312" w:cs="CESI宋体-GB2312"/>
          <w:sz w:val="32"/>
          <w:szCs w:val="32"/>
          <w:highlight w:val="none"/>
          <w:lang w:eastAsia="zh-CN"/>
        </w:rPr>
        <w:t>163.06</w:t>
      </w:r>
      <w:r>
        <w:rPr>
          <w:rFonts w:ascii="CESI宋体-GB2312" w:hAnsi="CESI宋体-GB2312" w:eastAsia="仿宋_GB2312" w:cs="CESI宋体-GB2312"/>
          <w:sz w:val="32"/>
          <w:szCs w:val="32"/>
          <w:highlight w:val="none"/>
        </w:rPr>
        <w:t>万元，完成年初预算的</w:t>
      </w:r>
      <w:r>
        <w:rPr>
          <w:rFonts w:ascii="CESI宋体-GB2312" w:hAnsi="CESI宋体-GB2312" w:eastAsia="仿宋_GB2312" w:cs="CESI宋体-GB2312"/>
          <w:sz w:val="32"/>
          <w:szCs w:val="32"/>
          <w:highlight w:val="none"/>
          <w:lang w:val="en-US" w:eastAsia="zh-CN"/>
        </w:rPr>
        <w:t>98.</w:t>
      </w:r>
      <w:r>
        <w:rPr>
          <w:rFonts w:hint="eastAsia" w:ascii="CESI宋体-GB2312" w:hAnsi="CESI宋体-GB2312" w:eastAsia="仿宋_GB2312" w:cs="CESI宋体-GB2312"/>
          <w:sz w:val="32"/>
          <w:szCs w:val="32"/>
          <w:highlight w:val="none"/>
          <w:lang w:val="en-US" w:eastAsia="zh-CN"/>
        </w:rPr>
        <w:t>5</w:t>
      </w:r>
      <w:r>
        <w:rPr>
          <w:rFonts w:ascii="CESI宋体-GB2312" w:hAnsi="CESI宋体-GB2312" w:eastAsia="仿宋_GB2312" w:cs="CESI宋体-GB2312"/>
          <w:sz w:val="32"/>
          <w:szCs w:val="32"/>
          <w:highlight w:val="none"/>
        </w:rPr>
        <w:t>%。其中：</w:t>
      </w:r>
    </w:p>
    <w:p w14:paraId="300AA80A">
      <w:pPr>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 xml:space="preserve">1. </w:t>
      </w:r>
      <w:r>
        <w:rPr>
          <w:rFonts w:ascii="CESI宋体-GB2312" w:hAnsi="CESI宋体-GB2312" w:eastAsia="仿宋_GB2312" w:cs="CESI宋体-GB2312"/>
          <w:b/>
          <w:bCs/>
          <w:sz w:val="32"/>
          <w:szCs w:val="32"/>
          <w:highlight w:val="none"/>
        </w:rPr>
        <w:t>一般公共服务（类）市场监督管理事务（款）行政运行（项）</w:t>
      </w:r>
      <w:r>
        <w:rPr>
          <w:rFonts w:ascii="CESI宋体-GB2312" w:hAnsi="CESI宋体-GB2312" w:eastAsia="仿宋_GB2312" w:cs="CESI宋体-GB2312"/>
          <w:sz w:val="32"/>
          <w:szCs w:val="32"/>
          <w:highlight w:val="none"/>
        </w:rPr>
        <w:t>年初预算为</w:t>
      </w:r>
      <w:r>
        <w:rPr>
          <w:rFonts w:hint="eastAsia" w:ascii="CESI宋体-GB2312" w:hAnsi="CESI宋体-GB2312" w:eastAsia="仿宋_GB2312" w:cs="CESI宋体-GB2312"/>
          <w:color w:val="auto"/>
          <w:sz w:val="32"/>
          <w:szCs w:val="32"/>
          <w:highlight w:val="none"/>
          <w:lang w:val="en-US" w:eastAsia="zh-CN"/>
        </w:rPr>
        <w:t>119.74</w:t>
      </w:r>
      <w:r>
        <w:rPr>
          <w:rFonts w:ascii="CESI宋体-GB2312" w:hAnsi="CESI宋体-GB2312" w:eastAsia="仿宋_GB2312" w:cs="CESI宋体-GB2312"/>
          <w:sz w:val="32"/>
          <w:szCs w:val="32"/>
          <w:highlight w:val="none"/>
        </w:rPr>
        <w:t>万元，支出决算为</w:t>
      </w:r>
      <w:r>
        <w:rPr>
          <w:rFonts w:hint="eastAsia" w:ascii="CESI宋体-GB2312" w:hAnsi="CESI宋体-GB2312" w:eastAsia="仿宋_GB2312" w:cs="CESI宋体-GB2312"/>
          <w:color w:val="auto"/>
          <w:sz w:val="32"/>
          <w:szCs w:val="32"/>
          <w:highlight w:val="none"/>
          <w:lang w:val="en-US" w:eastAsia="zh-CN"/>
        </w:rPr>
        <w:t>118.09</w:t>
      </w:r>
      <w:r>
        <w:rPr>
          <w:rFonts w:ascii="CESI宋体-GB2312" w:hAnsi="CESI宋体-GB2312" w:eastAsia="仿宋_GB2312" w:cs="CESI宋体-GB2312"/>
          <w:sz w:val="32"/>
          <w:szCs w:val="32"/>
          <w:highlight w:val="none"/>
        </w:rPr>
        <w:t>万元，完成年初预算的</w:t>
      </w:r>
      <w:r>
        <w:rPr>
          <w:rFonts w:hint="eastAsia" w:ascii="CESI宋体-GB2312" w:hAnsi="CESI宋体-GB2312" w:eastAsia="仿宋_GB2312" w:cs="CESI宋体-GB2312"/>
          <w:color w:val="auto"/>
          <w:sz w:val="32"/>
          <w:szCs w:val="32"/>
          <w:highlight w:val="none"/>
          <w:lang w:val="en-US" w:eastAsia="zh-CN"/>
        </w:rPr>
        <w:t>98.6</w:t>
      </w:r>
      <w:r>
        <w:rPr>
          <w:rFonts w:ascii="CESI宋体-GB2312" w:hAnsi="CESI宋体-GB2312" w:eastAsia="仿宋_GB2312" w:cs="CESI宋体-GB2312"/>
          <w:sz w:val="32"/>
          <w:szCs w:val="32"/>
          <w:highlight w:val="none"/>
        </w:rPr>
        <w:t>%。</w:t>
      </w:r>
      <w:r>
        <w:rPr>
          <w:rFonts w:ascii="CESI宋体-GB2312" w:hAnsi="CESI宋体-GB2312" w:eastAsia="仿宋_GB2312" w:cs="CESI宋体-GB2312"/>
          <w:color w:val="auto"/>
          <w:sz w:val="32"/>
          <w:szCs w:val="32"/>
          <w:highlight w:val="none"/>
        </w:rPr>
        <w:t>决算数小于预算数的</w:t>
      </w:r>
      <w:r>
        <w:rPr>
          <w:rFonts w:ascii="CESI宋体-GB2312" w:hAnsi="CESI宋体-GB2312" w:eastAsia="仿宋_GB2312" w:cs="仿宋;方正仿宋_GBK"/>
          <w:bCs/>
          <w:color w:val="auto"/>
          <w:sz w:val="32"/>
          <w:szCs w:val="32"/>
          <w:highlight w:val="none"/>
        </w:rPr>
        <w:t>主要原因：</w:t>
      </w:r>
      <w:r>
        <w:rPr>
          <w:rFonts w:ascii="CESI宋体-GB2312" w:hAnsi="CESI宋体-GB2312" w:eastAsia="仿宋_GB2312" w:cs="CESI宋体-GB2312"/>
          <w:sz w:val="32"/>
          <w:szCs w:val="32"/>
          <w:highlight w:val="none"/>
        </w:rPr>
        <w:t>2025年不再缴纳以前年度应记实职业年金</w:t>
      </w:r>
      <w:r>
        <w:rPr>
          <w:rFonts w:ascii="CESI宋体-GB2312" w:hAnsi="CESI宋体-GB2312" w:eastAsia="仿宋_GB2312" w:cs="CESI宋体-GB2312"/>
          <w:color w:val="auto"/>
          <w:sz w:val="32"/>
          <w:szCs w:val="32"/>
          <w:highlight w:val="none"/>
        </w:rPr>
        <w:t>。</w:t>
      </w:r>
      <w:r>
        <w:rPr>
          <w:rFonts w:ascii="CESI宋体-GB2312" w:hAnsi="CESI宋体-GB2312" w:eastAsia="CESI宋体-GB2312" w:cs="CESI宋体-GB2312"/>
          <w:sz w:val="32"/>
          <w:szCs w:val="32"/>
          <w:highlight w:val="none"/>
        </w:rPr>
        <w:t xml:space="preserve"> </w:t>
      </w:r>
    </w:p>
    <w:p w14:paraId="69C6C363">
      <w:pPr>
        <w:ind w:firstLine="640"/>
        <w:jc w:val="both"/>
        <w:rPr>
          <w:rFonts w:ascii="CESI宋体-GB2312" w:hAnsi="CESI宋体-GB2312" w:eastAsia="仿宋_GB2312" w:cs="CESI宋体-GB2312"/>
          <w:color w:val="auto"/>
          <w:sz w:val="32"/>
          <w:szCs w:val="32"/>
          <w:highlight w:val="none"/>
        </w:rPr>
      </w:pPr>
      <w:r>
        <w:rPr>
          <w:rFonts w:ascii="CESI宋体-GB2312" w:hAnsi="CESI宋体-GB2312" w:eastAsia="仿宋_GB2312" w:cs="CESI宋体-GB2312"/>
          <w:sz w:val="32"/>
          <w:szCs w:val="32"/>
          <w:highlight w:val="none"/>
        </w:rPr>
        <w:t>2.</w:t>
      </w:r>
      <w:r>
        <w:rPr>
          <w:rFonts w:ascii="CESI宋体-GB2312" w:hAnsi="CESI宋体-GB2312" w:eastAsia="仿宋_GB2312" w:cs="CESI宋体-GB2312"/>
          <w:b/>
          <w:bCs/>
          <w:sz w:val="32"/>
          <w:szCs w:val="32"/>
          <w:highlight w:val="none"/>
        </w:rPr>
        <w:t>一般公共服务（类）市场监督管理事务（款）信息化建设（项）</w:t>
      </w:r>
      <w:r>
        <w:rPr>
          <w:rFonts w:ascii="CESI宋体-GB2312" w:hAnsi="CESI宋体-GB2312" w:eastAsia="仿宋_GB2312" w:cs="CESI宋体-GB2312"/>
          <w:sz w:val="32"/>
          <w:szCs w:val="32"/>
          <w:highlight w:val="none"/>
        </w:rPr>
        <w:t>年初预算为2.4万元，支出决算为2.3</w:t>
      </w:r>
      <w:r>
        <w:rPr>
          <w:rFonts w:ascii="CESI宋体-GB2312" w:hAnsi="CESI宋体-GB2312" w:eastAsia="仿宋_GB2312" w:cs="CESI宋体-GB2312"/>
          <w:sz w:val="32"/>
          <w:szCs w:val="32"/>
          <w:highlight w:val="none"/>
          <w:lang w:val="en-US" w:eastAsia="zh-CN"/>
        </w:rPr>
        <w:t>6</w:t>
      </w:r>
      <w:r>
        <w:rPr>
          <w:rFonts w:ascii="CESI宋体-GB2312" w:hAnsi="CESI宋体-GB2312" w:eastAsia="仿宋_GB2312" w:cs="CESI宋体-GB2312"/>
          <w:sz w:val="32"/>
          <w:szCs w:val="32"/>
          <w:highlight w:val="none"/>
        </w:rPr>
        <w:t>万元，完成年初预算的9</w:t>
      </w:r>
      <w:r>
        <w:rPr>
          <w:rFonts w:ascii="CESI宋体-GB2312" w:hAnsi="CESI宋体-GB2312" w:eastAsia="仿宋_GB2312" w:cs="CESI宋体-GB2312"/>
          <w:sz w:val="32"/>
          <w:szCs w:val="32"/>
          <w:highlight w:val="none"/>
          <w:lang w:val="en-US" w:eastAsia="zh-CN"/>
        </w:rPr>
        <w:t>8</w:t>
      </w:r>
      <w:r>
        <w:rPr>
          <w:rFonts w:ascii="CESI宋体-GB2312" w:hAnsi="CESI宋体-GB2312" w:eastAsia="仿宋_GB2312" w:cs="CESI宋体-GB2312"/>
          <w:sz w:val="32"/>
          <w:szCs w:val="32"/>
          <w:highlight w:val="none"/>
        </w:rPr>
        <w:t>.</w:t>
      </w:r>
      <w:r>
        <w:rPr>
          <w:rFonts w:ascii="CESI宋体-GB2312" w:hAnsi="CESI宋体-GB2312" w:eastAsia="仿宋_GB2312" w:cs="CESI宋体-GB2312"/>
          <w:sz w:val="32"/>
          <w:szCs w:val="32"/>
          <w:highlight w:val="none"/>
          <w:lang w:val="en-US" w:eastAsia="zh-CN"/>
        </w:rPr>
        <w:t>3</w:t>
      </w:r>
      <w:r>
        <w:rPr>
          <w:rFonts w:ascii="CESI宋体-GB2312" w:hAnsi="CESI宋体-GB2312" w:eastAsia="仿宋_GB2312" w:cs="CESI宋体-GB2312"/>
          <w:sz w:val="32"/>
          <w:szCs w:val="32"/>
          <w:highlight w:val="none"/>
        </w:rPr>
        <w:t>%，</w:t>
      </w:r>
      <w:r>
        <w:rPr>
          <w:rFonts w:ascii="CESI宋体-GB2312" w:hAnsi="CESI宋体-GB2312" w:eastAsia="仿宋_GB2312" w:cs="CESI宋体-GB2312"/>
          <w:color w:val="auto"/>
          <w:sz w:val="32"/>
          <w:szCs w:val="32"/>
          <w:highlight w:val="none"/>
        </w:rPr>
        <w:t>决算数与预算数基本持平。</w:t>
      </w:r>
    </w:p>
    <w:p w14:paraId="6A8F7563">
      <w:pPr>
        <w:ind w:firstLine="640"/>
        <w:jc w:val="both"/>
        <w:rPr>
          <w:rFonts w:ascii="CESI宋体-GB2312" w:hAnsi="CESI宋体-GB2312" w:eastAsia="仿宋_GB2312" w:cs="CESI宋体-GB2312"/>
          <w:color w:val="auto"/>
          <w:sz w:val="32"/>
          <w:szCs w:val="32"/>
          <w:highlight w:val="none"/>
        </w:rPr>
      </w:pPr>
      <w:r>
        <w:rPr>
          <w:rFonts w:ascii="CESI宋体-GB2312" w:hAnsi="CESI宋体-GB2312" w:eastAsia="仿宋_GB2312" w:cs="CESI宋体-GB2312"/>
          <w:sz w:val="32"/>
          <w:szCs w:val="32"/>
          <w:highlight w:val="none"/>
        </w:rPr>
        <w:t>3.</w:t>
      </w:r>
      <w:r>
        <w:rPr>
          <w:rFonts w:ascii="CESI宋体-GB2312" w:hAnsi="CESI宋体-GB2312" w:eastAsia="仿宋_GB2312" w:cs="CESI宋体-GB2312"/>
          <w:b/>
          <w:bCs/>
          <w:sz w:val="32"/>
          <w:szCs w:val="32"/>
          <w:highlight w:val="none"/>
        </w:rPr>
        <w:t>一般公共服务（类）市场监督管理事务（款）其他市场监督管理事务（项）</w:t>
      </w:r>
      <w:r>
        <w:rPr>
          <w:rFonts w:ascii="CESI宋体-GB2312" w:hAnsi="CESI宋体-GB2312" w:eastAsia="仿宋_GB2312" w:cs="CESI宋体-GB2312"/>
          <w:sz w:val="32"/>
          <w:szCs w:val="32"/>
          <w:highlight w:val="none"/>
        </w:rPr>
        <w:t>年初预算为1</w:t>
      </w:r>
      <w:r>
        <w:rPr>
          <w:rFonts w:ascii="CESI宋体-GB2312" w:hAnsi="CESI宋体-GB2312" w:eastAsia="仿宋_GB2312" w:cs="CESI宋体-GB2312"/>
          <w:sz w:val="32"/>
          <w:szCs w:val="32"/>
          <w:highlight w:val="none"/>
          <w:lang w:val="en-US" w:eastAsia="zh-CN"/>
        </w:rPr>
        <w:t>0</w:t>
      </w:r>
      <w:r>
        <w:rPr>
          <w:rFonts w:ascii="CESI宋体-GB2312" w:hAnsi="CESI宋体-GB2312" w:eastAsia="仿宋_GB2312" w:cs="CESI宋体-GB2312"/>
          <w:sz w:val="32"/>
          <w:szCs w:val="32"/>
          <w:highlight w:val="none"/>
        </w:rPr>
        <w:t>.</w:t>
      </w:r>
      <w:r>
        <w:rPr>
          <w:rFonts w:ascii="CESI宋体-GB2312" w:hAnsi="CESI宋体-GB2312" w:eastAsia="仿宋_GB2312" w:cs="CESI宋体-GB2312"/>
          <w:sz w:val="32"/>
          <w:szCs w:val="32"/>
          <w:highlight w:val="none"/>
          <w:lang w:val="en-US" w:eastAsia="zh-CN"/>
        </w:rPr>
        <w:t>6</w:t>
      </w:r>
      <w:r>
        <w:rPr>
          <w:rFonts w:ascii="CESI宋体-GB2312" w:hAnsi="CESI宋体-GB2312" w:eastAsia="仿宋_GB2312" w:cs="CESI宋体-GB2312"/>
          <w:sz w:val="32"/>
          <w:szCs w:val="32"/>
          <w:highlight w:val="none"/>
        </w:rPr>
        <w:t>6万元，支出决算为1</w:t>
      </w:r>
      <w:r>
        <w:rPr>
          <w:rFonts w:ascii="CESI宋体-GB2312" w:hAnsi="CESI宋体-GB2312" w:eastAsia="仿宋_GB2312" w:cs="CESI宋体-GB2312"/>
          <w:sz w:val="32"/>
          <w:szCs w:val="32"/>
          <w:highlight w:val="none"/>
          <w:lang w:val="en-US" w:eastAsia="zh-CN"/>
        </w:rPr>
        <w:t>0</w:t>
      </w:r>
      <w:r>
        <w:rPr>
          <w:rFonts w:ascii="CESI宋体-GB2312" w:hAnsi="CESI宋体-GB2312" w:eastAsia="仿宋_GB2312" w:cs="CESI宋体-GB2312"/>
          <w:sz w:val="32"/>
          <w:szCs w:val="32"/>
          <w:highlight w:val="none"/>
        </w:rPr>
        <w:t>.</w:t>
      </w:r>
      <w:r>
        <w:rPr>
          <w:rFonts w:ascii="CESI宋体-GB2312" w:hAnsi="CESI宋体-GB2312" w:eastAsia="仿宋_GB2312" w:cs="CESI宋体-GB2312"/>
          <w:sz w:val="32"/>
          <w:szCs w:val="32"/>
          <w:highlight w:val="none"/>
          <w:lang w:val="en-US" w:eastAsia="zh-CN"/>
        </w:rPr>
        <w:t>6</w:t>
      </w:r>
      <w:r>
        <w:rPr>
          <w:rFonts w:ascii="CESI宋体-GB2312" w:hAnsi="CESI宋体-GB2312" w:eastAsia="仿宋_GB2312" w:cs="CESI宋体-GB2312"/>
          <w:sz w:val="32"/>
          <w:szCs w:val="32"/>
          <w:highlight w:val="none"/>
        </w:rPr>
        <w:t>6万元，完成年初预算的100%，</w:t>
      </w:r>
      <w:r>
        <w:rPr>
          <w:rFonts w:ascii="CESI宋体-GB2312" w:hAnsi="CESI宋体-GB2312" w:eastAsia="仿宋_GB2312" w:cs="CESI宋体-GB2312"/>
          <w:color w:val="auto"/>
          <w:sz w:val="32"/>
          <w:szCs w:val="32"/>
          <w:highlight w:val="none"/>
        </w:rPr>
        <w:t>决算数与预算数持平。</w:t>
      </w:r>
    </w:p>
    <w:p w14:paraId="07A1D817">
      <w:pPr>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4.</w:t>
      </w:r>
      <w:r>
        <w:rPr>
          <w:rFonts w:ascii="CESI宋体-GB2312" w:hAnsi="CESI宋体-GB2312" w:eastAsia="仿宋_GB2312" w:cs="CESI宋体-GB2312"/>
          <w:b/>
          <w:bCs/>
          <w:sz w:val="32"/>
          <w:szCs w:val="32"/>
          <w:highlight w:val="none"/>
        </w:rPr>
        <w:t>社会保障和就业支出（类）行政事业单位养老支出（款）机关事业单位基本养老保险缴费支出（项）</w:t>
      </w:r>
      <w:r>
        <w:rPr>
          <w:rFonts w:ascii="CESI宋体-GB2312" w:hAnsi="CESI宋体-GB2312" w:eastAsia="仿宋_GB2312" w:cs="CESI宋体-GB2312"/>
          <w:sz w:val="32"/>
          <w:szCs w:val="32"/>
          <w:highlight w:val="none"/>
        </w:rPr>
        <w:t>年初预算为</w:t>
      </w:r>
      <w:r>
        <w:rPr>
          <w:rFonts w:ascii="CESI宋体-GB2312" w:hAnsi="CESI宋体-GB2312" w:eastAsia="仿宋_GB2312" w:cs="CESI宋体-GB2312"/>
          <w:sz w:val="32"/>
          <w:szCs w:val="32"/>
          <w:highlight w:val="none"/>
          <w:lang w:val="en-US" w:eastAsia="zh-CN"/>
        </w:rPr>
        <w:t>11.87</w:t>
      </w:r>
      <w:r>
        <w:rPr>
          <w:rFonts w:ascii="CESI宋体-GB2312" w:hAnsi="CESI宋体-GB2312" w:eastAsia="仿宋_GB2312" w:cs="CESI宋体-GB2312"/>
          <w:sz w:val="32"/>
          <w:szCs w:val="32"/>
          <w:highlight w:val="none"/>
        </w:rPr>
        <w:t>万元，支出决算为</w:t>
      </w:r>
      <w:r>
        <w:rPr>
          <w:rFonts w:ascii="CESI宋体-GB2312" w:hAnsi="CESI宋体-GB2312" w:eastAsia="仿宋_GB2312" w:cs="CESI宋体-GB2312"/>
          <w:sz w:val="32"/>
          <w:szCs w:val="32"/>
          <w:highlight w:val="none"/>
          <w:lang w:val="en-US" w:eastAsia="zh-CN"/>
        </w:rPr>
        <w:t>11.62</w:t>
      </w:r>
      <w:r>
        <w:rPr>
          <w:rFonts w:ascii="CESI宋体-GB2312" w:hAnsi="CESI宋体-GB2312" w:eastAsia="仿宋_GB2312" w:cs="CESI宋体-GB2312"/>
          <w:sz w:val="32"/>
          <w:szCs w:val="32"/>
          <w:highlight w:val="none"/>
        </w:rPr>
        <w:t>万元，完成年初预算的</w:t>
      </w:r>
      <w:r>
        <w:rPr>
          <w:rFonts w:hint="eastAsia" w:ascii="CESI宋体-GB2312" w:hAnsi="CESI宋体-GB2312" w:eastAsia="仿宋_GB2312" w:cs="CESI宋体-GB2312"/>
          <w:color w:val="auto"/>
          <w:sz w:val="32"/>
          <w:szCs w:val="32"/>
          <w:highlight w:val="none"/>
          <w:lang w:val="en-US" w:eastAsia="zh-CN"/>
        </w:rPr>
        <w:t>97.9</w:t>
      </w:r>
      <w:r>
        <w:rPr>
          <w:rFonts w:ascii="CESI宋体-GB2312" w:hAnsi="CESI宋体-GB2312" w:eastAsia="仿宋_GB2312" w:cs="CESI宋体-GB2312"/>
          <w:sz w:val="32"/>
          <w:szCs w:val="32"/>
          <w:highlight w:val="none"/>
        </w:rPr>
        <w:t>%，</w:t>
      </w:r>
      <w:r>
        <w:rPr>
          <w:rFonts w:ascii="CESI宋体-GB2312" w:hAnsi="CESI宋体-GB2312" w:eastAsia="仿宋_GB2312" w:cs="CESI宋体-GB2312"/>
          <w:color w:val="auto"/>
          <w:sz w:val="32"/>
          <w:szCs w:val="32"/>
          <w:highlight w:val="none"/>
        </w:rPr>
        <w:t>决算数小于预算数的主要</w:t>
      </w:r>
      <w:r>
        <w:rPr>
          <w:rFonts w:ascii="CESI宋体-GB2312" w:hAnsi="CESI宋体-GB2312" w:eastAsia="仿宋_GB2312" w:cs="CESI宋体-GB2312"/>
          <w:sz w:val="32"/>
          <w:szCs w:val="32"/>
          <w:highlight w:val="none"/>
        </w:rPr>
        <w:t>原因：</w:t>
      </w:r>
      <w:r>
        <w:rPr>
          <w:rFonts w:ascii="CESI宋体-GB2312" w:hAnsi="CESI宋体-GB2312" w:eastAsia="仿宋_GB2312" w:cs="CESI宋体-GB2312"/>
          <w:color w:val="auto"/>
          <w:sz w:val="32"/>
          <w:szCs w:val="32"/>
          <w:highlight w:val="none"/>
          <w:lang w:eastAsia="zh-CN"/>
        </w:rPr>
        <w:t>因缴费基数</w:t>
      </w:r>
      <w:r>
        <w:rPr>
          <w:rFonts w:ascii="CESI宋体-GB2312" w:hAnsi="CESI宋体-GB2312" w:eastAsia="仿宋_GB2312" w:cs="CESI宋体-GB2312"/>
          <w:sz w:val="32"/>
          <w:szCs w:val="32"/>
          <w:highlight w:val="none"/>
          <w:lang w:eastAsia="zh-CN"/>
        </w:rPr>
        <w:t>调整，所以</w:t>
      </w:r>
      <w:r>
        <w:rPr>
          <w:rFonts w:ascii="CESI宋体-GB2312" w:hAnsi="CESI宋体-GB2312" w:eastAsia="仿宋_GB2312" w:cs="CESI宋体-GB2312"/>
          <w:sz w:val="32"/>
          <w:szCs w:val="32"/>
          <w:highlight w:val="none"/>
        </w:rPr>
        <w:t>基本养老保险缴费支出</w:t>
      </w:r>
      <w:r>
        <w:rPr>
          <w:rFonts w:ascii="CESI宋体-GB2312" w:hAnsi="CESI宋体-GB2312" w:eastAsia="仿宋_GB2312" w:cs="CESI宋体-GB2312"/>
          <w:sz w:val="32"/>
          <w:szCs w:val="32"/>
          <w:highlight w:val="none"/>
          <w:lang w:eastAsia="zh-CN"/>
        </w:rPr>
        <w:t>减少</w:t>
      </w:r>
      <w:r>
        <w:rPr>
          <w:rFonts w:ascii="CESI宋体-GB2312" w:hAnsi="CESI宋体-GB2312" w:eastAsia="仿宋_GB2312" w:cs="CESI宋体-GB2312"/>
          <w:sz w:val="32"/>
          <w:szCs w:val="32"/>
          <w:highlight w:val="none"/>
        </w:rPr>
        <w:t>。</w:t>
      </w:r>
      <w:r>
        <w:rPr>
          <w:rFonts w:ascii="CESI宋体-GB2312" w:hAnsi="CESI宋体-GB2312" w:eastAsia="CESI宋体-GB2312" w:cs="CESI宋体-GB2312"/>
          <w:sz w:val="32"/>
          <w:szCs w:val="32"/>
          <w:highlight w:val="none"/>
        </w:rPr>
        <w:t xml:space="preserve"> </w:t>
      </w:r>
    </w:p>
    <w:p w14:paraId="3713DC01">
      <w:pPr>
        <w:ind w:firstLine="640"/>
        <w:jc w:val="both"/>
        <w:rPr>
          <w:rFonts w:ascii="CESI宋体-GB2312" w:hAnsi="CESI宋体-GB2312" w:eastAsia="仿宋_GB2312" w:cs="仿宋;方正仿宋_GBK"/>
          <w:sz w:val="32"/>
          <w:szCs w:val="32"/>
          <w:highlight w:val="none"/>
        </w:rPr>
      </w:pPr>
      <w:r>
        <w:rPr>
          <w:rFonts w:ascii="CESI宋体-GB2312" w:hAnsi="CESI宋体-GB2312" w:eastAsia="仿宋_GB2312" w:cs="CESI宋体-GB2312"/>
          <w:sz w:val="32"/>
          <w:szCs w:val="32"/>
          <w:highlight w:val="none"/>
        </w:rPr>
        <w:t>5.</w:t>
      </w:r>
      <w:r>
        <w:rPr>
          <w:rFonts w:ascii="CESI宋体-GB2312" w:hAnsi="CESI宋体-GB2312" w:eastAsia="仿宋_GB2312" w:cs="CESI宋体-GB2312"/>
          <w:b/>
          <w:bCs/>
          <w:sz w:val="32"/>
          <w:szCs w:val="32"/>
          <w:highlight w:val="none"/>
        </w:rPr>
        <w:t>社会保障和就业支出（类）行政事业单位养老支出（款）</w:t>
      </w:r>
      <w:r>
        <w:rPr>
          <w:rFonts w:ascii="CESI宋体-GB2312" w:hAnsi="CESI宋体-GB2312" w:eastAsia="仿宋_GB2312" w:cs="CESI宋体-GB2312"/>
          <w:sz w:val="32"/>
          <w:szCs w:val="32"/>
          <w:highlight w:val="none"/>
        </w:rPr>
        <w:t>机关事业单位职业年金缴费支出（项）年初预算为</w:t>
      </w:r>
      <w:r>
        <w:rPr>
          <w:rFonts w:ascii="CESI宋体-GB2312" w:hAnsi="CESI宋体-GB2312" w:eastAsia="仿宋_GB2312" w:cs="CESI宋体-GB2312"/>
          <w:sz w:val="32"/>
          <w:szCs w:val="32"/>
          <w:highlight w:val="none"/>
          <w:lang w:val="en-US" w:eastAsia="zh-CN"/>
        </w:rPr>
        <w:t>5.93</w:t>
      </w:r>
      <w:r>
        <w:rPr>
          <w:rFonts w:ascii="CESI宋体-GB2312" w:hAnsi="CESI宋体-GB2312" w:eastAsia="仿宋_GB2312" w:cs="CESI宋体-GB2312"/>
          <w:sz w:val="32"/>
          <w:szCs w:val="32"/>
          <w:highlight w:val="none"/>
        </w:rPr>
        <w:t>万元，支出决算为</w:t>
      </w:r>
      <w:r>
        <w:rPr>
          <w:rFonts w:ascii="CESI宋体-GB2312" w:hAnsi="CESI宋体-GB2312" w:eastAsia="仿宋_GB2312" w:cs="CESI宋体-GB2312"/>
          <w:sz w:val="32"/>
          <w:szCs w:val="32"/>
          <w:highlight w:val="none"/>
          <w:lang w:val="en-US" w:eastAsia="zh-CN"/>
        </w:rPr>
        <w:t>5.81</w:t>
      </w:r>
      <w:r>
        <w:rPr>
          <w:rFonts w:ascii="CESI宋体-GB2312" w:hAnsi="CESI宋体-GB2312" w:eastAsia="仿宋_GB2312" w:cs="CESI宋体-GB2312"/>
          <w:sz w:val="32"/>
          <w:szCs w:val="32"/>
          <w:highlight w:val="none"/>
        </w:rPr>
        <w:t>万元，决算数</w:t>
      </w:r>
      <w:r>
        <w:rPr>
          <w:rFonts w:ascii="CESI宋体-GB2312" w:hAnsi="CESI宋体-GB2312" w:eastAsia="仿宋_GB2312" w:cs="CESI宋体-GB2312"/>
          <w:sz w:val="32"/>
          <w:szCs w:val="32"/>
          <w:highlight w:val="none"/>
          <w:lang w:eastAsia="zh-CN"/>
        </w:rPr>
        <w:t>小于</w:t>
      </w:r>
      <w:r>
        <w:rPr>
          <w:rFonts w:ascii="CESI宋体-GB2312" w:hAnsi="CESI宋体-GB2312" w:eastAsia="仿宋_GB2312" w:cs="CESI宋体-GB2312"/>
          <w:sz w:val="32"/>
          <w:szCs w:val="32"/>
          <w:highlight w:val="none"/>
        </w:rPr>
        <w:t>预算数的主要原因：因缴费基数调整，所以职业年金缴费支出减少</w:t>
      </w:r>
      <w:r>
        <w:rPr>
          <w:rFonts w:ascii="CESI宋体-GB2312" w:hAnsi="CESI宋体-GB2312" w:eastAsia="仿宋_GB2312" w:cs="仿宋;方正仿宋_GBK"/>
          <w:sz w:val="32"/>
          <w:szCs w:val="32"/>
          <w:highlight w:val="none"/>
        </w:rPr>
        <w:t>。</w:t>
      </w:r>
    </w:p>
    <w:p w14:paraId="7A3A7338">
      <w:pPr>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6.</w:t>
      </w:r>
      <w:r>
        <w:rPr>
          <w:rFonts w:ascii="CESI宋体-GB2312" w:hAnsi="CESI宋体-GB2312" w:eastAsia="仿宋_GB2312" w:cs="CESI宋体-GB2312"/>
          <w:b/>
          <w:bCs/>
          <w:sz w:val="32"/>
          <w:szCs w:val="32"/>
          <w:highlight w:val="none"/>
        </w:rPr>
        <w:t>卫生健康支出（类）行政事业单位医疗（款）行政单位医疗（项）</w:t>
      </w:r>
      <w:r>
        <w:rPr>
          <w:rFonts w:ascii="CESI宋体-GB2312" w:hAnsi="CESI宋体-GB2312" w:eastAsia="仿宋_GB2312" w:cs="CESI宋体-GB2312"/>
          <w:sz w:val="32"/>
          <w:szCs w:val="32"/>
          <w:highlight w:val="none"/>
        </w:rPr>
        <w:t>年初预算为</w:t>
      </w:r>
      <w:r>
        <w:rPr>
          <w:rFonts w:ascii="CESI宋体-GB2312" w:hAnsi="CESI宋体-GB2312" w:eastAsia="仿宋_GB2312" w:cs="CESI宋体-GB2312"/>
          <w:sz w:val="32"/>
          <w:szCs w:val="32"/>
          <w:highlight w:val="none"/>
          <w:lang w:val="en-US" w:eastAsia="zh-CN"/>
        </w:rPr>
        <w:t>4.15</w:t>
      </w:r>
      <w:r>
        <w:rPr>
          <w:rFonts w:ascii="CESI宋体-GB2312" w:hAnsi="CESI宋体-GB2312" w:eastAsia="仿宋_GB2312" w:cs="CESI宋体-GB2312"/>
          <w:sz w:val="32"/>
          <w:szCs w:val="32"/>
          <w:highlight w:val="none"/>
        </w:rPr>
        <w:t>万元，支出决算为</w:t>
      </w:r>
      <w:r>
        <w:rPr>
          <w:rFonts w:ascii="CESI宋体-GB2312" w:hAnsi="CESI宋体-GB2312" w:eastAsia="仿宋_GB2312" w:cs="CESI宋体-GB2312"/>
          <w:sz w:val="32"/>
          <w:szCs w:val="32"/>
          <w:highlight w:val="none"/>
          <w:lang w:val="en-US" w:eastAsia="zh-CN"/>
        </w:rPr>
        <w:t>4.07</w:t>
      </w:r>
      <w:r>
        <w:rPr>
          <w:rFonts w:ascii="CESI宋体-GB2312" w:hAnsi="CESI宋体-GB2312" w:eastAsia="仿宋_GB2312" w:cs="CESI宋体-GB2312"/>
          <w:sz w:val="32"/>
          <w:szCs w:val="32"/>
          <w:highlight w:val="none"/>
        </w:rPr>
        <w:t>万元，完成年初预算的</w:t>
      </w:r>
      <w:r>
        <w:rPr>
          <w:rFonts w:hint="eastAsia" w:ascii="CESI宋体-GB2312" w:hAnsi="CESI宋体-GB2312" w:eastAsia="仿宋_GB2312" w:cs="CESI宋体-GB2312"/>
          <w:color w:val="auto"/>
          <w:sz w:val="32"/>
          <w:szCs w:val="32"/>
          <w:highlight w:val="none"/>
          <w:lang w:val="en-US" w:eastAsia="zh-CN"/>
        </w:rPr>
        <w:t>98.1</w:t>
      </w:r>
      <w:r>
        <w:rPr>
          <w:rFonts w:ascii="CESI宋体-GB2312" w:hAnsi="CESI宋体-GB2312" w:eastAsia="仿宋_GB2312" w:cs="CESI宋体-GB2312"/>
          <w:sz w:val="32"/>
          <w:szCs w:val="32"/>
          <w:highlight w:val="none"/>
        </w:rPr>
        <w:t>%，</w:t>
      </w:r>
      <w:r>
        <w:rPr>
          <w:rFonts w:ascii="CESI宋体-GB2312" w:hAnsi="CESI宋体-GB2312" w:eastAsia="仿宋_GB2312" w:cs="CESI宋体-GB2312"/>
          <w:color w:val="auto"/>
          <w:sz w:val="32"/>
          <w:szCs w:val="32"/>
          <w:highlight w:val="none"/>
        </w:rPr>
        <w:t>决算数小于预算数的主要</w:t>
      </w:r>
      <w:r>
        <w:rPr>
          <w:rFonts w:ascii="CESI宋体-GB2312" w:hAnsi="CESI宋体-GB2312" w:eastAsia="仿宋_GB2312" w:cs="CESI宋体-GB2312"/>
          <w:sz w:val="32"/>
          <w:szCs w:val="32"/>
          <w:highlight w:val="none"/>
        </w:rPr>
        <w:t>原因：因缴费基数调整，所以医疗支出减少。</w:t>
      </w:r>
      <w:r>
        <w:rPr>
          <w:rFonts w:ascii="CESI宋体-GB2312" w:hAnsi="CESI宋体-GB2312" w:eastAsia="CESI宋体-GB2312" w:cs="CESI宋体-GB2312"/>
          <w:sz w:val="32"/>
          <w:szCs w:val="32"/>
          <w:highlight w:val="none"/>
        </w:rPr>
        <w:t xml:space="preserve"> </w:t>
      </w:r>
    </w:p>
    <w:p w14:paraId="1292731C">
      <w:pPr>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7.</w:t>
      </w:r>
      <w:r>
        <w:rPr>
          <w:rFonts w:ascii="CESI宋体-GB2312" w:hAnsi="CESI宋体-GB2312" w:eastAsia="仿宋_GB2312" w:cs="CESI宋体-GB2312"/>
          <w:b/>
          <w:bCs/>
          <w:sz w:val="32"/>
          <w:szCs w:val="32"/>
          <w:highlight w:val="none"/>
        </w:rPr>
        <w:t>住房保障支出（类）住房改革支出（款）住房公积金（项）</w:t>
      </w:r>
      <w:r>
        <w:rPr>
          <w:rFonts w:ascii="CESI宋体-GB2312" w:hAnsi="CESI宋体-GB2312" w:eastAsia="仿宋_GB2312" w:cs="CESI宋体-GB2312"/>
          <w:sz w:val="32"/>
          <w:szCs w:val="32"/>
          <w:highlight w:val="none"/>
        </w:rPr>
        <w:t>年初预算为1</w:t>
      </w:r>
      <w:r>
        <w:rPr>
          <w:rFonts w:ascii="CESI宋体-GB2312" w:hAnsi="CESI宋体-GB2312" w:eastAsia="仿宋_GB2312" w:cs="CESI宋体-GB2312"/>
          <w:sz w:val="32"/>
          <w:szCs w:val="32"/>
          <w:highlight w:val="none"/>
          <w:lang w:val="en-US" w:eastAsia="zh-CN"/>
        </w:rPr>
        <w:t>0.81</w:t>
      </w:r>
      <w:r>
        <w:rPr>
          <w:rFonts w:ascii="CESI宋体-GB2312" w:hAnsi="CESI宋体-GB2312" w:eastAsia="仿宋_GB2312" w:cs="CESI宋体-GB2312"/>
          <w:sz w:val="32"/>
          <w:szCs w:val="32"/>
          <w:highlight w:val="none"/>
        </w:rPr>
        <w:t>万元，支出决算为</w:t>
      </w:r>
      <w:r>
        <w:rPr>
          <w:rFonts w:ascii="CESI宋体-GB2312" w:hAnsi="CESI宋体-GB2312" w:eastAsia="仿宋_GB2312" w:cs="CESI宋体-GB2312"/>
          <w:sz w:val="32"/>
          <w:szCs w:val="32"/>
          <w:highlight w:val="none"/>
          <w:lang w:val="en-US" w:eastAsia="zh-CN"/>
        </w:rPr>
        <w:t>10.45</w:t>
      </w:r>
      <w:r>
        <w:rPr>
          <w:rFonts w:ascii="CESI宋体-GB2312" w:hAnsi="CESI宋体-GB2312" w:eastAsia="仿宋_GB2312" w:cs="CESI宋体-GB2312"/>
          <w:sz w:val="32"/>
          <w:szCs w:val="32"/>
          <w:highlight w:val="none"/>
        </w:rPr>
        <w:t>万元，完成年初预算的</w:t>
      </w:r>
      <w:r>
        <w:rPr>
          <w:rFonts w:hint="eastAsia" w:ascii="CESI宋体-GB2312" w:hAnsi="CESI宋体-GB2312" w:eastAsia="仿宋_GB2312" w:cs="CESI宋体-GB2312"/>
          <w:color w:val="auto"/>
          <w:sz w:val="32"/>
          <w:szCs w:val="32"/>
          <w:highlight w:val="none"/>
          <w:lang w:val="en-US" w:eastAsia="zh-CN"/>
        </w:rPr>
        <w:t>96.7</w:t>
      </w:r>
      <w:r>
        <w:rPr>
          <w:rFonts w:ascii="CESI宋体-GB2312" w:hAnsi="CESI宋体-GB2312" w:eastAsia="仿宋_GB2312" w:cs="CESI宋体-GB2312"/>
          <w:sz w:val="32"/>
          <w:szCs w:val="32"/>
          <w:highlight w:val="none"/>
        </w:rPr>
        <w:t>%，</w:t>
      </w:r>
      <w:r>
        <w:rPr>
          <w:rFonts w:ascii="CESI宋体-GB2312" w:hAnsi="CESI宋体-GB2312" w:eastAsia="仿宋_GB2312" w:cs="CESI宋体-GB2312"/>
          <w:color w:val="auto"/>
          <w:sz w:val="32"/>
          <w:szCs w:val="32"/>
          <w:highlight w:val="none"/>
        </w:rPr>
        <w:t>决算数小于预算数的主要</w:t>
      </w:r>
      <w:r>
        <w:rPr>
          <w:rFonts w:ascii="CESI宋体-GB2312" w:hAnsi="CESI宋体-GB2312" w:eastAsia="仿宋_GB2312" w:cs="CESI宋体-GB2312"/>
          <w:sz w:val="32"/>
          <w:szCs w:val="32"/>
          <w:highlight w:val="none"/>
        </w:rPr>
        <w:t>原因：因缴费基数调整，所以</w:t>
      </w:r>
      <w:r>
        <w:rPr>
          <w:rFonts w:ascii="CESI宋体-GB2312" w:hAnsi="CESI宋体-GB2312" w:eastAsia="仿宋_GB2312" w:cs="CESI宋体-GB2312"/>
          <w:sz w:val="32"/>
          <w:szCs w:val="32"/>
          <w:highlight w:val="none"/>
          <w:lang w:eastAsia="zh-CN"/>
        </w:rPr>
        <w:t>住房公积金支出</w:t>
      </w:r>
      <w:r>
        <w:rPr>
          <w:rFonts w:ascii="CESI宋体-GB2312" w:hAnsi="CESI宋体-GB2312" w:eastAsia="仿宋_GB2312" w:cs="CESI宋体-GB2312"/>
          <w:sz w:val="32"/>
          <w:szCs w:val="32"/>
          <w:highlight w:val="none"/>
        </w:rPr>
        <w:t>减少。</w:t>
      </w:r>
      <w:r>
        <w:rPr>
          <w:rFonts w:ascii="CESI宋体-GB2312" w:hAnsi="CESI宋体-GB2312" w:eastAsia="CESI宋体-GB2312" w:cs="CESI宋体-GB2312"/>
          <w:sz w:val="32"/>
          <w:szCs w:val="32"/>
          <w:highlight w:val="none"/>
        </w:rPr>
        <w:t xml:space="preserve"> </w:t>
      </w:r>
    </w:p>
    <w:p w14:paraId="1D94944F">
      <w:pPr>
        <w:ind w:firstLine="640"/>
        <w:jc w:val="both"/>
        <w:rPr>
          <w:rFonts w:ascii="CESI宋体-GB2312" w:hAnsi="CESI宋体-GB2312" w:eastAsia="黑体;方正黑体_GBK" w:cs="黑体;方正黑体_GBK"/>
          <w:bCs/>
          <w:sz w:val="32"/>
          <w:szCs w:val="32"/>
          <w:highlight w:val="none"/>
        </w:rPr>
      </w:pPr>
      <w:r>
        <w:rPr>
          <w:rFonts w:ascii="CESI宋体-GB2312" w:hAnsi="CESI宋体-GB2312" w:eastAsia="黑体;方正黑体_GBK" w:cs="黑体;方正黑体_GBK"/>
          <w:bCs/>
          <w:sz w:val="32"/>
          <w:szCs w:val="32"/>
          <w:highlight w:val="none"/>
        </w:rPr>
        <w:t>六、一般公共预算财政拨款基本支出决算情况说明。</w:t>
      </w:r>
    </w:p>
    <w:p w14:paraId="1EA546A8">
      <w:pPr>
        <w:tabs>
          <w:tab w:val="center" w:pos="4473"/>
        </w:tabs>
        <w:spacing w:line="240" w:lineRule="auto"/>
        <w:ind w:firstLine="640" w:firstLineChars="200"/>
        <w:jc w:val="both"/>
        <w:rPr>
          <w:rFonts w:ascii="CESI宋体-GB2312" w:hAnsi="CESI宋体-GB2312" w:eastAsia="仿宋_GB2312" w:cs="CESI宋体-GB2312"/>
          <w:color w:val="auto"/>
          <w:sz w:val="32"/>
          <w:szCs w:val="32"/>
          <w:highlight w:val="none"/>
        </w:rPr>
      </w:pPr>
      <w:r>
        <w:rPr>
          <w:rFonts w:ascii="CESI宋体-GB2312" w:hAnsi="CESI宋体-GB2312" w:eastAsia="仿宋_GB2312" w:cs="CESI宋体-GB2312"/>
          <w:color w:val="auto"/>
          <w:sz w:val="32"/>
          <w:szCs w:val="32"/>
          <w:highlight w:val="none"/>
          <w:lang w:eastAsia="zh-CN"/>
        </w:rPr>
        <w:t>2025</w:t>
      </w:r>
      <w:r>
        <w:rPr>
          <w:rFonts w:ascii="CESI宋体-GB2312" w:hAnsi="CESI宋体-GB2312" w:eastAsia="仿宋_GB2312" w:cs="CESI宋体-GB2312"/>
          <w:color w:val="auto"/>
          <w:sz w:val="32"/>
          <w:szCs w:val="32"/>
          <w:highlight w:val="none"/>
        </w:rPr>
        <w:t>年度财政拨款基本支出</w:t>
      </w:r>
      <w:r>
        <w:rPr>
          <w:rFonts w:ascii="CESI宋体-GB2312" w:hAnsi="CESI宋体-GB2312" w:eastAsia="仿宋_GB2312" w:cs="CESI宋体-GB2312"/>
          <w:color w:val="auto"/>
          <w:sz w:val="32"/>
          <w:szCs w:val="32"/>
          <w:highlight w:val="none"/>
          <w:lang w:val="en-US" w:eastAsia="zh-CN"/>
        </w:rPr>
        <w:t>150.04</w:t>
      </w:r>
      <w:r>
        <w:rPr>
          <w:rFonts w:ascii="CESI宋体-GB2312" w:hAnsi="CESI宋体-GB2312" w:eastAsia="仿宋_GB2312" w:cs="CESI宋体-GB2312"/>
          <w:color w:val="auto"/>
          <w:sz w:val="32"/>
          <w:szCs w:val="32"/>
          <w:highlight w:val="none"/>
        </w:rPr>
        <w:t>万元，其中：人员经费1</w:t>
      </w:r>
      <w:r>
        <w:rPr>
          <w:rFonts w:ascii="CESI宋体-GB2312" w:hAnsi="CESI宋体-GB2312" w:eastAsia="仿宋_GB2312" w:cs="CESI宋体-GB2312"/>
          <w:color w:val="auto"/>
          <w:sz w:val="32"/>
          <w:szCs w:val="32"/>
          <w:highlight w:val="none"/>
          <w:lang w:val="en-US" w:eastAsia="zh-CN"/>
        </w:rPr>
        <w:t>23.04</w:t>
      </w:r>
      <w:r>
        <w:rPr>
          <w:rFonts w:ascii="CESI宋体-GB2312" w:hAnsi="CESI宋体-GB2312" w:eastAsia="仿宋_GB2312" w:cs="CESI宋体-GB2312"/>
          <w:color w:val="auto"/>
          <w:sz w:val="32"/>
          <w:szCs w:val="32"/>
          <w:highlight w:val="none"/>
        </w:rPr>
        <w:t>万元，主要包括</w:t>
      </w:r>
      <w:r>
        <w:rPr>
          <w:rFonts w:hint="default" w:ascii="CESI宋体-GB2312" w:hAnsi="CESI宋体-GB2312" w:eastAsia="仿宋_GB2312" w:cs="CESI宋体-GB2312"/>
          <w:sz w:val="32"/>
          <w:szCs w:val="32"/>
          <w:highlight w:val="none"/>
        </w:rPr>
        <w:t>工资福利支出中的基本工资、津贴补贴、奖金、机关事业单位基本养老保险缴费、职业年金缴费、职工基本医疗保险缴费、</w:t>
      </w:r>
      <w:r>
        <w:rPr>
          <w:rFonts w:hint="default" w:ascii="CESI宋体-GB2312" w:hAnsi="CESI宋体-GB2312" w:eastAsia="仿宋_GB2312" w:cs="CESI宋体-GB2312"/>
          <w:color w:val="auto"/>
          <w:sz w:val="32"/>
          <w:szCs w:val="32"/>
          <w:highlight w:val="none"/>
        </w:rPr>
        <w:t>其他社会保障缴费</w:t>
      </w:r>
      <w:r>
        <w:rPr>
          <w:rFonts w:hint="default" w:ascii="CESI宋体-GB2312" w:hAnsi="CESI宋体-GB2312" w:eastAsia="仿宋_GB2312" w:cs="CESI宋体-GB2312"/>
          <w:color w:val="auto"/>
          <w:sz w:val="32"/>
          <w:szCs w:val="32"/>
          <w:highlight w:val="none"/>
          <w:lang w:eastAsia="zh-CN"/>
        </w:rPr>
        <w:t>、住房公积金、</w:t>
      </w:r>
      <w:r>
        <w:rPr>
          <w:rFonts w:hint="default" w:ascii="CESI宋体-GB2312" w:hAnsi="CESI宋体-GB2312" w:eastAsia="仿宋_GB2312" w:cs="CESI宋体-GB2312"/>
          <w:sz w:val="32"/>
          <w:szCs w:val="32"/>
          <w:highlight w:val="none"/>
        </w:rPr>
        <w:t>医疗费、其他工资福利支出。</w:t>
      </w:r>
      <w:r>
        <w:rPr>
          <w:rFonts w:ascii="CESI宋体-GB2312" w:hAnsi="CESI宋体-GB2312" w:eastAsia="仿宋_GB2312" w:cs="CESI宋体-GB2312"/>
          <w:color w:val="auto"/>
          <w:sz w:val="32"/>
          <w:szCs w:val="32"/>
          <w:highlight w:val="none"/>
        </w:rPr>
        <w:t>公用经费</w:t>
      </w:r>
      <w:r>
        <w:rPr>
          <w:rFonts w:hint="default" w:ascii="CESI宋体-GB2312" w:hAnsi="CESI宋体-GB2312" w:eastAsia="仿宋_GB2312" w:cs="CESI宋体-GB2312"/>
          <w:color w:val="auto"/>
          <w:sz w:val="32"/>
          <w:szCs w:val="32"/>
          <w:highlight w:val="none"/>
          <w:lang w:val="en-US" w:eastAsia="zh-CN"/>
        </w:rPr>
        <w:t>27</w:t>
      </w:r>
      <w:r>
        <w:rPr>
          <w:rFonts w:ascii="CESI宋体-GB2312" w:hAnsi="CESI宋体-GB2312" w:eastAsia="仿宋_GB2312" w:cs="CESI宋体-GB2312"/>
          <w:color w:val="auto"/>
          <w:sz w:val="32"/>
          <w:szCs w:val="32"/>
          <w:highlight w:val="none"/>
        </w:rPr>
        <w:t>万元，主要包括：</w:t>
      </w:r>
      <w:r>
        <w:rPr>
          <w:rFonts w:hint="default" w:ascii="CESI宋体-GB2312" w:hAnsi="CESI宋体-GB2312" w:eastAsia="仿宋_GB2312" w:cs="CESI宋体-GB2312"/>
          <w:color w:val="auto"/>
          <w:sz w:val="32"/>
          <w:szCs w:val="32"/>
          <w:highlight w:val="none"/>
        </w:rPr>
        <w:t>商品和服务支出中的办公费、印刷费、邮电费、差旅费、维修（护）费、租赁费、被装购置费、劳务费、委托业务费、工会经</w:t>
      </w:r>
      <w:r>
        <w:rPr>
          <w:rFonts w:hint="eastAsia" w:ascii="CESI宋体-GB2312" w:hAnsi="CESI宋体-GB2312" w:eastAsia="仿宋_GB2312" w:cs="CESI宋体-GB2312"/>
          <w:color w:val="auto"/>
          <w:sz w:val="32"/>
          <w:szCs w:val="32"/>
          <w:highlight w:val="none"/>
        </w:rPr>
        <w:t>费、公务用车运行维护费、其他交通费用、其他商品和服务支出</w:t>
      </w:r>
      <w:r>
        <w:rPr>
          <w:rFonts w:hint="eastAsia" w:ascii="CESI宋体-GB2312" w:hAnsi="CESI宋体-GB2312" w:eastAsia="仿宋_GB2312" w:cs="CESI宋体-GB2312"/>
          <w:color w:val="auto"/>
          <w:sz w:val="32"/>
          <w:szCs w:val="32"/>
          <w:highlight w:val="none"/>
          <w:lang w:eastAsia="zh-CN"/>
        </w:rPr>
        <w:t>和</w:t>
      </w:r>
      <w:r>
        <w:rPr>
          <w:rFonts w:hint="eastAsia" w:ascii="CESI宋体-GB2312" w:hAnsi="CESI宋体-GB2312" w:eastAsia="仿宋_GB2312" w:cs="CESI宋体-GB2312"/>
          <w:color w:val="auto"/>
          <w:sz w:val="32"/>
          <w:szCs w:val="32"/>
          <w:highlight w:val="none"/>
        </w:rPr>
        <w:t>资本性支出中的办公设备购置。</w:t>
      </w:r>
    </w:p>
    <w:p w14:paraId="7A0D8CBB">
      <w:pPr>
        <w:widowControl w:val="0"/>
        <w:tabs>
          <w:tab w:val="center" w:pos="4473"/>
        </w:tabs>
        <w:spacing w:line="578" w:lineRule="exact"/>
        <w:ind w:firstLine="627"/>
        <w:rPr>
          <w:rFonts w:ascii="黑体;方正黑体_GBK" w:hAnsi="黑体;方正黑体_GBK" w:eastAsia="黑体;方正黑体_GBK" w:cs="黑体;方正黑体_GBK"/>
          <w:bCs/>
          <w:sz w:val="32"/>
          <w:szCs w:val="32"/>
          <w:highlight w:val="none"/>
        </w:rPr>
      </w:pPr>
      <w:r>
        <w:rPr>
          <w:rFonts w:ascii="黑体;方正黑体_GBK" w:hAnsi="黑体;方正黑体_GBK" w:eastAsia="黑体;方正黑体_GBK" w:cs="黑体;方正黑体_GBK"/>
          <w:bCs/>
          <w:sz w:val="32"/>
          <w:szCs w:val="32"/>
          <w:highlight w:val="none"/>
        </w:rPr>
        <w:t>七、政府性基金预算财政拨款支出决算情况说明</w:t>
      </w:r>
    </w:p>
    <w:p w14:paraId="2C57C4BD">
      <w:pPr>
        <w:widowControl w:val="0"/>
        <w:spacing w:line="578" w:lineRule="exact"/>
        <w:ind w:firstLine="640"/>
        <w:rPr>
          <w:rFonts w:ascii="楷体;方正楷体_GBK" w:hAnsi="楷体;方正楷体_GBK" w:eastAsia="楷体;方正楷体_GBK" w:cs="楷体;方正楷体_GBK"/>
          <w:sz w:val="32"/>
          <w:szCs w:val="32"/>
          <w:highlight w:val="none"/>
        </w:rPr>
      </w:pPr>
      <w:r>
        <w:rPr>
          <w:rFonts w:ascii="楷体;方正楷体_GBK" w:hAnsi="楷体;方正楷体_GBK" w:eastAsia="楷体;方正楷体_GBK" w:cs="楷体;方正楷体_GBK"/>
          <w:sz w:val="32"/>
          <w:szCs w:val="32"/>
          <w:highlight w:val="none"/>
        </w:rPr>
        <w:t>（一）政府性基金预算财政拨款支出决算总体情况</w:t>
      </w:r>
    </w:p>
    <w:p w14:paraId="0C26B352">
      <w:pPr>
        <w:tabs>
          <w:tab w:val="center" w:pos="4473"/>
        </w:tabs>
        <w:spacing w:line="578" w:lineRule="exact"/>
        <w:ind w:firstLine="640"/>
        <w:jc w:val="both"/>
        <w:rPr>
          <w:rFonts w:ascii="CESI宋体-GB2312" w:hAnsi="CESI宋体-GB2312" w:eastAsia="仿宋_GB2312" w:cs="仿宋_GB2312"/>
          <w:sz w:val="32"/>
          <w:szCs w:val="32"/>
          <w:highlight w:val="none"/>
        </w:rPr>
      </w:pPr>
      <w:r>
        <w:rPr>
          <w:rFonts w:ascii="CESI宋体-GB2312" w:hAnsi="CESI宋体-GB2312" w:eastAsia="仿宋_GB2312" w:cs="楷体;方正楷体_GBK"/>
          <w:sz w:val="32"/>
          <w:szCs w:val="32"/>
          <w:highlight w:val="none"/>
        </w:rPr>
        <w:t>海南省消费者委员会办公室无此类事项。</w:t>
      </w:r>
    </w:p>
    <w:p w14:paraId="5A994D3C">
      <w:pPr>
        <w:widowControl w:val="0"/>
        <w:spacing w:line="578" w:lineRule="exact"/>
        <w:ind w:firstLine="640"/>
        <w:rPr>
          <w:rFonts w:ascii="楷体;方正楷体_GBK" w:hAnsi="楷体;方正楷体_GBK" w:eastAsia="楷体;方正楷体_GBK" w:cs="楷体;方正楷体_GBK"/>
          <w:sz w:val="32"/>
          <w:szCs w:val="32"/>
          <w:highlight w:val="none"/>
        </w:rPr>
      </w:pPr>
      <w:r>
        <w:rPr>
          <w:rFonts w:ascii="楷体;方正楷体_GBK" w:hAnsi="楷体;方正楷体_GBK" w:eastAsia="楷体;方正楷体_GBK" w:cs="楷体;方正楷体_GBK"/>
          <w:sz w:val="32"/>
          <w:szCs w:val="32"/>
          <w:highlight w:val="none"/>
        </w:rPr>
        <w:t>（二）政府性基金预算财政拨款支出决算结构情况</w:t>
      </w:r>
    </w:p>
    <w:p w14:paraId="1303536C">
      <w:pPr>
        <w:tabs>
          <w:tab w:val="center" w:pos="4473"/>
        </w:tabs>
        <w:spacing w:line="578" w:lineRule="exact"/>
        <w:ind w:firstLine="640"/>
        <w:jc w:val="both"/>
        <w:rPr>
          <w:rFonts w:ascii="CESI宋体-GB2312" w:hAnsi="CESI宋体-GB2312" w:eastAsia="仿宋_GB2312" w:cs="仿宋_GB2312"/>
          <w:sz w:val="32"/>
          <w:szCs w:val="32"/>
          <w:highlight w:val="none"/>
        </w:rPr>
      </w:pPr>
      <w:r>
        <w:rPr>
          <w:rFonts w:ascii="CESI宋体-GB2312" w:hAnsi="CESI宋体-GB2312" w:eastAsia="仿宋_GB2312" w:cs="楷体;方正楷体_GBK"/>
          <w:sz w:val="32"/>
          <w:szCs w:val="32"/>
          <w:highlight w:val="none"/>
        </w:rPr>
        <w:t>海南省消费者委员会办公室无此类事项。</w:t>
      </w:r>
    </w:p>
    <w:p w14:paraId="61E81BF0">
      <w:pPr>
        <w:widowControl w:val="0"/>
        <w:spacing w:line="578" w:lineRule="exact"/>
        <w:ind w:firstLine="640"/>
        <w:rPr>
          <w:rFonts w:ascii="楷体;方正楷体_GBK" w:hAnsi="楷体;方正楷体_GBK" w:eastAsia="楷体;方正楷体_GBK" w:cs="楷体;方正楷体_GBK"/>
          <w:sz w:val="32"/>
          <w:szCs w:val="32"/>
          <w:highlight w:val="none"/>
        </w:rPr>
      </w:pPr>
      <w:r>
        <w:rPr>
          <w:rFonts w:ascii="楷体;方正楷体_GBK" w:hAnsi="楷体;方正楷体_GBK" w:eastAsia="楷体;方正楷体_GBK" w:cs="楷体;方正楷体_GBK"/>
          <w:sz w:val="32"/>
          <w:szCs w:val="32"/>
          <w:highlight w:val="none"/>
        </w:rPr>
        <w:t>（三）政府性基金预算财政拨款支出决算具体情况</w:t>
      </w:r>
    </w:p>
    <w:p w14:paraId="7478056D">
      <w:pPr>
        <w:tabs>
          <w:tab w:val="center" w:pos="4473"/>
        </w:tabs>
        <w:spacing w:line="578" w:lineRule="exact"/>
        <w:ind w:firstLine="640"/>
        <w:jc w:val="both"/>
        <w:rPr>
          <w:rFonts w:ascii="CESI宋体-GB2312" w:hAnsi="CESI宋体-GB2312" w:eastAsia="仿宋_GB2312" w:cs="仿宋_GB2312"/>
          <w:sz w:val="32"/>
          <w:szCs w:val="32"/>
          <w:highlight w:val="none"/>
        </w:rPr>
      </w:pPr>
      <w:r>
        <w:rPr>
          <w:rFonts w:ascii="CESI宋体-GB2312" w:hAnsi="CESI宋体-GB2312" w:eastAsia="仿宋_GB2312" w:cs="楷体;方正楷体_GBK"/>
          <w:sz w:val="32"/>
          <w:szCs w:val="32"/>
          <w:highlight w:val="none"/>
        </w:rPr>
        <w:t>海南省消费者委员会办公室无此类事项。</w:t>
      </w:r>
    </w:p>
    <w:p w14:paraId="37D2B63B">
      <w:pPr>
        <w:widowControl w:val="0"/>
        <w:tabs>
          <w:tab w:val="center" w:pos="4473"/>
        </w:tabs>
        <w:spacing w:line="578" w:lineRule="exact"/>
        <w:ind w:firstLine="627"/>
        <w:rPr>
          <w:rFonts w:ascii="黑体;方正黑体_GBK" w:hAnsi="黑体;方正黑体_GBK" w:eastAsia="黑体;方正黑体_GBK" w:cs="黑体;方正黑体_GBK"/>
          <w:bCs/>
          <w:sz w:val="32"/>
          <w:szCs w:val="32"/>
          <w:highlight w:val="none"/>
        </w:rPr>
      </w:pPr>
      <w:r>
        <w:rPr>
          <w:rFonts w:ascii="黑体;方正黑体_GBK" w:hAnsi="黑体;方正黑体_GBK" w:eastAsia="黑体;方正黑体_GBK" w:cs="黑体;方正黑体_GBK"/>
          <w:bCs/>
          <w:sz w:val="32"/>
          <w:szCs w:val="32"/>
          <w:highlight w:val="none"/>
        </w:rPr>
        <w:t>八、国有资本经营预算财政拨款支出决算情况说明</w:t>
      </w:r>
    </w:p>
    <w:p w14:paraId="1A253258">
      <w:pPr>
        <w:widowControl w:val="0"/>
        <w:spacing w:line="578" w:lineRule="exact"/>
        <w:ind w:firstLine="640"/>
        <w:rPr>
          <w:rFonts w:ascii="楷体;方正楷体_GBK" w:hAnsi="楷体;方正楷体_GBK" w:eastAsia="楷体;方正楷体_GBK" w:cs="楷体;方正楷体_GBK"/>
          <w:sz w:val="32"/>
          <w:szCs w:val="32"/>
          <w:highlight w:val="none"/>
        </w:rPr>
      </w:pPr>
      <w:r>
        <w:rPr>
          <w:rFonts w:ascii="楷体;方正楷体_GBK" w:hAnsi="楷体;方正楷体_GBK" w:eastAsia="楷体;方正楷体_GBK" w:cs="楷体;方正楷体_GBK"/>
          <w:sz w:val="32"/>
          <w:szCs w:val="32"/>
          <w:highlight w:val="none"/>
        </w:rPr>
        <w:t>（一）国有资本经营预算财政拨款支出决算总体情况</w:t>
      </w:r>
    </w:p>
    <w:p w14:paraId="1560F363">
      <w:pPr>
        <w:tabs>
          <w:tab w:val="center" w:pos="4473"/>
        </w:tabs>
        <w:spacing w:line="578" w:lineRule="exact"/>
        <w:ind w:firstLine="640"/>
        <w:jc w:val="both"/>
        <w:rPr>
          <w:rFonts w:ascii="CESI宋体-GB2312" w:hAnsi="CESI宋体-GB2312" w:eastAsia="仿宋_GB2312" w:cs="仿宋_GB2312"/>
          <w:sz w:val="32"/>
          <w:szCs w:val="32"/>
          <w:highlight w:val="none"/>
        </w:rPr>
      </w:pPr>
      <w:r>
        <w:rPr>
          <w:rFonts w:ascii="CESI宋体-GB2312" w:hAnsi="CESI宋体-GB2312" w:eastAsia="仿宋_GB2312" w:cs="楷体;方正楷体_GBK"/>
          <w:sz w:val="32"/>
          <w:szCs w:val="32"/>
          <w:highlight w:val="none"/>
        </w:rPr>
        <w:t>海南省消费者委员会办公室无此类事项。</w:t>
      </w:r>
    </w:p>
    <w:p w14:paraId="0C283576">
      <w:pPr>
        <w:widowControl w:val="0"/>
        <w:spacing w:line="578" w:lineRule="exact"/>
        <w:ind w:firstLine="640"/>
        <w:rPr>
          <w:rFonts w:ascii="楷体;方正楷体_GBK" w:hAnsi="楷体;方正楷体_GBK" w:eastAsia="楷体;方正楷体_GBK" w:cs="楷体;方正楷体_GBK"/>
          <w:sz w:val="32"/>
          <w:szCs w:val="32"/>
          <w:highlight w:val="none"/>
        </w:rPr>
      </w:pPr>
      <w:r>
        <w:rPr>
          <w:rFonts w:ascii="楷体;方正楷体_GBK" w:hAnsi="楷体;方正楷体_GBK" w:eastAsia="楷体;方正楷体_GBK" w:cs="楷体;方正楷体_GBK"/>
          <w:sz w:val="32"/>
          <w:szCs w:val="32"/>
          <w:highlight w:val="none"/>
        </w:rPr>
        <w:t>（二）国有资本经营预算财政拨款支出决算结构情况</w:t>
      </w:r>
    </w:p>
    <w:p w14:paraId="30D536CD">
      <w:pPr>
        <w:tabs>
          <w:tab w:val="center" w:pos="4473"/>
        </w:tabs>
        <w:spacing w:line="578" w:lineRule="exact"/>
        <w:ind w:firstLine="640"/>
        <w:jc w:val="both"/>
        <w:rPr>
          <w:rFonts w:ascii="CESI宋体-GB2312" w:hAnsi="CESI宋体-GB2312" w:eastAsia="仿宋_GB2312" w:cs="仿宋_GB2312"/>
          <w:sz w:val="32"/>
          <w:szCs w:val="32"/>
          <w:highlight w:val="none"/>
        </w:rPr>
      </w:pPr>
      <w:r>
        <w:rPr>
          <w:rFonts w:ascii="CESI宋体-GB2312" w:hAnsi="CESI宋体-GB2312" w:eastAsia="仿宋_GB2312" w:cs="楷体;方正楷体_GBK"/>
          <w:sz w:val="32"/>
          <w:szCs w:val="32"/>
          <w:highlight w:val="none"/>
        </w:rPr>
        <w:t>海南省消费者委员会办公室无此类事项。</w:t>
      </w:r>
    </w:p>
    <w:p w14:paraId="11ECD3D0">
      <w:pPr>
        <w:widowControl w:val="0"/>
        <w:spacing w:line="578" w:lineRule="exact"/>
        <w:ind w:firstLine="640"/>
        <w:rPr>
          <w:rFonts w:ascii="楷体;方正楷体_GBK" w:hAnsi="楷体;方正楷体_GBK" w:eastAsia="楷体;方正楷体_GBK" w:cs="楷体;方正楷体_GBK"/>
          <w:sz w:val="32"/>
          <w:szCs w:val="32"/>
          <w:highlight w:val="none"/>
        </w:rPr>
      </w:pPr>
      <w:r>
        <w:rPr>
          <w:rFonts w:ascii="楷体;方正楷体_GBK" w:hAnsi="楷体;方正楷体_GBK" w:eastAsia="楷体;方正楷体_GBK" w:cs="楷体;方正楷体_GBK"/>
          <w:sz w:val="32"/>
          <w:szCs w:val="32"/>
          <w:highlight w:val="none"/>
        </w:rPr>
        <w:t>（三）国有资本经营预算财政拨款支出决算具体情况</w:t>
      </w:r>
    </w:p>
    <w:p w14:paraId="5BEC648B">
      <w:pPr>
        <w:tabs>
          <w:tab w:val="center" w:pos="4473"/>
        </w:tabs>
        <w:spacing w:line="578" w:lineRule="exact"/>
        <w:ind w:firstLine="640"/>
        <w:jc w:val="both"/>
        <w:rPr>
          <w:rFonts w:ascii="CESI宋体-GB2312" w:hAnsi="CESI宋体-GB2312" w:eastAsia="仿宋_GB2312" w:cs="仿宋_GB2312"/>
          <w:sz w:val="32"/>
          <w:szCs w:val="32"/>
          <w:highlight w:val="none"/>
        </w:rPr>
      </w:pPr>
      <w:r>
        <w:rPr>
          <w:rFonts w:ascii="CESI宋体-GB2312" w:hAnsi="CESI宋体-GB2312" w:eastAsia="仿宋_GB2312" w:cs="楷体;方正楷体_GBK"/>
          <w:sz w:val="32"/>
          <w:szCs w:val="32"/>
          <w:highlight w:val="none"/>
        </w:rPr>
        <w:t>海南省消费者委员会办公室无此类事项。</w:t>
      </w:r>
    </w:p>
    <w:p w14:paraId="451B64AE">
      <w:pPr>
        <w:spacing w:line="576" w:lineRule="exact"/>
        <w:ind w:firstLine="640"/>
        <w:jc w:val="both"/>
        <w:rPr>
          <w:rFonts w:ascii="CESI宋体-GB2312" w:hAnsi="CESI宋体-GB2312" w:eastAsia="楷体_GB2312" w:cs="CESI宋体-GB2312"/>
          <w:sz w:val="32"/>
          <w:szCs w:val="32"/>
          <w:highlight w:val="none"/>
        </w:rPr>
      </w:pPr>
      <w:r>
        <w:rPr>
          <w:rFonts w:ascii="CESI宋体-GB2312" w:hAnsi="CESI宋体-GB2312" w:eastAsia="黑体;方正黑体_GBK" w:cs="黑体;方正黑体_GBK"/>
          <w:bCs/>
          <w:sz w:val="32"/>
          <w:szCs w:val="32"/>
          <w:highlight w:val="none"/>
        </w:rPr>
        <w:t>九、财政拨款“三公”经费支出决算情况说明</w:t>
      </w:r>
    </w:p>
    <w:p w14:paraId="6303D222">
      <w:pPr>
        <w:spacing w:line="576" w:lineRule="exact"/>
        <w:ind w:firstLine="640"/>
        <w:jc w:val="both"/>
        <w:rPr>
          <w:rFonts w:ascii="CESI宋体-GB2312" w:hAnsi="CESI宋体-GB2312" w:eastAsia="楷体;方正楷体_GBK" w:cs="楷体;方正楷体_GBK"/>
          <w:sz w:val="32"/>
          <w:szCs w:val="32"/>
          <w:highlight w:val="none"/>
        </w:rPr>
      </w:pPr>
      <w:r>
        <w:rPr>
          <w:rFonts w:ascii="CESI宋体-GB2312" w:hAnsi="CESI宋体-GB2312" w:eastAsia="楷体;方正楷体_GBK" w:cs="楷体;方正楷体_GBK"/>
          <w:sz w:val="32"/>
          <w:szCs w:val="32"/>
          <w:highlight w:val="none"/>
        </w:rPr>
        <w:t>（一）财政拨款“三公”经费支出决算总体情况说明。</w:t>
      </w:r>
    </w:p>
    <w:p w14:paraId="75279591">
      <w:pPr>
        <w:spacing w:line="576"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lang w:eastAsia="zh-CN"/>
        </w:rPr>
        <w:t>2025</w:t>
      </w:r>
      <w:r>
        <w:rPr>
          <w:rFonts w:ascii="CESI宋体-GB2312" w:hAnsi="CESI宋体-GB2312" w:eastAsia="仿宋_GB2312" w:cs="CESI宋体-GB2312"/>
          <w:sz w:val="32"/>
          <w:szCs w:val="32"/>
          <w:highlight w:val="none"/>
        </w:rPr>
        <w:t>年度财政拨款“三公”经费支出预算为</w:t>
      </w:r>
      <w:r>
        <w:rPr>
          <w:rFonts w:ascii="CESI宋体-GB2312" w:hAnsi="CESI宋体-GB2312" w:eastAsia="仿宋_GB2312" w:cs="CESI宋体-GB2312"/>
          <w:sz w:val="32"/>
          <w:szCs w:val="32"/>
          <w:highlight w:val="none"/>
          <w:lang w:val="en-US" w:eastAsia="zh-CN"/>
        </w:rPr>
        <w:t>3.6</w:t>
      </w:r>
      <w:r>
        <w:rPr>
          <w:rFonts w:ascii="CESI宋体-GB2312" w:hAnsi="CESI宋体-GB2312" w:eastAsia="仿宋_GB2312" w:cs="CESI宋体-GB2312"/>
          <w:sz w:val="32"/>
          <w:szCs w:val="32"/>
          <w:highlight w:val="none"/>
        </w:rPr>
        <w:t>万元，支出决算为</w:t>
      </w:r>
      <w:r>
        <w:rPr>
          <w:rFonts w:ascii="CESI宋体-GB2312" w:hAnsi="CESI宋体-GB2312" w:eastAsia="仿宋_GB2312" w:cs="CESI宋体-GB2312"/>
          <w:sz w:val="32"/>
          <w:szCs w:val="32"/>
          <w:highlight w:val="none"/>
          <w:lang w:val="en-US" w:eastAsia="zh-CN"/>
        </w:rPr>
        <w:t>1.84</w:t>
      </w:r>
      <w:r>
        <w:rPr>
          <w:rFonts w:ascii="CESI宋体-GB2312" w:hAnsi="CESI宋体-GB2312" w:eastAsia="仿宋_GB2312" w:cs="CESI宋体-GB2312"/>
          <w:sz w:val="32"/>
          <w:szCs w:val="32"/>
          <w:highlight w:val="none"/>
        </w:rPr>
        <w:t>万元，完成预算的</w:t>
      </w:r>
      <w:r>
        <w:rPr>
          <w:rFonts w:hint="eastAsia" w:ascii="CESI宋体-GB2312" w:hAnsi="CESI宋体-GB2312" w:eastAsia="仿宋_GB2312" w:cs="CESI宋体-GB2312"/>
          <w:color w:val="auto"/>
          <w:sz w:val="32"/>
          <w:szCs w:val="32"/>
          <w:highlight w:val="none"/>
          <w:lang w:val="en-US" w:eastAsia="zh-CN"/>
        </w:rPr>
        <w:t>51.1</w:t>
      </w:r>
      <w:r>
        <w:rPr>
          <w:rFonts w:ascii="CESI宋体-GB2312" w:hAnsi="CESI宋体-GB2312" w:eastAsia="仿宋_GB2312" w:cs="CESI宋体-GB2312"/>
          <w:sz w:val="32"/>
          <w:szCs w:val="32"/>
          <w:highlight w:val="none"/>
        </w:rPr>
        <w:t>%，与</w:t>
      </w:r>
      <w:r>
        <w:rPr>
          <w:rFonts w:ascii="CESI宋体-GB2312" w:hAnsi="CESI宋体-GB2312" w:eastAsia="仿宋_GB2312" w:cs="CESI宋体-GB2312"/>
          <w:sz w:val="32"/>
          <w:szCs w:val="32"/>
          <w:highlight w:val="none"/>
          <w:lang w:eastAsia="zh-CN"/>
        </w:rPr>
        <w:t>2024</w:t>
      </w:r>
      <w:r>
        <w:rPr>
          <w:rFonts w:ascii="CESI宋体-GB2312" w:hAnsi="CESI宋体-GB2312" w:eastAsia="仿宋_GB2312" w:cs="CESI宋体-GB2312"/>
          <w:sz w:val="32"/>
          <w:szCs w:val="32"/>
          <w:highlight w:val="none"/>
        </w:rPr>
        <w:t>年度相比，“三公”经费支出</w:t>
      </w:r>
      <w:r>
        <w:rPr>
          <w:rFonts w:ascii="CESI宋体-GB2312" w:hAnsi="CESI宋体-GB2312" w:eastAsia="仿宋_GB2312" w:cs="CESI宋体-GB2312"/>
          <w:sz w:val="32"/>
          <w:szCs w:val="32"/>
          <w:highlight w:val="none"/>
          <w:lang w:eastAsia="zh-CN"/>
        </w:rPr>
        <w:t>增加</w:t>
      </w:r>
      <w:r>
        <w:rPr>
          <w:rFonts w:ascii="CESI宋体-GB2312" w:hAnsi="CESI宋体-GB2312" w:eastAsia="仿宋_GB2312" w:cs="CESI宋体-GB2312"/>
          <w:sz w:val="32"/>
          <w:szCs w:val="32"/>
          <w:highlight w:val="none"/>
          <w:lang w:val="en-US" w:eastAsia="zh-CN"/>
        </w:rPr>
        <w:t>1.3</w:t>
      </w:r>
      <w:r>
        <w:rPr>
          <w:rFonts w:ascii="CESI宋体-GB2312" w:hAnsi="CESI宋体-GB2312" w:eastAsia="仿宋_GB2312" w:cs="CESI宋体-GB2312"/>
          <w:sz w:val="32"/>
          <w:szCs w:val="32"/>
          <w:highlight w:val="none"/>
        </w:rPr>
        <w:t>万元，</w:t>
      </w:r>
      <w:r>
        <w:rPr>
          <w:rFonts w:hint="eastAsia" w:ascii="CESI宋体-GB2312" w:hAnsi="CESI宋体-GB2312" w:eastAsia="仿宋_GB2312" w:cs="CESI宋体-GB2312"/>
          <w:color w:val="auto"/>
          <w:sz w:val="32"/>
          <w:szCs w:val="32"/>
          <w:highlight w:val="none"/>
          <w:lang w:eastAsia="zh-CN"/>
        </w:rPr>
        <w:t>增长</w:t>
      </w:r>
      <w:r>
        <w:rPr>
          <w:rFonts w:ascii="CESI宋体-GB2312" w:hAnsi="CESI宋体-GB2312" w:eastAsia="仿宋_GB2312" w:cs="CESI宋体-GB2312"/>
          <w:sz w:val="32"/>
          <w:szCs w:val="32"/>
          <w:highlight w:val="none"/>
          <w:lang w:val="en-US" w:eastAsia="zh-CN"/>
        </w:rPr>
        <w:t>240.7</w:t>
      </w:r>
      <w:r>
        <w:rPr>
          <w:rFonts w:ascii="CESI宋体-GB2312" w:hAnsi="CESI宋体-GB2312" w:eastAsia="仿宋_GB2312" w:cs="CESI宋体-GB2312"/>
          <w:sz w:val="32"/>
          <w:szCs w:val="32"/>
          <w:highlight w:val="none"/>
        </w:rPr>
        <w:t>%，主要原因是</w:t>
      </w:r>
      <w:r>
        <w:rPr>
          <w:rFonts w:ascii="CESI宋体-GB2312" w:hAnsi="CESI宋体-GB2312" w:eastAsia="仿宋_GB2312" w:cs="CESI宋体-GB2312"/>
          <w:sz w:val="32"/>
          <w:szCs w:val="32"/>
          <w:highlight w:val="none"/>
          <w:lang w:eastAsia="zh-CN"/>
        </w:rPr>
        <w:t>公务车辆老化故障增多，导致维修费增加</w:t>
      </w:r>
      <w:r>
        <w:rPr>
          <w:rFonts w:ascii="CESI宋体-GB2312" w:hAnsi="CESI宋体-GB2312" w:eastAsia="仿宋_GB2312" w:cs="CESI宋体-GB2312"/>
          <w:sz w:val="32"/>
          <w:szCs w:val="32"/>
          <w:highlight w:val="none"/>
        </w:rPr>
        <w:t>。</w:t>
      </w:r>
    </w:p>
    <w:p w14:paraId="673BBE7D">
      <w:pPr>
        <w:spacing w:line="576" w:lineRule="exact"/>
        <w:ind w:firstLine="640"/>
        <w:jc w:val="both"/>
        <w:rPr>
          <w:rFonts w:ascii="CESI宋体-GB2312" w:hAnsi="CESI宋体-GB2312" w:eastAsia="楷体;方正楷体_GBK" w:cs="楷体;方正楷体_GBK"/>
          <w:bCs/>
          <w:sz w:val="32"/>
          <w:szCs w:val="32"/>
          <w:highlight w:val="none"/>
        </w:rPr>
      </w:pPr>
      <w:r>
        <w:rPr>
          <w:rFonts w:ascii="CESI宋体-GB2312" w:hAnsi="CESI宋体-GB2312" w:eastAsia="楷体;方正楷体_GBK" w:cs="楷体;方正楷体_GBK"/>
          <w:bCs/>
          <w:sz w:val="32"/>
          <w:szCs w:val="32"/>
          <w:highlight w:val="none"/>
        </w:rPr>
        <w:t>（二）财政拨款“三公”经费支出决算具体情况说明。</w:t>
      </w:r>
    </w:p>
    <w:p w14:paraId="251CD659">
      <w:pPr>
        <w:spacing w:line="576"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lang w:eastAsia="zh-CN"/>
        </w:rPr>
        <w:t>2025</w:t>
      </w:r>
      <w:r>
        <w:rPr>
          <w:rFonts w:ascii="CESI宋体-GB2312" w:hAnsi="CESI宋体-GB2312" w:eastAsia="仿宋_GB2312" w:cs="CESI宋体-GB2312"/>
          <w:sz w:val="32"/>
          <w:szCs w:val="32"/>
          <w:highlight w:val="none"/>
        </w:rPr>
        <w:t>年度财政拨款“三公”经费支出决算中，因公出国（境）费</w:t>
      </w:r>
      <w:r>
        <w:rPr>
          <w:rFonts w:hint="eastAsia" w:ascii="CESI宋体-GB2312" w:hAnsi="CESI宋体-GB2312" w:eastAsia="仿宋_GB2312" w:cs="CESI宋体-GB2312"/>
          <w:sz w:val="32"/>
          <w:szCs w:val="32"/>
          <w:highlight w:val="none"/>
          <w:lang w:eastAsia="zh-CN"/>
        </w:rPr>
        <w:t>用</w:t>
      </w:r>
      <w:r>
        <w:rPr>
          <w:rFonts w:ascii="CESI宋体-GB2312" w:hAnsi="CESI宋体-GB2312" w:eastAsia="仿宋_GB2312" w:cs="CESI宋体-GB2312"/>
          <w:sz w:val="32"/>
          <w:szCs w:val="32"/>
          <w:highlight w:val="none"/>
        </w:rPr>
        <w:t>支出决算0万元，占0%；</w:t>
      </w:r>
      <w:r>
        <w:rPr>
          <w:rFonts w:hint="eastAsia" w:ascii="仿宋" w:hAnsi="仿宋" w:eastAsia="仿宋" w:cs="仿宋"/>
          <w:sz w:val="32"/>
          <w:szCs w:val="32"/>
          <w:highlight w:val="none"/>
        </w:rPr>
        <w:t>公务用车购置及运行维护费</w:t>
      </w:r>
      <w:r>
        <w:rPr>
          <w:rFonts w:ascii="CESI宋体-GB2312" w:hAnsi="CESI宋体-GB2312" w:eastAsia="仿宋_GB2312" w:cs="CESI宋体-GB2312"/>
          <w:sz w:val="32"/>
          <w:szCs w:val="32"/>
          <w:highlight w:val="none"/>
        </w:rPr>
        <w:t>支出决算</w:t>
      </w:r>
      <w:r>
        <w:rPr>
          <w:rFonts w:ascii="CESI宋体-GB2312" w:hAnsi="CESI宋体-GB2312" w:eastAsia="仿宋_GB2312" w:cs="CESI宋体-GB2312"/>
          <w:sz w:val="32"/>
          <w:szCs w:val="32"/>
          <w:highlight w:val="none"/>
          <w:lang w:val="en-US" w:eastAsia="zh-CN"/>
        </w:rPr>
        <w:t>1.84</w:t>
      </w:r>
      <w:r>
        <w:rPr>
          <w:rFonts w:ascii="CESI宋体-GB2312" w:hAnsi="CESI宋体-GB2312" w:eastAsia="仿宋_GB2312" w:cs="CESI宋体-GB2312"/>
          <w:sz w:val="32"/>
          <w:szCs w:val="32"/>
          <w:highlight w:val="none"/>
        </w:rPr>
        <w:t>万元，占100%；公务接待费支出决算0万元，占0%。具体情况如下：</w:t>
      </w:r>
    </w:p>
    <w:p w14:paraId="22439D5A">
      <w:pPr>
        <w:spacing w:line="576"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1.</w:t>
      </w:r>
      <w:r>
        <w:rPr>
          <w:rFonts w:ascii="CESI宋体-GB2312" w:hAnsi="CESI宋体-GB2312" w:eastAsia="仿宋_GB2312" w:cs="CESI宋体-GB2312"/>
          <w:b/>
          <w:bCs/>
          <w:sz w:val="32"/>
          <w:szCs w:val="32"/>
          <w:highlight w:val="none"/>
        </w:rPr>
        <w:t>因公出国（境）费</w:t>
      </w:r>
      <w:r>
        <w:rPr>
          <w:rFonts w:ascii="CESI宋体-GB2312" w:hAnsi="CESI宋体-GB2312" w:eastAsia="仿宋_GB2312" w:cs="CESI宋体-GB2312"/>
          <w:sz w:val="32"/>
          <w:szCs w:val="32"/>
          <w:highlight w:val="none"/>
        </w:rPr>
        <w:t>支出0万元。全年安排因公出国（境）团组0个，因公出国（境）0人次。</w:t>
      </w:r>
    </w:p>
    <w:p w14:paraId="6C4A21A7">
      <w:pPr>
        <w:spacing w:line="576"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因公出国（境）费支出决算与预算数持平。与</w:t>
      </w:r>
      <w:r>
        <w:rPr>
          <w:rFonts w:ascii="CESI宋体-GB2312" w:hAnsi="CESI宋体-GB2312" w:eastAsia="仿宋_GB2312" w:cs="CESI宋体-GB2312"/>
          <w:sz w:val="32"/>
          <w:szCs w:val="32"/>
          <w:highlight w:val="none"/>
          <w:lang w:eastAsia="zh-CN"/>
        </w:rPr>
        <w:t>2024</w:t>
      </w:r>
      <w:r>
        <w:rPr>
          <w:rFonts w:ascii="CESI宋体-GB2312" w:hAnsi="CESI宋体-GB2312" w:eastAsia="仿宋_GB2312" w:cs="CESI宋体-GB2312"/>
          <w:sz w:val="32"/>
          <w:szCs w:val="32"/>
          <w:highlight w:val="none"/>
        </w:rPr>
        <w:t>年度相比，因公出国（境）费支出持平。</w:t>
      </w:r>
    </w:p>
    <w:p w14:paraId="435D1BA8">
      <w:pPr>
        <w:spacing w:line="576" w:lineRule="exact"/>
        <w:ind w:firstLine="643"/>
        <w:jc w:val="both"/>
        <w:rPr>
          <w:rFonts w:ascii="CESI宋体-GB2312" w:hAnsi="CESI宋体-GB2312" w:eastAsia="仿宋_GB2312" w:cs="CESI宋体-GB2312"/>
          <w:sz w:val="32"/>
          <w:szCs w:val="32"/>
          <w:highlight w:val="none"/>
        </w:rPr>
      </w:pPr>
      <w:r>
        <w:rPr>
          <w:rFonts w:ascii="CESI宋体-GB2312" w:hAnsi="CESI宋体-GB2312" w:eastAsia="仿宋_GB2312" w:cs="CESI宋体-GB2312"/>
          <w:b/>
          <w:bCs/>
          <w:sz w:val="32"/>
          <w:szCs w:val="32"/>
          <w:highlight w:val="none"/>
        </w:rPr>
        <w:t>2.公务用车购置及运行维护费</w:t>
      </w:r>
      <w:r>
        <w:rPr>
          <w:rFonts w:ascii="CESI宋体-GB2312" w:hAnsi="CESI宋体-GB2312" w:eastAsia="仿宋_GB2312" w:cs="CESI宋体-GB2312"/>
          <w:sz w:val="32"/>
          <w:szCs w:val="32"/>
          <w:highlight w:val="none"/>
        </w:rPr>
        <w:t>支出</w:t>
      </w:r>
      <w:r>
        <w:rPr>
          <w:rFonts w:ascii="CESI宋体-GB2312" w:hAnsi="CESI宋体-GB2312" w:eastAsia="仿宋_GB2312" w:cs="CESI宋体-GB2312"/>
          <w:sz w:val="32"/>
          <w:szCs w:val="32"/>
          <w:highlight w:val="none"/>
          <w:lang w:val="en-US" w:eastAsia="zh-CN"/>
        </w:rPr>
        <w:t>1.84</w:t>
      </w:r>
      <w:r>
        <w:rPr>
          <w:rFonts w:ascii="CESI宋体-GB2312" w:hAnsi="CESI宋体-GB2312" w:eastAsia="仿宋_GB2312" w:cs="CESI宋体-GB2312"/>
          <w:sz w:val="32"/>
          <w:szCs w:val="32"/>
          <w:highlight w:val="none"/>
        </w:rPr>
        <w:t>万元。其中：</w:t>
      </w:r>
    </w:p>
    <w:p w14:paraId="5B4697D3">
      <w:pPr>
        <w:spacing w:line="576" w:lineRule="exact"/>
        <w:ind w:firstLine="643"/>
        <w:jc w:val="both"/>
        <w:rPr>
          <w:rFonts w:ascii="CESI宋体-GB2312" w:hAnsi="CESI宋体-GB2312" w:eastAsia="仿宋_GB2312" w:cs="CESI宋体-GB2312"/>
          <w:sz w:val="32"/>
          <w:szCs w:val="32"/>
          <w:highlight w:val="none"/>
        </w:rPr>
      </w:pPr>
      <w:r>
        <w:rPr>
          <w:rFonts w:ascii="CESI宋体-GB2312" w:hAnsi="CESI宋体-GB2312" w:eastAsia="仿宋_GB2312" w:cs="CESI宋体-GB2312"/>
          <w:b/>
          <w:bCs/>
          <w:sz w:val="32"/>
          <w:szCs w:val="32"/>
          <w:highlight w:val="none"/>
        </w:rPr>
        <w:t>公务用车购置</w:t>
      </w:r>
      <w:r>
        <w:rPr>
          <w:rFonts w:ascii="CESI宋体-GB2312" w:hAnsi="CESI宋体-GB2312" w:eastAsia="仿宋_GB2312" w:cs="CESI宋体-GB2312"/>
          <w:sz w:val="32"/>
          <w:szCs w:val="32"/>
          <w:highlight w:val="none"/>
        </w:rPr>
        <w:t>支出0万元，全年购置公务用车0辆，年末公务用车保有量1辆。</w:t>
      </w:r>
    </w:p>
    <w:p w14:paraId="31D7B1F7">
      <w:pPr>
        <w:spacing w:line="576" w:lineRule="exact"/>
        <w:ind w:firstLine="643"/>
        <w:jc w:val="both"/>
        <w:rPr>
          <w:rFonts w:ascii="CESI宋体-GB2312" w:hAnsi="CESI宋体-GB2312" w:eastAsia="仿宋_GB2312" w:cs="CESI宋体-GB2312"/>
          <w:sz w:val="32"/>
          <w:szCs w:val="32"/>
          <w:highlight w:val="none"/>
        </w:rPr>
      </w:pPr>
      <w:r>
        <w:rPr>
          <w:rFonts w:ascii="CESI宋体-GB2312" w:hAnsi="CESI宋体-GB2312" w:eastAsia="仿宋_GB2312" w:cs="CESI宋体-GB2312"/>
          <w:b/>
          <w:bCs/>
          <w:sz w:val="32"/>
          <w:szCs w:val="32"/>
          <w:highlight w:val="none"/>
        </w:rPr>
        <w:t>公务用车运行维护费</w:t>
      </w:r>
      <w:r>
        <w:rPr>
          <w:rFonts w:ascii="CESI宋体-GB2312" w:hAnsi="CESI宋体-GB2312" w:eastAsia="仿宋_GB2312" w:cs="CESI宋体-GB2312"/>
          <w:sz w:val="32"/>
          <w:szCs w:val="32"/>
          <w:highlight w:val="none"/>
        </w:rPr>
        <w:t>支出</w:t>
      </w:r>
      <w:r>
        <w:rPr>
          <w:rFonts w:ascii="CESI宋体-GB2312" w:hAnsi="CESI宋体-GB2312" w:eastAsia="仿宋_GB2312" w:cs="CESI宋体-GB2312"/>
          <w:sz w:val="32"/>
          <w:szCs w:val="32"/>
          <w:highlight w:val="none"/>
          <w:lang w:val="en-US" w:eastAsia="zh-CN"/>
        </w:rPr>
        <w:t>1.84</w:t>
      </w:r>
      <w:r>
        <w:rPr>
          <w:rFonts w:ascii="CESI宋体-GB2312" w:hAnsi="CESI宋体-GB2312" w:eastAsia="仿宋_GB2312" w:cs="CESI宋体-GB2312"/>
          <w:sz w:val="32"/>
          <w:szCs w:val="32"/>
          <w:highlight w:val="none"/>
        </w:rPr>
        <w:t>万元，主要用于1辆公车的维修费、停车费、保险费、年检费等开支。</w:t>
      </w:r>
    </w:p>
    <w:p w14:paraId="3C3D8D8C">
      <w:pPr>
        <w:spacing w:line="576" w:lineRule="exact"/>
        <w:ind w:firstLine="643"/>
        <w:jc w:val="both"/>
        <w:rPr>
          <w:rFonts w:hint="eastAsia" w:ascii="CESI宋体-GB2312" w:hAnsi="CESI宋体-GB2312" w:eastAsia="仿宋_GB2312" w:cs="CESI宋体-GB2312"/>
          <w:b w:val="0"/>
          <w:bCs w:val="0"/>
          <w:sz w:val="32"/>
          <w:szCs w:val="32"/>
          <w:highlight w:val="none"/>
        </w:rPr>
      </w:pPr>
      <w:r>
        <w:rPr>
          <w:rFonts w:hint="eastAsia" w:ascii="CESI宋体-GB2312" w:hAnsi="CESI宋体-GB2312" w:eastAsia="仿宋_GB2312" w:cs="CESI宋体-GB2312"/>
          <w:b w:val="0"/>
          <w:bCs w:val="0"/>
          <w:sz w:val="32"/>
          <w:szCs w:val="32"/>
          <w:highlight w:val="none"/>
        </w:rPr>
        <w:t>公务用车购置及运行维护费支出决算数比预算数减少</w:t>
      </w:r>
      <w:r>
        <w:rPr>
          <w:rFonts w:hint="eastAsia" w:ascii="CESI宋体-GB2312" w:hAnsi="CESI宋体-GB2312" w:eastAsia="仿宋_GB2312" w:cs="CESI宋体-GB2312"/>
          <w:b w:val="0"/>
          <w:bCs w:val="0"/>
          <w:sz w:val="32"/>
          <w:szCs w:val="32"/>
          <w:highlight w:val="none"/>
          <w:lang w:val="en-US" w:eastAsia="zh-CN"/>
        </w:rPr>
        <w:t>1.76</w:t>
      </w:r>
      <w:r>
        <w:rPr>
          <w:rFonts w:hint="eastAsia" w:ascii="CESI宋体-GB2312" w:hAnsi="CESI宋体-GB2312" w:eastAsia="仿宋_GB2312" w:cs="CESI宋体-GB2312"/>
          <w:b w:val="0"/>
          <w:bCs w:val="0"/>
          <w:sz w:val="32"/>
          <w:szCs w:val="32"/>
          <w:highlight w:val="none"/>
        </w:rPr>
        <w:t>万元，完成预算的</w:t>
      </w:r>
      <w:r>
        <w:rPr>
          <w:rFonts w:hint="eastAsia" w:ascii="CESI宋体-GB2312" w:hAnsi="CESI宋体-GB2312" w:eastAsia="仿宋_GB2312" w:cs="CESI宋体-GB2312"/>
          <w:b w:val="0"/>
          <w:bCs w:val="0"/>
          <w:sz w:val="32"/>
          <w:szCs w:val="32"/>
          <w:highlight w:val="none"/>
          <w:lang w:val="en-US" w:eastAsia="zh-CN"/>
        </w:rPr>
        <w:t>51.1</w:t>
      </w:r>
      <w:r>
        <w:rPr>
          <w:rFonts w:hint="eastAsia" w:ascii="CESI宋体-GB2312" w:hAnsi="CESI宋体-GB2312" w:eastAsia="仿宋_GB2312" w:cs="CESI宋体-GB2312"/>
          <w:b w:val="0"/>
          <w:bCs w:val="0"/>
          <w:sz w:val="32"/>
          <w:szCs w:val="32"/>
          <w:highlight w:val="none"/>
        </w:rPr>
        <w:t>%。与2024年度相比，公务用车购置及运行维护费支出增加</w:t>
      </w:r>
      <w:r>
        <w:rPr>
          <w:rFonts w:hint="eastAsia" w:ascii="CESI宋体-GB2312" w:hAnsi="CESI宋体-GB2312" w:eastAsia="仿宋_GB2312" w:cs="CESI宋体-GB2312"/>
          <w:b w:val="0"/>
          <w:bCs w:val="0"/>
          <w:sz w:val="32"/>
          <w:szCs w:val="32"/>
          <w:highlight w:val="none"/>
          <w:lang w:val="en-US" w:eastAsia="zh-CN"/>
        </w:rPr>
        <w:t>1.3</w:t>
      </w:r>
      <w:r>
        <w:rPr>
          <w:rFonts w:hint="eastAsia" w:ascii="CESI宋体-GB2312" w:hAnsi="CESI宋体-GB2312" w:eastAsia="仿宋_GB2312" w:cs="CESI宋体-GB2312"/>
          <w:b w:val="0"/>
          <w:bCs w:val="0"/>
          <w:sz w:val="32"/>
          <w:szCs w:val="32"/>
          <w:highlight w:val="none"/>
        </w:rPr>
        <w:t>万元，增长</w:t>
      </w:r>
      <w:r>
        <w:rPr>
          <w:rFonts w:hint="eastAsia" w:ascii="CESI宋体-GB2312" w:hAnsi="CESI宋体-GB2312" w:eastAsia="仿宋_GB2312" w:cs="CESI宋体-GB2312"/>
          <w:b w:val="0"/>
          <w:bCs w:val="0"/>
          <w:sz w:val="32"/>
          <w:szCs w:val="32"/>
          <w:highlight w:val="none"/>
          <w:lang w:val="en-US" w:eastAsia="zh-CN"/>
        </w:rPr>
        <w:t>240.7</w:t>
      </w:r>
      <w:r>
        <w:rPr>
          <w:rFonts w:hint="eastAsia" w:ascii="CESI宋体-GB2312" w:hAnsi="CESI宋体-GB2312" w:eastAsia="仿宋_GB2312" w:cs="CESI宋体-GB2312"/>
          <w:b w:val="0"/>
          <w:bCs w:val="0"/>
          <w:sz w:val="32"/>
          <w:szCs w:val="32"/>
          <w:highlight w:val="none"/>
        </w:rPr>
        <w:t>%，主要原因是公务车辆老化故障增多，导致维修费增加。</w:t>
      </w:r>
    </w:p>
    <w:p w14:paraId="144138EF">
      <w:pPr>
        <w:spacing w:line="576" w:lineRule="exact"/>
        <w:ind w:firstLine="643"/>
        <w:jc w:val="both"/>
        <w:rPr>
          <w:rFonts w:ascii="CESI宋体-GB2312" w:hAnsi="CESI宋体-GB2312" w:eastAsia="仿宋_GB2312" w:cs="CESI宋体-GB2312"/>
          <w:sz w:val="32"/>
          <w:szCs w:val="32"/>
          <w:highlight w:val="none"/>
        </w:rPr>
      </w:pPr>
      <w:r>
        <w:rPr>
          <w:rFonts w:ascii="CESI宋体-GB2312" w:hAnsi="CESI宋体-GB2312" w:eastAsia="仿宋_GB2312" w:cs="CESI宋体-GB2312"/>
          <w:b/>
          <w:bCs/>
          <w:sz w:val="32"/>
          <w:szCs w:val="32"/>
          <w:highlight w:val="none"/>
        </w:rPr>
        <w:t>3.公务接待费</w:t>
      </w:r>
      <w:r>
        <w:rPr>
          <w:rFonts w:ascii="CESI宋体-GB2312" w:hAnsi="CESI宋体-GB2312" w:eastAsia="仿宋_GB2312" w:cs="CESI宋体-GB2312"/>
          <w:sz w:val="32"/>
          <w:szCs w:val="32"/>
          <w:highlight w:val="none"/>
        </w:rPr>
        <w:t>支出0万元，其中：</w:t>
      </w:r>
    </w:p>
    <w:p w14:paraId="26F78D17">
      <w:pPr>
        <w:spacing w:line="580" w:lineRule="exact"/>
        <w:ind w:firstLine="643"/>
        <w:jc w:val="both"/>
        <w:rPr>
          <w:rFonts w:ascii="CESI宋体-GB2312" w:hAnsi="CESI宋体-GB2312" w:eastAsia="仿宋_GB2312" w:cs="仿宋_GB2312"/>
          <w:sz w:val="32"/>
          <w:szCs w:val="32"/>
          <w:highlight w:val="none"/>
          <w:lang w:bidi="ar"/>
        </w:rPr>
      </w:pPr>
      <w:r>
        <w:rPr>
          <w:rFonts w:ascii="CESI宋体-GB2312" w:hAnsi="CESI宋体-GB2312" w:eastAsia="仿宋_GB2312" w:cs="CESI宋体-GB2312"/>
          <w:b/>
          <w:bCs/>
          <w:sz w:val="32"/>
          <w:szCs w:val="32"/>
          <w:highlight w:val="none"/>
        </w:rPr>
        <w:t>国内接待费</w:t>
      </w:r>
      <w:r>
        <w:rPr>
          <w:rFonts w:ascii="CESI宋体-GB2312" w:hAnsi="CESI宋体-GB2312" w:eastAsia="仿宋_GB2312" w:cs="CESI宋体-GB2312"/>
          <w:sz w:val="32"/>
          <w:szCs w:val="32"/>
          <w:highlight w:val="none"/>
        </w:rPr>
        <w:t>支出0万元，</w:t>
      </w:r>
      <w:r>
        <w:rPr>
          <w:rFonts w:ascii="CESI宋体-GB2312" w:hAnsi="CESI宋体-GB2312" w:eastAsia="仿宋_GB2312" w:cs="仿宋_GB2312"/>
          <w:sz w:val="32"/>
          <w:szCs w:val="32"/>
          <w:highlight w:val="none"/>
          <w:lang w:bidi="ar"/>
        </w:rPr>
        <w:t>国内公务接待0批次，接待0人次。</w:t>
      </w:r>
    </w:p>
    <w:p w14:paraId="007EF75F">
      <w:pPr>
        <w:spacing w:line="576" w:lineRule="exact"/>
        <w:ind w:firstLine="643"/>
        <w:jc w:val="both"/>
        <w:rPr>
          <w:rFonts w:ascii="CESI宋体-GB2312" w:hAnsi="CESI宋体-GB2312" w:eastAsia="仿宋_GB2312" w:cs="CESI宋体-GB2312"/>
          <w:sz w:val="32"/>
          <w:szCs w:val="32"/>
          <w:highlight w:val="none"/>
        </w:rPr>
      </w:pPr>
      <w:r>
        <w:rPr>
          <w:rFonts w:ascii="CESI宋体-GB2312" w:hAnsi="CESI宋体-GB2312" w:eastAsia="仿宋_GB2312" w:cs="CESI宋体-GB2312"/>
          <w:b/>
          <w:bCs/>
          <w:sz w:val="32"/>
          <w:szCs w:val="32"/>
          <w:highlight w:val="none"/>
        </w:rPr>
        <w:t>国（境）外接待费</w:t>
      </w:r>
      <w:r>
        <w:rPr>
          <w:rFonts w:ascii="CESI宋体-GB2312" w:hAnsi="CESI宋体-GB2312" w:eastAsia="仿宋_GB2312" w:cs="CESI宋体-GB2312"/>
          <w:sz w:val="32"/>
          <w:szCs w:val="32"/>
          <w:highlight w:val="none"/>
        </w:rPr>
        <w:t>支出0万元，</w:t>
      </w:r>
      <w:r>
        <w:rPr>
          <w:rFonts w:ascii="CESI宋体-GB2312" w:hAnsi="CESI宋体-GB2312" w:eastAsia="仿宋_GB2312" w:cs="仿宋_GB2312"/>
          <w:sz w:val="32"/>
          <w:szCs w:val="32"/>
          <w:highlight w:val="none"/>
          <w:lang w:bidi="ar"/>
        </w:rPr>
        <w:t>国（境）外公务接待0批次，接待0人次。</w:t>
      </w:r>
    </w:p>
    <w:p w14:paraId="22AE98A4">
      <w:pPr>
        <w:spacing w:line="576"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公务接待费支出决算数比预算数减少0.1万元，</w:t>
      </w:r>
      <w:r>
        <w:rPr>
          <w:rFonts w:ascii="CESI宋体-GB2312" w:hAnsi="CESI宋体-GB2312" w:eastAsia="仿宋;方正仿宋_GBK" w:cs="仿宋;方正仿宋_GBK"/>
          <w:sz w:val="32"/>
          <w:szCs w:val="32"/>
          <w:highlight w:val="none"/>
        </w:rPr>
        <w:t>完成预算的0%。</w:t>
      </w:r>
      <w:r>
        <w:rPr>
          <w:rFonts w:ascii="CESI宋体-GB2312" w:hAnsi="CESI宋体-GB2312" w:eastAsia="仿宋_GB2312" w:cs="CESI宋体-GB2312"/>
          <w:sz w:val="32"/>
          <w:szCs w:val="32"/>
          <w:highlight w:val="none"/>
        </w:rPr>
        <w:t>与</w:t>
      </w:r>
      <w:r>
        <w:rPr>
          <w:rFonts w:ascii="CESI宋体-GB2312" w:hAnsi="CESI宋体-GB2312" w:eastAsia="仿宋_GB2312" w:cs="CESI宋体-GB2312"/>
          <w:sz w:val="32"/>
          <w:szCs w:val="32"/>
          <w:highlight w:val="none"/>
          <w:lang w:eastAsia="zh-CN"/>
        </w:rPr>
        <w:t>2024</w:t>
      </w:r>
      <w:r>
        <w:rPr>
          <w:rFonts w:ascii="CESI宋体-GB2312" w:hAnsi="CESI宋体-GB2312" w:eastAsia="仿宋_GB2312" w:cs="CESI宋体-GB2312"/>
          <w:sz w:val="32"/>
          <w:szCs w:val="32"/>
          <w:highlight w:val="none"/>
        </w:rPr>
        <w:t>年度相比，决算数持平。</w:t>
      </w:r>
    </w:p>
    <w:p w14:paraId="05FE927F">
      <w:pPr>
        <w:spacing w:line="576" w:lineRule="exact"/>
        <w:ind w:firstLine="640"/>
        <w:jc w:val="both"/>
        <w:rPr>
          <w:rFonts w:ascii="CESI宋体-GB2312" w:hAnsi="CESI宋体-GB2312" w:eastAsia="黑体;方正黑体_GBK" w:cs="黑体;方正黑体_GBK"/>
          <w:bCs/>
          <w:sz w:val="32"/>
          <w:szCs w:val="32"/>
          <w:highlight w:val="none"/>
        </w:rPr>
      </w:pPr>
      <w:r>
        <w:rPr>
          <w:rFonts w:ascii="CESI宋体-GB2312" w:hAnsi="CESI宋体-GB2312" w:eastAsia="黑体;方正黑体_GBK" w:cs="黑体;方正黑体_GBK"/>
          <w:bCs/>
          <w:sz w:val="32"/>
          <w:szCs w:val="32"/>
          <w:highlight w:val="none"/>
        </w:rPr>
        <w:t>十、预算绩效情况说明。</w:t>
      </w:r>
    </w:p>
    <w:p w14:paraId="78C9C3F1">
      <w:pPr>
        <w:spacing w:line="576" w:lineRule="exact"/>
        <w:ind w:firstLine="640"/>
        <w:jc w:val="both"/>
        <w:rPr>
          <w:rFonts w:ascii="CESI宋体-GB2312" w:hAnsi="CESI宋体-GB2312" w:eastAsia="楷体;方正楷体_GBK" w:cs="黑体;方正黑体_GBK"/>
          <w:bCs/>
          <w:sz w:val="32"/>
          <w:szCs w:val="32"/>
          <w:highlight w:val="none"/>
        </w:rPr>
      </w:pPr>
      <w:r>
        <w:rPr>
          <w:rFonts w:ascii="CESI宋体-GB2312" w:hAnsi="CESI宋体-GB2312" w:eastAsia="楷体;方正楷体_GBK" w:cs="黑体;方正黑体_GBK"/>
          <w:bCs/>
          <w:sz w:val="32"/>
          <w:szCs w:val="32"/>
          <w:highlight w:val="none"/>
        </w:rPr>
        <w:t>（一）绩效管理工作开展情况。</w:t>
      </w:r>
    </w:p>
    <w:p w14:paraId="270F05DC">
      <w:pPr>
        <w:widowControl w:val="0"/>
        <w:spacing w:line="578" w:lineRule="exact"/>
        <w:ind w:firstLine="640" w:firstLineChars="200"/>
        <w:jc w:val="both"/>
        <w:rPr>
          <w:rFonts w:ascii="CESI宋体-GB2312" w:hAnsi="CESI宋体-GB2312" w:eastAsia="楷体;方正楷体_GBK" w:cs="黑体;方正黑体_GBK"/>
          <w:bCs/>
          <w:sz w:val="32"/>
          <w:szCs w:val="32"/>
          <w:highlight w:val="none"/>
        </w:rPr>
      </w:pPr>
      <w:r>
        <w:rPr>
          <w:rFonts w:ascii="CESI宋体-GB2312" w:hAnsi="CESI宋体-GB2312" w:eastAsia="仿宋_GB2312" w:cs="CESI宋体-GB2312"/>
          <w:sz w:val="32"/>
          <w:szCs w:val="32"/>
          <w:highlight w:val="none"/>
        </w:rPr>
        <w:t>根据财政预算管理要求，我单位组织对</w:t>
      </w:r>
      <w:r>
        <w:rPr>
          <w:rFonts w:ascii="CESI宋体-GB2312" w:hAnsi="CESI宋体-GB2312" w:eastAsia="仿宋_GB2312" w:cs="CESI宋体-GB2312"/>
          <w:sz w:val="32"/>
          <w:szCs w:val="32"/>
          <w:highlight w:val="none"/>
          <w:lang w:eastAsia="zh-CN"/>
        </w:rPr>
        <w:t>2025</w:t>
      </w:r>
      <w:r>
        <w:rPr>
          <w:rFonts w:ascii="CESI宋体-GB2312" w:hAnsi="CESI宋体-GB2312" w:eastAsia="仿宋_GB2312" w:cs="CESI宋体-GB2312"/>
          <w:sz w:val="32"/>
          <w:szCs w:val="32"/>
          <w:highlight w:val="none"/>
        </w:rPr>
        <w:t>年度一般公共预算项目支出全面开展绩效自评，自评项目2个，共涉及资金13.</w:t>
      </w:r>
      <w:r>
        <w:rPr>
          <w:rFonts w:ascii="CESI宋体-GB2312" w:hAnsi="CESI宋体-GB2312" w:eastAsia="仿宋_GB2312" w:cs="CESI宋体-GB2312"/>
          <w:sz w:val="32"/>
          <w:szCs w:val="32"/>
          <w:highlight w:val="none"/>
          <w:lang w:val="en-US" w:eastAsia="zh-CN"/>
        </w:rPr>
        <w:t>02</w:t>
      </w:r>
      <w:r>
        <w:rPr>
          <w:rFonts w:ascii="CESI宋体-GB2312" w:hAnsi="CESI宋体-GB2312" w:eastAsia="仿宋_GB2312" w:cs="CESI宋体-GB2312"/>
          <w:sz w:val="32"/>
          <w:szCs w:val="32"/>
          <w:highlight w:val="none"/>
        </w:rPr>
        <w:t>万元，</w:t>
      </w:r>
      <w:r>
        <w:rPr>
          <w:rFonts w:ascii="CESI宋体-GB2312" w:hAnsi="CESI宋体-GB2312" w:eastAsia="仿宋_GB2312" w:cs="CESI宋体-GB2312"/>
          <w:color w:val="auto"/>
          <w:kern w:val="0"/>
          <w:sz w:val="32"/>
          <w:szCs w:val="32"/>
          <w:highlight w:val="none"/>
          <w:lang w:bidi="ar"/>
        </w:rPr>
        <w:t>占一般公共预算项目支出总额的</w:t>
      </w:r>
      <w:r>
        <w:rPr>
          <w:rFonts w:ascii="CESI宋体-GB2312" w:hAnsi="CESI宋体-GB2312" w:eastAsia="仿宋_GB2312" w:cs="CESI宋体-GB2312"/>
          <w:sz w:val="32"/>
          <w:szCs w:val="32"/>
          <w:highlight w:val="none"/>
        </w:rPr>
        <w:t>100%。</w:t>
      </w:r>
      <w:r>
        <w:rPr>
          <w:rFonts w:hint="default" w:ascii="CESI宋体-GB2312" w:hAnsi="CESI宋体-GB2312" w:eastAsia="仿宋_GB2312" w:cs="CESI宋体-GB2312"/>
          <w:sz w:val="32"/>
          <w:szCs w:val="32"/>
          <w:highlight w:val="none"/>
          <w:lang w:bidi="ar"/>
        </w:rPr>
        <w:t>组织对</w:t>
      </w:r>
      <w:r>
        <w:rPr>
          <w:rFonts w:hint="default" w:ascii="CESI宋体-GB2312" w:hAnsi="CESI宋体-GB2312" w:eastAsia="仿宋_GB2312" w:cs="CESI宋体-GB2312"/>
          <w:sz w:val="32"/>
          <w:szCs w:val="32"/>
          <w:highlight w:val="none"/>
          <w:lang w:val="en-US" w:bidi="ar"/>
        </w:rPr>
        <w:t>2025</w:t>
      </w:r>
      <w:r>
        <w:rPr>
          <w:rFonts w:hint="default" w:ascii="CESI宋体-GB2312" w:hAnsi="CESI宋体-GB2312" w:eastAsia="仿宋_GB2312" w:cs="CESI宋体-GB2312"/>
          <w:sz w:val="32"/>
          <w:szCs w:val="32"/>
          <w:highlight w:val="none"/>
          <w:lang w:bidi="ar"/>
        </w:rPr>
        <w:t>年度</w:t>
      </w:r>
      <w:r>
        <w:rPr>
          <w:rFonts w:hint="default" w:ascii="CESI宋体-GB2312" w:hAnsi="CESI宋体-GB2312" w:eastAsia="仿宋_GB2312" w:cs="CESI宋体-GB2312"/>
          <w:color w:val="auto"/>
          <w:sz w:val="32"/>
          <w:szCs w:val="32"/>
          <w:highlight w:val="none"/>
          <w:lang w:val="en-US" w:eastAsia="zh-CN" w:bidi="ar"/>
        </w:rPr>
        <w:t>0</w:t>
      </w:r>
      <w:r>
        <w:rPr>
          <w:rFonts w:hint="default" w:ascii="CESI宋体-GB2312" w:hAnsi="CESI宋体-GB2312" w:eastAsia="仿宋_GB2312" w:cs="CESI宋体-GB2312"/>
          <w:sz w:val="32"/>
          <w:szCs w:val="32"/>
          <w:highlight w:val="none"/>
          <w:lang w:bidi="ar"/>
        </w:rPr>
        <w:t>个政府性基金预算项目开展绩效自评，共涉及资金</w:t>
      </w:r>
      <w:r>
        <w:rPr>
          <w:rFonts w:hint="default" w:ascii="CESI宋体-GB2312" w:hAnsi="CESI宋体-GB2312" w:eastAsia="仿宋_GB2312" w:cs="CESI宋体-GB2312"/>
          <w:color w:val="auto"/>
          <w:sz w:val="32"/>
          <w:szCs w:val="32"/>
          <w:highlight w:val="none"/>
          <w:lang w:val="en-US" w:eastAsia="zh-CN" w:bidi="ar"/>
        </w:rPr>
        <w:t>0</w:t>
      </w:r>
      <w:r>
        <w:rPr>
          <w:rFonts w:hint="default" w:ascii="CESI宋体-GB2312" w:hAnsi="CESI宋体-GB2312" w:eastAsia="仿宋_GB2312" w:cs="CESI宋体-GB2312"/>
          <w:sz w:val="32"/>
          <w:szCs w:val="32"/>
          <w:highlight w:val="none"/>
          <w:lang w:bidi="ar"/>
        </w:rPr>
        <w:t>万元，占政府性基金预算项目支出总额的</w:t>
      </w:r>
      <w:r>
        <w:rPr>
          <w:rFonts w:hint="default" w:ascii="CESI宋体-GB2312" w:hAnsi="CESI宋体-GB2312" w:eastAsia="仿宋_GB2312" w:cs="CESI宋体-GB2312"/>
          <w:color w:val="auto"/>
          <w:sz w:val="32"/>
          <w:szCs w:val="32"/>
          <w:highlight w:val="none"/>
          <w:lang w:val="en-US" w:eastAsia="zh-CN" w:bidi="ar"/>
        </w:rPr>
        <w:t>0</w:t>
      </w:r>
      <w:r>
        <w:rPr>
          <w:rFonts w:hint="default" w:ascii="CESI宋体-GB2312" w:hAnsi="CESI宋体-GB2312" w:eastAsia="仿宋_GB2312" w:cs="CESI宋体-GB2312"/>
          <w:sz w:val="32"/>
          <w:szCs w:val="32"/>
          <w:highlight w:val="none"/>
          <w:lang w:bidi="ar"/>
        </w:rPr>
        <w:t>%。组织对</w:t>
      </w:r>
      <w:r>
        <w:rPr>
          <w:rFonts w:hint="default" w:ascii="CESI宋体-GB2312" w:hAnsi="CESI宋体-GB2312" w:eastAsia="仿宋_GB2312" w:cs="CESI宋体-GB2312"/>
          <w:sz w:val="32"/>
          <w:szCs w:val="32"/>
          <w:highlight w:val="none"/>
          <w:lang w:val="en-US" w:bidi="ar"/>
        </w:rPr>
        <w:t>2025</w:t>
      </w:r>
      <w:r>
        <w:rPr>
          <w:rFonts w:hint="default" w:ascii="CESI宋体-GB2312" w:hAnsi="CESI宋体-GB2312" w:eastAsia="仿宋_GB2312" w:cs="CESI宋体-GB2312"/>
          <w:sz w:val="32"/>
          <w:szCs w:val="32"/>
          <w:highlight w:val="none"/>
          <w:lang w:bidi="ar"/>
        </w:rPr>
        <w:t>年度</w:t>
      </w:r>
      <w:r>
        <w:rPr>
          <w:rFonts w:hint="default" w:ascii="CESI宋体-GB2312" w:hAnsi="CESI宋体-GB2312" w:eastAsia="仿宋_GB2312" w:cs="CESI宋体-GB2312"/>
          <w:color w:val="auto"/>
          <w:sz w:val="32"/>
          <w:szCs w:val="32"/>
          <w:highlight w:val="none"/>
          <w:lang w:val="en-US" w:eastAsia="zh-CN" w:bidi="ar"/>
        </w:rPr>
        <w:t>0</w:t>
      </w:r>
      <w:r>
        <w:rPr>
          <w:rFonts w:hint="default" w:ascii="CESI宋体-GB2312" w:hAnsi="CESI宋体-GB2312" w:eastAsia="仿宋_GB2312" w:cs="CESI宋体-GB2312"/>
          <w:sz w:val="32"/>
          <w:szCs w:val="32"/>
          <w:highlight w:val="none"/>
          <w:lang w:bidi="ar"/>
        </w:rPr>
        <w:t>个国有资本经营预算项目开展绩效自评，共涉及资金</w:t>
      </w:r>
      <w:r>
        <w:rPr>
          <w:rFonts w:hint="default" w:ascii="CESI宋体-GB2312" w:hAnsi="CESI宋体-GB2312" w:eastAsia="仿宋_GB2312" w:cs="CESI宋体-GB2312"/>
          <w:sz w:val="32"/>
          <w:szCs w:val="32"/>
          <w:highlight w:val="none"/>
          <w:lang w:val="en-US" w:eastAsia="zh-CN" w:bidi="ar"/>
        </w:rPr>
        <w:t>0</w:t>
      </w:r>
      <w:r>
        <w:rPr>
          <w:rFonts w:hint="default" w:ascii="CESI宋体-GB2312" w:hAnsi="CESI宋体-GB2312" w:eastAsia="仿宋_GB2312" w:cs="CESI宋体-GB2312"/>
          <w:sz w:val="32"/>
          <w:szCs w:val="32"/>
          <w:highlight w:val="none"/>
          <w:lang w:bidi="ar"/>
        </w:rPr>
        <w:t>万元，占国有资本经营预算项目支出总额的</w:t>
      </w:r>
      <w:r>
        <w:rPr>
          <w:rFonts w:hint="default" w:ascii="CESI宋体-GB2312" w:hAnsi="CESI宋体-GB2312" w:eastAsia="仿宋_GB2312" w:cs="CESI宋体-GB2312"/>
          <w:color w:val="auto"/>
          <w:sz w:val="32"/>
          <w:szCs w:val="32"/>
          <w:highlight w:val="none"/>
          <w:lang w:val="en-US" w:eastAsia="zh-CN" w:bidi="ar"/>
        </w:rPr>
        <w:t>0</w:t>
      </w:r>
      <w:r>
        <w:rPr>
          <w:rFonts w:hint="default" w:ascii="CESI宋体-GB2312" w:hAnsi="CESI宋体-GB2312" w:eastAsia="仿宋_GB2312" w:cs="CESI宋体-GB2312"/>
          <w:sz w:val="32"/>
          <w:szCs w:val="32"/>
          <w:highlight w:val="none"/>
          <w:lang w:bidi="ar"/>
        </w:rPr>
        <w:t>%。</w:t>
      </w:r>
    </w:p>
    <w:p w14:paraId="355EFB66">
      <w:pPr>
        <w:spacing w:line="576" w:lineRule="exact"/>
        <w:ind w:firstLine="640"/>
        <w:jc w:val="both"/>
        <w:rPr>
          <w:rFonts w:ascii="CESI宋体-GB2312" w:hAnsi="CESI宋体-GB2312" w:eastAsia="楷体;方正楷体_GBK" w:cs="CESI宋体-GB2312"/>
          <w:sz w:val="32"/>
          <w:szCs w:val="32"/>
          <w:highlight w:val="none"/>
        </w:rPr>
      </w:pPr>
      <w:r>
        <w:rPr>
          <w:rFonts w:ascii="CESI宋体-GB2312" w:hAnsi="CESI宋体-GB2312" w:eastAsia="楷体;方正楷体_GBK" w:cs="黑体;方正黑体_GBK"/>
          <w:bCs/>
          <w:sz w:val="32"/>
          <w:szCs w:val="32"/>
          <w:highlight w:val="none"/>
        </w:rPr>
        <w:t>（二）</w:t>
      </w:r>
      <w:r>
        <w:rPr>
          <w:rFonts w:ascii="CESI宋体-GB2312" w:hAnsi="CESI宋体-GB2312" w:eastAsia="楷体;方正楷体_GBK" w:cs="CESI宋体-GB2312"/>
          <w:sz w:val="32"/>
          <w:szCs w:val="32"/>
          <w:highlight w:val="none"/>
        </w:rPr>
        <w:t>部门决算中项目绩效自评结果。</w:t>
      </w:r>
    </w:p>
    <w:p w14:paraId="2542186E">
      <w:pPr>
        <w:spacing w:line="576"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我单位在省本级部门决算中反映信息系统运维</w:t>
      </w:r>
      <w:r>
        <w:rPr>
          <w:rFonts w:hint="eastAsia" w:ascii="CESI宋体-GB2312" w:hAnsi="CESI宋体-GB2312" w:eastAsia="仿宋_GB2312" w:cs="CESI宋体-GB2312"/>
          <w:sz w:val="32"/>
          <w:szCs w:val="32"/>
          <w:highlight w:val="none"/>
          <w:lang w:eastAsia="zh-CN"/>
        </w:rPr>
        <w:t>和综合运行事务等</w:t>
      </w:r>
      <w:r>
        <w:rPr>
          <w:rFonts w:hint="eastAsia" w:ascii="CESI宋体-GB2312" w:hAnsi="CESI宋体-GB2312" w:eastAsia="仿宋_GB2312" w:cs="CESI宋体-GB2312"/>
          <w:sz w:val="32"/>
          <w:szCs w:val="32"/>
          <w:highlight w:val="none"/>
          <w:lang w:val="en-US" w:eastAsia="zh-CN"/>
        </w:rPr>
        <w:t>2个项目</w:t>
      </w:r>
      <w:r>
        <w:rPr>
          <w:rFonts w:ascii="CESI宋体-GB2312" w:hAnsi="CESI宋体-GB2312" w:eastAsia="仿宋_GB2312" w:cs="CESI宋体-GB2312"/>
          <w:sz w:val="32"/>
          <w:szCs w:val="32"/>
          <w:highlight w:val="none"/>
        </w:rPr>
        <w:t>绩效自评结果。</w:t>
      </w:r>
    </w:p>
    <w:p w14:paraId="7543DC30">
      <w:pPr>
        <w:spacing w:line="560" w:lineRule="exact"/>
        <w:ind w:firstLine="640"/>
        <w:jc w:val="both"/>
        <w:rPr>
          <w:rFonts w:ascii="仿宋_GB2312" w:hAnsi="仿宋_GB2312" w:eastAsia="仿宋_GB2312"/>
          <w:color w:val="auto"/>
          <w:sz w:val="32"/>
          <w:szCs w:val="32"/>
          <w:highlight w:val="none"/>
          <w:lang w:val="en"/>
        </w:rPr>
      </w:pPr>
      <w:r>
        <w:rPr>
          <w:rFonts w:ascii="仿宋_GB2312" w:hAnsi="仿宋_GB2312" w:eastAsia="仿宋_GB2312"/>
          <w:color w:val="auto"/>
          <w:sz w:val="32"/>
          <w:szCs w:val="32"/>
          <w:highlight w:val="none"/>
          <w:lang w:val="en"/>
        </w:rPr>
        <w:t>信息系统运维项目绩效自评表:</w:t>
      </w:r>
    </w:p>
    <w:tbl>
      <w:tblPr>
        <w:tblStyle w:val="7"/>
        <w:tblW w:w="8980"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518"/>
        <w:gridCol w:w="546"/>
        <w:gridCol w:w="709"/>
        <w:gridCol w:w="395"/>
        <w:gridCol w:w="600"/>
        <w:gridCol w:w="532"/>
        <w:gridCol w:w="384"/>
        <w:gridCol w:w="93"/>
        <w:gridCol w:w="714"/>
        <w:gridCol w:w="963"/>
        <w:gridCol w:w="928"/>
        <w:gridCol w:w="818"/>
        <w:gridCol w:w="932"/>
      </w:tblGrid>
      <w:tr w14:paraId="5AAE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6" w:hRule="atLeast"/>
        </w:trPr>
        <w:tc>
          <w:tcPr>
            <w:tcW w:w="8980" w:type="dxa"/>
            <w:gridSpan w:val="14"/>
            <w:vAlign w:val="center"/>
          </w:tcPr>
          <w:p w14:paraId="3AE0B4A8">
            <w:pPr>
              <w:keepNext w:val="0"/>
              <w:keepLines w:val="0"/>
              <w:widowControl/>
              <w:jc w:val="center"/>
              <w:textAlignment w:val="auto"/>
              <w:rPr>
                <w:rFonts w:ascii="仿宋_GB2312" w:hAnsi="仿宋_GB2312" w:eastAsia="仿宋_GB2312" w:cs="宋体;方正书宋_GBK"/>
                <w:b w:val="0"/>
                <w:bCs w:val="0"/>
                <w:i w:val="0"/>
                <w:iCs w:val="0"/>
                <w:color w:val="auto"/>
                <w:sz w:val="21"/>
                <w:szCs w:val="21"/>
                <w:highlight w:val="none"/>
                <w:u w:val="none"/>
              </w:rPr>
            </w:pPr>
            <w:r>
              <w:rPr>
                <w:rFonts w:ascii="仿宋_GB2312" w:hAnsi="仿宋_GB2312" w:eastAsia="仿宋_GB2312" w:cs="宋体;方正书宋_GBK"/>
                <w:b/>
                <w:bCs/>
                <w:i w:val="0"/>
                <w:iCs w:val="0"/>
                <w:color w:val="auto"/>
                <w:kern w:val="0"/>
                <w:sz w:val="24"/>
                <w:szCs w:val="24"/>
                <w:highlight w:val="none"/>
                <w:u w:val="none"/>
                <w:lang w:val="en-US" w:eastAsia="zh-CN" w:bidi="ar"/>
              </w:rPr>
              <w:t xml:space="preserve">项目支出绩效自评表 </w:t>
            </w:r>
          </w:p>
        </w:tc>
      </w:tr>
      <w:tr w14:paraId="72C0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8" w:hRule="atLeast"/>
        </w:trPr>
        <w:tc>
          <w:tcPr>
            <w:tcW w:w="848" w:type="dxa"/>
            <w:vAlign w:val="center"/>
          </w:tcPr>
          <w:p w14:paraId="501E16A4">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项目名称:</w:t>
            </w:r>
          </w:p>
        </w:tc>
        <w:tc>
          <w:tcPr>
            <w:tcW w:w="8132" w:type="dxa"/>
            <w:gridSpan w:val="13"/>
            <w:vAlign w:val="center"/>
          </w:tcPr>
          <w:p w14:paraId="196AA4EE">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46000021Y000000000001-信息系统运行维护</w:t>
            </w:r>
          </w:p>
        </w:tc>
      </w:tr>
      <w:tr w14:paraId="01DF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atLeast"/>
        </w:trPr>
        <w:tc>
          <w:tcPr>
            <w:tcW w:w="848" w:type="dxa"/>
            <w:vAlign w:val="center"/>
          </w:tcPr>
          <w:p w14:paraId="14C11EDD">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主管部门:</w:t>
            </w:r>
          </w:p>
        </w:tc>
        <w:tc>
          <w:tcPr>
            <w:tcW w:w="2768" w:type="dxa"/>
            <w:gridSpan w:val="5"/>
            <w:vAlign w:val="center"/>
          </w:tcPr>
          <w:p w14:paraId="04629578">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127-省市场监督管理局</w:t>
            </w:r>
          </w:p>
        </w:tc>
        <w:tc>
          <w:tcPr>
            <w:tcW w:w="916" w:type="dxa"/>
            <w:gridSpan w:val="2"/>
            <w:vAlign w:val="center"/>
          </w:tcPr>
          <w:p w14:paraId="2146D8BB">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实施单位:</w:t>
            </w:r>
          </w:p>
        </w:tc>
        <w:tc>
          <w:tcPr>
            <w:tcW w:w="1770" w:type="dxa"/>
            <w:gridSpan w:val="3"/>
            <w:vAlign w:val="center"/>
          </w:tcPr>
          <w:p w14:paraId="25367E3B">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127002-省消费者委员会办公室</w:t>
            </w:r>
          </w:p>
        </w:tc>
        <w:tc>
          <w:tcPr>
            <w:tcW w:w="1746" w:type="dxa"/>
            <w:gridSpan w:val="2"/>
            <w:vAlign w:val="center"/>
          </w:tcPr>
          <w:p w14:paraId="3D09D11C">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是否线下报送:</w:t>
            </w:r>
          </w:p>
        </w:tc>
        <w:tc>
          <w:tcPr>
            <w:tcW w:w="932" w:type="dxa"/>
            <w:vAlign w:val="center"/>
          </w:tcPr>
          <w:p w14:paraId="6955C194">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否</w:t>
            </w:r>
          </w:p>
        </w:tc>
      </w:tr>
      <w:tr w14:paraId="2C19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366" w:type="dxa"/>
            <w:gridSpan w:val="2"/>
            <w:vAlign w:val="center"/>
          </w:tcPr>
          <w:p w14:paraId="6495EC02">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资金构成(元)</w:t>
            </w:r>
          </w:p>
        </w:tc>
        <w:tc>
          <w:tcPr>
            <w:tcW w:w="1255" w:type="dxa"/>
            <w:gridSpan w:val="2"/>
            <w:vAlign w:val="center"/>
          </w:tcPr>
          <w:p w14:paraId="3F4B9C08">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年初预算数</w:t>
            </w:r>
          </w:p>
        </w:tc>
        <w:tc>
          <w:tcPr>
            <w:tcW w:w="1527" w:type="dxa"/>
            <w:gridSpan w:val="3"/>
            <w:vAlign w:val="center"/>
          </w:tcPr>
          <w:p w14:paraId="11854DD6">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全年预算数</w:t>
            </w:r>
          </w:p>
        </w:tc>
        <w:tc>
          <w:tcPr>
            <w:tcW w:w="2154" w:type="dxa"/>
            <w:gridSpan w:val="4"/>
            <w:vAlign w:val="center"/>
          </w:tcPr>
          <w:p w14:paraId="5216DD4B">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执行数</w:t>
            </w:r>
          </w:p>
        </w:tc>
        <w:tc>
          <w:tcPr>
            <w:tcW w:w="928" w:type="dxa"/>
            <w:vAlign w:val="center"/>
          </w:tcPr>
          <w:p w14:paraId="6D551A4A">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分值</w:t>
            </w:r>
          </w:p>
        </w:tc>
        <w:tc>
          <w:tcPr>
            <w:tcW w:w="818" w:type="dxa"/>
            <w:vAlign w:val="center"/>
          </w:tcPr>
          <w:p w14:paraId="2BD2EDC7">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执行率（%）</w:t>
            </w:r>
          </w:p>
        </w:tc>
        <w:tc>
          <w:tcPr>
            <w:tcW w:w="932" w:type="dxa"/>
            <w:vAlign w:val="center"/>
          </w:tcPr>
          <w:p w14:paraId="4307747E">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得分</w:t>
            </w:r>
          </w:p>
        </w:tc>
      </w:tr>
      <w:tr w14:paraId="2D19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366" w:type="dxa"/>
            <w:gridSpan w:val="2"/>
            <w:vAlign w:val="center"/>
          </w:tcPr>
          <w:p w14:paraId="2BFF48FE">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资金总额：</w:t>
            </w:r>
          </w:p>
        </w:tc>
        <w:tc>
          <w:tcPr>
            <w:tcW w:w="1255" w:type="dxa"/>
            <w:gridSpan w:val="2"/>
            <w:vAlign w:val="center"/>
          </w:tcPr>
          <w:p w14:paraId="10B90067">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24,000.00</w:t>
            </w:r>
          </w:p>
        </w:tc>
        <w:tc>
          <w:tcPr>
            <w:tcW w:w="1527" w:type="dxa"/>
            <w:gridSpan w:val="3"/>
            <w:vAlign w:val="center"/>
          </w:tcPr>
          <w:p w14:paraId="68C45161">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24,000.00</w:t>
            </w:r>
          </w:p>
        </w:tc>
        <w:tc>
          <w:tcPr>
            <w:tcW w:w="2154" w:type="dxa"/>
            <w:gridSpan w:val="4"/>
            <w:vAlign w:val="center"/>
          </w:tcPr>
          <w:p w14:paraId="0124B99F">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23,600.00</w:t>
            </w:r>
          </w:p>
        </w:tc>
        <w:tc>
          <w:tcPr>
            <w:tcW w:w="928" w:type="dxa"/>
            <w:vAlign w:val="center"/>
          </w:tcPr>
          <w:p w14:paraId="308EF0DD">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 xml:space="preserve">10.00 </w:t>
            </w:r>
          </w:p>
        </w:tc>
        <w:tc>
          <w:tcPr>
            <w:tcW w:w="818" w:type="dxa"/>
            <w:vAlign w:val="center"/>
          </w:tcPr>
          <w:p w14:paraId="20ED1A14">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98.3</w:t>
            </w:r>
          </w:p>
        </w:tc>
        <w:tc>
          <w:tcPr>
            <w:tcW w:w="932" w:type="dxa"/>
            <w:vAlign w:val="center"/>
          </w:tcPr>
          <w:p w14:paraId="60E18B3A">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9.83</w:t>
            </w:r>
          </w:p>
        </w:tc>
      </w:tr>
      <w:tr w14:paraId="21D2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366" w:type="dxa"/>
            <w:gridSpan w:val="2"/>
            <w:vAlign w:val="center"/>
          </w:tcPr>
          <w:p w14:paraId="5AF01C93">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其中：财政资金：</w:t>
            </w:r>
          </w:p>
        </w:tc>
        <w:tc>
          <w:tcPr>
            <w:tcW w:w="1255" w:type="dxa"/>
            <w:gridSpan w:val="2"/>
            <w:vAlign w:val="center"/>
          </w:tcPr>
          <w:p w14:paraId="39BD4626">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24,000.00</w:t>
            </w:r>
          </w:p>
        </w:tc>
        <w:tc>
          <w:tcPr>
            <w:tcW w:w="1527" w:type="dxa"/>
            <w:gridSpan w:val="3"/>
            <w:vAlign w:val="center"/>
          </w:tcPr>
          <w:p w14:paraId="42EDEC9F">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24,000.00</w:t>
            </w:r>
          </w:p>
        </w:tc>
        <w:tc>
          <w:tcPr>
            <w:tcW w:w="2154" w:type="dxa"/>
            <w:gridSpan w:val="4"/>
            <w:vAlign w:val="center"/>
          </w:tcPr>
          <w:p w14:paraId="1397A578">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23,600.00</w:t>
            </w:r>
          </w:p>
        </w:tc>
        <w:tc>
          <w:tcPr>
            <w:tcW w:w="928" w:type="dxa"/>
            <w:vAlign w:val="center"/>
          </w:tcPr>
          <w:p w14:paraId="389D4BAA">
            <w:pPr>
              <w:snapToGrid w:val="0"/>
              <w:jc w:val="center"/>
              <w:rPr>
                <w:rFonts w:ascii="仿宋_GB2312" w:hAnsi="仿宋_GB2312" w:eastAsia="仿宋_GB2312" w:cs="宋体;方正书宋_GBK"/>
                <w:i w:val="0"/>
                <w:iCs w:val="0"/>
                <w:color w:val="auto"/>
                <w:sz w:val="21"/>
                <w:szCs w:val="21"/>
                <w:highlight w:val="none"/>
                <w:u w:val="none"/>
              </w:rPr>
            </w:pPr>
          </w:p>
        </w:tc>
        <w:tc>
          <w:tcPr>
            <w:tcW w:w="818" w:type="dxa"/>
            <w:vAlign w:val="center"/>
          </w:tcPr>
          <w:p w14:paraId="45791EC3">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98.3</w:t>
            </w:r>
          </w:p>
        </w:tc>
        <w:tc>
          <w:tcPr>
            <w:tcW w:w="932" w:type="dxa"/>
            <w:vAlign w:val="center"/>
          </w:tcPr>
          <w:p w14:paraId="2D02DF70">
            <w:pPr>
              <w:snapToGrid w:val="0"/>
              <w:jc w:val="center"/>
              <w:rPr>
                <w:rFonts w:ascii="仿宋_GB2312" w:hAnsi="仿宋_GB2312" w:eastAsia="仿宋_GB2312" w:cs="宋体;方正书宋_GBK"/>
                <w:i w:val="0"/>
                <w:iCs w:val="0"/>
                <w:color w:val="auto"/>
                <w:sz w:val="21"/>
                <w:szCs w:val="21"/>
                <w:highlight w:val="none"/>
                <w:u w:val="none"/>
              </w:rPr>
            </w:pPr>
          </w:p>
        </w:tc>
      </w:tr>
      <w:tr w14:paraId="7CD7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366" w:type="dxa"/>
            <w:gridSpan w:val="2"/>
            <w:vAlign w:val="center"/>
          </w:tcPr>
          <w:p w14:paraId="3E33FF70">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单位资金：</w:t>
            </w:r>
          </w:p>
        </w:tc>
        <w:tc>
          <w:tcPr>
            <w:tcW w:w="1255" w:type="dxa"/>
            <w:gridSpan w:val="2"/>
            <w:vAlign w:val="center"/>
          </w:tcPr>
          <w:p w14:paraId="50BEB06B">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0.00</w:t>
            </w:r>
          </w:p>
        </w:tc>
        <w:tc>
          <w:tcPr>
            <w:tcW w:w="1527" w:type="dxa"/>
            <w:gridSpan w:val="3"/>
            <w:vAlign w:val="center"/>
          </w:tcPr>
          <w:p w14:paraId="3E4C3772">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0.00</w:t>
            </w:r>
          </w:p>
        </w:tc>
        <w:tc>
          <w:tcPr>
            <w:tcW w:w="2154" w:type="dxa"/>
            <w:gridSpan w:val="4"/>
            <w:vAlign w:val="center"/>
          </w:tcPr>
          <w:p w14:paraId="16A7BD42">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0.00</w:t>
            </w:r>
          </w:p>
        </w:tc>
        <w:tc>
          <w:tcPr>
            <w:tcW w:w="928" w:type="dxa"/>
            <w:vAlign w:val="center"/>
          </w:tcPr>
          <w:p w14:paraId="0A826568">
            <w:pPr>
              <w:snapToGrid w:val="0"/>
              <w:jc w:val="center"/>
              <w:rPr>
                <w:rFonts w:ascii="仿宋_GB2312" w:hAnsi="仿宋_GB2312" w:eastAsia="仿宋_GB2312" w:cs="宋体;方正书宋_GBK"/>
                <w:i w:val="0"/>
                <w:iCs w:val="0"/>
                <w:color w:val="auto"/>
                <w:sz w:val="21"/>
                <w:szCs w:val="21"/>
                <w:highlight w:val="none"/>
                <w:u w:val="none"/>
              </w:rPr>
            </w:pPr>
          </w:p>
        </w:tc>
        <w:tc>
          <w:tcPr>
            <w:tcW w:w="818" w:type="dxa"/>
            <w:vAlign w:val="center"/>
          </w:tcPr>
          <w:p w14:paraId="6A203562">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0</w:t>
            </w:r>
          </w:p>
        </w:tc>
        <w:tc>
          <w:tcPr>
            <w:tcW w:w="932" w:type="dxa"/>
            <w:vAlign w:val="center"/>
          </w:tcPr>
          <w:p w14:paraId="444EC5D7">
            <w:pPr>
              <w:snapToGrid w:val="0"/>
              <w:jc w:val="center"/>
              <w:rPr>
                <w:rFonts w:ascii="仿宋_GB2312" w:hAnsi="仿宋_GB2312" w:eastAsia="仿宋_GB2312" w:cs="宋体;方正书宋_GBK"/>
                <w:i w:val="0"/>
                <w:iCs w:val="0"/>
                <w:color w:val="auto"/>
                <w:sz w:val="21"/>
                <w:szCs w:val="21"/>
                <w:highlight w:val="none"/>
                <w:u w:val="none"/>
              </w:rPr>
            </w:pPr>
          </w:p>
        </w:tc>
      </w:tr>
      <w:tr w14:paraId="4DF8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366" w:type="dxa"/>
            <w:gridSpan w:val="2"/>
            <w:vAlign w:val="center"/>
          </w:tcPr>
          <w:p w14:paraId="7230D903">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财政专户管理资金：</w:t>
            </w:r>
          </w:p>
        </w:tc>
        <w:tc>
          <w:tcPr>
            <w:tcW w:w="1255" w:type="dxa"/>
            <w:gridSpan w:val="2"/>
            <w:vAlign w:val="center"/>
          </w:tcPr>
          <w:p w14:paraId="0DFF746B">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0.00</w:t>
            </w:r>
          </w:p>
        </w:tc>
        <w:tc>
          <w:tcPr>
            <w:tcW w:w="1527" w:type="dxa"/>
            <w:gridSpan w:val="3"/>
            <w:vAlign w:val="center"/>
          </w:tcPr>
          <w:p w14:paraId="64F1252C">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0.00</w:t>
            </w:r>
          </w:p>
        </w:tc>
        <w:tc>
          <w:tcPr>
            <w:tcW w:w="2154" w:type="dxa"/>
            <w:gridSpan w:val="4"/>
            <w:vAlign w:val="center"/>
          </w:tcPr>
          <w:p w14:paraId="3D9E004F">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0.00</w:t>
            </w:r>
          </w:p>
        </w:tc>
        <w:tc>
          <w:tcPr>
            <w:tcW w:w="928" w:type="dxa"/>
            <w:vAlign w:val="center"/>
          </w:tcPr>
          <w:p w14:paraId="099807C4">
            <w:pPr>
              <w:snapToGrid w:val="0"/>
              <w:jc w:val="center"/>
              <w:rPr>
                <w:rFonts w:ascii="仿宋_GB2312" w:hAnsi="仿宋_GB2312" w:eastAsia="仿宋_GB2312" w:cs="宋体;方正书宋_GBK"/>
                <w:i w:val="0"/>
                <w:iCs w:val="0"/>
                <w:color w:val="auto"/>
                <w:sz w:val="21"/>
                <w:szCs w:val="21"/>
                <w:highlight w:val="none"/>
                <w:u w:val="none"/>
              </w:rPr>
            </w:pPr>
          </w:p>
        </w:tc>
        <w:tc>
          <w:tcPr>
            <w:tcW w:w="818" w:type="dxa"/>
            <w:vAlign w:val="center"/>
          </w:tcPr>
          <w:p w14:paraId="3D585FA8">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0</w:t>
            </w:r>
          </w:p>
        </w:tc>
        <w:tc>
          <w:tcPr>
            <w:tcW w:w="932" w:type="dxa"/>
            <w:vAlign w:val="center"/>
          </w:tcPr>
          <w:p w14:paraId="661D0F5F">
            <w:pPr>
              <w:snapToGrid w:val="0"/>
              <w:jc w:val="center"/>
              <w:rPr>
                <w:rFonts w:ascii="仿宋_GB2312" w:hAnsi="仿宋_GB2312" w:eastAsia="仿宋_GB2312" w:cs="宋体;方正书宋_GBK"/>
                <w:i w:val="0"/>
                <w:iCs w:val="0"/>
                <w:color w:val="auto"/>
                <w:sz w:val="21"/>
                <w:szCs w:val="21"/>
                <w:highlight w:val="none"/>
                <w:u w:val="none"/>
              </w:rPr>
            </w:pPr>
          </w:p>
        </w:tc>
      </w:tr>
      <w:tr w14:paraId="455BF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6" w:hRule="atLeast"/>
        </w:trPr>
        <w:tc>
          <w:tcPr>
            <w:tcW w:w="4625" w:type="dxa"/>
            <w:gridSpan w:val="9"/>
            <w:vAlign w:val="center"/>
          </w:tcPr>
          <w:p w14:paraId="3EC64995">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年度目标</w:t>
            </w:r>
          </w:p>
        </w:tc>
        <w:tc>
          <w:tcPr>
            <w:tcW w:w="4355" w:type="dxa"/>
            <w:gridSpan w:val="5"/>
            <w:vAlign w:val="center"/>
          </w:tcPr>
          <w:p w14:paraId="28B285D3">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年度目标完成情况</w:t>
            </w:r>
          </w:p>
        </w:tc>
      </w:tr>
      <w:tr w14:paraId="3ADA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23" w:hRule="atLeast"/>
        </w:trPr>
        <w:tc>
          <w:tcPr>
            <w:tcW w:w="4625" w:type="dxa"/>
            <w:gridSpan w:val="9"/>
          </w:tcPr>
          <w:p w14:paraId="4950308B">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网站运行维护包括网站软件和服务器系统维护两大方面，对服务器硬件设备进行及时高效的运维保障，页面设计和信息及时维护和优化。</w:t>
            </w:r>
          </w:p>
        </w:tc>
        <w:tc>
          <w:tcPr>
            <w:tcW w:w="4355" w:type="dxa"/>
            <w:gridSpan w:val="5"/>
          </w:tcPr>
          <w:p w14:paraId="5E5F7667">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较好地完成全年网站硬件设备运维保障、页面设计和信息维护管理工作，引导消费者科学、文明、理性、绿色环保消费，提高消费者自我素质和保护能力，营造安全放心的消费环境。</w:t>
            </w:r>
          </w:p>
        </w:tc>
      </w:tr>
      <w:tr w14:paraId="4894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48" w:type="dxa"/>
            <w:vAlign w:val="center"/>
          </w:tcPr>
          <w:p w14:paraId="1126D5F4">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一级指标</w:t>
            </w:r>
          </w:p>
        </w:tc>
        <w:tc>
          <w:tcPr>
            <w:tcW w:w="1064" w:type="dxa"/>
            <w:gridSpan w:val="2"/>
            <w:vAlign w:val="center"/>
          </w:tcPr>
          <w:p w14:paraId="789CB8BA">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二级指标</w:t>
            </w:r>
          </w:p>
        </w:tc>
        <w:tc>
          <w:tcPr>
            <w:tcW w:w="1104" w:type="dxa"/>
            <w:gridSpan w:val="2"/>
            <w:vAlign w:val="center"/>
          </w:tcPr>
          <w:p w14:paraId="78A9CD91">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三级指标</w:t>
            </w:r>
          </w:p>
        </w:tc>
        <w:tc>
          <w:tcPr>
            <w:tcW w:w="600" w:type="dxa"/>
            <w:vAlign w:val="center"/>
          </w:tcPr>
          <w:p w14:paraId="354BE69F">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指标性质</w:t>
            </w:r>
          </w:p>
        </w:tc>
        <w:tc>
          <w:tcPr>
            <w:tcW w:w="532" w:type="dxa"/>
            <w:vAlign w:val="center"/>
          </w:tcPr>
          <w:p w14:paraId="6A73827F">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年度指标值</w:t>
            </w:r>
          </w:p>
        </w:tc>
        <w:tc>
          <w:tcPr>
            <w:tcW w:w="477" w:type="dxa"/>
            <w:gridSpan w:val="2"/>
            <w:vAlign w:val="center"/>
          </w:tcPr>
          <w:p w14:paraId="7DD1AC07">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度量单位</w:t>
            </w:r>
          </w:p>
        </w:tc>
        <w:tc>
          <w:tcPr>
            <w:tcW w:w="714" w:type="dxa"/>
            <w:vAlign w:val="center"/>
          </w:tcPr>
          <w:p w14:paraId="1EC89053">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实际完成值</w:t>
            </w:r>
          </w:p>
        </w:tc>
        <w:tc>
          <w:tcPr>
            <w:tcW w:w="963" w:type="dxa"/>
            <w:vAlign w:val="center"/>
          </w:tcPr>
          <w:p w14:paraId="73164347">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完成率</w:t>
            </w:r>
          </w:p>
        </w:tc>
        <w:tc>
          <w:tcPr>
            <w:tcW w:w="928" w:type="dxa"/>
            <w:vAlign w:val="center"/>
          </w:tcPr>
          <w:p w14:paraId="6B496A52">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分值</w:t>
            </w:r>
          </w:p>
        </w:tc>
        <w:tc>
          <w:tcPr>
            <w:tcW w:w="818" w:type="dxa"/>
            <w:vAlign w:val="center"/>
          </w:tcPr>
          <w:p w14:paraId="454943C0">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得分</w:t>
            </w:r>
          </w:p>
        </w:tc>
        <w:tc>
          <w:tcPr>
            <w:tcW w:w="932" w:type="dxa"/>
            <w:vAlign w:val="center"/>
          </w:tcPr>
          <w:p w14:paraId="580D6912">
            <w:pPr>
              <w:keepNext w:val="0"/>
              <w:keepLines w:val="0"/>
              <w:widowControl/>
              <w:jc w:val="center"/>
              <w:textAlignment w:val="auto"/>
              <w:rPr>
                <w:rFonts w:ascii="仿宋_GB2312" w:hAnsi="仿宋_GB2312" w:eastAsia="仿宋_GB2312" w:cs="宋体;方正书宋_GBK"/>
                <w:b/>
                <w:bCs/>
                <w:i w:val="0"/>
                <w:iCs w:val="0"/>
                <w:color w:val="auto"/>
                <w:sz w:val="21"/>
                <w:szCs w:val="21"/>
                <w:highlight w:val="none"/>
                <w:u w:val="none"/>
              </w:rPr>
            </w:pPr>
            <w:r>
              <w:rPr>
                <w:rFonts w:ascii="仿宋_GB2312" w:hAnsi="仿宋_GB2312" w:eastAsia="仿宋_GB2312" w:cs="宋体;方正书宋_GBK"/>
                <w:b/>
                <w:bCs/>
                <w:i w:val="0"/>
                <w:iCs w:val="0"/>
                <w:color w:val="auto"/>
                <w:kern w:val="0"/>
                <w:sz w:val="21"/>
                <w:szCs w:val="21"/>
                <w:highlight w:val="none"/>
                <w:u w:val="none"/>
                <w:lang w:val="en-US" w:eastAsia="zh-CN" w:bidi="ar"/>
              </w:rPr>
              <w:t>未完成原因分析</w:t>
            </w:r>
          </w:p>
        </w:tc>
      </w:tr>
      <w:tr w14:paraId="5274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48" w:type="dxa"/>
            <w:vAlign w:val="center"/>
          </w:tcPr>
          <w:p w14:paraId="15FC4B60">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产出指标</w:t>
            </w:r>
          </w:p>
        </w:tc>
        <w:tc>
          <w:tcPr>
            <w:tcW w:w="1064" w:type="dxa"/>
            <w:gridSpan w:val="2"/>
            <w:vAlign w:val="center"/>
          </w:tcPr>
          <w:p w14:paraId="221D4F60">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数量指标</w:t>
            </w:r>
          </w:p>
        </w:tc>
        <w:tc>
          <w:tcPr>
            <w:tcW w:w="1104" w:type="dxa"/>
            <w:gridSpan w:val="2"/>
            <w:vAlign w:val="center"/>
          </w:tcPr>
          <w:p w14:paraId="38D7D99D">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系统维护工作完成率</w:t>
            </w:r>
          </w:p>
        </w:tc>
        <w:tc>
          <w:tcPr>
            <w:tcW w:w="600" w:type="dxa"/>
            <w:vAlign w:val="center"/>
          </w:tcPr>
          <w:p w14:paraId="3C7A99BA">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w:t>
            </w:r>
          </w:p>
        </w:tc>
        <w:tc>
          <w:tcPr>
            <w:tcW w:w="532" w:type="dxa"/>
            <w:vAlign w:val="center"/>
          </w:tcPr>
          <w:p w14:paraId="03B310C1">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100</w:t>
            </w:r>
          </w:p>
        </w:tc>
        <w:tc>
          <w:tcPr>
            <w:tcW w:w="477" w:type="dxa"/>
            <w:gridSpan w:val="2"/>
            <w:vAlign w:val="center"/>
          </w:tcPr>
          <w:p w14:paraId="3F57716F">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w:t>
            </w:r>
          </w:p>
        </w:tc>
        <w:tc>
          <w:tcPr>
            <w:tcW w:w="714" w:type="dxa"/>
            <w:vAlign w:val="center"/>
          </w:tcPr>
          <w:p w14:paraId="1073617A">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100</w:t>
            </w:r>
          </w:p>
        </w:tc>
        <w:tc>
          <w:tcPr>
            <w:tcW w:w="963" w:type="dxa"/>
            <w:vAlign w:val="center"/>
          </w:tcPr>
          <w:p w14:paraId="383828C7">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100.00%</w:t>
            </w:r>
          </w:p>
        </w:tc>
        <w:tc>
          <w:tcPr>
            <w:tcW w:w="928" w:type="dxa"/>
            <w:vAlign w:val="center"/>
          </w:tcPr>
          <w:p w14:paraId="21531651">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15.00</w:t>
            </w:r>
          </w:p>
        </w:tc>
        <w:tc>
          <w:tcPr>
            <w:tcW w:w="818" w:type="dxa"/>
            <w:vAlign w:val="center"/>
          </w:tcPr>
          <w:p w14:paraId="0977F06A">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15</w:t>
            </w:r>
          </w:p>
        </w:tc>
        <w:tc>
          <w:tcPr>
            <w:tcW w:w="932" w:type="dxa"/>
            <w:vAlign w:val="center"/>
          </w:tcPr>
          <w:p w14:paraId="4DFE45D5">
            <w:pPr>
              <w:snapToGrid w:val="0"/>
              <w:jc w:val="center"/>
              <w:rPr>
                <w:rFonts w:ascii="仿宋_GB2312" w:hAnsi="仿宋_GB2312" w:eastAsia="仿宋_GB2312" w:cs="宋体;方正书宋_GBK"/>
                <w:i w:val="0"/>
                <w:iCs w:val="0"/>
                <w:color w:val="auto"/>
                <w:sz w:val="21"/>
                <w:szCs w:val="21"/>
                <w:highlight w:val="none"/>
                <w:u w:val="none"/>
              </w:rPr>
            </w:pPr>
          </w:p>
        </w:tc>
      </w:tr>
      <w:tr w14:paraId="6188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48" w:type="dxa"/>
            <w:vAlign w:val="center"/>
          </w:tcPr>
          <w:p w14:paraId="6B348B8D">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产出指标</w:t>
            </w:r>
          </w:p>
        </w:tc>
        <w:tc>
          <w:tcPr>
            <w:tcW w:w="1064" w:type="dxa"/>
            <w:gridSpan w:val="2"/>
            <w:vAlign w:val="center"/>
          </w:tcPr>
          <w:p w14:paraId="1C80DCC4">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质量指标</w:t>
            </w:r>
          </w:p>
        </w:tc>
        <w:tc>
          <w:tcPr>
            <w:tcW w:w="1104" w:type="dxa"/>
            <w:gridSpan w:val="2"/>
            <w:vAlign w:val="center"/>
          </w:tcPr>
          <w:p w14:paraId="6599F6D7">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系统故障率</w:t>
            </w:r>
          </w:p>
        </w:tc>
        <w:tc>
          <w:tcPr>
            <w:tcW w:w="600" w:type="dxa"/>
            <w:vAlign w:val="center"/>
          </w:tcPr>
          <w:p w14:paraId="2127D891">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仿宋_GB2312"/>
                <w:i w:val="0"/>
                <w:iCs w:val="0"/>
                <w:color w:val="auto"/>
                <w:kern w:val="0"/>
                <w:sz w:val="21"/>
                <w:szCs w:val="21"/>
                <w:highlight w:val="none"/>
                <w:u w:val="none"/>
                <w:lang w:val="en-US" w:eastAsia="zh-CN" w:bidi="ar"/>
              </w:rPr>
              <w:t>≤</w:t>
            </w:r>
          </w:p>
        </w:tc>
        <w:tc>
          <w:tcPr>
            <w:tcW w:w="532" w:type="dxa"/>
            <w:vAlign w:val="center"/>
          </w:tcPr>
          <w:p w14:paraId="3A724BA3">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2</w:t>
            </w:r>
          </w:p>
        </w:tc>
        <w:tc>
          <w:tcPr>
            <w:tcW w:w="477" w:type="dxa"/>
            <w:gridSpan w:val="2"/>
            <w:vAlign w:val="center"/>
          </w:tcPr>
          <w:p w14:paraId="1A5B3A28">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w:t>
            </w:r>
          </w:p>
        </w:tc>
        <w:tc>
          <w:tcPr>
            <w:tcW w:w="714" w:type="dxa"/>
            <w:vAlign w:val="center"/>
          </w:tcPr>
          <w:p w14:paraId="4768FCBE">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1.5</w:t>
            </w:r>
          </w:p>
        </w:tc>
        <w:tc>
          <w:tcPr>
            <w:tcW w:w="963" w:type="dxa"/>
            <w:vAlign w:val="center"/>
          </w:tcPr>
          <w:p w14:paraId="60238359">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100.00%</w:t>
            </w:r>
          </w:p>
        </w:tc>
        <w:tc>
          <w:tcPr>
            <w:tcW w:w="928" w:type="dxa"/>
            <w:vAlign w:val="center"/>
          </w:tcPr>
          <w:p w14:paraId="6688B0A2">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15.00</w:t>
            </w:r>
          </w:p>
        </w:tc>
        <w:tc>
          <w:tcPr>
            <w:tcW w:w="818" w:type="dxa"/>
            <w:vAlign w:val="center"/>
          </w:tcPr>
          <w:p w14:paraId="644D21DD">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15</w:t>
            </w:r>
          </w:p>
        </w:tc>
        <w:tc>
          <w:tcPr>
            <w:tcW w:w="932" w:type="dxa"/>
            <w:vAlign w:val="center"/>
          </w:tcPr>
          <w:p w14:paraId="606E7B35">
            <w:pPr>
              <w:snapToGrid w:val="0"/>
              <w:jc w:val="center"/>
              <w:rPr>
                <w:rFonts w:ascii="仿宋_GB2312" w:hAnsi="仿宋_GB2312" w:eastAsia="仿宋_GB2312" w:cs="宋体;方正书宋_GBK"/>
                <w:i w:val="0"/>
                <w:iCs w:val="0"/>
                <w:color w:val="auto"/>
                <w:sz w:val="21"/>
                <w:szCs w:val="21"/>
                <w:highlight w:val="none"/>
                <w:u w:val="none"/>
              </w:rPr>
            </w:pPr>
          </w:p>
        </w:tc>
      </w:tr>
      <w:tr w14:paraId="7BBB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48" w:type="dxa"/>
            <w:vAlign w:val="center"/>
          </w:tcPr>
          <w:p w14:paraId="40D9D12E">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产出指标</w:t>
            </w:r>
          </w:p>
        </w:tc>
        <w:tc>
          <w:tcPr>
            <w:tcW w:w="1064" w:type="dxa"/>
            <w:gridSpan w:val="2"/>
            <w:vAlign w:val="center"/>
          </w:tcPr>
          <w:p w14:paraId="748A792E">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时效指标</w:t>
            </w:r>
          </w:p>
        </w:tc>
        <w:tc>
          <w:tcPr>
            <w:tcW w:w="1104" w:type="dxa"/>
            <w:gridSpan w:val="2"/>
            <w:vAlign w:val="center"/>
          </w:tcPr>
          <w:p w14:paraId="6612DF7D">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系统故障响应时间</w:t>
            </w:r>
          </w:p>
        </w:tc>
        <w:tc>
          <w:tcPr>
            <w:tcW w:w="600" w:type="dxa"/>
            <w:vAlign w:val="center"/>
          </w:tcPr>
          <w:p w14:paraId="256230F5">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仿宋_GB2312"/>
                <w:i w:val="0"/>
                <w:iCs w:val="0"/>
                <w:color w:val="auto"/>
                <w:kern w:val="0"/>
                <w:sz w:val="21"/>
                <w:szCs w:val="21"/>
                <w:highlight w:val="none"/>
                <w:u w:val="none"/>
                <w:lang w:val="en-US" w:eastAsia="zh-CN" w:bidi="ar"/>
              </w:rPr>
              <w:t>≤</w:t>
            </w:r>
          </w:p>
        </w:tc>
        <w:tc>
          <w:tcPr>
            <w:tcW w:w="532" w:type="dxa"/>
            <w:vAlign w:val="center"/>
          </w:tcPr>
          <w:p w14:paraId="0C8EB95F">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12</w:t>
            </w:r>
          </w:p>
        </w:tc>
        <w:tc>
          <w:tcPr>
            <w:tcW w:w="477" w:type="dxa"/>
            <w:gridSpan w:val="2"/>
            <w:vAlign w:val="center"/>
          </w:tcPr>
          <w:p w14:paraId="198624F0">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小时</w:t>
            </w:r>
          </w:p>
        </w:tc>
        <w:tc>
          <w:tcPr>
            <w:tcW w:w="714" w:type="dxa"/>
            <w:vAlign w:val="center"/>
          </w:tcPr>
          <w:p w14:paraId="6C105D88">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3</w:t>
            </w:r>
          </w:p>
        </w:tc>
        <w:tc>
          <w:tcPr>
            <w:tcW w:w="963" w:type="dxa"/>
            <w:vAlign w:val="center"/>
          </w:tcPr>
          <w:p w14:paraId="61F7F743">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100.00%</w:t>
            </w:r>
          </w:p>
        </w:tc>
        <w:tc>
          <w:tcPr>
            <w:tcW w:w="928" w:type="dxa"/>
            <w:vAlign w:val="center"/>
          </w:tcPr>
          <w:p w14:paraId="136544D4">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10.00</w:t>
            </w:r>
          </w:p>
        </w:tc>
        <w:tc>
          <w:tcPr>
            <w:tcW w:w="818" w:type="dxa"/>
            <w:vAlign w:val="center"/>
          </w:tcPr>
          <w:p w14:paraId="57C4AA69">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w:t>
            </w:r>
          </w:p>
        </w:tc>
        <w:tc>
          <w:tcPr>
            <w:tcW w:w="932" w:type="dxa"/>
            <w:vAlign w:val="center"/>
          </w:tcPr>
          <w:p w14:paraId="6C86ED4B">
            <w:pPr>
              <w:snapToGrid w:val="0"/>
              <w:jc w:val="center"/>
              <w:rPr>
                <w:rFonts w:ascii="仿宋_GB2312" w:hAnsi="仿宋_GB2312" w:eastAsia="仿宋_GB2312" w:cs="宋体;方正书宋_GBK"/>
                <w:i w:val="0"/>
                <w:iCs w:val="0"/>
                <w:color w:val="auto"/>
                <w:sz w:val="21"/>
                <w:szCs w:val="21"/>
                <w:highlight w:val="none"/>
                <w:u w:val="none"/>
              </w:rPr>
            </w:pPr>
          </w:p>
        </w:tc>
      </w:tr>
      <w:tr w14:paraId="05DD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48" w:type="dxa"/>
            <w:vAlign w:val="center"/>
          </w:tcPr>
          <w:p w14:paraId="367AB9F2">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效益指标</w:t>
            </w:r>
          </w:p>
        </w:tc>
        <w:tc>
          <w:tcPr>
            <w:tcW w:w="1064" w:type="dxa"/>
            <w:gridSpan w:val="2"/>
            <w:vAlign w:val="center"/>
          </w:tcPr>
          <w:p w14:paraId="21956C23">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社会效益指标</w:t>
            </w:r>
          </w:p>
        </w:tc>
        <w:tc>
          <w:tcPr>
            <w:tcW w:w="1104" w:type="dxa"/>
            <w:gridSpan w:val="2"/>
            <w:vAlign w:val="center"/>
          </w:tcPr>
          <w:p w14:paraId="47C06DC2">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系统功能模块使用率</w:t>
            </w:r>
          </w:p>
        </w:tc>
        <w:tc>
          <w:tcPr>
            <w:tcW w:w="600" w:type="dxa"/>
            <w:vAlign w:val="center"/>
          </w:tcPr>
          <w:p w14:paraId="2CFCD25B">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仿宋_GB2312"/>
                <w:i w:val="0"/>
                <w:iCs w:val="0"/>
                <w:color w:val="auto"/>
                <w:kern w:val="0"/>
                <w:sz w:val="21"/>
                <w:szCs w:val="21"/>
                <w:highlight w:val="none"/>
                <w:u w:val="none"/>
                <w:lang w:val="en-US" w:eastAsia="zh-CN" w:bidi="ar"/>
              </w:rPr>
              <w:t>≥</w:t>
            </w:r>
          </w:p>
        </w:tc>
        <w:tc>
          <w:tcPr>
            <w:tcW w:w="532" w:type="dxa"/>
            <w:vAlign w:val="center"/>
          </w:tcPr>
          <w:p w14:paraId="3C41EFA1">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95</w:t>
            </w:r>
          </w:p>
        </w:tc>
        <w:tc>
          <w:tcPr>
            <w:tcW w:w="477" w:type="dxa"/>
            <w:gridSpan w:val="2"/>
            <w:vAlign w:val="center"/>
          </w:tcPr>
          <w:p w14:paraId="0BC14870">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w:t>
            </w:r>
          </w:p>
        </w:tc>
        <w:tc>
          <w:tcPr>
            <w:tcW w:w="714" w:type="dxa"/>
            <w:vAlign w:val="center"/>
          </w:tcPr>
          <w:p w14:paraId="206EC009">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98</w:t>
            </w:r>
          </w:p>
        </w:tc>
        <w:tc>
          <w:tcPr>
            <w:tcW w:w="963" w:type="dxa"/>
            <w:vAlign w:val="center"/>
          </w:tcPr>
          <w:p w14:paraId="31EAC390">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100.00%</w:t>
            </w:r>
          </w:p>
        </w:tc>
        <w:tc>
          <w:tcPr>
            <w:tcW w:w="928" w:type="dxa"/>
            <w:vAlign w:val="center"/>
          </w:tcPr>
          <w:p w14:paraId="16F04CE5">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15.00</w:t>
            </w:r>
          </w:p>
        </w:tc>
        <w:tc>
          <w:tcPr>
            <w:tcW w:w="818" w:type="dxa"/>
            <w:vAlign w:val="center"/>
          </w:tcPr>
          <w:p w14:paraId="5792187C">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15</w:t>
            </w:r>
          </w:p>
        </w:tc>
        <w:tc>
          <w:tcPr>
            <w:tcW w:w="932" w:type="dxa"/>
            <w:vAlign w:val="center"/>
          </w:tcPr>
          <w:p w14:paraId="518D9FA0">
            <w:pPr>
              <w:snapToGrid w:val="0"/>
              <w:jc w:val="center"/>
              <w:rPr>
                <w:rFonts w:ascii="仿宋_GB2312" w:hAnsi="仿宋_GB2312" w:eastAsia="仿宋_GB2312" w:cs="宋体;方正书宋_GBK"/>
                <w:i w:val="0"/>
                <w:iCs w:val="0"/>
                <w:color w:val="auto"/>
                <w:sz w:val="21"/>
                <w:szCs w:val="21"/>
                <w:highlight w:val="none"/>
                <w:u w:val="none"/>
              </w:rPr>
            </w:pPr>
          </w:p>
        </w:tc>
      </w:tr>
      <w:tr w14:paraId="354A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48" w:type="dxa"/>
            <w:vAlign w:val="center"/>
          </w:tcPr>
          <w:p w14:paraId="49F7B66F">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效益指标</w:t>
            </w:r>
          </w:p>
        </w:tc>
        <w:tc>
          <w:tcPr>
            <w:tcW w:w="1064" w:type="dxa"/>
            <w:gridSpan w:val="2"/>
            <w:vAlign w:val="center"/>
          </w:tcPr>
          <w:p w14:paraId="50116739">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社会效益指标</w:t>
            </w:r>
          </w:p>
        </w:tc>
        <w:tc>
          <w:tcPr>
            <w:tcW w:w="1104" w:type="dxa"/>
            <w:gridSpan w:val="2"/>
            <w:vAlign w:val="center"/>
          </w:tcPr>
          <w:p w14:paraId="2AAC2717">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系统可用率</w:t>
            </w:r>
          </w:p>
        </w:tc>
        <w:tc>
          <w:tcPr>
            <w:tcW w:w="600" w:type="dxa"/>
            <w:vAlign w:val="center"/>
          </w:tcPr>
          <w:p w14:paraId="16220E86">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仿宋_GB2312"/>
                <w:i w:val="0"/>
                <w:iCs w:val="0"/>
                <w:color w:val="auto"/>
                <w:kern w:val="0"/>
                <w:sz w:val="21"/>
                <w:szCs w:val="21"/>
                <w:highlight w:val="none"/>
                <w:u w:val="none"/>
                <w:lang w:val="en-US" w:eastAsia="zh-CN" w:bidi="ar"/>
              </w:rPr>
              <w:t>≥</w:t>
            </w:r>
          </w:p>
        </w:tc>
        <w:tc>
          <w:tcPr>
            <w:tcW w:w="532" w:type="dxa"/>
            <w:vAlign w:val="center"/>
          </w:tcPr>
          <w:p w14:paraId="0069CFF1">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90</w:t>
            </w:r>
          </w:p>
        </w:tc>
        <w:tc>
          <w:tcPr>
            <w:tcW w:w="477" w:type="dxa"/>
            <w:gridSpan w:val="2"/>
            <w:vAlign w:val="center"/>
          </w:tcPr>
          <w:p w14:paraId="18273141">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w:t>
            </w:r>
          </w:p>
        </w:tc>
        <w:tc>
          <w:tcPr>
            <w:tcW w:w="714" w:type="dxa"/>
            <w:vAlign w:val="center"/>
          </w:tcPr>
          <w:p w14:paraId="1F19A04E">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98.5</w:t>
            </w:r>
          </w:p>
        </w:tc>
        <w:tc>
          <w:tcPr>
            <w:tcW w:w="963" w:type="dxa"/>
            <w:vAlign w:val="center"/>
          </w:tcPr>
          <w:p w14:paraId="5DE3F5DC">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100.00%</w:t>
            </w:r>
          </w:p>
        </w:tc>
        <w:tc>
          <w:tcPr>
            <w:tcW w:w="928" w:type="dxa"/>
            <w:vAlign w:val="center"/>
          </w:tcPr>
          <w:p w14:paraId="6C393D07">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10.00</w:t>
            </w:r>
          </w:p>
        </w:tc>
        <w:tc>
          <w:tcPr>
            <w:tcW w:w="818" w:type="dxa"/>
            <w:vAlign w:val="center"/>
          </w:tcPr>
          <w:p w14:paraId="1C4E0572">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w:t>
            </w:r>
          </w:p>
        </w:tc>
        <w:tc>
          <w:tcPr>
            <w:tcW w:w="932" w:type="dxa"/>
            <w:vAlign w:val="center"/>
          </w:tcPr>
          <w:p w14:paraId="6BD0BECE">
            <w:pPr>
              <w:snapToGrid w:val="0"/>
              <w:jc w:val="center"/>
              <w:rPr>
                <w:rFonts w:ascii="仿宋_GB2312" w:hAnsi="仿宋_GB2312" w:eastAsia="仿宋_GB2312" w:cs="宋体;方正书宋_GBK"/>
                <w:i w:val="0"/>
                <w:iCs w:val="0"/>
                <w:color w:val="auto"/>
                <w:sz w:val="21"/>
                <w:szCs w:val="21"/>
                <w:highlight w:val="none"/>
                <w:u w:val="none"/>
              </w:rPr>
            </w:pPr>
          </w:p>
        </w:tc>
      </w:tr>
      <w:tr w14:paraId="367A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48" w:type="dxa"/>
            <w:vAlign w:val="center"/>
          </w:tcPr>
          <w:p w14:paraId="20B71693">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效益指标</w:t>
            </w:r>
          </w:p>
        </w:tc>
        <w:tc>
          <w:tcPr>
            <w:tcW w:w="1064" w:type="dxa"/>
            <w:gridSpan w:val="2"/>
            <w:vAlign w:val="center"/>
          </w:tcPr>
          <w:p w14:paraId="12069440">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社会效益指标</w:t>
            </w:r>
          </w:p>
        </w:tc>
        <w:tc>
          <w:tcPr>
            <w:tcW w:w="1104" w:type="dxa"/>
            <w:gridSpan w:val="2"/>
            <w:vAlign w:val="center"/>
          </w:tcPr>
          <w:p w14:paraId="7246FE71">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系统正常运转天数</w:t>
            </w:r>
          </w:p>
        </w:tc>
        <w:tc>
          <w:tcPr>
            <w:tcW w:w="600" w:type="dxa"/>
            <w:vAlign w:val="center"/>
          </w:tcPr>
          <w:p w14:paraId="648C59F7">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w:t>
            </w:r>
          </w:p>
        </w:tc>
        <w:tc>
          <w:tcPr>
            <w:tcW w:w="532" w:type="dxa"/>
            <w:vAlign w:val="center"/>
          </w:tcPr>
          <w:p w14:paraId="178577D5">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365</w:t>
            </w:r>
          </w:p>
        </w:tc>
        <w:tc>
          <w:tcPr>
            <w:tcW w:w="477" w:type="dxa"/>
            <w:gridSpan w:val="2"/>
            <w:vAlign w:val="center"/>
          </w:tcPr>
          <w:p w14:paraId="0F202D1D">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天</w:t>
            </w:r>
          </w:p>
        </w:tc>
        <w:tc>
          <w:tcPr>
            <w:tcW w:w="714" w:type="dxa"/>
            <w:vAlign w:val="center"/>
          </w:tcPr>
          <w:p w14:paraId="2C18AE03">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365</w:t>
            </w:r>
          </w:p>
        </w:tc>
        <w:tc>
          <w:tcPr>
            <w:tcW w:w="963" w:type="dxa"/>
            <w:vAlign w:val="center"/>
          </w:tcPr>
          <w:p w14:paraId="1095D79E">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100.00%</w:t>
            </w:r>
          </w:p>
        </w:tc>
        <w:tc>
          <w:tcPr>
            <w:tcW w:w="928" w:type="dxa"/>
            <w:vAlign w:val="center"/>
          </w:tcPr>
          <w:p w14:paraId="2B7C398C">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15.00</w:t>
            </w:r>
          </w:p>
        </w:tc>
        <w:tc>
          <w:tcPr>
            <w:tcW w:w="818" w:type="dxa"/>
            <w:vAlign w:val="center"/>
          </w:tcPr>
          <w:p w14:paraId="3A23035A">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15</w:t>
            </w:r>
          </w:p>
        </w:tc>
        <w:tc>
          <w:tcPr>
            <w:tcW w:w="932" w:type="dxa"/>
            <w:vAlign w:val="center"/>
          </w:tcPr>
          <w:p w14:paraId="414D7713">
            <w:pPr>
              <w:snapToGrid w:val="0"/>
              <w:jc w:val="center"/>
              <w:rPr>
                <w:rFonts w:ascii="仿宋_GB2312" w:hAnsi="仿宋_GB2312" w:eastAsia="仿宋_GB2312" w:cs="宋体;方正书宋_GBK"/>
                <w:i w:val="0"/>
                <w:iCs w:val="0"/>
                <w:color w:val="auto"/>
                <w:sz w:val="21"/>
                <w:szCs w:val="21"/>
                <w:highlight w:val="none"/>
                <w:u w:val="none"/>
              </w:rPr>
            </w:pPr>
          </w:p>
        </w:tc>
      </w:tr>
      <w:tr w14:paraId="4740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48" w:type="dxa"/>
            <w:vAlign w:val="center"/>
          </w:tcPr>
          <w:p w14:paraId="150443AB">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满意度指标</w:t>
            </w:r>
          </w:p>
        </w:tc>
        <w:tc>
          <w:tcPr>
            <w:tcW w:w="1064" w:type="dxa"/>
            <w:gridSpan w:val="2"/>
            <w:vAlign w:val="center"/>
          </w:tcPr>
          <w:p w14:paraId="70443A5F">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服务对象满意度</w:t>
            </w:r>
          </w:p>
        </w:tc>
        <w:tc>
          <w:tcPr>
            <w:tcW w:w="1104" w:type="dxa"/>
            <w:gridSpan w:val="2"/>
            <w:vAlign w:val="center"/>
          </w:tcPr>
          <w:p w14:paraId="76FA542C">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系统用户满意度</w:t>
            </w:r>
          </w:p>
        </w:tc>
        <w:tc>
          <w:tcPr>
            <w:tcW w:w="600" w:type="dxa"/>
            <w:vAlign w:val="center"/>
          </w:tcPr>
          <w:p w14:paraId="28EC0958">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仿宋_GB2312"/>
                <w:i w:val="0"/>
                <w:iCs w:val="0"/>
                <w:color w:val="auto"/>
                <w:kern w:val="0"/>
                <w:sz w:val="21"/>
                <w:szCs w:val="21"/>
                <w:highlight w:val="none"/>
                <w:u w:val="none"/>
                <w:lang w:val="en-US" w:eastAsia="zh-CN" w:bidi="ar"/>
              </w:rPr>
              <w:t>≥</w:t>
            </w:r>
          </w:p>
        </w:tc>
        <w:tc>
          <w:tcPr>
            <w:tcW w:w="532" w:type="dxa"/>
            <w:vAlign w:val="center"/>
          </w:tcPr>
          <w:p w14:paraId="29B1F55A">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90</w:t>
            </w:r>
          </w:p>
        </w:tc>
        <w:tc>
          <w:tcPr>
            <w:tcW w:w="477" w:type="dxa"/>
            <w:gridSpan w:val="2"/>
            <w:vAlign w:val="center"/>
          </w:tcPr>
          <w:p w14:paraId="7334FF7B">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w:t>
            </w:r>
          </w:p>
        </w:tc>
        <w:tc>
          <w:tcPr>
            <w:tcW w:w="714" w:type="dxa"/>
            <w:vAlign w:val="center"/>
          </w:tcPr>
          <w:p w14:paraId="492DF262">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96</w:t>
            </w:r>
          </w:p>
        </w:tc>
        <w:tc>
          <w:tcPr>
            <w:tcW w:w="963" w:type="dxa"/>
            <w:vAlign w:val="center"/>
          </w:tcPr>
          <w:p w14:paraId="769FC1CC">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100.00%</w:t>
            </w:r>
          </w:p>
        </w:tc>
        <w:tc>
          <w:tcPr>
            <w:tcW w:w="928" w:type="dxa"/>
            <w:vAlign w:val="center"/>
          </w:tcPr>
          <w:p w14:paraId="739768AB">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10.00</w:t>
            </w:r>
          </w:p>
        </w:tc>
        <w:tc>
          <w:tcPr>
            <w:tcW w:w="818" w:type="dxa"/>
            <w:vAlign w:val="center"/>
          </w:tcPr>
          <w:p w14:paraId="1529C99E">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w:t>
            </w:r>
          </w:p>
        </w:tc>
        <w:tc>
          <w:tcPr>
            <w:tcW w:w="932" w:type="dxa"/>
            <w:vAlign w:val="center"/>
          </w:tcPr>
          <w:p w14:paraId="3AB58B1A">
            <w:pPr>
              <w:snapToGrid w:val="0"/>
              <w:jc w:val="center"/>
              <w:rPr>
                <w:rFonts w:ascii="仿宋_GB2312" w:hAnsi="仿宋_GB2312" w:eastAsia="仿宋_GB2312" w:cs="宋体;方正书宋_GBK"/>
                <w:i w:val="0"/>
                <w:iCs w:val="0"/>
                <w:color w:val="auto"/>
                <w:sz w:val="21"/>
                <w:szCs w:val="21"/>
                <w:highlight w:val="none"/>
                <w:u w:val="none"/>
              </w:rPr>
            </w:pPr>
          </w:p>
        </w:tc>
      </w:tr>
      <w:tr w14:paraId="368A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6302" w:type="dxa"/>
            <w:gridSpan w:val="11"/>
            <w:vAlign w:val="center"/>
          </w:tcPr>
          <w:p w14:paraId="72BF01AA">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合计</w:t>
            </w:r>
          </w:p>
        </w:tc>
        <w:tc>
          <w:tcPr>
            <w:tcW w:w="928" w:type="dxa"/>
            <w:vAlign w:val="center"/>
          </w:tcPr>
          <w:p w14:paraId="68AC73D7">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100.00</w:t>
            </w:r>
          </w:p>
        </w:tc>
        <w:tc>
          <w:tcPr>
            <w:tcW w:w="818" w:type="dxa"/>
            <w:vAlign w:val="center"/>
          </w:tcPr>
          <w:p w14:paraId="459E0C3D">
            <w:pPr>
              <w:keepNext w:val="0"/>
              <w:keepLines w:val="0"/>
              <w:widowControl/>
              <w:jc w:val="center"/>
              <w:textAlignment w:val="auto"/>
              <w:rPr>
                <w:rFonts w:ascii="仿宋_GB2312" w:hAnsi="仿宋_GB2312" w:eastAsia="仿宋_GB2312" w:cs="宋体;方正书宋_GBK"/>
                <w:i w:val="0"/>
                <w:iCs w:val="0"/>
                <w:color w:val="auto"/>
                <w:sz w:val="21"/>
                <w:szCs w:val="21"/>
                <w:highlight w:val="none"/>
                <w:u w:val="none"/>
              </w:rPr>
            </w:pPr>
            <w:r>
              <w:rPr>
                <w:rFonts w:ascii="仿宋_GB2312" w:hAnsi="仿宋_GB2312" w:eastAsia="仿宋_GB2312" w:cs="宋体;方正书宋_GBK"/>
                <w:i w:val="0"/>
                <w:iCs w:val="0"/>
                <w:color w:val="auto"/>
                <w:kern w:val="0"/>
                <w:sz w:val="21"/>
                <w:szCs w:val="21"/>
                <w:highlight w:val="none"/>
                <w:u w:val="none"/>
                <w:lang w:val="en-US" w:eastAsia="zh-CN" w:bidi="ar"/>
              </w:rPr>
              <w:t>99.83</w:t>
            </w:r>
          </w:p>
        </w:tc>
        <w:tc>
          <w:tcPr>
            <w:tcW w:w="932" w:type="dxa"/>
            <w:vAlign w:val="center"/>
          </w:tcPr>
          <w:p w14:paraId="6A8DC448">
            <w:pPr>
              <w:snapToGrid w:val="0"/>
              <w:jc w:val="center"/>
              <w:rPr>
                <w:rFonts w:ascii="仿宋_GB2312" w:hAnsi="仿宋_GB2312" w:eastAsia="仿宋_GB2312" w:cs="宋体;方正书宋_GBK"/>
                <w:i w:val="0"/>
                <w:iCs w:val="0"/>
                <w:color w:val="auto"/>
                <w:sz w:val="21"/>
                <w:szCs w:val="21"/>
                <w:highlight w:val="none"/>
                <w:u w:val="none"/>
              </w:rPr>
            </w:pPr>
          </w:p>
        </w:tc>
      </w:tr>
    </w:tbl>
    <w:p w14:paraId="22D6CE08">
      <w:pPr>
        <w:spacing w:line="576" w:lineRule="exact"/>
        <w:ind w:firstLine="643"/>
        <w:jc w:val="both"/>
        <w:rPr>
          <w:rFonts w:ascii="楷体;方正楷体_GBK" w:hAnsi="楷体;方正楷体_GBK" w:eastAsia="楷体;方正楷体_GBK" w:cs="楷体;方正楷体_GBK"/>
          <w:b/>
          <w:bCs/>
          <w:sz w:val="32"/>
          <w:szCs w:val="32"/>
          <w:highlight w:val="none"/>
        </w:rPr>
      </w:pPr>
    </w:p>
    <w:p w14:paraId="1F860171">
      <w:pPr>
        <w:spacing w:line="576" w:lineRule="exact"/>
        <w:ind w:firstLine="643"/>
        <w:jc w:val="both"/>
        <w:rPr>
          <w:rFonts w:ascii="楷体;方正楷体_GBK" w:hAnsi="楷体;方正楷体_GBK" w:eastAsia="楷体;方正楷体_GBK" w:cs="楷体;方正楷体_GBK"/>
          <w:b/>
          <w:sz w:val="32"/>
          <w:szCs w:val="32"/>
          <w:highlight w:val="none"/>
        </w:rPr>
      </w:pPr>
      <w:r>
        <w:rPr>
          <w:rFonts w:ascii="楷体;方正楷体_GBK" w:hAnsi="楷体;方正楷体_GBK" w:eastAsia="楷体;方正楷体_GBK" w:cs="楷体;方正楷体_GBK"/>
          <w:b/>
          <w:bCs/>
          <w:sz w:val="32"/>
          <w:szCs w:val="32"/>
          <w:highlight w:val="none"/>
        </w:rPr>
        <w:t>（三）部门评价结果。</w:t>
      </w:r>
    </w:p>
    <w:p w14:paraId="5ABA2F9D">
      <w:pPr>
        <w:spacing w:line="576" w:lineRule="exact"/>
        <w:ind w:firstLine="800"/>
        <w:jc w:val="both"/>
        <w:rPr>
          <w:rFonts w:ascii="仿宋_GB2312" w:hAnsi="仿宋_GB2312" w:eastAsia="仿宋_GB2312"/>
          <w:sz w:val="32"/>
          <w:szCs w:val="32"/>
          <w:highlight w:val="none"/>
        </w:rPr>
      </w:pPr>
      <w:r>
        <w:rPr>
          <w:rFonts w:ascii="仿宋_GB2312" w:hAnsi="仿宋_GB2312" w:eastAsia="仿宋_GB2312"/>
          <w:sz w:val="32"/>
          <w:szCs w:val="32"/>
          <w:highlight w:val="none"/>
        </w:rPr>
        <w:t>海南省</w:t>
      </w:r>
      <w:r>
        <w:rPr>
          <w:rFonts w:ascii="仿宋_GB2312" w:hAnsi="仿宋_GB2312" w:eastAsia="仿宋_GB2312" w:cs="ˎ̥;思源宋体"/>
          <w:sz w:val="32"/>
          <w:szCs w:val="32"/>
          <w:highlight w:val="none"/>
        </w:rPr>
        <w:t>消费者委员会办公室</w:t>
      </w:r>
      <w:r>
        <w:rPr>
          <w:rFonts w:ascii="仿宋_GB2312" w:hAnsi="仿宋_GB2312" w:eastAsia="仿宋_GB2312"/>
          <w:sz w:val="32"/>
          <w:szCs w:val="32"/>
          <w:highlight w:val="none"/>
        </w:rPr>
        <w:t>无</w:t>
      </w:r>
      <w:r>
        <w:rPr>
          <w:rFonts w:ascii="仿宋;方正仿宋_GBK" w:hAnsi="仿宋;方正仿宋_GBK" w:eastAsia="仿宋;方正仿宋_GBK" w:cs="仿宋;方正仿宋_GBK"/>
          <w:sz w:val="32"/>
          <w:szCs w:val="32"/>
          <w:highlight w:val="none"/>
        </w:rPr>
        <w:t xml:space="preserve">此项内容。 </w:t>
      </w:r>
    </w:p>
    <w:p w14:paraId="3846F518">
      <w:pPr>
        <w:spacing w:line="578" w:lineRule="exact"/>
        <w:ind w:firstLine="643"/>
        <w:rPr>
          <w:rFonts w:ascii="楷体;方正楷体_GBK" w:hAnsi="楷体;方正楷体_GBK" w:eastAsia="楷体;方正楷体_GBK" w:cs="楷体;方正楷体_GBK"/>
          <w:b/>
          <w:bCs/>
          <w:sz w:val="32"/>
          <w:szCs w:val="32"/>
          <w:highlight w:val="none"/>
        </w:rPr>
      </w:pPr>
      <w:r>
        <w:rPr>
          <w:rFonts w:ascii="楷体;方正楷体_GBK" w:hAnsi="楷体;方正楷体_GBK" w:eastAsia="楷体;方正楷体_GBK" w:cs="楷体;方正楷体_GBK"/>
          <w:b/>
          <w:bCs/>
          <w:sz w:val="32"/>
          <w:szCs w:val="32"/>
          <w:highlight w:val="none"/>
        </w:rPr>
        <w:t>（四）财政评价结果。</w:t>
      </w:r>
    </w:p>
    <w:p w14:paraId="735FAC92">
      <w:pPr>
        <w:spacing w:line="576" w:lineRule="exact"/>
        <w:ind w:firstLine="800"/>
        <w:jc w:val="both"/>
        <w:rPr>
          <w:rFonts w:ascii="仿宋_GB2312" w:hAnsi="仿宋_GB2312" w:eastAsia="仿宋_GB2312"/>
          <w:sz w:val="32"/>
          <w:szCs w:val="32"/>
          <w:highlight w:val="none"/>
        </w:rPr>
      </w:pPr>
      <w:r>
        <w:rPr>
          <w:rFonts w:ascii="仿宋_GB2312" w:hAnsi="仿宋_GB2312" w:eastAsia="仿宋_GB2312"/>
          <w:sz w:val="32"/>
          <w:szCs w:val="32"/>
          <w:highlight w:val="none"/>
        </w:rPr>
        <w:t>海南省</w:t>
      </w:r>
      <w:r>
        <w:rPr>
          <w:rFonts w:ascii="仿宋_GB2312" w:hAnsi="仿宋_GB2312" w:eastAsia="仿宋_GB2312" w:cs="ˎ̥;思源宋体"/>
          <w:sz w:val="32"/>
          <w:szCs w:val="32"/>
          <w:highlight w:val="none"/>
        </w:rPr>
        <w:t>消费者委员会办公室</w:t>
      </w:r>
      <w:r>
        <w:rPr>
          <w:rFonts w:ascii="仿宋;方正仿宋_GBK" w:hAnsi="仿宋;方正仿宋_GBK" w:eastAsia="仿宋;方正仿宋_GBK" w:cs="仿宋;方正仿宋_GBK"/>
          <w:sz w:val="32"/>
          <w:szCs w:val="32"/>
          <w:highlight w:val="none"/>
        </w:rPr>
        <w:t>无此项内容。</w:t>
      </w:r>
    </w:p>
    <w:p w14:paraId="186FCC5B">
      <w:pPr>
        <w:tabs>
          <w:tab w:val="left" w:pos="851"/>
        </w:tabs>
        <w:spacing w:line="576" w:lineRule="exact"/>
        <w:ind w:firstLine="800"/>
        <w:jc w:val="both"/>
        <w:rPr>
          <w:rFonts w:hint="eastAsia" w:ascii="黑体;方正黑体_GBK" w:hAnsi="黑体;方正黑体_GBK" w:eastAsia="黑体;方正黑体_GBK" w:cs="黑体;方正黑体_GBK"/>
          <w:bCs/>
          <w:color w:val="auto"/>
          <w:sz w:val="32"/>
          <w:szCs w:val="32"/>
          <w:highlight w:val="none"/>
        </w:rPr>
      </w:pPr>
      <w:r>
        <w:rPr>
          <w:rFonts w:hint="eastAsia" w:ascii="黑体;方正黑体_GBK" w:hAnsi="黑体;方正黑体_GBK" w:eastAsia="黑体;方正黑体_GBK" w:cs="黑体;方正黑体_GBK"/>
          <w:bCs/>
          <w:color w:val="auto"/>
          <w:sz w:val="32"/>
          <w:szCs w:val="32"/>
          <w:highlight w:val="none"/>
        </w:rPr>
        <w:t>十一、落实习惯过紧日子要求、保障重点支出情况说明</w:t>
      </w:r>
    </w:p>
    <w:p w14:paraId="148852B4">
      <w:pPr>
        <w:spacing w:line="240" w:lineRule="auto"/>
        <w:ind w:firstLine="640"/>
        <w:jc w:val="both"/>
        <w:rPr>
          <w:rFonts w:hint="default" w:ascii="CESI宋体-GB2312" w:hAnsi="CESI宋体-GB2312" w:eastAsia="仿宋_GB2312" w:cs="CESI宋体-GB2312"/>
          <w:bCs w:val="0"/>
          <w:color w:val="auto"/>
          <w:sz w:val="32"/>
          <w:szCs w:val="32"/>
          <w:highlight w:val="none"/>
          <w:lang w:eastAsia="zh-CN"/>
        </w:rPr>
      </w:pPr>
      <w:r>
        <w:rPr>
          <w:rFonts w:hint="default" w:ascii="CESI宋体-GB2312" w:hAnsi="CESI宋体-GB2312" w:eastAsia="仿宋_GB2312" w:cs="CESI宋体-GB2312"/>
          <w:bCs w:val="0"/>
          <w:color w:val="auto"/>
          <w:sz w:val="32"/>
          <w:szCs w:val="32"/>
          <w:highlight w:val="none"/>
          <w:lang w:eastAsia="zh-CN"/>
        </w:rPr>
        <w:t>按照党中央、国务院关于党政机关习惯过紧日子的有关要求厉行节约办一切事业，严控一般性支出。同时坚持有保有压，优化支出结构，提高资金使用效率，合理保障综合运行事务项目等重点支出，体现在有关支出科目中。</w:t>
      </w:r>
    </w:p>
    <w:p w14:paraId="3989EEB3">
      <w:pPr>
        <w:spacing w:line="240" w:lineRule="auto"/>
        <w:ind w:firstLine="640"/>
        <w:jc w:val="both"/>
        <w:rPr>
          <w:rFonts w:hint="default" w:ascii="CESI宋体-GB2312" w:hAnsi="CESI宋体-GB2312" w:eastAsia="仿宋_GB2312" w:cs="CESI宋体-GB2312"/>
          <w:bCs w:val="0"/>
          <w:color w:val="auto"/>
          <w:sz w:val="32"/>
          <w:szCs w:val="32"/>
          <w:highlight w:val="none"/>
          <w:lang w:eastAsia="zh-CN"/>
        </w:rPr>
      </w:pPr>
      <w:r>
        <w:rPr>
          <w:rFonts w:hint="default" w:ascii="CESI宋体-GB2312" w:hAnsi="CESI宋体-GB2312" w:eastAsia="仿宋_GB2312" w:cs="CESI宋体-GB2312"/>
          <w:bCs w:val="0"/>
          <w:color w:val="auto"/>
          <w:sz w:val="32"/>
          <w:szCs w:val="32"/>
          <w:highlight w:val="none"/>
          <w:lang w:eastAsia="zh-CN"/>
        </w:rPr>
        <w:t>按照支出功能分类，一般公共服务支出规模较大，主要是市场监督管理事务，2025年度决算数为1</w:t>
      </w:r>
      <w:r>
        <w:rPr>
          <w:rFonts w:hint="eastAsia" w:ascii="CESI宋体-GB2312" w:hAnsi="CESI宋体-GB2312" w:eastAsia="仿宋_GB2312" w:cs="CESI宋体-GB2312"/>
          <w:bCs w:val="0"/>
          <w:color w:val="auto"/>
          <w:sz w:val="32"/>
          <w:szCs w:val="32"/>
          <w:highlight w:val="none"/>
          <w:lang w:eastAsia="zh-CN"/>
        </w:rPr>
        <w:t>3</w:t>
      </w:r>
      <w:r>
        <w:rPr>
          <w:rFonts w:hint="eastAsia" w:ascii="CESI宋体-GB2312" w:hAnsi="CESI宋体-GB2312" w:eastAsia="仿宋_GB2312" w:cs="CESI宋体-GB2312"/>
          <w:bCs w:val="0"/>
          <w:color w:val="auto"/>
          <w:sz w:val="32"/>
          <w:szCs w:val="32"/>
          <w:highlight w:val="none"/>
          <w:lang w:val="en-US" w:eastAsia="zh-CN"/>
        </w:rPr>
        <w:t>2.8</w:t>
      </w:r>
      <w:r>
        <w:rPr>
          <w:rFonts w:hint="default" w:ascii="CESI宋体-GB2312" w:hAnsi="CESI宋体-GB2312" w:eastAsia="仿宋_GB2312" w:cs="CESI宋体-GB2312"/>
          <w:bCs w:val="0"/>
          <w:color w:val="auto"/>
          <w:sz w:val="32"/>
          <w:szCs w:val="32"/>
          <w:highlight w:val="none"/>
          <w:lang w:eastAsia="zh-CN"/>
        </w:rPr>
        <w:t>万元，占财政拨款支出总额的</w:t>
      </w:r>
      <w:r>
        <w:rPr>
          <w:rFonts w:hint="eastAsia" w:ascii="CESI宋体-GB2312" w:hAnsi="CESI宋体-GB2312" w:eastAsia="仿宋_GB2312" w:cs="CESI宋体-GB2312"/>
          <w:bCs w:val="0"/>
          <w:color w:val="auto"/>
          <w:sz w:val="32"/>
          <w:szCs w:val="32"/>
          <w:highlight w:val="none"/>
          <w:lang w:eastAsia="zh-CN"/>
        </w:rPr>
        <w:t>8</w:t>
      </w:r>
      <w:r>
        <w:rPr>
          <w:rFonts w:hint="eastAsia" w:ascii="CESI宋体-GB2312" w:hAnsi="CESI宋体-GB2312" w:eastAsia="仿宋_GB2312" w:cs="CESI宋体-GB2312"/>
          <w:bCs w:val="0"/>
          <w:color w:val="auto"/>
          <w:sz w:val="32"/>
          <w:szCs w:val="32"/>
          <w:highlight w:val="none"/>
          <w:lang w:val="en-US" w:eastAsia="zh-CN"/>
        </w:rPr>
        <w:t>0.2</w:t>
      </w:r>
      <w:r>
        <w:rPr>
          <w:rFonts w:hint="default" w:ascii="CESI宋体-GB2312" w:hAnsi="CESI宋体-GB2312" w:eastAsia="仿宋_GB2312" w:cs="CESI宋体-GB2312"/>
          <w:bCs w:val="0"/>
          <w:color w:val="auto"/>
          <w:sz w:val="32"/>
          <w:szCs w:val="32"/>
          <w:highlight w:val="none"/>
          <w:lang w:eastAsia="zh-CN"/>
        </w:rPr>
        <w:t>%，主要用于事业运行、其他市场监督管理事务</w:t>
      </w:r>
      <w:r>
        <w:rPr>
          <w:rFonts w:hint="eastAsia" w:ascii="CESI宋体-GB2312" w:hAnsi="CESI宋体-GB2312" w:eastAsia="仿宋_GB2312" w:cs="CESI宋体-GB2312"/>
          <w:bCs w:val="0"/>
          <w:color w:val="auto"/>
          <w:sz w:val="32"/>
          <w:szCs w:val="32"/>
          <w:highlight w:val="none"/>
          <w:lang w:eastAsia="zh-CN"/>
        </w:rPr>
        <w:t>等</w:t>
      </w:r>
      <w:r>
        <w:rPr>
          <w:rFonts w:hint="default" w:ascii="CESI宋体-GB2312" w:hAnsi="CESI宋体-GB2312" w:eastAsia="仿宋_GB2312" w:cs="CESI宋体-GB2312"/>
          <w:bCs w:val="0"/>
          <w:color w:val="auto"/>
          <w:sz w:val="32"/>
          <w:szCs w:val="32"/>
          <w:highlight w:val="none"/>
          <w:lang w:eastAsia="zh-CN"/>
        </w:rPr>
        <w:t>方面</w:t>
      </w:r>
      <w:r>
        <w:rPr>
          <w:rFonts w:hint="eastAsia" w:ascii="CESI宋体-GB2312" w:hAnsi="CESI宋体-GB2312" w:eastAsia="仿宋_GB2312" w:cs="CESI宋体-GB2312"/>
          <w:bCs w:val="0"/>
          <w:color w:val="auto"/>
          <w:sz w:val="32"/>
          <w:szCs w:val="32"/>
          <w:highlight w:val="none"/>
          <w:lang w:eastAsia="zh-CN"/>
        </w:rPr>
        <w:t>。</w:t>
      </w:r>
    </w:p>
    <w:p w14:paraId="14256F37">
      <w:pPr>
        <w:tabs>
          <w:tab w:val="left" w:pos="851"/>
        </w:tabs>
        <w:spacing w:line="576" w:lineRule="exact"/>
        <w:ind w:firstLine="800"/>
        <w:jc w:val="both"/>
        <w:rPr>
          <w:rFonts w:ascii="黑体;方正黑体_GBK" w:hAnsi="黑体;方正黑体_GBK" w:eastAsia="黑体;方正黑体_GBK" w:cs="黑体;方正黑体_GBK"/>
          <w:bCs/>
          <w:color w:val="auto"/>
          <w:sz w:val="32"/>
          <w:szCs w:val="32"/>
          <w:highlight w:val="none"/>
        </w:rPr>
      </w:pPr>
      <w:r>
        <w:rPr>
          <w:rFonts w:hint="eastAsia" w:ascii="黑体;方正黑体_GBK" w:hAnsi="黑体;方正黑体_GBK" w:eastAsia="黑体;方正黑体_GBK" w:cs="黑体;方正黑体_GBK"/>
          <w:bCs/>
          <w:color w:val="auto"/>
          <w:sz w:val="32"/>
          <w:szCs w:val="32"/>
          <w:highlight w:val="none"/>
          <w:lang w:eastAsia="zh-CN"/>
        </w:rPr>
        <w:t>十二、</w:t>
      </w:r>
      <w:r>
        <w:rPr>
          <w:rFonts w:ascii="黑体;方正黑体_GBK" w:hAnsi="黑体;方正黑体_GBK" w:eastAsia="黑体;方正黑体_GBK" w:cs="黑体;方正黑体_GBK"/>
          <w:bCs/>
          <w:color w:val="auto"/>
          <w:sz w:val="32"/>
          <w:szCs w:val="32"/>
          <w:highlight w:val="none"/>
        </w:rPr>
        <w:t>其他重要事项情况说明。</w:t>
      </w:r>
    </w:p>
    <w:p w14:paraId="254E2217">
      <w:pPr>
        <w:spacing w:line="576" w:lineRule="exact"/>
        <w:ind w:firstLine="640"/>
        <w:jc w:val="both"/>
        <w:rPr>
          <w:rFonts w:ascii="楷体;方正楷体_GBK" w:hAnsi="楷体;方正楷体_GBK" w:eastAsia="楷体;方正楷体_GBK" w:cs="楷体;方正楷体_GBK"/>
          <w:bCs/>
          <w:sz w:val="32"/>
          <w:szCs w:val="32"/>
          <w:highlight w:val="none"/>
        </w:rPr>
      </w:pPr>
      <w:r>
        <w:rPr>
          <w:rFonts w:ascii="楷体;方正楷体_GBK" w:hAnsi="楷体;方正楷体_GBK" w:eastAsia="楷体;方正楷体_GBK" w:cs="楷体;方正楷体_GBK"/>
          <w:bCs/>
          <w:sz w:val="32"/>
          <w:szCs w:val="32"/>
          <w:highlight w:val="none"/>
        </w:rPr>
        <w:t>（一）机关运行经费支出情况。</w:t>
      </w:r>
    </w:p>
    <w:p w14:paraId="1212EDE0">
      <w:pPr>
        <w:ind w:firstLine="640"/>
        <w:jc w:val="both"/>
        <w:rPr>
          <w:rFonts w:ascii="CESI宋体-GB2312" w:hAnsi="CESI宋体-GB2312" w:eastAsia="仿宋_GB2312" w:cs="仿宋;方正仿宋_GBK"/>
          <w:bCs/>
          <w:color w:val="auto"/>
          <w:sz w:val="32"/>
          <w:szCs w:val="32"/>
          <w:highlight w:val="none"/>
        </w:rPr>
      </w:pPr>
      <w:r>
        <w:rPr>
          <w:rFonts w:ascii="CESI宋体-GB2312" w:hAnsi="CESI宋体-GB2312" w:eastAsia="仿宋_GB2312" w:cs="CESI宋体-GB2312"/>
          <w:sz w:val="32"/>
          <w:szCs w:val="32"/>
          <w:highlight w:val="none"/>
          <w:lang w:eastAsia="zh-CN"/>
        </w:rPr>
        <w:t>2025</w:t>
      </w:r>
      <w:r>
        <w:rPr>
          <w:rFonts w:ascii="CESI宋体-GB2312" w:hAnsi="CESI宋体-GB2312" w:eastAsia="仿宋_GB2312" w:cs="CESI宋体-GB2312"/>
          <w:sz w:val="32"/>
          <w:szCs w:val="32"/>
          <w:highlight w:val="none"/>
        </w:rPr>
        <w:t>年度海南省消费者委员会办公室</w:t>
      </w:r>
      <w:r>
        <w:rPr>
          <w:rFonts w:ascii="CESI宋体-GB2312" w:hAnsi="CESI宋体-GB2312" w:eastAsia="仿宋_GB2312" w:cs="仿宋;方正仿宋_GBK"/>
          <w:bCs/>
          <w:color w:val="auto"/>
          <w:sz w:val="32"/>
          <w:szCs w:val="32"/>
          <w:highlight w:val="none"/>
        </w:rPr>
        <w:t>机关运行经费为</w:t>
      </w:r>
      <w:r>
        <w:rPr>
          <w:rFonts w:ascii="CESI宋体-GB2312" w:hAnsi="CESI宋体-GB2312" w:eastAsia="仿宋_GB2312" w:cs="仿宋;方正仿宋_GBK"/>
          <w:bCs/>
          <w:color w:val="auto"/>
          <w:sz w:val="32"/>
          <w:szCs w:val="32"/>
          <w:highlight w:val="none"/>
          <w:lang w:val="en-US" w:eastAsia="zh-CN"/>
        </w:rPr>
        <w:t>27</w:t>
      </w:r>
      <w:r>
        <w:rPr>
          <w:rFonts w:ascii="CESI宋体-GB2312" w:hAnsi="CESI宋体-GB2312" w:eastAsia="仿宋_GB2312" w:cs="仿宋;方正仿宋_GBK"/>
          <w:bCs/>
          <w:color w:val="auto"/>
          <w:sz w:val="32"/>
          <w:szCs w:val="32"/>
          <w:highlight w:val="none"/>
        </w:rPr>
        <w:t>万元,</w:t>
      </w:r>
      <w:r>
        <w:rPr>
          <w:rFonts w:ascii="CESI宋体-GB2312" w:hAnsi="CESI宋体-GB2312" w:eastAsia="仿宋_GB2312" w:cs="CESI宋体-GB2312"/>
          <w:sz w:val="32"/>
          <w:szCs w:val="32"/>
          <w:highlight w:val="none"/>
        </w:rPr>
        <w:t>比年初预算减少</w:t>
      </w:r>
      <w:r>
        <w:rPr>
          <w:rFonts w:ascii="CESI宋体-GB2312" w:hAnsi="CESI宋体-GB2312" w:eastAsia="仿宋_GB2312" w:cs="仿宋;方正仿宋_GBK"/>
          <w:bCs/>
          <w:color w:val="auto"/>
          <w:sz w:val="32"/>
          <w:szCs w:val="32"/>
          <w:highlight w:val="none"/>
          <w:lang w:val="en-US" w:eastAsia="zh-CN"/>
        </w:rPr>
        <w:t>4.83</w:t>
      </w:r>
      <w:r>
        <w:rPr>
          <w:rFonts w:ascii="CESI宋体-GB2312" w:hAnsi="CESI宋体-GB2312" w:eastAsia="仿宋_GB2312" w:cs="仿宋;方正仿宋_GBK"/>
          <w:bCs/>
          <w:color w:val="auto"/>
          <w:sz w:val="32"/>
          <w:szCs w:val="32"/>
          <w:highlight w:val="none"/>
        </w:rPr>
        <w:t>万元,</w:t>
      </w:r>
      <w:r>
        <w:rPr>
          <w:rFonts w:ascii="CESI宋体-GB2312" w:hAnsi="CESI宋体-GB2312" w:eastAsia="仿宋_GB2312" w:cs="CESI宋体-GB2312"/>
          <w:sz w:val="32"/>
          <w:szCs w:val="32"/>
          <w:highlight w:val="none"/>
        </w:rPr>
        <w:t xml:space="preserve"> 完成预算的</w:t>
      </w:r>
      <w:r>
        <w:rPr>
          <w:rFonts w:ascii="CESI宋体-GB2312" w:hAnsi="CESI宋体-GB2312" w:eastAsia="仿宋_GB2312" w:cs="CESI宋体-GB2312"/>
          <w:color w:val="auto"/>
          <w:sz w:val="32"/>
          <w:szCs w:val="32"/>
          <w:highlight w:val="none"/>
          <w:lang w:val="en-US" w:eastAsia="zh-CN"/>
        </w:rPr>
        <w:t>84.8</w:t>
      </w:r>
      <w:r>
        <w:rPr>
          <w:rFonts w:ascii="CESI宋体-GB2312" w:hAnsi="CESI宋体-GB2312" w:eastAsia="仿宋_GB2312" w:cs="CESI宋体-GB2312"/>
          <w:sz w:val="32"/>
          <w:szCs w:val="32"/>
          <w:highlight w:val="none"/>
        </w:rPr>
        <w:t>%;与</w:t>
      </w:r>
      <w:r>
        <w:rPr>
          <w:rFonts w:ascii="CESI宋体-GB2312" w:hAnsi="CESI宋体-GB2312" w:eastAsia="仿宋_GB2312" w:cs="CESI宋体-GB2312"/>
          <w:sz w:val="32"/>
          <w:szCs w:val="32"/>
          <w:highlight w:val="none"/>
          <w:lang w:eastAsia="zh-CN"/>
        </w:rPr>
        <w:t>2024</w:t>
      </w:r>
      <w:r>
        <w:rPr>
          <w:rFonts w:ascii="CESI宋体-GB2312" w:hAnsi="CESI宋体-GB2312" w:eastAsia="仿宋_GB2312" w:cs="CESI宋体-GB2312"/>
          <w:sz w:val="32"/>
          <w:szCs w:val="32"/>
          <w:highlight w:val="none"/>
        </w:rPr>
        <w:t>年度相比，机关运行经费</w:t>
      </w:r>
      <w:r>
        <w:rPr>
          <w:rFonts w:ascii="CESI宋体-GB2312" w:hAnsi="CESI宋体-GB2312" w:eastAsia="仿宋_GB2312" w:cs="CESI宋体-GB2312"/>
          <w:sz w:val="32"/>
          <w:szCs w:val="32"/>
          <w:highlight w:val="none"/>
          <w:lang w:eastAsia="zh-CN"/>
        </w:rPr>
        <w:t>增加</w:t>
      </w:r>
      <w:r>
        <w:rPr>
          <w:rFonts w:ascii="CESI宋体-GB2312" w:hAnsi="CESI宋体-GB2312" w:eastAsia="仿宋_GB2312" w:cs="CESI宋体-GB2312"/>
          <w:sz w:val="32"/>
          <w:szCs w:val="32"/>
          <w:highlight w:val="none"/>
          <w:lang w:val="en-US" w:eastAsia="zh-CN"/>
        </w:rPr>
        <w:t>0.48</w:t>
      </w:r>
      <w:r>
        <w:rPr>
          <w:rFonts w:ascii="CESI宋体-GB2312" w:hAnsi="CESI宋体-GB2312" w:eastAsia="仿宋_GB2312" w:cs="CESI宋体-GB2312"/>
          <w:sz w:val="32"/>
          <w:szCs w:val="32"/>
          <w:highlight w:val="none"/>
        </w:rPr>
        <w:t>万元，</w:t>
      </w:r>
      <w:r>
        <w:rPr>
          <w:rFonts w:ascii="CESI宋体-GB2312" w:hAnsi="CESI宋体-GB2312" w:eastAsia="仿宋_GB2312" w:cs="CESI宋体-GB2312"/>
          <w:sz w:val="32"/>
          <w:szCs w:val="32"/>
          <w:highlight w:val="none"/>
          <w:lang w:eastAsia="zh-CN"/>
        </w:rPr>
        <w:t>提升</w:t>
      </w:r>
      <w:r>
        <w:rPr>
          <w:rFonts w:ascii="CESI宋体-GB2312" w:hAnsi="CESI宋体-GB2312" w:eastAsia="仿宋_GB2312" w:cs="CESI宋体-GB2312"/>
          <w:sz w:val="32"/>
          <w:szCs w:val="32"/>
          <w:highlight w:val="none"/>
          <w:lang w:val="en-US" w:eastAsia="zh-CN"/>
        </w:rPr>
        <w:t>1.8</w:t>
      </w:r>
      <w:r>
        <w:rPr>
          <w:rFonts w:ascii="CESI宋体-GB2312" w:hAnsi="CESI宋体-GB2312" w:eastAsia="仿宋_GB2312" w:cs="CESI宋体-GB2312"/>
          <w:sz w:val="32"/>
          <w:szCs w:val="32"/>
          <w:highlight w:val="none"/>
        </w:rPr>
        <w:t>%。</w:t>
      </w:r>
      <w:r>
        <w:rPr>
          <w:rFonts w:ascii="CESI宋体-GB2312" w:hAnsi="CESI宋体-GB2312" w:eastAsia="仿宋_GB2312" w:cs="仿宋;方正仿宋_GBK"/>
          <w:bCs/>
          <w:color w:val="auto"/>
          <w:sz w:val="32"/>
          <w:szCs w:val="32"/>
          <w:highlight w:val="none"/>
        </w:rPr>
        <w:t>主要原因是：</w:t>
      </w:r>
      <w:r>
        <w:rPr>
          <w:rFonts w:ascii="CESI宋体-GB2312" w:hAnsi="CESI宋体-GB2312" w:eastAsia="仿宋_GB2312" w:cs="仿宋;方正仿宋_GBK"/>
          <w:bCs/>
          <w:sz w:val="32"/>
          <w:szCs w:val="32"/>
          <w:highlight w:val="none"/>
          <w:lang w:eastAsia="zh-CN"/>
        </w:rPr>
        <w:t>公务车辆老化故障增多，导致公车运维费比上年增加。</w:t>
      </w:r>
    </w:p>
    <w:p w14:paraId="6FF2F011">
      <w:pPr>
        <w:spacing w:line="576" w:lineRule="exact"/>
        <w:ind w:firstLine="640"/>
        <w:jc w:val="both"/>
        <w:rPr>
          <w:rFonts w:ascii="CESI宋体-GB2312" w:hAnsi="CESI宋体-GB2312" w:eastAsia="楷体;方正楷体_GBK" w:cs="楷体;方正楷体_GBK"/>
          <w:sz w:val="32"/>
          <w:szCs w:val="32"/>
          <w:highlight w:val="none"/>
        </w:rPr>
      </w:pPr>
      <w:r>
        <w:rPr>
          <w:rFonts w:ascii="CESI宋体-GB2312" w:hAnsi="CESI宋体-GB2312" w:eastAsia="楷体;方正楷体_GBK" w:cs="楷体;方正楷体_GBK"/>
          <w:sz w:val="32"/>
          <w:szCs w:val="32"/>
          <w:highlight w:val="none"/>
        </w:rPr>
        <w:t>（二）政府采购支出情况。</w:t>
      </w:r>
    </w:p>
    <w:p w14:paraId="7D41781D">
      <w:pPr>
        <w:spacing w:line="576"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海南省消费者委员会办公室</w:t>
      </w:r>
      <w:r>
        <w:rPr>
          <w:rFonts w:ascii="CESI宋体-GB2312" w:hAnsi="CESI宋体-GB2312" w:eastAsia="仿宋_GB2312" w:cs="仿宋_GB2312"/>
          <w:sz w:val="32"/>
          <w:szCs w:val="32"/>
          <w:highlight w:val="none"/>
          <w:lang w:bidi="ar"/>
        </w:rPr>
        <w:t>无政府采购支出</w:t>
      </w:r>
      <w:r>
        <w:rPr>
          <w:rFonts w:ascii="CESI宋体-GB2312" w:hAnsi="CESI宋体-GB2312" w:eastAsia="仿宋_GB2312" w:cs="CESI宋体-GB2312"/>
          <w:sz w:val="32"/>
          <w:szCs w:val="32"/>
          <w:highlight w:val="none"/>
        </w:rPr>
        <w:t>。</w:t>
      </w:r>
    </w:p>
    <w:p w14:paraId="1B4EC6CC">
      <w:pPr>
        <w:spacing w:line="576" w:lineRule="exact"/>
        <w:ind w:firstLine="640"/>
        <w:jc w:val="both"/>
        <w:rPr>
          <w:rFonts w:ascii="CESI宋体-GB2312" w:hAnsi="CESI宋体-GB2312" w:eastAsia="楷体;方正楷体_GBK" w:cs="楷体;方正楷体_GBK"/>
          <w:sz w:val="32"/>
          <w:szCs w:val="32"/>
          <w:highlight w:val="none"/>
        </w:rPr>
      </w:pPr>
      <w:r>
        <w:rPr>
          <w:rFonts w:ascii="CESI宋体-GB2312" w:hAnsi="CESI宋体-GB2312" w:eastAsia="楷体;方正楷体_GBK" w:cs="楷体;方正楷体_GBK"/>
          <w:sz w:val="32"/>
          <w:szCs w:val="32"/>
          <w:highlight w:val="none"/>
        </w:rPr>
        <w:t>（三）国有资产占用情况。</w:t>
      </w:r>
    </w:p>
    <w:p w14:paraId="163A9740">
      <w:pPr>
        <w:spacing w:line="576"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截至</w:t>
      </w:r>
      <w:r>
        <w:rPr>
          <w:rFonts w:ascii="CESI宋体-GB2312" w:hAnsi="CESI宋体-GB2312" w:eastAsia="仿宋_GB2312" w:cs="CESI宋体-GB2312"/>
          <w:sz w:val="32"/>
          <w:szCs w:val="32"/>
          <w:highlight w:val="none"/>
          <w:lang w:eastAsia="zh-CN"/>
        </w:rPr>
        <w:t>2025</w:t>
      </w:r>
      <w:r>
        <w:rPr>
          <w:rFonts w:ascii="CESI宋体-GB2312" w:hAnsi="CESI宋体-GB2312" w:eastAsia="仿宋_GB2312" w:cs="CESI宋体-GB2312"/>
          <w:sz w:val="32"/>
          <w:szCs w:val="32"/>
          <w:highlight w:val="none"/>
        </w:rPr>
        <w:t>年12月31日，本单位</w:t>
      </w:r>
      <w:r>
        <w:rPr>
          <w:rFonts w:ascii="CESI宋体-GB2312" w:hAnsi="CESI宋体-GB2312" w:eastAsia="仿宋_GB2312" w:cs="CESI宋体-GB2312"/>
          <w:bCs/>
          <w:sz w:val="32"/>
          <w:szCs w:val="32"/>
          <w:highlight w:val="none"/>
        </w:rPr>
        <w:t>拥有</w:t>
      </w:r>
      <w:r>
        <w:rPr>
          <w:rFonts w:ascii="CESI宋体-GB2312" w:hAnsi="CESI宋体-GB2312" w:eastAsia="仿宋_GB2312" w:cs="CESI宋体-GB2312"/>
          <w:sz w:val="32"/>
          <w:szCs w:val="32"/>
          <w:highlight w:val="none"/>
        </w:rPr>
        <w:t>房屋面积0平方米。</w:t>
      </w:r>
    </w:p>
    <w:p w14:paraId="73C047E4">
      <w:pPr>
        <w:spacing w:line="576"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本单位共有车辆1辆，其中：副部（省）级及以上领导用车0辆、主要负责人用车0辆、机要通信用车</w:t>
      </w:r>
      <w:r>
        <w:rPr>
          <w:rFonts w:hint="eastAsia" w:ascii="CESI宋体-GB2312" w:hAnsi="CESI宋体-GB2312" w:eastAsia="仿宋_GB2312" w:cs="CESI宋体-GB2312"/>
          <w:sz w:val="32"/>
          <w:szCs w:val="32"/>
          <w:highlight w:val="none"/>
          <w:lang w:val="en-US" w:eastAsia="zh-CN"/>
        </w:rPr>
        <w:t>1</w:t>
      </w:r>
      <w:r>
        <w:rPr>
          <w:rFonts w:ascii="CESI宋体-GB2312" w:hAnsi="CESI宋体-GB2312" w:eastAsia="仿宋_GB2312" w:cs="CESI宋体-GB2312"/>
          <w:sz w:val="32"/>
          <w:szCs w:val="32"/>
          <w:highlight w:val="none"/>
        </w:rPr>
        <w:t>辆、应急保障用车</w:t>
      </w:r>
      <w:r>
        <w:rPr>
          <w:rFonts w:hint="eastAsia" w:ascii="CESI宋体-GB2312" w:hAnsi="CESI宋体-GB2312" w:eastAsia="仿宋_GB2312" w:cs="CESI宋体-GB2312"/>
          <w:sz w:val="32"/>
          <w:szCs w:val="32"/>
          <w:highlight w:val="none"/>
          <w:lang w:val="en-US" w:eastAsia="zh-CN"/>
        </w:rPr>
        <w:t>0</w:t>
      </w:r>
      <w:r>
        <w:rPr>
          <w:rFonts w:ascii="CESI宋体-GB2312" w:hAnsi="CESI宋体-GB2312" w:eastAsia="仿宋_GB2312" w:cs="CESI宋体-GB2312"/>
          <w:sz w:val="32"/>
          <w:szCs w:val="32"/>
          <w:highlight w:val="none"/>
        </w:rPr>
        <w:t>辆、执法执勤用车0辆、特种专业技术用车0辆、离退休干部用车0辆、其他用车0辆。</w:t>
      </w:r>
    </w:p>
    <w:p w14:paraId="64F4A3B9">
      <w:pPr>
        <w:spacing w:line="576" w:lineRule="exact"/>
        <w:ind w:firstLine="640"/>
        <w:jc w:val="both"/>
        <w:rPr>
          <w:rFonts w:ascii="CESI宋体-GB2312" w:hAnsi="CESI宋体-GB2312" w:eastAsia="仿宋_GB2312" w:cs="CESI宋体-GB2312"/>
          <w:sz w:val="32"/>
          <w:szCs w:val="32"/>
          <w:highlight w:val="none"/>
        </w:rPr>
      </w:pPr>
      <w:r>
        <w:rPr>
          <w:rFonts w:ascii="CESI宋体-GB2312" w:hAnsi="CESI宋体-GB2312" w:eastAsia="仿宋_GB2312" w:cs="CESI宋体-GB2312"/>
          <w:sz w:val="32"/>
          <w:szCs w:val="32"/>
          <w:highlight w:val="none"/>
        </w:rPr>
        <w:t>单价100万元（含）以上设备</w:t>
      </w:r>
      <w:r>
        <w:rPr>
          <w:rFonts w:ascii="CESI宋体-GB2312" w:hAnsi="CESI宋体-GB2312" w:eastAsia="仿宋;方正仿宋_GBK" w:cs="仿宋;方正仿宋_GBK"/>
          <w:sz w:val="32"/>
          <w:szCs w:val="32"/>
          <w:highlight w:val="none"/>
        </w:rPr>
        <w:t>（不含车辆）</w:t>
      </w:r>
      <w:r>
        <w:rPr>
          <w:rFonts w:ascii="CESI宋体-GB2312" w:hAnsi="CESI宋体-GB2312" w:eastAsia="仿宋_GB2312" w:cs="CESI宋体-GB2312"/>
          <w:sz w:val="32"/>
          <w:szCs w:val="32"/>
          <w:highlight w:val="none"/>
        </w:rPr>
        <w:t>0台（套）。</w:t>
      </w:r>
    </w:p>
    <w:p w14:paraId="6664D994">
      <w:pPr>
        <w:spacing w:line="576" w:lineRule="exact"/>
        <w:jc w:val="center"/>
        <w:rPr>
          <w:rFonts w:ascii="黑体;方正黑体_GBK" w:hAnsi="黑体;方正黑体_GBK" w:eastAsia="黑体;方正黑体_GBK" w:cs="ˎ̥;思源宋体"/>
          <w:sz w:val="32"/>
          <w:szCs w:val="32"/>
          <w:highlight w:val="none"/>
        </w:rPr>
      </w:pPr>
    </w:p>
    <w:p w14:paraId="534AA278">
      <w:pPr>
        <w:spacing w:line="576" w:lineRule="exact"/>
        <w:jc w:val="center"/>
        <w:rPr>
          <w:rFonts w:ascii="黑体;方正黑体_GBK" w:hAnsi="黑体;方正黑体_GBK" w:eastAsia="黑体;方正黑体_GBK" w:cs="ˎ̥;思源宋体"/>
          <w:sz w:val="32"/>
          <w:szCs w:val="32"/>
          <w:highlight w:val="none"/>
        </w:rPr>
      </w:pPr>
      <w:r>
        <w:rPr>
          <w:rFonts w:ascii="黑体;方正黑体_GBK" w:hAnsi="黑体;方正黑体_GBK" w:eastAsia="黑体;方正黑体_GBK" w:cs="ˎ̥;思源宋体"/>
          <w:sz w:val="32"/>
          <w:szCs w:val="32"/>
          <w:highlight w:val="none"/>
        </w:rPr>
        <w:t>第四部分  名词解释</w:t>
      </w:r>
    </w:p>
    <w:p w14:paraId="06C55DF2">
      <w:pPr>
        <w:spacing w:line="576" w:lineRule="exact"/>
        <w:jc w:val="both"/>
        <w:rPr>
          <w:rFonts w:ascii="黑体;方正黑体_GBK" w:hAnsi="黑体;方正黑体_GBK" w:eastAsia="黑体;方正黑体_GBK" w:cs="ˎ̥;思源宋体"/>
          <w:sz w:val="32"/>
          <w:szCs w:val="32"/>
          <w:highlight w:val="none"/>
        </w:rPr>
      </w:pPr>
    </w:p>
    <w:p w14:paraId="2F7E96B7">
      <w:pPr>
        <w:widowControl w:val="0"/>
        <w:numPr>
          <w:ilvl w:val="0"/>
          <w:numId w:val="2"/>
        </w:numPr>
        <w:spacing w:line="578" w:lineRule="exact"/>
        <w:ind w:left="0" w:firstLine="640"/>
        <w:jc w:val="both"/>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财政拨款收入：指同级政府财政部门当年拨付的各类财政拨款。</w:t>
      </w:r>
    </w:p>
    <w:p w14:paraId="7CB4B635">
      <w:pPr>
        <w:spacing w:line="578" w:lineRule="exact"/>
        <w:ind w:firstLine="640"/>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二、上级补助收入：指事业单位从主管部门和上级单位取得的非财政补助收入。</w:t>
      </w:r>
    </w:p>
    <w:p w14:paraId="592C5602">
      <w:pPr>
        <w:spacing w:line="578" w:lineRule="exact"/>
        <w:ind w:firstLine="640"/>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三、事业收入：指事业单位开展专业业务活动及辅助活动取得的收入。</w:t>
      </w:r>
    </w:p>
    <w:p w14:paraId="395F918B">
      <w:pPr>
        <w:spacing w:line="578" w:lineRule="exact"/>
        <w:ind w:firstLine="640"/>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四、经营收入：指事业单位在专业业务活动及其辅助活动之外开展非独立核算经营活动取得的收入。</w:t>
      </w:r>
    </w:p>
    <w:p w14:paraId="0B3EA5EA">
      <w:pPr>
        <w:spacing w:line="578" w:lineRule="exact"/>
        <w:ind w:firstLine="640"/>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五、附属单位上缴收入：指事业单位取得附属独立核算单位根据有关规定上缴的收入。</w:t>
      </w:r>
    </w:p>
    <w:p w14:paraId="3AAE25D1">
      <w:pPr>
        <w:spacing w:line="578" w:lineRule="exact"/>
        <w:ind w:firstLine="640"/>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六、其他收入：指除上述“财政拨款收入”“事业收入”“上级补助收入”“经营收入”“附属单位上缴收入”等以外的收入。</w:t>
      </w:r>
    </w:p>
    <w:p w14:paraId="417182A0">
      <w:pPr>
        <w:spacing w:line="578" w:lineRule="exact"/>
        <w:ind w:firstLine="640"/>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七、使用非财政拨款结余：指事业单位在当年的“财政拨款收入”“事业收入”“经营收入”“其他收入”等不足以安排当年支出的情况下，使用非同级财政拨款结余资金弥补本年度收支缺口。</w:t>
      </w:r>
    </w:p>
    <w:p w14:paraId="78EE7EE7">
      <w:pPr>
        <w:spacing w:line="578" w:lineRule="exact"/>
        <w:ind w:firstLine="640"/>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八、年初结转和结余：指以前年度尚未完成、结转到本年按有关规定继续使用的资金，或项目已完成等产生的结余资金。</w:t>
      </w:r>
    </w:p>
    <w:p w14:paraId="294DFF6E">
      <w:pPr>
        <w:spacing w:line="578" w:lineRule="exact"/>
        <w:ind w:firstLine="640"/>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九、结余分配：指事业单位缴纳企业所得税以及从非财政拨款结余或经营结余中提取各类结余的情况。</w:t>
      </w:r>
    </w:p>
    <w:p w14:paraId="21A529B7">
      <w:pPr>
        <w:spacing w:line="578" w:lineRule="exact"/>
        <w:ind w:firstLine="640"/>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十、年末结转和结余：指本年度或以前年度预算安排、因客观条件发生变化无法按原计划实施，需要延迟到以后年度按有关规定继续使用的资金（不包括事业单位非财政拨款结余和专用结余）。</w:t>
      </w:r>
    </w:p>
    <w:p w14:paraId="02B7DD38">
      <w:pPr>
        <w:spacing w:line="578" w:lineRule="exact"/>
        <w:ind w:firstLine="640"/>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十一、基本支出：指为保障机构正常运转、完成日常工作任务而发生的人员支出和公用支出。</w:t>
      </w:r>
    </w:p>
    <w:p w14:paraId="3C2DC7D3">
      <w:pPr>
        <w:spacing w:line="578" w:lineRule="exact"/>
        <w:ind w:firstLine="640"/>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十二、项目支出：指在基本支出之外为完成特定行政任务和事业发展目标所发生的支出。</w:t>
      </w:r>
    </w:p>
    <w:p w14:paraId="049C4CC1">
      <w:pPr>
        <w:spacing w:line="578" w:lineRule="exact"/>
        <w:ind w:firstLine="640"/>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十三、经营支出：指事业单位在专业业务活动及其辅助活动之外开展非独立核算经营活动发生的支出。</w:t>
      </w:r>
    </w:p>
    <w:p w14:paraId="59A2E36E">
      <w:pPr>
        <w:spacing w:line="578" w:lineRule="exact"/>
        <w:ind w:firstLine="640"/>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十四、“三公”经费：纳入本级财政预决算管理的“三公”经费，是指用一般公共预算</w:t>
      </w:r>
      <w:r>
        <w:rPr>
          <w:rFonts w:ascii="仿宋_GB2312" w:hAnsi="仿宋_GB2312" w:eastAsia="仿宋_GB2312" w:cs="ˎ̥;思源宋体"/>
          <w:color w:val="auto"/>
          <w:sz w:val="32"/>
          <w:szCs w:val="32"/>
          <w:highlight w:val="none"/>
        </w:rPr>
        <w:t>财政</w:t>
      </w:r>
      <w:r>
        <w:rPr>
          <w:rFonts w:ascii="仿宋_GB2312" w:hAnsi="仿宋_GB2312" w:eastAsia="仿宋_GB2312" w:cs="ˎ̥;思源宋体"/>
          <w:sz w:val="32"/>
          <w:szCs w:val="32"/>
          <w:highlight w:val="none"/>
        </w:rPr>
        <w:t>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19133F15">
      <w:pPr>
        <w:spacing w:line="578" w:lineRule="exact"/>
        <w:ind w:firstLine="645"/>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5ED6C790">
      <w:pPr>
        <w:spacing w:line="578" w:lineRule="exact"/>
        <w:ind w:firstLine="645"/>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十六、支出功能分类：</w:t>
      </w:r>
    </w:p>
    <w:p w14:paraId="2A933D1F">
      <w:pPr>
        <w:spacing w:line="578" w:lineRule="exact"/>
        <w:ind w:firstLine="645"/>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一般公共服务（类）市场监督管理事务（款）行政运行（项）,反映行政单位(包括实行公务员管理的事业单位)的基本支出；</w:t>
      </w:r>
    </w:p>
    <w:p w14:paraId="7B36E0A0">
      <w:pPr>
        <w:spacing w:line="578" w:lineRule="exact"/>
        <w:ind w:firstLine="645"/>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一般公共服务（类）市场监督管理事务（款）信息化建设（项），反映市场监督管理、药品监督管理部门用于信息化建设及运行维护方面的支出;</w:t>
      </w:r>
    </w:p>
    <w:p w14:paraId="48BA4A58">
      <w:pPr>
        <w:spacing w:line="578" w:lineRule="exact"/>
        <w:ind w:firstLine="645"/>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一般公共服务（类）市场监督管理事务（款）其他市场监督管理事务（项）,反映用于其他市场监督管理事务方面的支出；</w:t>
      </w:r>
    </w:p>
    <w:p w14:paraId="7B1104C6">
      <w:pPr>
        <w:spacing w:line="578" w:lineRule="exact"/>
        <w:ind w:firstLine="645"/>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社会保障和就业支出（类）行政事业单位养老支出（款）机关事业单位基本养老保险缴费支出（项），反映单位为职工缴纳的基本养老保险费。</w:t>
      </w:r>
    </w:p>
    <w:p w14:paraId="222F1B19">
      <w:pPr>
        <w:spacing w:line="578" w:lineRule="exact"/>
        <w:ind w:firstLine="645"/>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社会保障和就业支出（类）行政事业单位养老支出（款）机关事业单位职业年金缴费支出（项），反映单位为职工实际缴纳的职业年金（含职业年金补记支出）。</w:t>
      </w:r>
    </w:p>
    <w:p w14:paraId="12498C35">
      <w:pPr>
        <w:spacing w:line="578" w:lineRule="exact"/>
        <w:ind w:firstLine="645"/>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卫生健康支出（类）行政事业单位医疗（款）行政单位医疗（项），反映单位为职工缴纳的基本医疗保险（含生育保险）费。</w:t>
      </w:r>
    </w:p>
    <w:p w14:paraId="643459C7">
      <w:pPr>
        <w:spacing w:line="578" w:lineRule="exact"/>
        <w:ind w:firstLine="645"/>
        <w:jc w:val="left"/>
        <w:rPr>
          <w:rFonts w:ascii="仿宋_GB2312" w:hAnsi="仿宋_GB2312" w:eastAsia="仿宋_GB2312" w:cs="ˎ̥;思源宋体"/>
          <w:sz w:val="32"/>
          <w:szCs w:val="32"/>
          <w:highlight w:val="none"/>
        </w:rPr>
      </w:pPr>
      <w:r>
        <w:rPr>
          <w:rFonts w:ascii="仿宋_GB2312" w:hAnsi="仿宋_GB2312" w:eastAsia="仿宋_GB2312" w:cs="ˎ̥;思源宋体"/>
          <w:sz w:val="32"/>
          <w:szCs w:val="32"/>
          <w:highlight w:val="none"/>
        </w:rPr>
        <w:t>住房保障支出（类）住房改革支出（款）住房公积金（项），反映单位按规定为职工缴纳的住房公积金。</w:t>
      </w:r>
    </w:p>
    <w:sectPr>
      <w:footerReference r:id="rId5" w:type="default"/>
      <w:pgSz w:w="11906" w:h="16838"/>
      <w:pgMar w:top="2098" w:right="1474" w:bottom="1985" w:left="1588" w:header="851" w:footer="992" w:gutter="0"/>
      <w:pgNumType w:fmt="numberInDash"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宋体;方正书宋_GBK">
    <w:altName w:val="方正书宋_GBK"/>
    <w:panose1 w:val="00000000000000000000"/>
    <w:charset w:val="00"/>
    <w:family w:val="auto"/>
    <w:pitch w:val="default"/>
    <w:sig w:usb0="00000000" w:usb1="00000000" w:usb2="00000000" w:usb3="00000000" w:csb0="00000000" w:csb1="00000000"/>
  </w:font>
  <w:font w:name="Lohit Devanagari">
    <w:panose1 w:val="020B0600000000000000"/>
    <w:charset w:val="00"/>
    <w:family w:val="auto"/>
    <w:pitch w:val="default"/>
    <w:sig w:usb0="80008023" w:usb1="00002042" w:usb2="00000000" w:usb3="00000000" w:csb0="00000001" w:csb1="00000000"/>
  </w:font>
  <w:font w:name="Liberation Sans">
    <w:altName w:val="仿宋_GB2312"/>
    <w:panose1 w:val="00000000000000000000"/>
    <w:charset w:val="01"/>
    <w:family w:val="swiss"/>
    <w:pitch w:val="default"/>
    <w:sig w:usb0="00000000" w:usb1="00000000" w:usb2="00000000" w:usb3="00000000" w:csb0="00000000" w:csb1="00000000"/>
  </w:font>
  <w:font w:name="Noto Sans CJK SC">
    <w:panose1 w:val="020B0500000000000000"/>
    <w:charset w:val="86"/>
    <w:family w:val="auto"/>
    <w:pitch w:val="default"/>
    <w:sig w:usb0="30000083" w:usb1="2BDF3C10" w:usb2="00000016" w:usb3="00000000" w:csb0="602E0107" w:csb1="00000000"/>
  </w:font>
  <w:font w:name="Times New Roman;DejaVu Sans">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ˎ̥">
    <w:altName w:val="思源宋体"/>
    <w:panose1 w:val="00000000000000000000"/>
    <w:charset w:val="00"/>
    <w:family w:val="roman"/>
    <w:pitch w:val="default"/>
    <w:sig w:usb0="00000000" w:usb1="00000000" w:usb2="00000000" w:usb3="00000000" w:csb0="00040001" w:csb1="00000000"/>
  </w:font>
  <w:font w:name="思源宋体">
    <w:panose1 w:val="02020400000000000000"/>
    <w:charset w:val="86"/>
    <w:family w:val="auto"/>
    <w:pitch w:val="default"/>
    <w:sig w:usb0="30000083" w:usb1="2BDF3C10" w:usb2="00000016" w:usb3="00000000" w:csb0="602E0107"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黑体;方正黑体_GBK">
    <w:altName w:val="方正黑体_GBK"/>
    <w:panose1 w:val="00000000000000000000"/>
    <w:charset w:val="00"/>
    <w:family w:val="auto"/>
    <w:pitch w:val="default"/>
    <w:sig w:usb0="00000000" w:usb1="00000000" w:usb2="00000000" w:usb3="00000000" w:csb0="00000000" w:csb1="00000000"/>
  </w:font>
  <w:font w:name="ˎ̥;思源宋体">
    <w:altName w:val="方正书宋_GBK"/>
    <w:panose1 w:val="00000000000000000000"/>
    <w:charset w:val="00"/>
    <w:family w:val="auto"/>
    <w:pitch w:val="default"/>
    <w:sig w:usb0="00000000" w:usb1="00000000" w:usb2="00000000" w:usb3="00000000" w:csb0="00000000" w:csb1="00000000"/>
  </w:font>
  <w:font w:name="楷体;方正楷体_GBK">
    <w:altName w:val="楷体_GB2312"/>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仿宋;方正仿宋_GBK">
    <w:altName w:val="方正仿宋_GBK"/>
    <w:panose1 w:val="00000000000000000000"/>
    <w:charset w:val="00"/>
    <w:family w:val="auto"/>
    <w:pitch w:val="default"/>
    <w:sig w:usb0="00000000" w:usb1="00000000" w:usb2="00000000" w:usb3="00000000" w:csb0="00000000" w:csb1="00000000"/>
  </w:font>
  <w:font w:name="CESI宋体-GB2312">
    <w:panose1 w:val="02000500000000000000"/>
    <w:charset w:val="86"/>
    <w:family w:val="auto"/>
    <w:pitch w:val="default"/>
    <w:sig w:usb0="800002AF" w:usb1="08476CF8" w:usb2="00000010" w:usb3="00000000" w:csb0="0004000F"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EAAD7">
    <w:pPr>
      <w:pStyle w:val="4"/>
      <w:jc w:val="center"/>
    </w:pPr>
  </w:p>
  <w:p w14:paraId="41D5DA28">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91F72">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12C750">
                          <w:pPr>
                            <w:pStyle w:val="4"/>
                            <w:rPr>
                              <w:rFonts w:hint="eastAsia" w:ascii="CESI宋体-GB2312" w:hAnsi="CESI宋体-GB2312" w:eastAsia="CESI宋体-GB2312" w:cs="CESI宋体-GB2312"/>
                              <w:sz w:val="28"/>
                              <w:szCs w:val="28"/>
                            </w:rPr>
                          </w:pPr>
                          <w:r>
                            <w:rPr>
                              <w:rFonts w:hint="eastAsia" w:ascii="CESI宋体-GB2312" w:hAnsi="CESI宋体-GB2312" w:eastAsia="CESI宋体-GB2312" w:cs="CESI宋体-GB2312"/>
                              <w:sz w:val="28"/>
                              <w:szCs w:val="28"/>
                            </w:rPr>
                            <w:fldChar w:fldCharType="begin"/>
                          </w:r>
                          <w:r>
                            <w:rPr>
                              <w:rFonts w:hint="eastAsia" w:ascii="CESI宋体-GB2312" w:hAnsi="CESI宋体-GB2312" w:eastAsia="CESI宋体-GB2312" w:cs="CESI宋体-GB2312"/>
                              <w:sz w:val="28"/>
                              <w:szCs w:val="28"/>
                            </w:rPr>
                            <w:instrText xml:space="preserve"> PAGE  \* MERGEFORMAT </w:instrText>
                          </w:r>
                          <w:r>
                            <w:rPr>
                              <w:rFonts w:hint="eastAsia" w:ascii="CESI宋体-GB2312" w:hAnsi="CESI宋体-GB2312" w:eastAsia="CESI宋体-GB2312" w:cs="CESI宋体-GB2312"/>
                              <w:sz w:val="28"/>
                              <w:szCs w:val="28"/>
                            </w:rPr>
                            <w:fldChar w:fldCharType="separate"/>
                          </w:r>
                          <w:r>
                            <w:rPr>
                              <w:rFonts w:hint="eastAsia" w:ascii="CESI宋体-GB2312" w:hAnsi="CESI宋体-GB2312" w:eastAsia="CESI宋体-GB2312" w:cs="CESI宋体-GB2312"/>
                              <w:sz w:val="28"/>
                              <w:szCs w:val="28"/>
                            </w:rPr>
                            <w:t>- 1 -</w:t>
                          </w:r>
                          <w:r>
                            <w:rPr>
                              <w:rFonts w:hint="eastAsia" w:ascii="CESI宋体-GB2312" w:hAnsi="CESI宋体-GB2312" w:eastAsia="CESI宋体-GB2312" w:cs="CESI宋体-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B12C750">
                    <w:pPr>
                      <w:pStyle w:val="4"/>
                      <w:rPr>
                        <w:rFonts w:hint="eastAsia" w:ascii="CESI宋体-GB2312" w:hAnsi="CESI宋体-GB2312" w:eastAsia="CESI宋体-GB2312" w:cs="CESI宋体-GB2312"/>
                        <w:sz w:val="28"/>
                        <w:szCs w:val="28"/>
                      </w:rPr>
                    </w:pPr>
                    <w:r>
                      <w:rPr>
                        <w:rFonts w:hint="eastAsia" w:ascii="CESI宋体-GB2312" w:hAnsi="CESI宋体-GB2312" w:eastAsia="CESI宋体-GB2312" w:cs="CESI宋体-GB2312"/>
                        <w:sz w:val="28"/>
                        <w:szCs w:val="28"/>
                      </w:rPr>
                      <w:fldChar w:fldCharType="begin"/>
                    </w:r>
                    <w:r>
                      <w:rPr>
                        <w:rFonts w:hint="eastAsia" w:ascii="CESI宋体-GB2312" w:hAnsi="CESI宋体-GB2312" w:eastAsia="CESI宋体-GB2312" w:cs="CESI宋体-GB2312"/>
                        <w:sz w:val="28"/>
                        <w:szCs w:val="28"/>
                      </w:rPr>
                      <w:instrText xml:space="preserve"> PAGE  \* MERGEFORMAT </w:instrText>
                    </w:r>
                    <w:r>
                      <w:rPr>
                        <w:rFonts w:hint="eastAsia" w:ascii="CESI宋体-GB2312" w:hAnsi="CESI宋体-GB2312" w:eastAsia="CESI宋体-GB2312" w:cs="CESI宋体-GB2312"/>
                        <w:sz w:val="28"/>
                        <w:szCs w:val="28"/>
                      </w:rPr>
                      <w:fldChar w:fldCharType="separate"/>
                    </w:r>
                    <w:r>
                      <w:rPr>
                        <w:rFonts w:hint="eastAsia" w:ascii="CESI宋体-GB2312" w:hAnsi="CESI宋体-GB2312" w:eastAsia="CESI宋体-GB2312" w:cs="CESI宋体-GB2312"/>
                        <w:sz w:val="28"/>
                        <w:szCs w:val="28"/>
                      </w:rPr>
                      <w:t>- 1 -</w:t>
                    </w:r>
                    <w:r>
                      <w:rPr>
                        <w:rFonts w:hint="eastAsia" w:ascii="CESI宋体-GB2312" w:hAnsi="CESI宋体-GB2312" w:eastAsia="CESI宋体-GB2312" w:cs="CESI宋体-GB2312"/>
                        <w:sz w:val="28"/>
                        <w:szCs w:val="28"/>
                      </w:rPr>
                      <w:fldChar w:fldCharType="end"/>
                    </w:r>
                  </w:p>
                </w:txbxContent>
              </v:textbox>
            </v:shape>
          </w:pict>
        </mc:Fallback>
      </mc:AlternateContent>
    </w:r>
  </w:p>
  <w:p w14:paraId="65E6D28D">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F284B">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taiwaneseCountingThousand"/>
      <w:lvlText w:val="%1、"/>
      <w:lvlJc w:val="left"/>
      <w:pPr>
        <w:tabs>
          <w:tab w:val="left" w:pos="0"/>
        </w:tabs>
        <w:ind w:left="1360" w:hanging="720"/>
      </w:pPr>
    </w:lvl>
    <w:lvl w:ilvl="1" w:tentative="0">
      <w:start w:val="1"/>
      <w:numFmt w:val="decimal"/>
      <w:lvlText w:val="%2."/>
      <w:lvlJc w:val="left"/>
      <w:pPr>
        <w:tabs>
          <w:tab w:val="left" w:pos="0"/>
        </w:tabs>
        <w:ind w:left="1440" w:hanging="360"/>
      </w:pPr>
    </w:lvl>
    <w:lvl w:ilvl="2" w:tentative="0">
      <w:start w:val="1"/>
      <w:numFmt w:val="decimal"/>
      <w:lvlText w:val="%3."/>
      <w:lvlJc w:val="left"/>
      <w:pPr>
        <w:tabs>
          <w:tab w:val="left" w:pos="0"/>
        </w:tabs>
        <w:ind w:left="2160" w:hanging="360"/>
      </w:pPr>
    </w:lvl>
    <w:lvl w:ilvl="3" w:tentative="0">
      <w:start w:val="1"/>
      <w:numFmt w:val="decimal"/>
      <w:lvlText w:val="%4."/>
      <w:lvlJc w:val="left"/>
      <w:pPr>
        <w:tabs>
          <w:tab w:val="left" w:pos="0"/>
        </w:tabs>
        <w:ind w:left="2880" w:hanging="360"/>
      </w:pPr>
    </w:lvl>
    <w:lvl w:ilvl="4" w:tentative="0">
      <w:start w:val="1"/>
      <w:numFmt w:val="decimal"/>
      <w:lvlText w:val="%5."/>
      <w:lvlJc w:val="left"/>
      <w:pPr>
        <w:tabs>
          <w:tab w:val="left" w:pos="0"/>
        </w:tabs>
        <w:ind w:left="3600" w:hanging="360"/>
      </w:pPr>
    </w:lvl>
    <w:lvl w:ilvl="5" w:tentative="0">
      <w:start w:val="1"/>
      <w:numFmt w:val="decimal"/>
      <w:lvlText w:val="%6."/>
      <w:lvlJc w:val="left"/>
      <w:pPr>
        <w:tabs>
          <w:tab w:val="left" w:pos="0"/>
        </w:tabs>
        <w:ind w:left="4320" w:hanging="360"/>
      </w:pPr>
    </w:lvl>
    <w:lvl w:ilvl="6" w:tentative="0">
      <w:start w:val="1"/>
      <w:numFmt w:val="decimal"/>
      <w:lvlText w:val="%7."/>
      <w:lvlJc w:val="left"/>
      <w:pPr>
        <w:tabs>
          <w:tab w:val="left" w:pos="0"/>
        </w:tabs>
        <w:ind w:left="5040" w:hanging="360"/>
      </w:pPr>
    </w:lvl>
    <w:lvl w:ilvl="7" w:tentative="0">
      <w:start w:val="1"/>
      <w:numFmt w:val="decimal"/>
      <w:lvlText w:val="%8."/>
      <w:lvlJc w:val="left"/>
      <w:pPr>
        <w:tabs>
          <w:tab w:val="left" w:pos="0"/>
        </w:tabs>
        <w:ind w:left="5760" w:hanging="360"/>
      </w:pPr>
    </w:lvl>
    <w:lvl w:ilvl="8" w:tentative="0">
      <w:start w:val="1"/>
      <w:numFmt w:val="decimal"/>
      <w:lvlText w:val="%9."/>
      <w:lvlJc w:val="left"/>
      <w:pPr>
        <w:tabs>
          <w:tab w:val="left" w:pos="0"/>
        </w:tabs>
        <w:ind w:left="6480" w:hanging="360"/>
      </w:pPr>
    </w:lvl>
  </w:abstractNum>
  <w:abstractNum w:abstractNumId="1">
    <w:nsid w:val="59ADCABA"/>
    <w:multiLevelType w:val="singleLevel"/>
    <w:tmpl w:val="59ADCABA"/>
    <w:lvl w:ilvl="0" w:tentative="0">
      <w:start w:val="1"/>
      <w:numFmt w:val="chineseCountingThousand"/>
      <w:suff w:val="nothing"/>
      <w:lvlText w:val="%1、"/>
      <w:lvlJc w:val="left"/>
      <w:pPr>
        <w:tabs>
          <w:tab w:val="left" w:pos="0"/>
        </w:tabs>
        <w:ind w:left="0" w:firstLine="0"/>
      </w:p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trackRevisions w:val="1"/>
  <w:documentProtection w:enforcement="0"/>
  <w:defaultTabStop w:val="420"/>
  <w:autoHyphenation/>
  <w:displayHorizontalDrawingGridEvery w:val="1"/>
  <w:displayVerticalDrawingGridEvery w:val="1"/>
  <w:noPunctuationKerning w:val="1"/>
  <w:compat>
    <w:noLeading/>
    <w:doNotExpandShiftReturn/>
    <w:doNotWrapTextWithPunct/>
    <w:doNotUseEastAsianBreakRules/>
    <w:useFELayout/>
    <w:doNotUseIndentAsNumberingTabStop/>
    <w:compatSetting w:name="compatibilityMode" w:uri="http://schemas.microsoft.com/office/word" w:val="14"/>
  </w:compat>
  <w:rsids>
    <w:rsidRoot w:val="00000000"/>
    <w:rsid w:val="2B1D37D3"/>
    <w:rsid w:val="2FBFC0E2"/>
    <w:rsid w:val="3676DC7B"/>
    <w:rsid w:val="55E70378"/>
    <w:rsid w:val="5CFBA0B1"/>
    <w:rsid w:val="7BFF128B"/>
    <w:rsid w:val="9DFFCB92"/>
    <w:rsid w:val="A31B7F9A"/>
    <w:rsid w:val="BDFDA1DA"/>
    <w:rsid w:val="FE3C8A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suppressAutoHyphens/>
      <w:bidi w:val="0"/>
    </w:pPr>
    <w:rPr>
      <w:rFonts w:ascii="宋体;方正书宋_GBK" w:hAnsi="宋体;方正书宋_GBK" w:eastAsia="宋体;方正书宋_GBK" w:cs="宋体;方正书宋_GBK"/>
      <w:color w:val="auto"/>
      <w:sz w:val="24"/>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caption"/>
    <w:basedOn w:val="1"/>
    <w:qFormat/>
    <w:uiPriority w:val="0"/>
    <w:pPr>
      <w:suppressLineNumbers/>
      <w:spacing w:before="120" w:after="120"/>
    </w:pPr>
    <w:rPr>
      <w:rFonts w:cs="Lohit Devanagari"/>
      <w:i/>
      <w:iCs/>
      <w:sz w:val="24"/>
      <w:szCs w:val="24"/>
    </w:rPr>
  </w:style>
  <w:style w:type="paragraph" w:styleId="3">
    <w:name w:val="Body Text"/>
    <w:basedOn w:val="1"/>
    <w:qFormat/>
    <w:uiPriority w:val="0"/>
    <w:pPr>
      <w:widowControl/>
      <w:spacing w:before="100" w:after="100"/>
      <w:jc w:val="left"/>
    </w:pPr>
    <w:rPr>
      <w:rFonts w:ascii="宋体;方正书宋_GBK" w:hAnsi="宋体;方正书宋_GBK" w:cs="宋体;方正书宋_GBK"/>
      <w:kern w:val="0"/>
      <w:sz w:val="24"/>
    </w:rPr>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6">
    <w:name w:val="List"/>
    <w:basedOn w:val="3"/>
    <w:qFormat/>
    <w:uiPriority w:val="0"/>
    <w:rPr>
      <w:rFonts w:cs="Lohit Devanagari"/>
    </w:rPr>
  </w:style>
  <w:style w:type="character" w:styleId="9">
    <w:name w:val="Hyperlink"/>
    <w:qFormat/>
    <w:uiPriority w:val="0"/>
    <w:rPr>
      <w:color w:val="000080"/>
      <w:u w:val="single"/>
    </w:rPr>
  </w:style>
  <w:style w:type="character" w:customStyle="1" w:styleId="10">
    <w:name w:val="WW8Num1z0"/>
    <w:qFormat/>
    <w:uiPriority w:val="0"/>
  </w:style>
  <w:style w:type="character" w:customStyle="1" w:styleId="11">
    <w:name w:val="默认段落字体1"/>
    <w:qFormat/>
    <w:uiPriority w:val="0"/>
  </w:style>
  <w:style w:type="character" w:customStyle="1" w:styleId="12">
    <w:name w:val="批注框文本 Char"/>
    <w:basedOn w:val="11"/>
    <w:qFormat/>
    <w:uiPriority w:val="0"/>
    <w:rPr>
      <w:rFonts w:ascii="宋体;方正书宋_GBK" w:hAnsi="宋体;方正书宋_GBK" w:eastAsia="宋体;方正书宋_GBK" w:cs="宋体;方正书宋_GBK"/>
      <w:sz w:val="18"/>
      <w:szCs w:val="18"/>
    </w:rPr>
  </w:style>
  <w:style w:type="character" w:customStyle="1" w:styleId="13">
    <w:name w:val="页脚 Char"/>
    <w:basedOn w:val="11"/>
    <w:qFormat/>
    <w:uiPriority w:val="0"/>
    <w:rPr>
      <w:rFonts w:ascii="宋体;方正书宋_GBK" w:hAnsi="宋体;方正书宋_GBK" w:eastAsia="宋体;方正书宋_GBK" w:cs="宋体;方正书宋_GBK"/>
      <w:sz w:val="18"/>
      <w:szCs w:val="18"/>
    </w:rPr>
  </w:style>
  <w:style w:type="character" w:customStyle="1" w:styleId="14">
    <w:name w:val="页眉 Char"/>
    <w:basedOn w:val="11"/>
    <w:qFormat/>
    <w:uiPriority w:val="0"/>
    <w:rPr>
      <w:rFonts w:ascii="宋体;方正书宋_GBK" w:hAnsi="宋体;方正书宋_GBK" w:eastAsia="宋体;方正书宋_GBK" w:cs="宋体;方正书宋_GBK"/>
      <w:sz w:val="18"/>
      <w:szCs w:val="18"/>
    </w:rPr>
  </w:style>
  <w:style w:type="paragraph" w:customStyle="1" w:styleId="15">
    <w:name w:val="Heading"/>
    <w:basedOn w:val="1"/>
    <w:next w:val="3"/>
    <w:qFormat/>
    <w:uiPriority w:val="0"/>
    <w:pPr>
      <w:keepNext/>
      <w:spacing w:before="240" w:after="120"/>
    </w:pPr>
    <w:rPr>
      <w:rFonts w:ascii="Liberation Sans" w:hAnsi="Liberation Sans" w:eastAsia="Noto Sans CJK SC" w:cs="Lohit Devanagari"/>
      <w:sz w:val="28"/>
      <w:szCs w:val="28"/>
    </w:rPr>
  </w:style>
  <w:style w:type="paragraph" w:customStyle="1" w:styleId="16">
    <w:name w:val="Index"/>
    <w:basedOn w:val="1"/>
    <w:qFormat/>
    <w:uiPriority w:val="0"/>
    <w:pPr>
      <w:suppressLineNumbers/>
    </w:pPr>
    <w:rPr>
      <w:rFonts w:cs="Lohit Devanagari"/>
    </w:rPr>
  </w:style>
  <w:style w:type="paragraph" w:customStyle="1" w:styleId="17">
    <w:name w:val="批注框文本1"/>
    <w:basedOn w:val="1"/>
    <w:qFormat/>
    <w:uiPriority w:val="0"/>
    <w:rPr>
      <w:sz w:val="18"/>
      <w:szCs w:val="18"/>
    </w:rPr>
  </w:style>
  <w:style w:type="paragraph" w:customStyle="1" w:styleId="18">
    <w:name w:val="Header and Footer"/>
    <w:basedOn w:val="1"/>
    <w:qFormat/>
    <w:uiPriority w:val="0"/>
    <w:pPr>
      <w:suppressLineNumbers/>
      <w:tabs>
        <w:tab w:val="center" w:pos="4986"/>
        <w:tab w:val="right" w:pos="9972"/>
      </w:tabs>
    </w:pPr>
  </w:style>
  <w:style w:type="paragraph" w:customStyle="1" w:styleId="19">
    <w:name w:val="列出段落"/>
    <w:basedOn w:val="1"/>
    <w:qFormat/>
    <w:uiPriority w:val="0"/>
    <w:pPr>
      <w:ind w:firstLine="420"/>
    </w:pPr>
  </w:style>
  <w:style w:type="paragraph" w:customStyle="1" w:styleId="20">
    <w:name w:val="wpsoffice1"/>
    <w:basedOn w:val="1"/>
    <w:qFormat/>
    <w:uiPriority w:val="0"/>
    <w:pPr>
      <w:spacing w:before="100" w:after="100"/>
    </w:pPr>
  </w:style>
  <w:style w:type="paragraph" w:customStyle="1" w:styleId="21">
    <w:name w:val="wpsoffice2"/>
    <w:basedOn w:val="1"/>
    <w:qFormat/>
    <w:uiPriority w:val="0"/>
    <w:pPr>
      <w:spacing w:before="100" w:after="100"/>
    </w:pPr>
  </w:style>
  <w:style w:type="paragraph" w:customStyle="1" w:styleId="22">
    <w:name w:val="WPSOffice手动目录 1"/>
    <w:qFormat/>
    <w:uiPriority w:val="0"/>
    <w:pPr>
      <w:widowControl/>
      <w:suppressAutoHyphens/>
      <w:bidi w:val="0"/>
    </w:pPr>
    <w:rPr>
      <w:rFonts w:ascii="Times New Roman;DejaVu Sans" w:hAnsi="Times New Roman;DejaVu Sans" w:eastAsia="宋体;方正书宋_GBK" w:cs="Times New Roman;DejaVu Sans"/>
      <w:color w:val="auto"/>
      <w:sz w:val="20"/>
      <w:szCs w:val="20"/>
      <w:lang w:val="en-US" w:eastAsia="zh-CN" w:bidi="ar-SA"/>
    </w:rPr>
  </w:style>
  <w:style w:type="paragraph" w:customStyle="1" w:styleId="23">
    <w:name w:val="普通(网站)1"/>
    <w:basedOn w:val="1"/>
    <w:qFormat/>
    <w:uiPriority w:val="0"/>
    <w:pPr>
      <w:widowControl/>
      <w:spacing w:before="100" w:after="100"/>
      <w:jc w:val="left"/>
    </w:pPr>
    <w:rPr>
      <w:rFonts w:ascii="宋体;方正书宋_GBK" w:hAnsi="宋体;方正书宋_GBK" w:eastAsia="宋体;方正书宋_GBK" w:cs="宋体;方正书宋_GBK"/>
      <w:kern w:val="0"/>
      <w:sz w:val="24"/>
      <w:szCs w:val="24"/>
    </w:rPr>
  </w:style>
  <w:style w:type="paragraph" w:customStyle="1" w:styleId="24">
    <w:name w:val="Table Contents"/>
    <w:basedOn w:val="1"/>
    <w:qFormat/>
    <w:uiPriority w:val="0"/>
    <w:pPr>
      <w:widowControl w:val="0"/>
      <w:suppressLineNumbers/>
    </w:pPr>
  </w:style>
  <w:style w:type="paragraph" w:customStyle="1" w:styleId="25">
    <w:name w:val="Table Heading"/>
    <w:basedOn w:val="24"/>
    <w:qFormat/>
    <w:uiPriority w:val="0"/>
    <w:pPr>
      <w:suppressLineNumbers/>
      <w:jc w:val="center"/>
    </w:pPr>
    <w:rPr>
      <w:b/>
      <w:bCs/>
    </w:rPr>
  </w:style>
  <w:style w:type="paragraph" w:customStyle="1" w:styleId="26">
    <w:name w:val="Frame Contents"/>
    <w:basedOn w:val="1"/>
    <w:qFormat/>
    <w:uiPriority w:val="0"/>
  </w:style>
  <w:style w:type="paragraph" w:customStyle="1" w:styleId="27">
    <w:name w:val="WPSOffice手动目录 2"/>
    <w:qFormat/>
    <w:uiPriority w:val="0"/>
    <w:pPr>
      <w:ind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6144</Words>
  <Characters>6837</Characters>
  <TotalTime>12</TotalTime>
  <ScaleCrop>false</ScaleCrop>
  <LinksUpToDate>false</LinksUpToDate>
  <CharactersWithSpaces>6893</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2025-08-26T03:10:00Z</dcterms:created>
  <dc:creator>Administrator</dc:creator>
  <cp:lastModifiedBy>uos</cp:lastModifiedBy>
  <cp:lastPrinted>2026-05-14T16:19:00Z</cp:lastPrinted>
  <dcterms:modified xsi:type="dcterms:W3CDTF">2026-08-18T09:51:02Z</dcterms:modified>
  <dc:title>DWZDM</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F8F678CD48FE92487CDC826AF67CBA9A_43</vt:lpwstr>
  </property>
  <property fmtid="{D5CDD505-2E9C-101B-9397-08002B2CF9AE}" pid="3" name="KSOProductBuildVer">
    <vt:lpwstr>2052-12.8.2.1119</vt:lpwstr>
  </property>
  <property fmtid="{D5CDD505-2E9C-101B-9397-08002B2CF9AE}" pid="4" name="KSOTemplateDocerSaveRecord">
    <vt:lpwstr>eyJoZGlkIjoiOGFhZWMzMjVmYWUyNTU3NGZmZDQzYmI5ZGU3NzljODIiLCJ1c2VySWQiOiI5MTAwMTkyNDAifQ==</vt:lpwstr>
  </property>
</Properties>
</file>