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10" w:rsidRDefault="00DD20F4">
      <w:pPr>
        <w:spacing w:before="0" w:after="0" w:line="560" w:lineRule="exact"/>
        <w:jc w:val="center"/>
        <w:rPr>
          <w:rFonts w:ascii="方正小标宋简体" w:eastAsia="方正小标宋简体"/>
          <w:sz w:val="44"/>
          <w:szCs w:val="44"/>
        </w:rPr>
      </w:pPr>
      <w:r>
        <w:rPr>
          <w:rFonts w:ascii="方正小标宋简体" w:eastAsia="方正小标宋简体" w:hint="eastAsia"/>
          <w:sz w:val="44"/>
          <w:szCs w:val="44"/>
        </w:rPr>
        <w:t>食品药品安全保障</w:t>
      </w:r>
    </w:p>
    <w:p w:rsidR="00D84010" w:rsidRDefault="00DD20F4">
      <w:pPr>
        <w:spacing w:before="0" w:after="0" w:line="560" w:lineRule="exact"/>
        <w:jc w:val="center"/>
        <w:rPr>
          <w:rFonts w:ascii="方正小标宋简体" w:eastAsia="方正小标宋简体" w:hAnsi="宋体"/>
          <w:sz w:val="44"/>
          <w:szCs w:val="44"/>
        </w:rPr>
      </w:pPr>
      <w:r>
        <w:rPr>
          <w:rFonts w:ascii="方正小标宋简体" w:eastAsia="方正小标宋简体" w:hAnsi="宋体" w:hint="eastAsia"/>
          <w:bCs/>
          <w:sz w:val="44"/>
          <w:szCs w:val="44"/>
        </w:rPr>
        <w:t>项目支出绩效自评表</w:t>
      </w:r>
    </w:p>
    <w:p w:rsidR="00D84010" w:rsidRDefault="00DD20F4">
      <w:pPr>
        <w:spacing w:line="490" w:lineRule="exact"/>
        <w:jc w:val="center"/>
        <w:rPr>
          <w:rFonts w:ascii="楷体" w:eastAsia="楷体" w:hAnsi="楷体" w:cs="Times New Roman"/>
          <w:sz w:val="32"/>
          <w:szCs w:val="32"/>
        </w:rPr>
      </w:pPr>
      <w:r>
        <w:rPr>
          <w:rFonts w:ascii="楷体" w:eastAsia="楷体" w:hAnsi="楷体" w:hint="eastAsia"/>
          <w:sz w:val="32"/>
          <w:szCs w:val="32"/>
        </w:rPr>
        <w:t>（ 2021 年度）</w:t>
      </w:r>
    </w:p>
    <w:tbl>
      <w:tblPr>
        <w:tblW w:w="9773" w:type="dxa"/>
        <w:jc w:val="center"/>
        <w:tblLook w:val="04A0"/>
      </w:tblPr>
      <w:tblGrid>
        <w:gridCol w:w="1089"/>
        <w:gridCol w:w="1134"/>
        <w:gridCol w:w="1084"/>
        <w:gridCol w:w="1172"/>
        <w:gridCol w:w="993"/>
        <w:gridCol w:w="1150"/>
        <w:gridCol w:w="831"/>
        <w:gridCol w:w="876"/>
        <w:gridCol w:w="1444"/>
      </w:tblGrid>
      <w:tr w:rsidR="00D84010">
        <w:trPr>
          <w:trHeight w:hRule="exact" w:val="517"/>
          <w:jc w:val="center"/>
        </w:trPr>
        <w:tc>
          <w:tcPr>
            <w:tcW w:w="1089" w:type="dxa"/>
            <w:tcBorders>
              <w:top w:val="single" w:sz="4" w:space="0" w:color="auto"/>
              <w:left w:val="single" w:sz="4" w:space="0" w:color="auto"/>
              <w:bottom w:val="single" w:sz="4" w:space="0" w:color="auto"/>
              <w:right w:val="single" w:sz="4" w:space="0" w:color="auto"/>
            </w:tcBorders>
            <w:vAlign w:val="bottom"/>
          </w:tcPr>
          <w:p w:rsidR="00D84010" w:rsidRDefault="00DD20F4">
            <w:pPr>
              <w:spacing w:before="0" w:after="0" w:line="480" w:lineRule="auto"/>
              <w:jc w:val="center"/>
              <w:rPr>
                <w:rFonts w:ascii="黑体" w:eastAsia="黑体" w:hAnsi="黑体"/>
                <w:sz w:val="21"/>
                <w:szCs w:val="21"/>
              </w:rPr>
            </w:pPr>
            <w:r>
              <w:rPr>
                <w:rFonts w:ascii="黑体" w:eastAsia="黑体" w:hAnsi="黑体" w:hint="eastAsia"/>
                <w:sz w:val="21"/>
                <w:szCs w:val="21"/>
              </w:rPr>
              <w:t>项目名称</w:t>
            </w:r>
          </w:p>
        </w:tc>
        <w:tc>
          <w:tcPr>
            <w:tcW w:w="8684" w:type="dxa"/>
            <w:gridSpan w:val="8"/>
            <w:tcBorders>
              <w:top w:val="single" w:sz="4" w:space="0" w:color="auto"/>
              <w:left w:val="nil"/>
              <w:bottom w:val="single" w:sz="4" w:space="0" w:color="auto"/>
              <w:right w:val="single" w:sz="4" w:space="0" w:color="auto"/>
            </w:tcBorders>
            <w:vAlign w:val="bottom"/>
          </w:tcPr>
          <w:p w:rsidR="00D84010" w:rsidRDefault="00DD20F4">
            <w:pPr>
              <w:spacing w:before="0" w:after="0" w:line="48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食品药品安全保障</w:t>
            </w:r>
          </w:p>
        </w:tc>
      </w:tr>
      <w:tr w:rsidR="00D84010">
        <w:trPr>
          <w:trHeight w:hRule="exact" w:val="526"/>
          <w:jc w:val="center"/>
        </w:trPr>
        <w:tc>
          <w:tcPr>
            <w:tcW w:w="1089" w:type="dxa"/>
            <w:tcBorders>
              <w:top w:val="single" w:sz="4" w:space="0" w:color="auto"/>
              <w:left w:val="single" w:sz="4" w:space="0" w:color="auto"/>
              <w:bottom w:val="single" w:sz="4" w:space="0" w:color="auto"/>
              <w:right w:val="single" w:sz="4" w:space="0" w:color="auto"/>
            </w:tcBorders>
            <w:vAlign w:val="center"/>
          </w:tcPr>
          <w:p w:rsidR="00D84010" w:rsidRDefault="00DD20F4">
            <w:pPr>
              <w:spacing w:before="0" w:after="0" w:line="240" w:lineRule="exact"/>
              <w:jc w:val="center"/>
              <w:rPr>
                <w:rFonts w:ascii="黑体" w:eastAsia="黑体" w:hAnsi="黑体"/>
                <w:sz w:val="21"/>
                <w:szCs w:val="21"/>
              </w:rPr>
            </w:pPr>
            <w:r>
              <w:rPr>
                <w:rFonts w:ascii="黑体" w:eastAsia="黑体" w:hAnsi="黑体" w:hint="eastAsia"/>
                <w:sz w:val="21"/>
                <w:szCs w:val="21"/>
              </w:rPr>
              <w:t>主管部门</w:t>
            </w:r>
          </w:p>
        </w:tc>
        <w:tc>
          <w:tcPr>
            <w:tcW w:w="4383" w:type="dxa"/>
            <w:gridSpan w:val="4"/>
            <w:tcBorders>
              <w:top w:val="single" w:sz="4" w:space="0" w:color="auto"/>
              <w:left w:val="nil"/>
              <w:bottom w:val="single" w:sz="4" w:space="0" w:color="auto"/>
              <w:right w:val="single" w:sz="4" w:space="0" w:color="auto"/>
            </w:tcBorders>
            <w:vAlign w:val="center"/>
          </w:tcPr>
          <w:p w:rsidR="00D84010" w:rsidRDefault="00DD20F4">
            <w:pPr>
              <w:spacing w:before="0" w:after="0" w:line="24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海南省市场监督管理局</w:t>
            </w:r>
          </w:p>
        </w:tc>
        <w:tc>
          <w:tcPr>
            <w:tcW w:w="1150" w:type="dxa"/>
            <w:tcBorders>
              <w:top w:val="nil"/>
              <w:left w:val="nil"/>
              <w:bottom w:val="single" w:sz="4" w:space="0" w:color="auto"/>
              <w:right w:val="single" w:sz="4" w:space="0" w:color="auto"/>
            </w:tcBorders>
            <w:vAlign w:val="center"/>
          </w:tcPr>
          <w:p w:rsidR="00D84010" w:rsidRDefault="00DD20F4">
            <w:pPr>
              <w:spacing w:before="0" w:after="0" w:line="240" w:lineRule="exact"/>
              <w:jc w:val="center"/>
              <w:rPr>
                <w:rFonts w:ascii="黑体" w:eastAsia="黑体" w:hAnsi="黑体"/>
                <w:sz w:val="21"/>
                <w:szCs w:val="21"/>
              </w:rPr>
            </w:pPr>
            <w:r>
              <w:rPr>
                <w:rFonts w:ascii="黑体" w:eastAsia="黑体" w:hAnsi="黑体" w:hint="eastAsia"/>
                <w:sz w:val="21"/>
                <w:szCs w:val="21"/>
              </w:rPr>
              <w:t>实施单位</w:t>
            </w:r>
          </w:p>
        </w:tc>
        <w:tc>
          <w:tcPr>
            <w:tcW w:w="3151" w:type="dxa"/>
            <w:gridSpan w:val="3"/>
            <w:tcBorders>
              <w:top w:val="single" w:sz="4" w:space="0" w:color="auto"/>
              <w:left w:val="nil"/>
              <w:bottom w:val="single" w:sz="4" w:space="0" w:color="auto"/>
              <w:right w:val="single" w:sz="4" w:space="0" w:color="auto"/>
            </w:tcBorders>
            <w:vAlign w:val="center"/>
          </w:tcPr>
          <w:p w:rsidR="00D84010" w:rsidRDefault="00DD20F4">
            <w:pPr>
              <w:spacing w:before="0" w:after="0" w:line="24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海南省食品检验检测中心</w:t>
            </w:r>
          </w:p>
        </w:tc>
      </w:tr>
      <w:tr w:rsidR="00D84010">
        <w:trPr>
          <w:cantSplit/>
          <w:trHeight w:hRule="exact" w:val="680"/>
          <w:jc w:val="center"/>
        </w:trPr>
        <w:tc>
          <w:tcPr>
            <w:tcW w:w="1089" w:type="dxa"/>
            <w:vMerge w:val="restart"/>
            <w:tcBorders>
              <w:top w:val="single" w:sz="4" w:space="0" w:color="auto"/>
              <w:left w:val="single" w:sz="4" w:space="0" w:color="auto"/>
              <w:bottom w:val="single" w:sz="4" w:space="0" w:color="auto"/>
              <w:right w:val="single" w:sz="4" w:space="0" w:color="auto"/>
            </w:tcBorders>
            <w:vAlign w:val="center"/>
          </w:tcPr>
          <w:p w:rsidR="00D84010" w:rsidRDefault="00DD20F4">
            <w:pPr>
              <w:jc w:val="center"/>
              <w:rPr>
                <w:rFonts w:ascii="黑体" w:eastAsia="黑体" w:hAnsi="黑体"/>
                <w:sz w:val="21"/>
                <w:szCs w:val="21"/>
              </w:rPr>
            </w:pPr>
            <w:r>
              <w:rPr>
                <w:rFonts w:ascii="黑体" w:eastAsia="黑体" w:hAnsi="黑体" w:hint="eastAsia"/>
                <w:sz w:val="21"/>
                <w:szCs w:val="21"/>
              </w:rPr>
              <w:t>项目资金</w:t>
            </w:r>
          </w:p>
          <w:p w:rsidR="00D84010" w:rsidRDefault="00DD20F4">
            <w:pPr>
              <w:jc w:val="center"/>
              <w:rPr>
                <w:rFonts w:ascii="黑体" w:eastAsia="黑体" w:hAnsi="黑体"/>
                <w:sz w:val="21"/>
                <w:szCs w:val="21"/>
              </w:rPr>
            </w:pPr>
            <w:r>
              <w:rPr>
                <w:rFonts w:ascii="黑体" w:eastAsia="黑体" w:hAnsi="黑体" w:hint="eastAsia"/>
                <w:sz w:val="21"/>
                <w:szCs w:val="21"/>
              </w:rPr>
              <w:t>（万元）</w:t>
            </w:r>
          </w:p>
        </w:tc>
        <w:tc>
          <w:tcPr>
            <w:tcW w:w="2218" w:type="dxa"/>
            <w:gridSpan w:val="2"/>
            <w:tcBorders>
              <w:top w:val="single" w:sz="4" w:space="0" w:color="auto"/>
              <w:left w:val="nil"/>
              <w:bottom w:val="single" w:sz="4" w:space="0" w:color="auto"/>
              <w:right w:val="single" w:sz="4" w:space="0" w:color="auto"/>
            </w:tcBorders>
            <w:vAlign w:val="center"/>
          </w:tcPr>
          <w:p w:rsidR="00D84010" w:rsidRPr="007D7265" w:rsidRDefault="007D7265">
            <w:pPr>
              <w:spacing w:line="200" w:lineRule="exact"/>
              <w:jc w:val="center"/>
              <w:rPr>
                <w:rFonts w:ascii="黑体" w:eastAsia="黑体" w:hAnsi="黑体"/>
                <w:sz w:val="21"/>
                <w:szCs w:val="21"/>
              </w:rPr>
            </w:pPr>
            <w:r w:rsidRPr="007D7265">
              <w:rPr>
                <w:rFonts w:ascii="黑体" w:eastAsia="黑体" w:hAnsi="黑体"/>
                <w:sz w:val="21"/>
                <w:szCs w:val="21"/>
              </w:rPr>
              <w:t>资金购成</w:t>
            </w:r>
          </w:p>
        </w:tc>
        <w:tc>
          <w:tcPr>
            <w:tcW w:w="1172"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年初</w:t>
            </w:r>
          </w:p>
          <w:p w:rsidR="00D84010" w:rsidRDefault="00DD20F4">
            <w:pPr>
              <w:spacing w:before="0" w:after="0"/>
              <w:jc w:val="center"/>
              <w:rPr>
                <w:rFonts w:ascii="黑体" w:eastAsia="黑体" w:hAnsi="黑体"/>
                <w:sz w:val="21"/>
                <w:szCs w:val="21"/>
              </w:rPr>
            </w:pPr>
            <w:r>
              <w:rPr>
                <w:rFonts w:ascii="黑体" w:eastAsia="黑体" w:hAnsi="黑体" w:hint="eastAsia"/>
                <w:sz w:val="21"/>
                <w:szCs w:val="21"/>
              </w:rPr>
              <w:t>预算数</w:t>
            </w:r>
          </w:p>
        </w:tc>
        <w:tc>
          <w:tcPr>
            <w:tcW w:w="993"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全年</w:t>
            </w:r>
          </w:p>
          <w:p w:rsidR="00D84010" w:rsidRDefault="00DD20F4">
            <w:pPr>
              <w:spacing w:before="0" w:after="0"/>
              <w:jc w:val="center"/>
              <w:rPr>
                <w:rFonts w:ascii="黑体" w:eastAsia="黑体" w:hAnsi="黑体"/>
                <w:sz w:val="21"/>
                <w:szCs w:val="21"/>
              </w:rPr>
            </w:pPr>
            <w:r>
              <w:rPr>
                <w:rFonts w:ascii="黑体" w:eastAsia="黑体" w:hAnsi="黑体" w:hint="eastAsia"/>
                <w:sz w:val="21"/>
                <w:szCs w:val="21"/>
              </w:rPr>
              <w:t>预算数</w:t>
            </w:r>
          </w:p>
        </w:tc>
        <w:tc>
          <w:tcPr>
            <w:tcW w:w="1150"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全年</w:t>
            </w:r>
          </w:p>
          <w:p w:rsidR="00D84010" w:rsidRDefault="00DD20F4">
            <w:pPr>
              <w:spacing w:before="0" w:after="0"/>
              <w:jc w:val="center"/>
              <w:rPr>
                <w:rFonts w:ascii="黑体" w:eastAsia="黑体" w:hAnsi="黑体"/>
                <w:sz w:val="21"/>
                <w:szCs w:val="21"/>
              </w:rPr>
            </w:pPr>
            <w:r>
              <w:rPr>
                <w:rFonts w:ascii="黑体" w:eastAsia="黑体" w:hAnsi="黑体" w:hint="eastAsia"/>
                <w:sz w:val="21"/>
                <w:szCs w:val="21"/>
              </w:rPr>
              <w:t>执行数</w:t>
            </w:r>
          </w:p>
        </w:tc>
        <w:tc>
          <w:tcPr>
            <w:tcW w:w="831"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分</w:t>
            </w:r>
            <w:bookmarkStart w:id="0" w:name="_GoBack"/>
            <w:bookmarkEnd w:id="0"/>
            <w:r>
              <w:rPr>
                <w:rFonts w:ascii="黑体" w:eastAsia="黑体" w:hAnsi="黑体" w:hint="eastAsia"/>
                <w:sz w:val="21"/>
                <w:szCs w:val="21"/>
              </w:rPr>
              <w:t>值</w:t>
            </w:r>
          </w:p>
        </w:tc>
        <w:tc>
          <w:tcPr>
            <w:tcW w:w="876"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执行率</w:t>
            </w:r>
          </w:p>
        </w:tc>
        <w:tc>
          <w:tcPr>
            <w:tcW w:w="1444"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得分</w:t>
            </w:r>
          </w:p>
        </w:tc>
      </w:tr>
      <w:tr w:rsidR="00D84010">
        <w:trPr>
          <w:trHeight w:hRule="exact" w:val="567"/>
          <w:jc w:val="center"/>
        </w:trPr>
        <w:tc>
          <w:tcPr>
            <w:tcW w:w="1089" w:type="dxa"/>
            <w:vMerge/>
            <w:tcBorders>
              <w:top w:val="single" w:sz="4" w:space="0" w:color="auto"/>
              <w:left w:val="single" w:sz="4" w:space="0" w:color="auto"/>
              <w:bottom w:val="single" w:sz="4" w:space="0" w:color="auto"/>
              <w:right w:val="single" w:sz="4" w:space="0" w:color="auto"/>
            </w:tcBorders>
            <w:vAlign w:val="center"/>
          </w:tcPr>
          <w:p w:rsidR="00D84010" w:rsidRDefault="00D84010">
            <w:pPr>
              <w:spacing w:line="200" w:lineRule="exact"/>
              <w:jc w:val="center"/>
              <w:rPr>
                <w:rFonts w:ascii="黑体" w:eastAsia="黑体" w:hAnsi="黑体"/>
                <w:sz w:val="21"/>
                <w:szCs w:val="21"/>
              </w:rPr>
            </w:pPr>
          </w:p>
        </w:tc>
        <w:tc>
          <w:tcPr>
            <w:tcW w:w="2218" w:type="dxa"/>
            <w:gridSpan w:val="2"/>
            <w:tcBorders>
              <w:top w:val="single" w:sz="4" w:space="0" w:color="auto"/>
              <w:left w:val="nil"/>
              <w:bottom w:val="single" w:sz="4" w:space="0" w:color="auto"/>
              <w:right w:val="single" w:sz="4" w:space="0" w:color="auto"/>
            </w:tcBorders>
            <w:vAlign w:val="center"/>
          </w:tcPr>
          <w:p w:rsidR="00D84010" w:rsidRDefault="00DD20F4" w:rsidP="007D7265">
            <w:pPr>
              <w:spacing w:line="200" w:lineRule="exact"/>
              <w:jc w:val="right"/>
              <w:rPr>
                <w:rFonts w:ascii="黑体" w:eastAsia="黑体" w:hAnsi="黑体"/>
                <w:sz w:val="21"/>
                <w:szCs w:val="21"/>
              </w:rPr>
            </w:pPr>
            <w:r>
              <w:rPr>
                <w:rFonts w:ascii="黑体" w:eastAsia="黑体" w:hAnsi="黑体" w:hint="eastAsia"/>
                <w:sz w:val="21"/>
                <w:szCs w:val="21"/>
              </w:rPr>
              <w:t>资金总额</w:t>
            </w:r>
            <w:r w:rsidR="00B87636">
              <w:rPr>
                <w:rFonts w:ascii="黑体" w:eastAsia="黑体" w:hAnsi="黑体" w:hint="eastAsia"/>
                <w:sz w:val="21"/>
                <w:szCs w:val="21"/>
              </w:rPr>
              <w:t>：</w:t>
            </w:r>
          </w:p>
        </w:tc>
        <w:tc>
          <w:tcPr>
            <w:tcW w:w="1172"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540.71</w:t>
            </w:r>
          </w:p>
        </w:tc>
        <w:tc>
          <w:tcPr>
            <w:tcW w:w="993"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540.71</w:t>
            </w:r>
          </w:p>
        </w:tc>
        <w:tc>
          <w:tcPr>
            <w:tcW w:w="1150"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540.63</w:t>
            </w:r>
          </w:p>
        </w:tc>
        <w:tc>
          <w:tcPr>
            <w:tcW w:w="831"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876" w:type="dxa"/>
            <w:tcBorders>
              <w:top w:val="single" w:sz="4" w:space="0" w:color="auto"/>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99.99%</w:t>
            </w:r>
          </w:p>
        </w:tc>
        <w:tc>
          <w:tcPr>
            <w:tcW w:w="1444" w:type="dxa"/>
            <w:tcBorders>
              <w:top w:val="nil"/>
              <w:left w:val="nil"/>
              <w:bottom w:val="single" w:sz="4" w:space="0" w:color="auto"/>
              <w:right w:val="single" w:sz="4" w:space="0" w:color="auto"/>
            </w:tcBorders>
            <w:vAlign w:val="center"/>
          </w:tcPr>
          <w:p w:rsidR="00D84010" w:rsidRDefault="00FE4901">
            <w:pPr>
              <w:spacing w:before="0" w:after="0" w:line="200" w:lineRule="exact"/>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D84010">
        <w:trPr>
          <w:trHeight w:hRule="exact" w:val="542"/>
          <w:jc w:val="center"/>
        </w:trPr>
        <w:tc>
          <w:tcPr>
            <w:tcW w:w="1089" w:type="dxa"/>
            <w:vMerge/>
            <w:tcBorders>
              <w:top w:val="single" w:sz="4" w:space="0" w:color="auto"/>
              <w:left w:val="single" w:sz="4" w:space="0" w:color="auto"/>
              <w:bottom w:val="single" w:sz="4" w:space="0" w:color="auto"/>
              <w:right w:val="single" w:sz="4" w:space="0" w:color="auto"/>
            </w:tcBorders>
            <w:vAlign w:val="center"/>
          </w:tcPr>
          <w:p w:rsidR="00D84010" w:rsidRDefault="00D84010">
            <w:pPr>
              <w:spacing w:line="200" w:lineRule="exact"/>
              <w:jc w:val="center"/>
              <w:rPr>
                <w:rFonts w:ascii="黑体" w:eastAsia="黑体" w:hAnsi="黑体"/>
                <w:sz w:val="21"/>
                <w:szCs w:val="21"/>
              </w:rPr>
            </w:pPr>
          </w:p>
        </w:tc>
        <w:tc>
          <w:tcPr>
            <w:tcW w:w="2218" w:type="dxa"/>
            <w:gridSpan w:val="2"/>
            <w:tcBorders>
              <w:top w:val="single" w:sz="4" w:space="0" w:color="auto"/>
              <w:left w:val="nil"/>
              <w:bottom w:val="single" w:sz="4" w:space="0" w:color="auto"/>
              <w:right w:val="single" w:sz="4" w:space="0" w:color="auto"/>
            </w:tcBorders>
            <w:vAlign w:val="center"/>
          </w:tcPr>
          <w:p w:rsidR="00D84010" w:rsidRDefault="00DD20F4" w:rsidP="007D7265">
            <w:pPr>
              <w:spacing w:line="200" w:lineRule="exact"/>
              <w:jc w:val="right"/>
              <w:rPr>
                <w:rFonts w:ascii="黑体" w:eastAsia="黑体" w:hAnsi="黑体"/>
                <w:sz w:val="21"/>
                <w:szCs w:val="21"/>
              </w:rPr>
            </w:pPr>
            <w:r>
              <w:rPr>
                <w:rFonts w:ascii="黑体" w:eastAsia="黑体" w:hAnsi="黑体" w:hint="eastAsia"/>
                <w:sz w:val="21"/>
                <w:szCs w:val="21"/>
              </w:rPr>
              <w:t>其中：</w:t>
            </w:r>
            <w:r w:rsidR="007D7265">
              <w:rPr>
                <w:rFonts w:ascii="黑体" w:eastAsia="黑体" w:hAnsi="黑体" w:hint="eastAsia"/>
                <w:sz w:val="21"/>
                <w:szCs w:val="21"/>
              </w:rPr>
              <w:t>财政资金</w:t>
            </w:r>
            <w:r w:rsidR="00B87636">
              <w:rPr>
                <w:rFonts w:ascii="黑体" w:eastAsia="黑体" w:hAnsi="黑体" w:hint="eastAsia"/>
                <w:sz w:val="21"/>
                <w:szCs w:val="21"/>
              </w:rPr>
              <w:t>：</w:t>
            </w:r>
          </w:p>
        </w:tc>
        <w:tc>
          <w:tcPr>
            <w:tcW w:w="1172"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540.71</w:t>
            </w:r>
          </w:p>
        </w:tc>
        <w:tc>
          <w:tcPr>
            <w:tcW w:w="993"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540.71</w:t>
            </w:r>
          </w:p>
        </w:tc>
        <w:tc>
          <w:tcPr>
            <w:tcW w:w="1150"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540.63</w:t>
            </w:r>
          </w:p>
        </w:tc>
        <w:tc>
          <w:tcPr>
            <w:tcW w:w="831" w:type="dxa"/>
            <w:tcBorders>
              <w:top w:val="nil"/>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876" w:type="dxa"/>
            <w:tcBorders>
              <w:top w:val="single" w:sz="4" w:space="0" w:color="auto"/>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99.99%</w:t>
            </w:r>
          </w:p>
        </w:tc>
        <w:tc>
          <w:tcPr>
            <w:tcW w:w="1444" w:type="dxa"/>
            <w:tcBorders>
              <w:top w:val="nil"/>
              <w:left w:val="nil"/>
              <w:bottom w:val="single" w:sz="4" w:space="0" w:color="auto"/>
              <w:right w:val="single" w:sz="4" w:space="0" w:color="auto"/>
            </w:tcBorders>
            <w:vAlign w:val="center"/>
          </w:tcPr>
          <w:p w:rsidR="00D84010" w:rsidRDefault="00FE4901">
            <w:pPr>
              <w:spacing w:before="0" w:after="0"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D84010" w:rsidTr="000C23F7">
        <w:trPr>
          <w:trHeight w:hRule="exact" w:val="445"/>
          <w:jc w:val="center"/>
        </w:trPr>
        <w:tc>
          <w:tcPr>
            <w:tcW w:w="1089" w:type="dxa"/>
            <w:vMerge/>
            <w:tcBorders>
              <w:top w:val="single" w:sz="4" w:space="0" w:color="auto"/>
              <w:left w:val="single" w:sz="4" w:space="0" w:color="auto"/>
              <w:bottom w:val="single" w:sz="4" w:space="0" w:color="auto"/>
              <w:right w:val="single" w:sz="4" w:space="0" w:color="auto"/>
            </w:tcBorders>
            <w:vAlign w:val="center"/>
          </w:tcPr>
          <w:p w:rsidR="00D84010" w:rsidRDefault="00D84010">
            <w:pPr>
              <w:spacing w:line="200" w:lineRule="exact"/>
              <w:jc w:val="center"/>
              <w:rPr>
                <w:rFonts w:ascii="黑体" w:eastAsia="黑体" w:hAnsi="黑体"/>
                <w:sz w:val="21"/>
                <w:szCs w:val="21"/>
              </w:rPr>
            </w:pPr>
          </w:p>
        </w:tc>
        <w:tc>
          <w:tcPr>
            <w:tcW w:w="2218" w:type="dxa"/>
            <w:gridSpan w:val="2"/>
            <w:tcBorders>
              <w:top w:val="single" w:sz="4" w:space="0" w:color="auto"/>
              <w:left w:val="nil"/>
              <w:bottom w:val="single" w:sz="4" w:space="0" w:color="auto"/>
              <w:right w:val="single" w:sz="4" w:space="0" w:color="auto"/>
            </w:tcBorders>
            <w:vAlign w:val="center"/>
          </w:tcPr>
          <w:p w:rsidR="00D84010" w:rsidRDefault="00DD20F4" w:rsidP="007D7265">
            <w:pPr>
              <w:spacing w:line="200" w:lineRule="exact"/>
              <w:jc w:val="right"/>
              <w:rPr>
                <w:rFonts w:ascii="黑体" w:eastAsia="黑体" w:hAnsi="黑体"/>
                <w:sz w:val="21"/>
                <w:szCs w:val="21"/>
              </w:rPr>
            </w:pPr>
            <w:r>
              <w:rPr>
                <w:rFonts w:ascii="黑体" w:eastAsia="黑体" w:hAnsi="黑体" w:hint="eastAsia"/>
                <w:sz w:val="21"/>
                <w:szCs w:val="21"/>
              </w:rPr>
              <w:t xml:space="preserve">      </w:t>
            </w:r>
            <w:r w:rsidR="007D7265">
              <w:rPr>
                <w:rFonts w:ascii="黑体" w:eastAsia="黑体" w:hAnsi="黑体" w:hint="eastAsia"/>
                <w:sz w:val="21"/>
                <w:szCs w:val="21"/>
              </w:rPr>
              <w:t>单位资金</w:t>
            </w:r>
            <w:r w:rsidR="00B87636">
              <w:rPr>
                <w:rFonts w:ascii="黑体" w:eastAsia="黑体" w:hAnsi="黑体" w:hint="eastAsia"/>
                <w:sz w:val="21"/>
                <w:szCs w:val="21"/>
              </w:rPr>
              <w:t>：</w:t>
            </w:r>
          </w:p>
        </w:tc>
        <w:tc>
          <w:tcPr>
            <w:tcW w:w="1172" w:type="dxa"/>
            <w:tcBorders>
              <w:top w:val="nil"/>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993" w:type="dxa"/>
            <w:tcBorders>
              <w:top w:val="nil"/>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1150" w:type="dxa"/>
            <w:tcBorders>
              <w:top w:val="nil"/>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831"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876" w:type="dxa"/>
            <w:tcBorders>
              <w:top w:val="single" w:sz="4" w:space="0" w:color="auto"/>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1444"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84010" w:rsidTr="000C23F7">
        <w:trPr>
          <w:trHeight w:hRule="exact" w:val="453"/>
          <w:jc w:val="center"/>
        </w:trPr>
        <w:tc>
          <w:tcPr>
            <w:tcW w:w="1089" w:type="dxa"/>
            <w:vMerge/>
            <w:tcBorders>
              <w:top w:val="single" w:sz="4" w:space="0" w:color="auto"/>
              <w:left w:val="single" w:sz="4" w:space="0" w:color="auto"/>
              <w:bottom w:val="single" w:sz="4" w:space="0" w:color="auto"/>
              <w:right w:val="single" w:sz="4" w:space="0" w:color="auto"/>
            </w:tcBorders>
            <w:vAlign w:val="center"/>
          </w:tcPr>
          <w:p w:rsidR="00D84010" w:rsidRDefault="00D84010">
            <w:pPr>
              <w:spacing w:line="200" w:lineRule="exact"/>
              <w:jc w:val="center"/>
              <w:rPr>
                <w:rFonts w:ascii="黑体" w:eastAsia="黑体" w:hAnsi="黑体"/>
                <w:sz w:val="21"/>
                <w:szCs w:val="21"/>
              </w:rPr>
            </w:pPr>
          </w:p>
        </w:tc>
        <w:tc>
          <w:tcPr>
            <w:tcW w:w="2218" w:type="dxa"/>
            <w:gridSpan w:val="2"/>
            <w:tcBorders>
              <w:top w:val="single" w:sz="4" w:space="0" w:color="auto"/>
              <w:left w:val="nil"/>
              <w:bottom w:val="single" w:sz="4" w:space="0" w:color="auto"/>
              <w:right w:val="single" w:sz="4" w:space="0" w:color="auto"/>
            </w:tcBorders>
            <w:vAlign w:val="center"/>
          </w:tcPr>
          <w:p w:rsidR="00D84010" w:rsidRDefault="00DD20F4" w:rsidP="007D7265">
            <w:pPr>
              <w:spacing w:line="200" w:lineRule="exact"/>
              <w:jc w:val="right"/>
              <w:rPr>
                <w:rFonts w:ascii="黑体" w:eastAsia="黑体" w:hAnsi="黑体"/>
                <w:sz w:val="21"/>
                <w:szCs w:val="21"/>
              </w:rPr>
            </w:pPr>
            <w:r>
              <w:rPr>
                <w:rFonts w:ascii="黑体" w:eastAsia="黑体" w:hAnsi="黑体" w:hint="eastAsia"/>
                <w:sz w:val="21"/>
                <w:szCs w:val="21"/>
              </w:rPr>
              <w:t xml:space="preserve">   </w:t>
            </w:r>
            <w:r w:rsidR="007D7265">
              <w:rPr>
                <w:rFonts w:ascii="黑体" w:eastAsia="黑体" w:hAnsi="黑体" w:hint="eastAsia"/>
                <w:sz w:val="21"/>
                <w:szCs w:val="21"/>
              </w:rPr>
              <w:t>财政专户资金</w:t>
            </w:r>
            <w:r w:rsidR="00B87636">
              <w:rPr>
                <w:rFonts w:ascii="黑体" w:eastAsia="黑体" w:hAnsi="黑体" w:hint="eastAsia"/>
                <w:sz w:val="21"/>
                <w:szCs w:val="21"/>
              </w:rPr>
              <w:t>：</w:t>
            </w:r>
          </w:p>
        </w:tc>
        <w:tc>
          <w:tcPr>
            <w:tcW w:w="1172" w:type="dxa"/>
            <w:tcBorders>
              <w:top w:val="nil"/>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993" w:type="dxa"/>
            <w:tcBorders>
              <w:top w:val="nil"/>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1150" w:type="dxa"/>
            <w:tcBorders>
              <w:top w:val="nil"/>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831"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876" w:type="dxa"/>
            <w:tcBorders>
              <w:top w:val="single" w:sz="4" w:space="0" w:color="auto"/>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c>
          <w:tcPr>
            <w:tcW w:w="1444"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84010">
        <w:trPr>
          <w:trHeight w:hRule="exact" w:val="467"/>
          <w:jc w:val="center"/>
        </w:trPr>
        <w:tc>
          <w:tcPr>
            <w:tcW w:w="1089" w:type="dxa"/>
            <w:vMerge w:val="restart"/>
            <w:tcBorders>
              <w:top w:val="nil"/>
              <w:left w:val="single" w:sz="4" w:space="0" w:color="auto"/>
              <w:bottom w:val="single" w:sz="4" w:space="0" w:color="auto"/>
              <w:right w:val="single" w:sz="4" w:space="0" w:color="auto"/>
            </w:tcBorders>
            <w:vAlign w:val="center"/>
          </w:tcPr>
          <w:p w:rsidR="00D84010" w:rsidRDefault="00DD20F4">
            <w:pPr>
              <w:spacing w:before="0" w:after="0" w:line="360" w:lineRule="auto"/>
              <w:jc w:val="center"/>
              <w:rPr>
                <w:rFonts w:ascii="黑体" w:eastAsia="黑体" w:hAnsi="黑体"/>
                <w:sz w:val="21"/>
                <w:szCs w:val="21"/>
              </w:rPr>
            </w:pPr>
            <w:r>
              <w:rPr>
                <w:rFonts w:ascii="黑体" w:eastAsia="黑体" w:hAnsi="黑体" w:hint="eastAsia"/>
                <w:sz w:val="21"/>
                <w:szCs w:val="21"/>
              </w:rPr>
              <w:t>年度</w:t>
            </w:r>
          </w:p>
          <w:p w:rsidR="00D84010" w:rsidRDefault="00DD20F4">
            <w:pPr>
              <w:spacing w:before="0" w:after="0" w:line="360" w:lineRule="auto"/>
              <w:jc w:val="center"/>
              <w:rPr>
                <w:rFonts w:ascii="黑体" w:eastAsia="黑体" w:hAnsi="黑体"/>
                <w:sz w:val="21"/>
                <w:szCs w:val="21"/>
              </w:rPr>
            </w:pPr>
            <w:r>
              <w:rPr>
                <w:rFonts w:ascii="黑体" w:eastAsia="黑体" w:hAnsi="黑体" w:hint="eastAsia"/>
                <w:sz w:val="21"/>
                <w:szCs w:val="21"/>
              </w:rPr>
              <w:t>总体目标</w:t>
            </w:r>
          </w:p>
        </w:tc>
        <w:tc>
          <w:tcPr>
            <w:tcW w:w="4383" w:type="dxa"/>
            <w:gridSpan w:val="4"/>
            <w:tcBorders>
              <w:top w:val="single" w:sz="4" w:space="0" w:color="auto"/>
              <w:left w:val="nil"/>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预期目标</w:t>
            </w:r>
          </w:p>
        </w:tc>
        <w:tc>
          <w:tcPr>
            <w:tcW w:w="4301" w:type="dxa"/>
            <w:gridSpan w:val="4"/>
            <w:tcBorders>
              <w:top w:val="single" w:sz="4" w:space="0" w:color="auto"/>
              <w:left w:val="nil"/>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实际完成情况</w:t>
            </w:r>
          </w:p>
        </w:tc>
      </w:tr>
      <w:tr w:rsidR="00D84010">
        <w:trPr>
          <w:cantSplit/>
          <w:trHeight w:hRule="exact" w:val="1068"/>
          <w:jc w:val="center"/>
        </w:trPr>
        <w:tc>
          <w:tcPr>
            <w:tcW w:w="1089" w:type="dxa"/>
            <w:vMerge/>
            <w:tcBorders>
              <w:top w:val="nil"/>
              <w:left w:val="single" w:sz="4" w:space="0" w:color="auto"/>
              <w:bottom w:val="single" w:sz="4" w:space="0" w:color="auto"/>
              <w:right w:val="single" w:sz="4" w:space="0" w:color="auto"/>
            </w:tcBorders>
            <w:vAlign w:val="center"/>
          </w:tcPr>
          <w:p w:rsidR="00D84010" w:rsidRDefault="00D84010">
            <w:pPr>
              <w:spacing w:line="200" w:lineRule="exact"/>
              <w:jc w:val="center"/>
              <w:rPr>
                <w:rFonts w:ascii="黑体" w:eastAsia="黑体" w:hAnsi="黑体"/>
                <w:sz w:val="21"/>
                <w:szCs w:val="21"/>
              </w:rPr>
            </w:pPr>
          </w:p>
        </w:tc>
        <w:tc>
          <w:tcPr>
            <w:tcW w:w="4383" w:type="dxa"/>
            <w:gridSpan w:val="4"/>
            <w:tcBorders>
              <w:top w:val="single" w:sz="4" w:space="0" w:color="auto"/>
              <w:left w:val="nil"/>
              <w:bottom w:val="single" w:sz="4" w:space="0" w:color="auto"/>
              <w:right w:val="single" w:sz="4" w:space="0" w:color="auto"/>
            </w:tcBorders>
            <w:vAlign w:val="center"/>
          </w:tcPr>
          <w:p w:rsidR="00D84010" w:rsidRDefault="00DD20F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按时保质保量完成各类食品承检任务，通过资质扩项，逐步提高检验检测能力水平,优化检验检测人才技术队伍。</w:t>
            </w:r>
          </w:p>
        </w:tc>
        <w:tc>
          <w:tcPr>
            <w:tcW w:w="4301" w:type="dxa"/>
            <w:gridSpan w:val="4"/>
            <w:tcBorders>
              <w:top w:val="single" w:sz="4" w:space="0" w:color="auto"/>
              <w:left w:val="nil"/>
              <w:bottom w:val="single" w:sz="4" w:space="0" w:color="auto"/>
              <w:right w:val="single" w:sz="4" w:space="0" w:color="auto"/>
            </w:tcBorders>
            <w:vAlign w:val="center"/>
          </w:tcPr>
          <w:p w:rsidR="00D84010" w:rsidRDefault="00DD20F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全年总共完成食品检验任务6147批次，检验项目72905项，检验资质扩项37项，完成率100%。</w:t>
            </w:r>
          </w:p>
        </w:tc>
      </w:tr>
      <w:tr w:rsidR="00D84010">
        <w:trPr>
          <w:trHeight w:hRule="exact" w:val="938"/>
          <w:jc w:val="center"/>
        </w:trPr>
        <w:tc>
          <w:tcPr>
            <w:tcW w:w="1089" w:type="dxa"/>
            <w:vMerge w:val="restart"/>
            <w:tcBorders>
              <w:top w:val="nil"/>
              <w:left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绩</w:t>
            </w:r>
            <w:r>
              <w:rPr>
                <w:rFonts w:ascii="黑体" w:eastAsia="黑体" w:hAnsi="黑体" w:hint="eastAsia"/>
                <w:sz w:val="21"/>
                <w:szCs w:val="21"/>
              </w:rPr>
              <w:br/>
              <w:t>效</w:t>
            </w:r>
            <w:r>
              <w:rPr>
                <w:rFonts w:ascii="黑体" w:eastAsia="黑体" w:hAnsi="黑体" w:hint="eastAsia"/>
                <w:sz w:val="21"/>
                <w:szCs w:val="21"/>
              </w:rPr>
              <w:br/>
              <w:t>指</w:t>
            </w:r>
            <w:r>
              <w:rPr>
                <w:rFonts w:ascii="黑体" w:eastAsia="黑体" w:hAnsi="黑体" w:hint="eastAsia"/>
                <w:sz w:val="21"/>
                <w:szCs w:val="21"/>
              </w:rPr>
              <w:br/>
              <w:t>标</w:t>
            </w:r>
          </w:p>
        </w:tc>
        <w:tc>
          <w:tcPr>
            <w:tcW w:w="1134"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一级指标</w:t>
            </w:r>
          </w:p>
        </w:tc>
        <w:tc>
          <w:tcPr>
            <w:tcW w:w="1084"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二级指标</w:t>
            </w:r>
          </w:p>
        </w:tc>
        <w:tc>
          <w:tcPr>
            <w:tcW w:w="1172"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三级指标</w:t>
            </w:r>
          </w:p>
        </w:tc>
        <w:tc>
          <w:tcPr>
            <w:tcW w:w="993"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年度</w:t>
            </w:r>
          </w:p>
          <w:p w:rsidR="00D84010" w:rsidRDefault="00DD20F4">
            <w:pPr>
              <w:spacing w:before="0" w:after="0"/>
              <w:jc w:val="center"/>
              <w:rPr>
                <w:rFonts w:ascii="黑体" w:eastAsia="黑体" w:hAnsi="黑体"/>
                <w:sz w:val="21"/>
                <w:szCs w:val="21"/>
              </w:rPr>
            </w:pPr>
            <w:r>
              <w:rPr>
                <w:rFonts w:ascii="黑体" w:eastAsia="黑体" w:hAnsi="黑体" w:hint="eastAsia"/>
                <w:sz w:val="21"/>
                <w:szCs w:val="21"/>
              </w:rPr>
              <w:t>指标值</w:t>
            </w:r>
          </w:p>
        </w:tc>
        <w:tc>
          <w:tcPr>
            <w:tcW w:w="1150"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实际</w:t>
            </w:r>
          </w:p>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完成值</w:t>
            </w:r>
          </w:p>
        </w:tc>
        <w:tc>
          <w:tcPr>
            <w:tcW w:w="831"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分值</w:t>
            </w:r>
          </w:p>
        </w:tc>
        <w:tc>
          <w:tcPr>
            <w:tcW w:w="876" w:type="dxa"/>
            <w:tcBorders>
              <w:top w:val="nil"/>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得分</w:t>
            </w:r>
          </w:p>
        </w:tc>
        <w:tc>
          <w:tcPr>
            <w:tcW w:w="1444"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sz w:val="21"/>
                <w:szCs w:val="21"/>
              </w:rPr>
            </w:pPr>
            <w:r>
              <w:rPr>
                <w:rFonts w:ascii="黑体" w:eastAsia="黑体" w:hAnsi="黑体" w:hint="eastAsia"/>
                <w:sz w:val="21"/>
                <w:szCs w:val="21"/>
              </w:rPr>
              <w:t>偏差原因分析及改进措施</w:t>
            </w:r>
          </w:p>
        </w:tc>
      </w:tr>
      <w:tr w:rsidR="00D84010" w:rsidTr="000C23F7">
        <w:trPr>
          <w:trHeight w:hRule="exact" w:val="749"/>
          <w:jc w:val="center"/>
        </w:trPr>
        <w:tc>
          <w:tcPr>
            <w:tcW w:w="1089" w:type="dxa"/>
            <w:vMerge/>
            <w:tcBorders>
              <w:left w:val="single" w:sz="4" w:space="0" w:color="auto"/>
              <w:right w:val="single" w:sz="4" w:space="0" w:color="auto"/>
            </w:tcBorders>
            <w:vAlign w:val="center"/>
          </w:tcPr>
          <w:p w:rsidR="00D84010" w:rsidRDefault="00D84010">
            <w:pPr>
              <w:spacing w:line="200" w:lineRule="exact"/>
              <w:jc w:val="center"/>
              <w:rPr>
                <w:rFonts w:ascii="宋体" w:hAnsi="宋体"/>
              </w:rPr>
            </w:pPr>
          </w:p>
        </w:tc>
        <w:tc>
          <w:tcPr>
            <w:tcW w:w="113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产出指标</w:t>
            </w:r>
          </w:p>
        </w:tc>
        <w:tc>
          <w:tcPr>
            <w:tcW w:w="108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时效指标</w:t>
            </w:r>
          </w:p>
        </w:tc>
        <w:tc>
          <w:tcPr>
            <w:tcW w:w="1172"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color w:val="000000"/>
                <w:sz w:val="21"/>
                <w:szCs w:val="21"/>
              </w:rPr>
            </w:pPr>
            <w:r>
              <w:rPr>
                <w:rFonts w:ascii="黑体" w:eastAsia="黑体" w:hAnsi="黑体" w:hint="eastAsia"/>
                <w:color w:val="000000"/>
                <w:sz w:val="21"/>
                <w:szCs w:val="21"/>
              </w:rPr>
              <w:t>检品检验周期</w:t>
            </w:r>
          </w:p>
        </w:tc>
        <w:tc>
          <w:tcPr>
            <w:tcW w:w="993"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1150" w:type="dxa"/>
            <w:tcBorders>
              <w:top w:val="nil"/>
              <w:left w:val="nil"/>
              <w:bottom w:val="single" w:sz="4" w:space="0" w:color="auto"/>
              <w:right w:val="single" w:sz="4" w:space="0" w:color="auto"/>
            </w:tcBorders>
            <w:vAlign w:val="center"/>
          </w:tcPr>
          <w:p w:rsidR="00D84010" w:rsidRDefault="00B87636">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831"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876"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1444" w:type="dxa"/>
            <w:tcBorders>
              <w:top w:val="single" w:sz="4" w:space="0" w:color="auto"/>
              <w:left w:val="nil"/>
              <w:bottom w:val="single" w:sz="4" w:space="0" w:color="auto"/>
              <w:right w:val="single" w:sz="4" w:space="0" w:color="auto"/>
            </w:tcBorders>
            <w:vAlign w:val="center"/>
          </w:tcPr>
          <w:p w:rsidR="00D84010" w:rsidRDefault="00D84010">
            <w:pPr>
              <w:jc w:val="center"/>
              <w:rPr>
                <w:rFonts w:asciiTheme="minorEastAsia" w:eastAsiaTheme="minorEastAsia" w:hAnsiTheme="minorEastAsia"/>
                <w:sz w:val="21"/>
                <w:szCs w:val="21"/>
              </w:rPr>
            </w:pPr>
          </w:p>
        </w:tc>
      </w:tr>
      <w:tr w:rsidR="00D84010">
        <w:trPr>
          <w:trHeight w:hRule="exact" w:val="795"/>
          <w:jc w:val="center"/>
        </w:trPr>
        <w:tc>
          <w:tcPr>
            <w:tcW w:w="1089" w:type="dxa"/>
            <w:vMerge/>
            <w:tcBorders>
              <w:left w:val="single" w:sz="4" w:space="0" w:color="auto"/>
              <w:right w:val="single" w:sz="4" w:space="0" w:color="auto"/>
            </w:tcBorders>
            <w:vAlign w:val="center"/>
          </w:tcPr>
          <w:p w:rsidR="00D84010" w:rsidRDefault="00D84010">
            <w:pPr>
              <w:spacing w:line="200" w:lineRule="exact"/>
              <w:jc w:val="center"/>
              <w:rPr>
                <w:rFonts w:ascii="宋体" w:hAnsi="宋体"/>
              </w:rPr>
            </w:pPr>
          </w:p>
        </w:tc>
        <w:tc>
          <w:tcPr>
            <w:tcW w:w="113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产出指标</w:t>
            </w:r>
          </w:p>
        </w:tc>
        <w:tc>
          <w:tcPr>
            <w:tcW w:w="108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数量指标</w:t>
            </w:r>
          </w:p>
        </w:tc>
        <w:tc>
          <w:tcPr>
            <w:tcW w:w="1172"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color w:val="000000"/>
                <w:sz w:val="21"/>
                <w:szCs w:val="21"/>
              </w:rPr>
            </w:pPr>
            <w:r>
              <w:rPr>
                <w:rFonts w:ascii="黑体" w:eastAsia="黑体" w:hAnsi="黑体" w:hint="eastAsia"/>
                <w:sz w:val="21"/>
                <w:szCs w:val="21"/>
              </w:rPr>
              <w:t>检验任务完成率</w:t>
            </w:r>
          </w:p>
        </w:tc>
        <w:tc>
          <w:tcPr>
            <w:tcW w:w="993"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90</w:t>
            </w:r>
          </w:p>
        </w:tc>
        <w:tc>
          <w:tcPr>
            <w:tcW w:w="1150"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831"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w:t>
            </w:r>
          </w:p>
        </w:tc>
        <w:tc>
          <w:tcPr>
            <w:tcW w:w="876"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w:t>
            </w:r>
          </w:p>
        </w:tc>
        <w:tc>
          <w:tcPr>
            <w:tcW w:w="1444" w:type="dxa"/>
            <w:tcBorders>
              <w:top w:val="single" w:sz="4" w:space="0" w:color="auto"/>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r>
      <w:tr w:rsidR="00D84010">
        <w:trPr>
          <w:trHeight w:hRule="exact" w:val="653"/>
          <w:jc w:val="center"/>
        </w:trPr>
        <w:tc>
          <w:tcPr>
            <w:tcW w:w="1089" w:type="dxa"/>
            <w:vMerge/>
            <w:tcBorders>
              <w:left w:val="single" w:sz="4" w:space="0" w:color="auto"/>
              <w:right w:val="single" w:sz="4" w:space="0" w:color="auto"/>
            </w:tcBorders>
            <w:vAlign w:val="center"/>
          </w:tcPr>
          <w:p w:rsidR="00D84010" w:rsidRDefault="00D84010">
            <w:pPr>
              <w:spacing w:line="200" w:lineRule="exact"/>
              <w:jc w:val="center"/>
              <w:rPr>
                <w:rFonts w:ascii="宋体" w:hAnsi="宋体"/>
              </w:rPr>
            </w:pPr>
          </w:p>
        </w:tc>
        <w:tc>
          <w:tcPr>
            <w:tcW w:w="113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效益指标</w:t>
            </w:r>
          </w:p>
        </w:tc>
        <w:tc>
          <w:tcPr>
            <w:tcW w:w="108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社会效益指标</w:t>
            </w:r>
          </w:p>
        </w:tc>
        <w:tc>
          <w:tcPr>
            <w:tcW w:w="1172"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color w:val="000000"/>
                <w:sz w:val="21"/>
                <w:szCs w:val="21"/>
              </w:rPr>
            </w:pPr>
            <w:r>
              <w:rPr>
                <w:rFonts w:ascii="黑体" w:eastAsia="黑体" w:hAnsi="黑体" w:hint="eastAsia"/>
                <w:color w:val="000000"/>
                <w:sz w:val="21"/>
                <w:szCs w:val="21"/>
              </w:rPr>
              <w:t>食品安全检验能力</w:t>
            </w:r>
          </w:p>
        </w:tc>
        <w:tc>
          <w:tcPr>
            <w:tcW w:w="993"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1150"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37</w:t>
            </w:r>
          </w:p>
        </w:tc>
        <w:tc>
          <w:tcPr>
            <w:tcW w:w="831"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876"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444" w:type="dxa"/>
            <w:tcBorders>
              <w:top w:val="single" w:sz="4" w:space="0" w:color="auto"/>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r>
      <w:tr w:rsidR="00D84010" w:rsidTr="000C23F7">
        <w:trPr>
          <w:trHeight w:hRule="exact" w:val="743"/>
          <w:jc w:val="center"/>
        </w:trPr>
        <w:tc>
          <w:tcPr>
            <w:tcW w:w="1089" w:type="dxa"/>
            <w:vMerge/>
            <w:tcBorders>
              <w:left w:val="single" w:sz="4" w:space="0" w:color="auto"/>
              <w:bottom w:val="single" w:sz="4" w:space="0" w:color="auto"/>
              <w:right w:val="single" w:sz="4" w:space="0" w:color="auto"/>
            </w:tcBorders>
            <w:vAlign w:val="center"/>
          </w:tcPr>
          <w:p w:rsidR="00D84010" w:rsidRDefault="00D84010">
            <w:pPr>
              <w:spacing w:line="200" w:lineRule="exact"/>
              <w:jc w:val="center"/>
              <w:rPr>
                <w:rFonts w:ascii="宋体" w:hAnsi="宋体"/>
              </w:rPr>
            </w:pPr>
          </w:p>
        </w:tc>
        <w:tc>
          <w:tcPr>
            <w:tcW w:w="113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效益指标</w:t>
            </w:r>
          </w:p>
        </w:tc>
        <w:tc>
          <w:tcPr>
            <w:tcW w:w="1084" w:type="dxa"/>
            <w:tcBorders>
              <w:top w:val="nil"/>
              <w:left w:val="single" w:sz="4" w:space="0" w:color="auto"/>
              <w:bottom w:val="single" w:sz="4" w:space="0" w:color="auto"/>
              <w:right w:val="single" w:sz="4" w:space="0" w:color="auto"/>
            </w:tcBorders>
            <w:vAlign w:val="center"/>
          </w:tcPr>
          <w:p w:rsidR="00D84010" w:rsidRDefault="00DD20F4">
            <w:pPr>
              <w:spacing w:line="200" w:lineRule="exact"/>
              <w:jc w:val="center"/>
              <w:rPr>
                <w:rFonts w:ascii="黑体" w:eastAsia="黑体" w:hAnsi="黑体"/>
                <w:sz w:val="21"/>
                <w:szCs w:val="21"/>
              </w:rPr>
            </w:pPr>
            <w:r>
              <w:rPr>
                <w:rFonts w:ascii="黑体" w:eastAsia="黑体" w:hAnsi="黑体" w:hint="eastAsia"/>
                <w:sz w:val="21"/>
                <w:szCs w:val="21"/>
              </w:rPr>
              <w:t>经济效益指标</w:t>
            </w:r>
          </w:p>
        </w:tc>
        <w:tc>
          <w:tcPr>
            <w:tcW w:w="1172" w:type="dxa"/>
            <w:tcBorders>
              <w:top w:val="single" w:sz="4" w:space="0" w:color="auto"/>
              <w:left w:val="nil"/>
              <w:bottom w:val="single" w:sz="4" w:space="0" w:color="auto"/>
              <w:right w:val="single" w:sz="4" w:space="0" w:color="auto"/>
            </w:tcBorders>
            <w:vAlign w:val="center"/>
          </w:tcPr>
          <w:p w:rsidR="00D84010" w:rsidRDefault="00DD20F4">
            <w:pPr>
              <w:spacing w:before="0" w:after="0"/>
              <w:jc w:val="center"/>
              <w:rPr>
                <w:rFonts w:ascii="黑体" w:eastAsia="黑体" w:hAnsi="黑体"/>
                <w:color w:val="000000"/>
                <w:sz w:val="21"/>
                <w:szCs w:val="21"/>
              </w:rPr>
            </w:pPr>
            <w:r>
              <w:rPr>
                <w:rFonts w:ascii="黑体" w:eastAsia="黑体" w:hAnsi="黑体" w:hint="eastAsia"/>
                <w:color w:val="000000"/>
                <w:sz w:val="21"/>
                <w:szCs w:val="21"/>
              </w:rPr>
              <w:t>检验资质扩项</w:t>
            </w:r>
          </w:p>
        </w:tc>
        <w:tc>
          <w:tcPr>
            <w:tcW w:w="993"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1150"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37</w:t>
            </w:r>
          </w:p>
        </w:tc>
        <w:tc>
          <w:tcPr>
            <w:tcW w:w="831"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876" w:type="dxa"/>
            <w:tcBorders>
              <w:top w:val="nil"/>
              <w:left w:val="nil"/>
              <w:bottom w:val="single" w:sz="4" w:space="0" w:color="auto"/>
              <w:right w:val="single" w:sz="4" w:space="0" w:color="auto"/>
            </w:tcBorders>
            <w:vAlign w:val="center"/>
          </w:tcPr>
          <w:p w:rsidR="00D84010" w:rsidRDefault="00DD20F4">
            <w:pPr>
              <w:spacing w:line="2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444" w:type="dxa"/>
            <w:tcBorders>
              <w:top w:val="single" w:sz="4" w:space="0" w:color="auto"/>
              <w:left w:val="nil"/>
              <w:bottom w:val="single" w:sz="4" w:space="0" w:color="auto"/>
              <w:right w:val="single" w:sz="4" w:space="0" w:color="auto"/>
            </w:tcBorders>
            <w:vAlign w:val="center"/>
          </w:tcPr>
          <w:p w:rsidR="00D84010" w:rsidRDefault="00D84010">
            <w:pPr>
              <w:spacing w:line="200" w:lineRule="exact"/>
              <w:jc w:val="center"/>
              <w:rPr>
                <w:rFonts w:asciiTheme="minorEastAsia" w:eastAsiaTheme="minorEastAsia" w:hAnsiTheme="minorEastAsia"/>
                <w:sz w:val="21"/>
                <w:szCs w:val="21"/>
              </w:rPr>
            </w:pPr>
          </w:p>
        </w:tc>
      </w:tr>
      <w:tr w:rsidR="00D84010" w:rsidTr="000C23F7">
        <w:trPr>
          <w:trHeight w:hRule="exact" w:val="629"/>
          <w:jc w:val="center"/>
        </w:trPr>
        <w:tc>
          <w:tcPr>
            <w:tcW w:w="6622" w:type="dxa"/>
            <w:gridSpan w:val="6"/>
            <w:tcBorders>
              <w:top w:val="single" w:sz="4" w:space="0" w:color="auto"/>
              <w:left w:val="single" w:sz="4" w:space="0" w:color="auto"/>
              <w:bottom w:val="single" w:sz="4" w:space="0" w:color="auto"/>
              <w:right w:val="single" w:sz="4" w:space="0" w:color="auto"/>
            </w:tcBorders>
            <w:vAlign w:val="center"/>
          </w:tcPr>
          <w:p w:rsidR="00D84010" w:rsidRDefault="00DD20F4">
            <w:pPr>
              <w:spacing w:before="0" w:after="0" w:line="200" w:lineRule="exact"/>
              <w:jc w:val="center"/>
              <w:rPr>
                <w:rFonts w:ascii="黑体" w:eastAsia="黑体" w:hAnsi="黑体"/>
                <w:color w:val="000000"/>
                <w:sz w:val="21"/>
                <w:szCs w:val="21"/>
              </w:rPr>
            </w:pPr>
            <w:r>
              <w:rPr>
                <w:rFonts w:ascii="黑体" w:eastAsia="黑体" w:hAnsi="黑体" w:hint="eastAsia"/>
                <w:color w:val="000000"/>
                <w:sz w:val="21"/>
                <w:szCs w:val="21"/>
              </w:rPr>
              <w:t>总分</w:t>
            </w:r>
          </w:p>
        </w:tc>
        <w:tc>
          <w:tcPr>
            <w:tcW w:w="831" w:type="dxa"/>
            <w:tcBorders>
              <w:top w:val="single" w:sz="4" w:space="0" w:color="auto"/>
              <w:left w:val="nil"/>
              <w:bottom w:val="single" w:sz="4" w:space="0" w:color="auto"/>
              <w:right w:val="single" w:sz="4" w:space="0" w:color="auto"/>
            </w:tcBorders>
            <w:vAlign w:val="center"/>
          </w:tcPr>
          <w:p w:rsidR="00D84010" w:rsidRDefault="00DD20F4">
            <w:pPr>
              <w:spacing w:before="0" w:after="0" w:line="20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100</w:t>
            </w:r>
          </w:p>
        </w:tc>
        <w:tc>
          <w:tcPr>
            <w:tcW w:w="876" w:type="dxa"/>
            <w:tcBorders>
              <w:top w:val="single" w:sz="4" w:space="0" w:color="auto"/>
              <w:left w:val="nil"/>
              <w:bottom w:val="single" w:sz="4" w:space="0" w:color="auto"/>
              <w:right w:val="single" w:sz="4" w:space="0" w:color="auto"/>
            </w:tcBorders>
            <w:vAlign w:val="center"/>
          </w:tcPr>
          <w:p w:rsidR="00D84010" w:rsidRDefault="00FE4901">
            <w:pPr>
              <w:spacing w:before="0" w:after="0" w:line="200" w:lineRule="exac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100</w:t>
            </w:r>
          </w:p>
        </w:tc>
        <w:tc>
          <w:tcPr>
            <w:tcW w:w="1444" w:type="dxa"/>
            <w:tcBorders>
              <w:top w:val="single" w:sz="4" w:space="0" w:color="auto"/>
              <w:left w:val="nil"/>
              <w:bottom w:val="single" w:sz="4" w:space="0" w:color="auto"/>
              <w:right w:val="single" w:sz="4" w:space="0" w:color="auto"/>
            </w:tcBorders>
            <w:vAlign w:val="center"/>
          </w:tcPr>
          <w:p w:rsidR="00D84010" w:rsidRDefault="00D84010">
            <w:pPr>
              <w:spacing w:before="0" w:after="0" w:line="200" w:lineRule="exact"/>
              <w:jc w:val="center"/>
              <w:rPr>
                <w:rFonts w:asciiTheme="minorEastAsia" w:eastAsiaTheme="minorEastAsia" w:hAnsiTheme="minorEastAsia"/>
                <w:sz w:val="21"/>
                <w:szCs w:val="21"/>
              </w:rPr>
            </w:pPr>
          </w:p>
        </w:tc>
      </w:tr>
    </w:tbl>
    <w:p w:rsidR="00D84010" w:rsidRPr="000C23F7" w:rsidRDefault="00D84010">
      <w:pPr>
        <w:rPr>
          <w:rFonts w:ascii="黑体" w:eastAsia="黑体" w:hAnsi="黑体" w:cs="Times New Roman"/>
          <w:b/>
          <w:i/>
          <w:sz w:val="32"/>
          <w:szCs w:val="24"/>
        </w:rPr>
        <w:sectPr w:rsidR="00D84010" w:rsidRPr="000C23F7">
          <w:footerReference w:type="even" r:id="rId8"/>
          <w:footerReference w:type="default" r:id="rId9"/>
          <w:pgSz w:w="11906" w:h="16838"/>
          <w:pgMar w:top="2098" w:right="1474" w:bottom="1985" w:left="1588" w:header="851" w:footer="1134" w:gutter="0"/>
          <w:cols w:space="0"/>
          <w:docGrid w:type="lines" w:linePitch="312"/>
        </w:sectPr>
      </w:pPr>
    </w:p>
    <w:p w:rsidR="00D84010" w:rsidRDefault="00DD20F4">
      <w:pPr>
        <w:adjustRightInd w:val="0"/>
        <w:snapToGrid w:val="0"/>
        <w:spacing w:before="0" w:after="0"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海南省食品检验检测中心</w:t>
      </w:r>
    </w:p>
    <w:p w:rsidR="00D84010" w:rsidRDefault="00DD20F4">
      <w:pPr>
        <w:adjustRightInd w:val="0"/>
        <w:snapToGrid w:val="0"/>
        <w:spacing w:before="0" w:after="0" w:line="600" w:lineRule="exact"/>
        <w:jc w:val="center"/>
        <w:rPr>
          <w:rFonts w:ascii="方正小标宋简体" w:eastAsia="方正小标宋简体"/>
          <w:sz w:val="44"/>
          <w:szCs w:val="44"/>
        </w:rPr>
      </w:pPr>
      <w:r>
        <w:rPr>
          <w:rFonts w:ascii="方正小标宋简体" w:eastAsia="方正小标宋简体" w:hint="eastAsia"/>
          <w:sz w:val="44"/>
          <w:szCs w:val="44"/>
        </w:rPr>
        <w:t>关于2021年度食品药品安全保障</w:t>
      </w:r>
    </w:p>
    <w:p w:rsidR="00D84010" w:rsidRDefault="00DD20F4">
      <w:pPr>
        <w:adjustRightInd w:val="0"/>
        <w:snapToGrid w:val="0"/>
        <w:spacing w:before="0" w:after="0" w:line="600" w:lineRule="exact"/>
        <w:jc w:val="center"/>
        <w:rPr>
          <w:rFonts w:ascii="方正小标宋简体" w:eastAsia="方正小标宋简体"/>
          <w:sz w:val="44"/>
          <w:szCs w:val="44"/>
        </w:rPr>
      </w:pPr>
      <w:r>
        <w:rPr>
          <w:rFonts w:ascii="方正小标宋简体" w:eastAsia="方正小标宋简体" w:hint="eastAsia"/>
          <w:sz w:val="44"/>
          <w:szCs w:val="44"/>
        </w:rPr>
        <w:t>项目绩效自评报告</w:t>
      </w:r>
    </w:p>
    <w:p w:rsidR="00D84010" w:rsidRDefault="00D84010">
      <w:pPr>
        <w:adjustRightInd w:val="0"/>
        <w:snapToGrid w:val="0"/>
        <w:spacing w:before="0" w:after="0" w:line="660" w:lineRule="exact"/>
        <w:jc w:val="center"/>
        <w:rPr>
          <w:rFonts w:ascii="方正小标宋简体" w:eastAsia="方正小标宋简体"/>
          <w:sz w:val="44"/>
          <w:szCs w:val="44"/>
        </w:rPr>
      </w:pPr>
    </w:p>
    <w:p w:rsidR="00D84010" w:rsidRDefault="00DD20F4">
      <w:pPr>
        <w:spacing w:before="0" w:after="0"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一、项目概况</w:t>
      </w:r>
    </w:p>
    <w:p w:rsidR="00D84010" w:rsidRDefault="00DD20F4">
      <w:pPr>
        <w:spacing w:before="0" w:after="0" w:line="560" w:lineRule="exact"/>
        <w:ind w:firstLineChars="200" w:firstLine="620"/>
        <w:rPr>
          <w:rFonts w:ascii="楷体" w:eastAsia="楷体" w:hAnsi="楷体" w:cs="仿宋_GB2312"/>
          <w:color w:val="000000"/>
          <w:sz w:val="32"/>
          <w:szCs w:val="32"/>
        </w:rPr>
      </w:pPr>
      <w:r>
        <w:rPr>
          <w:rFonts w:ascii="楷体" w:eastAsia="楷体" w:hAnsi="楷体" w:cs="仿宋_GB2312" w:hint="eastAsia"/>
          <w:color w:val="000000"/>
          <w:spacing w:val="-5"/>
          <w:sz w:val="32"/>
          <w:szCs w:val="32"/>
        </w:rPr>
        <w:t>（一）项目基本情况：实施主体、项目资金及主</w:t>
      </w:r>
      <w:r>
        <w:rPr>
          <w:rFonts w:ascii="楷体" w:eastAsia="楷体" w:hAnsi="楷体" w:cs="仿宋_GB2312" w:hint="eastAsia"/>
          <w:color w:val="000000"/>
          <w:sz w:val="32"/>
          <w:szCs w:val="32"/>
        </w:rPr>
        <w:t>要内容</w:t>
      </w:r>
    </w:p>
    <w:p w:rsidR="00D84010" w:rsidRDefault="00DD20F4">
      <w:pPr>
        <w:spacing w:before="0"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海南省食品检验检测中心隶属海南省市场监督管理局管理,是公益一类事业单位，主要承担全省省级食品和特殊食品检验检测职能。</w:t>
      </w:r>
    </w:p>
    <w:p w:rsidR="00D84010" w:rsidRDefault="00DD20F4">
      <w:pPr>
        <w:spacing w:before="0"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项目资金专项用于食品、保健食品的监督抽检、食品安全能力建设、检验资质扩项等检验工作，含抽样经费、检验费用等费用。主要用于保障国抽、省抽、省局食品安全专项整治、案件监管、保障重大活动食品安全保障检验等工作。</w:t>
      </w:r>
    </w:p>
    <w:p w:rsidR="00D84010" w:rsidRDefault="00DD20F4">
      <w:pPr>
        <w:spacing w:before="0" w:after="0" w:line="56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（二）项目年度预算绩效目标和绩效指标设定情况</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该项目年度目标是通过保质保量完成国家及省级监督抽检、风险监测、评价性抽检等各级食品承检任务和检验资质扩项评审，进而提高检验检测能力水平，优化检验检测人才技术队伍。</w:t>
      </w:r>
    </w:p>
    <w:p w:rsidR="00D84010" w:rsidRDefault="00DD20F4">
      <w:pPr>
        <w:spacing w:before="0" w:after="0" w:line="560" w:lineRule="exact"/>
        <w:ind w:firstLineChars="200" w:firstLine="640"/>
        <w:rPr>
          <w:rFonts w:ascii="宋体" w:hAnsi="宋体"/>
          <w:sz w:val="24"/>
        </w:rPr>
      </w:pPr>
      <w:r>
        <w:rPr>
          <w:rFonts w:ascii="仿宋_GB2312" w:eastAsia="仿宋_GB2312" w:hAnsi="仿宋_GB2312" w:cs="仿宋_GB2312" w:hint="eastAsia"/>
          <w:sz w:val="32"/>
          <w:szCs w:val="32"/>
        </w:rPr>
        <w:t>该项目下设绩效目标四个，两个产出指标、两个效益指标，通过检品检验周期、检验任务完成率、食品安全检验能力及检验资质项目完成个数来衡量本绩效目标的实现程度，详见绩效目标表。</w:t>
      </w:r>
    </w:p>
    <w:tbl>
      <w:tblPr>
        <w:tblW w:w="8930" w:type="dxa"/>
        <w:jc w:val="center"/>
        <w:shd w:val="clear" w:color="auto" w:fill="FFFFFF" w:themeFill="background1"/>
        <w:tblLayout w:type="fixed"/>
        <w:tblLook w:val="04A0"/>
      </w:tblPr>
      <w:tblGrid>
        <w:gridCol w:w="1134"/>
        <w:gridCol w:w="1134"/>
        <w:gridCol w:w="2268"/>
        <w:gridCol w:w="1134"/>
        <w:gridCol w:w="851"/>
        <w:gridCol w:w="1275"/>
        <w:gridCol w:w="1134"/>
      </w:tblGrid>
      <w:tr w:rsidR="00D84010">
        <w:trPr>
          <w:trHeight w:val="112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lastRenderedPageBreak/>
              <w:t>一级指标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二级指标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三级指标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指标性质</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指标值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本年指标值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度量单位</w:t>
            </w:r>
          </w:p>
        </w:tc>
      </w:tr>
      <w:tr w:rsidR="00D84010">
        <w:trPr>
          <w:cantSplit/>
          <w:trHeight w:val="140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产出指标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时效指标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检品检验周期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个工作日</w:t>
            </w:r>
          </w:p>
        </w:tc>
      </w:tr>
      <w:tr w:rsidR="00D84010">
        <w:trPr>
          <w:cantSplit/>
          <w:trHeight w:val="141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产出指标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数量指标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检验任务完成率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7C02FC">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w:t>
            </w:r>
          </w:p>
        </w:tc>
      </w:tr>
      <w:tr w:rsidR="00D84010">
        <w:trPr>
          <w:cantSplit/>
          <w:trHeight w:val="33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效益指标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社会效益指标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食品安全检验能力（2021年20项，2022年20项，2023年20项）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A57A6D">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7C02FC">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项</w:t>
            </w:r>
          </w:p>
        </w:tc>
      </w:tr>
      <w:tr w:rsidR="00D84010">
        <w:trPr>
          <w:cantSplit/>
          <w:trHeight w:val="33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效益指标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经济效益指标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检验资质扩项（2021年20项，2022年20项，2023年20项）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A57A6D">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7C02FC">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D84010" w:rsidRDefault="00DD20F4">
            <w:pPr>
              <w:jc w:val="center"/>
              <w:textAlignment w:val="center"/>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color w:val="000000"/>
                <w:sz w:val="21"/>
                <w:szCs w:val="21"/>
              </w:rPr>
              <w:t>项</w:t>
            </w:r>
          </w:p>
        </w:tc>
      </w:tr>
    </w:tbl>
    <w:p w:rsidR="00D84010" w:rsidRDefault="00DD20F4" w:rsidP="007D7265">
      <w:pPr>
        <w:spacing w:beforeLines="50" w:after="0" w:line="56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二、项目决策及资金使用管理情况</w:t>
      </w:r>
    </w:p>
    <w:p w:rsidR="00D84010" w:rsidRDefault="00DD20F4">
      <w:pPr>
        <w:spacing w:before="0" w:after="0" w:line="560" w:lineRule="exact"/>
        <w:ind w:left="640"/>
        <w:jc w:val="left"/>
        <w:rPr>
          <w:rFonts w:ascii="楷体" w:eastAsia="楷体" w:hAnsi="楷体" w:cs="仿宋_GB2312"/>
          <w:color w:val="000000"/>
          <w:sz w:val="32"/>
          <w:szCs w:val="32"/>
        </w:rPr>
      </w:pPr>
      <w:r>
        <w:rPr>
          <w:rFonts w:ascii="楷体" w:eastAsia="楷体" w:hAnsi="楷体" w:cs="仿宋_GB2312" w:hint="eastAsia"/>
          <w:color w:val="000000"/>
          <w:spacing w:val="-4"/>
          <w:sz w:val="32"/>
          <w:szCs w:val="32"/>
        </w:rPr>
        <w:t>（一）项目资金安排落实、</w:t>
      </w:r>
      <w:r>
        <w:rPr>
          <w:rFonts w:ascii="楷体" w:eastAsia="楷体" w:hAnsi="楷体" w:cs="仿宋_GB2312" w:hint="eastAsia"/>
          <w:color w:val="000000"/>
          <w:sz w:val="32"/>
          <w:szCs w:val="32"/>
        </w:rPr>
        <w:t>总投入等情况</w:t>
      </w:r>
    </w:p>
    <w:p w:rsidR="00D84010" w:rsidRDefault="00DD20F4">
      <w:pPr>
        <w:spacing w:before="0"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海南省财政厅下达2021年食品药品安全保障项目年初预算资金</w:t>
      </w:r>
      <w:r>
        <w:rPr>
          <w:rFonts w:ascii="仿宋_GB2312" w:eastAsia="仿宋_GB2312" w:hAnsi="仿宋_GB2312" w:cs="仿宋_GB2312" w:hint="eastAsia"/>
          <w:sz w:val="32"/>
          <w:szCs w:val="32"/>
        </w:rPr>
        <w:t>540.71万元，实际到位资金为540.71万元，项目资金到位率100%。</w:t>
      </w:r>
    </w:p>
    <w:p w:rsidR="00D84010" w:rsidRDefault="00DD20F4">
      <w:pPr>
        <w:spacing w:before="0" w:after="0" w:line="560" w:lineRule="exact"/>
        <w:ind w:left="641"/>
        <w:jc w:val="left"/>
        <w:rPr>
          <w:rFonts w:ascii="楷体" w:eastAsia="楷体" w:hAnsi="楷体" w:cs="仿宋_GB2312"/>
          <w:color w:val="000000"/>
          <w:sz w:val="32"/>
          <w:szCs w:val="32"/>
        </w:rPr>
      </w:pPr>
      <w:r>
        <w:rPr>
          <w:rFonts w:ascii="楷体" w:eastAsia="楷体" w:hAnsi="楷体" w:cs="仿宋_GB2312" w:hint="eastAsia"/>
          <w:color w:val="000000"/>
          <w:sz w:val="32"/>
          <w:szCs w:val="32"/>
        </w:rPr>
        <w:t>（二）项目资金实际使用情况</w:t>
      </w:r>
    </w:p>
    <w:p w:rsidR="00D84010" w:rsidRDefault="00DD20F4">
      <w:pPr>
        <w:spacing w:before="0"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截至2021年12月31日, 省食检中心食品药品安全保障项目资金支出540.63万元，完成全年预算的99.99%，具体使用情况见下表：</w:t>
      </w:r>
    </w:p>
    <w:tbl>
      <w:tblPr>
        <w:tblW w:w="0" w:type="auto"/>
        <w:jc w:val="center"/>
        <w:tblLayout w:type="fixed"/>
        <w:tblLook w:val="04A0"/>
      </w:tblPr>
      <w:tblGrid>
        <w:gridCol w:w="1418"/>
        <w:gridCol w:w="3402"/>
        <w:gridCol w:w="2247"/>
        <w:gridCol w:w="1580"/>
      </w:tblGrid>
      <w:tr w:rsidR="00D84010">
        <w:trPr>
          <w:cantSplit/>
          <w:trHeight w:hRule="exact" w:val="105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lastRenderedPageBreak/>
              <w:t>预算数      （万元）</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010" w:rsidRDefault="00DD20F4">
            <w:pPr>
              <w:spacing w:line="400" w:lineRule="exact"/>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项目类别</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010" w:rsidRDefault="00DD20F4">
            <w:pPr>
              <w:spacing w:line="400" w:lineRule="exact"/>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本年度实际支出数 （万元）</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010" w:rsidRDefault="00DD20F4">
            <w:pPr>
              <w:spacing w:line="400" w:lineRule="exact"/>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占比例</w:t>
            </w:r>
          </w:p>
        </w:tc>
      </w:tr>
      <w:tr w:rsidR="00D84010">
        <w:trPr>
          <w:cantSplit/>
          <w:trHeight w:hRule="exact" w:val="567"/>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540.71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3022601-劳务费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218.92</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40.49%</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30202-印刷费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0.42</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0.08%</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30239-其他交通费用</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0.90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0.17%</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30211-差旅费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3.27</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0.60%</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3029906-误餐费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2.37</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0.44%</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30206-电费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185.80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34.36%</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3022701-委托业务费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47.85</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8.85%</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30205-水费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9.60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1.78%</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30218-专用材料费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60.00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11.10%</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3029909-其他商品和服务</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7.00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1.29%</w:t>
            </w:r>
          </w:p>
        </w:tc>
      </w:tr>
      <w:tr w:rsidR="00D84010">
        <w:trPr>
          <w:cantSplit/>
          <w:trHeight w:hRule="exact" w:val="56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bCs/>
                <w:sz w:val="21"/>
                <w:szCs w:val="21"/>
              </w:rPr>
              <w:t>30215-会议费</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4.50</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Theme="minorEastAsia" w:eastAsiaTheme="minorEastAsia" w:hAnsiTheme="minorEastAsia" w:cs="微软雅黑"/>
                <w:bCs/>
                <w:color w:val="000000"/>
                <w:sz w:val="21"/>
                <w:szCs w:val="21"/>
              </w:rPr>
            </w:pPr>
            <w:r>
              <w:rPr>
                <w:rFonts w:asciiTheme="minorEastAsia" w:eastAsiaTheme="minorEastAsia" w:hAnsiTheme="minorEastAsia" w:cs="微软雅黑" w:hint="eastAsia"/>
                <w:bCs/>
                <w:color w:val="000000"/>
                <w:sz w:val="21"/>
                <w:szCs w:val="21"/>
              </w:rPr>
              <w:t>0.83%</w:t>
            </w:r>
          </w:p>
        </w:tc>
      </w:tr>
      <w:tr w:rsidR="00D84010">
        <w:trPr>
          <w:cantSplit/>
          <w:trHeight w:hRule="exact" w:val="62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010" w:rsidRDefault="00D84010">
            <w:pPr>
              <w:jc w:val="center"/>
              <w:textAlignment w:val="center"/>
              <w:rPr>
                <w:rFonts w:asciiTheme="minorEastAsia" w:eastAsiaTheme="minorEastAsia" w:hAnsiTheme="minorEastAsia" w:cs="微软雅黑"/>
                <w:bCs/>
                <w:color w:val="000000"/>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合计</w:t>
            </w:r>
          </w:p>
        </w:tc>
        <w:tc>
          <w:tcPr>
            <w:tcW w:w="2247"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540.63</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Pr>
          <w:p w:rsidR="00D84010" w:rsidRDefault="00DD20F4">
            <w:pPr>
              <w:jc w:val="center"/>
              <w:textAlignment w:val="center"/>
              <w:rPr>
                <w:rFonts w:ascii="黑体" w:eastAsia="黑体" w:hAnsi="黑体" w:cs="微软雅黑"/>
                <w:bCs/>
                <w:color w:val="000000"/>
                <w:sz w:val="21"/>
                <w:szCs w:val="21"/>
              </w:rPr>
            </w:pPr>
            <w:r>
              <w:rPr>
                <w:rFonts w:ascii="黑体" w:eastAsia="黑体" w:hAnsi="黑体" w:cs="微软雅黑" w:hint="eastAsia"/>
                <w:bCs/>
                <w:color w:val="000000"/>
                <w:sz w:val="21"/>
                <w:szCs w:val="21"/>
              </w:rPr>
              <w:t>99.99%</w:t>
            </w:r>
          </w:p>
        </w:tc>
      </w:tr>
    </w:tbl>
    <w:p w:rsidR="00D84010" w:rsidRDefault="00DD20F4">
      <w:pPr>
        <w:spacing w:before="0" w:after="0" w:line="560" w:lineRule="exact"/>
        <w:ind w:firstLineChars="200" w:firstLine="620"/>
        <w:jc w:val="left"/>
        <w:rPr>
          <w:rFonts w:ascii="楷体" w:eastAsia="楷体" w:hAnsi="楷体" w:cs="仿宋_GB2312"/>
          <w:color w:val="000000"/>
          <w:sz w:val="32"/>
          <w:szCs w:val="32"/>
        </w:rPr>
      </w:pPr>
      <w:r>
        <w:rPr>
          <w:rFonts w:ascii="楷体" w:eastAsia="楷体" w:hAnsi="楷体" w:cs="仿宋_GB2312" w:hint="eastAsia"/>
          <w:color w:val="000000"/>
          <w:spacing w:val="-5"/>
          <w:sz w:val="32"/>
          <w:szCs w:val="32"/>
        </w:rPr>
        <w:t>（三）项目资金管理情况</w:t>
      </w:r>
    </w:p>
    <w:p w:rsidR="00D84010" w:rsidRDefault="00DD20F4">
      <w:pPr>
        <w:spacing w:before="0" w:after="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食品药品安全保障项目资金管理状况良好。财务管理制度健全，执行严格有效；实际发生支出的会计核算真实、准确、规范；资金的使用严格按照体系文件规定履行事前、事中、事后审批；实际支出与预算批复的用途相符。</w:t>
      </w:r>
    </w:p>
    <w:p w:rsidR="00D84010" w:rsidRDefault="00DD20F4">
      <w:pPr>
        <w:adjustRightInd w:val="0"/>
        <w:snapToGrid w:val="0"/>
        <w:spacing w:before="0" w:after="0" w:line="560" w:lineRule="exact"/>
        <w:ind w:left="64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三、项目组织实施情况</w:t>
      </w:r>
    </w:p>
    <w:p w:rsidR="00D84010" w:rsidRDefault="00DD20F4">
      <w:pPr>
        <w:adjustRightInd w:val="0"/>
        <w:snapToGrid w:val="0"/>
        <w:spacing w:before="0" w:after="0" w:line="560" w:lineRule="exact"/>
        <w:ind w:firstLineChars="200" w:firstLine="620"/>
        <w:jc w:val="left"/>
        <w:rPr>
          <w:rFonts w:ascii="楷体" w:eastAsia="楷体" w:hAnsi="楷体" w:cs="仿宋_GB2312"/>
          <w:color w:val="000000"/>
          <w:spacing w:val="-5"/>
          <w:sz w:val="32"/>
          <w:szCs w:val="32"/>
        </w:rPr>
      </w:pPr>
      <w:r>
        <w:rPr>
          <w:rFonts w:ascii="楷体" w:eastAsia="楷体" w:hAnsi="楷体" w:cs="仿宋_GB2312" w:hint="eastAsia"/>
          <w:color w:val="000000"/>
          <w:spacing w:val="-5"/>
          <w:sz w:val="32"/>
          <w:szCs w:val="32"/>
        </w:rPr>
        <w:t>（一）项目组织情况</w:t>
      </w:r>
    </w:p>
    <w:p w:rsidR="00D84010" w:rsidRDefault="00DD20F4">
      <w:pPr>
        <w:spacing w:before="0" w:after="0" w:line="560" w:lineRule="exact"/>
        <w:ind w:firstLineChars="200" w:firstLine="620"/>
        <w:jc w:val="left"/>
        <w:rPr>
          <w:rFonts w:ascii="仿宋_GB2312" w:eastAsia="仿宋_GB2312" w:hAnsi="仿宋_GB2312" w:cs="仿宋_GB2312"/>
          <w:color w:val="000000"/>
          <w:spacing w:val="-5"/>
          <w:sz w:val="32"/>
          <w:szCs w:val="32"/>
        </w:rPr>
      </w:pPr>
      <w:r>
        <w:rPr>
          <w:rFonts w:ascii="仿宋_GB2312" w:eastAsia="仿宋_GB2312" w:hAnsi="仿宋_GB2312" w:cs="仿宋_GB2312" w:hint="eastAsia"/>
          <w:color w:val="000000"/>
          <w:spacing w:val="-5"/>
          <w:sz w:val="32"/>
          <w:szCs w:val="32"/>
        </w:rPr>
        <w:lastRenderedPageBreak/>
        <w:t>项目组织实施按全年工作任务进行管理，通过制定专项工作计划方案，明确组织实施措施和策略，有效地指导工作的正常有序开展。</w:t>
      </w:r>
    </w:p>
    <w:p w:rsidR="00D84010" w:rsidRDefault="00DD20F4">
      <w:pPr>
        <w:numPr>
          <w:ilvl w:val="0"/>
          <w:numId w:val="1"/>
        </w:numPr>
        <w:spacing w:before="0" w:after="0" w:line="560" w:lineRule="exact"/>
        <w:ind w:firstLineChars="200" w:firstLine="620"/>
        <w:jc w:val="left"/>
        <w:rPr>
          <w:rFonts w:ascii="楷体" w:eastAsia="楷体" w:hAnsi="楷体" w:cs="仿宋_GB2312"/>
          <w:color w:val="000000"/>
          <w:spacing w:val="-5"/>
          <w:sz w:val="32"/>
          <w:szCs w:val="32"/>
        </w:rPr>
      </w:pPr>
      <w:r>
        <w:rPr>
          <w:rFonts w:ascii="楷体" w:eastAsia="楷体" w:hAnsi="楷体" w:cs="仿宋_GB2312" w:hint="eastAsia"/>
          <w:color w:val="000000"/>
          <w:spacing w:val="-5"/>
          <w:sz w:val="32"/>
          <w:szCs w:val="32"/>
        </w:rPr>
        <w:t>项目管理情况</w:t>
      </w:r>
    </w:p>
    <w:p w:rsidR="00D84010" w:rsidRDefault="00DD20F4">
      <w:pPr>
        <w:spacing w:before="0" w:after="0" w:line="560" w:lineRule="exact"/>
        <w:ind w:firstLine="630"/>
        <w:textAlignment w:val="baseline"/>
        <w:rPr>
          <w:rFonts w:ascii="仿宋_GB2312" w:eastAsia="仿宋_GB2312" w:hAnsi="仿宋_GB2312" w:cs="仿宋_GB2312"/>
          <w:color w:val="000000"/>
          <w:spacing w:val="-5"/>
          <w:sz w:val="32"/>
          <w:szCs w:val="32"/>
        </w:rPr>
      </w:pPr>
      <w:r>
        <w:rPr>
          <w:rFonts w:ascii="仿宋_GB2312" w:eastAsia="仿宋_GB2312" w:hAnsi="仿宋_GB2312" w:cs="仿宋_GB2312" w:hint="eastAsia"/>
          <w:bCs/>
          <w:sz w:val="32"/>
          <w:szCs w:val="32"/>
        </w:rPr>
        <w:t>食品药品安全保障项目严格按照我中心相关管理制度及《食品安全法》等有关规章制度进行管理，项目的有关经济活动开展均按照相关程序实施，保证本项目保质、保量、按时完成。在项目实施过程中，</w:t>
      </w:r>
      <w:r>
        <w:rPr>
          <w:rFonts w:ascii="仿宋_GB2312" w:eastAsia="仿宋_GB2312" w:hAnsi="仿宋_GB2312" w:cs="仿宋_GB2312" w:hint="eastAsia"/>
          <w:color w:val="000000"/>
          <w:spacing w:val="-5"/>
          <w:sz w:val="32"/>
          <w:szCs w:val="32"/>
        </w:rPr>
        <w:t>修订完善了相关制度，规范了事前、事中、事后工作程序，仪器设备、试剂耗材采购及使用活动更加严谨，并报主管部门备案。召开廉政专题培训，以座谈交流、提醒谈话、负面典型警示教育等方式严格管理，有效防范了中心议事、财务、采购等方面的廉政风险，提升了党风廉政和行政管理水平。</w:t>
      </w:r>
    </w:p>
    <w:p w:rsidR="00D84010" w:rsidRDefault="00DD20F4">
      <w:pPr>
        <w:numPr>
          <w:ilvl w:val="0"/>
          <w:numId w:val="2"/>
        </w:numPr>
        <w:spacing w:before="0" w:after="0" w:line="560" w:lineRule="exact"/>
        <w:ind w:left="640"/>
        <w:jc w:val="left"/>
        <w:rPr>
          <w:rFonts w:ascii="黑体" w:eastAsia="黑体" w:hAnsi="黑体" w:cs="黑体"/>
          <w:color w:val="000000"/>
          <w:sz w:val="32"/>
          <w:szCs w:val="32"/>
        </w:rPr>
      </w:pPr>
      <w:r>
        <w:rPr>
          <w:rFonts w:ascii="黑体" w:eastAsia="黑体" w:hAnsi="黑体" w:cs="黑体" w:hint="eastAsia"/>
          <w:color w:val="000000"/>
          <w:sz w:val="32"/>
          <w:szCs w:val="32"/>
        </w:rPr>
        <w:t>项目绩效情况</w:t>
      </w:r>
    </w:p>
    <w:p w:rsidR="00D84010" w:rsidRDefault="00DD20F4">
      <w:pPr>
        <w:numPr>
          <w:ilvl w:val="0"/>
          <w:numId w:val="3"/>
        </w:numPr>
        <w:spacing w:before="0" w:after="0" w:line="56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项目绩效目标完成情况分析</w:t>
      </w:r>
    </w:p>
    <w:p w:rsidR="00D84010" w:rsidRDefault="00DD20F4">
      <w:pPr>
        <w:spacing w:before="0" w:after="0" w:line="560" w:lineRule="exact"/>
        <w:rPr>
          <w:rFonts w:ascii="仿宋_GB2312" w:eastAsia="仿宋_GB2312" w:hAnsi="仿宋_GB2312" w:cs="仿宋_GB2312"/>
          <w:sz w:val="32"/>
          <w:szCs w:val="32"/>
        </w:rPr>
      </w:pPr>
      <w:r>
        <w:rPr>
          <w:rFonts w:ascii="仿宋_GB2312" w:eastAsia="仿宋_GB2312" w:hAnsi="方正仿宋简体" w:cs="仿宋_GB2312" w:hint="eastAsia"/>
          <w:sz w:val="32"/>
          <w:szCs w:val="32"/>
        </w:rPr>
        <w:t>2021年，我单位食品药品安全保障项目绩效目标所有指标全部完成。项目资金到位及时、使用合规、监控有效，工作及财务管理制度健全、执行有效、项目质量可控，达到了预定的目标。</w:t>
      </w:r>
    </w:p>
    <w:p w:rsidR="00D84010" w:rsidRDefault="00DD20F4">
      <w:pPr>
        <w:numPr>
          <w:ilvl w:val="0"/>
          <w:numId w:val="4"/>
        </w:numPr>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项目的经济性分析</w:t>
      </w:r>
    </w:p>
    <w:p w:rsidR="00D84010" w:rsidRDefault="00DD20F4">
      <w:pPr>
        <w:spacing w:before="0" w:after="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（1）项目成本（预算）控制情况。2021年我单位食品安全保障项目资金540.71万元，</w:t>
      </w:r>
      <w:r>
        <w:rPr>
          <w:rFonts w:ascii="仿宋_GB2312" w:eastAsia="仿宋_GB2312" w:hAnsi="仿宋_GB2312" w:cs="仿宋_GB2312" w:hint="eastAsia"/>
          <w:color w:val="000000"/>
          <w:sz w:val="32"/>
          <w:szCs w:val="32"/>
        </w:rPr>
        <w:t>支出540.63万元，完成全年预算的99.99%。该项目所有经济活动均严格按照预算编制目标执行，未出现超预算情况。</w:t>
      </w:r>
      <w:r>
        <w:rPr>
          <w:rFonts w:ascii="仿宋_GB2312" w:eastAsia="仿宋_GB2312" w:hAnsi="仿宋_GB2312" w:cs="仿宋_GB2312" w:hint="eastAsia"/>
          <w:sz w:val="32"/>
          <w:szCs w:val="32"/>
        </w:rPr>
        <w:t>通过升级添翼实验电子信息化平台，实现采购</w:t>
      </w:r>
      <w:r>
        <w:rPr>
          <w:rFonts w:ascii="仿宋_GB2312" w:eastAsia="仿宋_GB2312" w:hAnsi="仿宋_GB2312" w:cs="仿宋_GB2312" w:hint="eastAsia"/>
          <w:sz w:val="32"/>
          <w:szCs w:val="32"/>
        </w:rPr>
        <w:lastRenderedPageBreak/>
        <w:t>过程信息化、规范化、透明化，提高了对实验室试剂耗材支出管理水平。严格根据检验任务需求招聘劳务派遣人员，保障了检验辅助人员的人才队伍的稳定性。</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（2）项目成本（预算）节约情况。严格贯彻执行中央八项规定，对一般性支出预算进行压减开支，无浪费情况。</w:t>
      </w:r>
    </w:p>
    <w:p w:rsidR="00D84010" w:rsidRDefault="00DD20F4">
      <w:pPr>
        <w:numPr>
          <w:ilvl w:val="0"/>
          <w:numId w:val="4"/>
        </w:numPr>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项目的效率性分析</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（1）项目的实施进度。该项目按照国抽、省抽、专项任务的开展逐步进行并高效完成。</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（2）项目完成质量。2021年，全年总共完成食品检验任务6147批次，比去年增长16.7%，检验项目72905项，比去年增长</w:t>
      </w:r>
    </w:p>
    <w:p w:rsidR="00D84010" w:rsidRDefault="00DD20F4">
      <w:pPr>
        <w:spacing w:before="0" w:after="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13.4%。</w:t>
      </w:r>
    </w:p>
    <w:p w:rsidR="00D84010" w:rsidRDefault="00DD20F4">
      <w:pPr>
        <w:pStyle w:val="1"/>
        <w:spacing w:before="0" w:after="0" w:line="56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①食品安全抽检监测任务完成情况</w:t>
      </w:r>
    </w:p>
    <w:p w:rsidR="00D84010" w:rsidRDefault="00DD20F4">
      <w:pPr>
        <w:pStyle w:val="1"/>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2021年，共完成国家及省级监督抽检、风险监测、评价性抽检共5750批次比2020年增加1108批次，任务量增长率23.8%，不合格或问题样品115批，不合格或问题样品率2.0%。</w:t>
      </w:r>
    </w:p>
    <w:p w:rsidR="00D84010" w:rsidRDefault="00DD20F4">
      <w:pPr>
        <w:pStyle w:val="1"/>
        <w:spacing w:before="0" w:after="0" w:line="56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②食品安全专项整治检验任务完成情况</w:t>
      </w:r>
    </w:p>
    <w:p w:rsidR="00D84010" w:rsidRDefault="00DD20F4">
      <w:pPr>
        <w:pStyle w:val="1"/>
        <w:spacing w:before="0" w:after="0" w:line="56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2021年，完成省局组织开展的元旦春节期间食品安全监督抽检专项、对驻琼部队食材供应商食品安全抽检专项、“瘦肉精”监督抽检专项、食用血制品动物源性成分风险监测专项、“你点我检”专项、血制品专项等6轮次，接收抽检样品261批次，研究样品26批次。</w:t>
      </w:r>
    </w:p>
    <w:p w:rsidR="00D84010" w:rsidRDefault="00DD20F4">
      <w:pPr>
        <w:pStyle w:val="1"/>
        <w:spacing w:before="0" w:after="0" w:line="56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③食品抽检复检任务完成情况</w:t>
      </w:r>
    </w:p>
    <w:p w:rsidR="00D84010" w:rsidRDefault="00DD20F4">
      <w:pPr>
        <w:pStyle w:val="1"/>
        <w:spacing w:before="0" w:after="0" w:line="56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 xml:space="preserve">2021年承担9批次复检任务，10个复检项目，分别为兴隆椰子粉中蛋白质测定、柳州螺蛳粉中水分测定、基围虾中恩诺沙星、呋喃唑酮代谢物测定、竹节虾中恩诺沙星测定、芝麻香油中过氧化值测定、辣子鸡味青豌豆中酸价测定、素绝味鲍鱼味（调味面制品）中过氧化值（以脂肪计）测定、桂花丝苗香米中镉测定、北方馒头中脱氢乙酸及其钠盐（以脱氢乙酸计）测定。其中2个项目复检结果推翻初检结论，8个项目复检结果与初检一致。 </w:t>
      </w:r>
    </w:p>
    <w:p w:rsidR="00D84010" w:rsidRDefault="00DD20F4">
      <w:pPr>
        <w:pStyle w:val="1"/>
        <w:spacing w:before="0" w:after="0" w:line="560" w:lineRule="exact"/>
        <w:ind w:firstLineChars="100" w:firstLine="32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④日常监督及投诉举报检验任务完成情况</w:t>
      </w:r>
    </w:p>
    <w:p w:rsidR="00D84010" w:rsidRDefault="00DD20F4">
      <w:pPr>
        <w:pStyle w:val="a6"/>
        <w:adjustRightInd w:val="0"/>
        <w:snapToGrid w:val="0"/>
        <w:spacing w:before="0" w:after="0"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年承担省局及其它市县日常监督及投诉举报检验任务日常监督及投诉举报检验任务75批次，检出不合格样品1批，不合格率1.3%。涉及肉制品、糕点、米酒、饮料、冷冻饮品等，包含山梨酸及其钾盐、苯甲酸及其钠盐、安赛蜜等食品添加剂，氧氟沙星、氯霉素等兽药残留、胭脂红、亮蓝等色素，沙门氏菌、菌落总数等微生物，铅、无机砷等污染物各类项目。</w:t>
      </w:r>
    </w:p>
    <w:p w:rsidR="00D84010" w:rsidRDefault="00DD20F4">
      <w:pPr>
        <w:pStyle w:val="1"/>
        <w:spacing w:before="0" w:after="0" w:line="56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⑤检验资质扩项完成情况</w:t>
      </w:r>
    </w:p>
    <w:p w:rsidR="00D84010" w:rsidRDefault="00DD20F4">
      <w:pPr>
        <w:pStyle w:val="1"/>
        <w:spacing w:before="0" w:after="0" w:line="560" w:lineRule="exact"/>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2021年扩项的37项，涉及食品常规项目、添加剂和非食用物质、农药残留、兽药残留、微生物、糖及糖制品6类子领域。</w:t>
      </w:r>
    </w:p>
    <w:p w:rsidR="00D84010" w:rsidRDefault="00DD20F4">
      <w:pPr>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3.项目的效益型分析</w:t>
      </w:r>
    </w:p>
    <w:p w:rsidR="00D84010" w:rsidRDefault="00DD20F4">
      <w:pPr>
        <w:spacing w:before="0" w:after="0"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（1）项目预期目标完成程度。该项目预期计划目标全部完成，该年度</w:t>
      </w:r>
      <w:r>
        <w:rPr>
          <w:rFonts w:ascii="仿宋_GB2312" w:eastAsia="仿宋_GB2312" w:hAnsi="仿宋_GB2312" w:cs="仿宋_GB2312" w:hint="eastAsia"/>
          <w:color w:val="000000"/>
          <w:sz w:val="32"/>
          <w:szCs w:val="32"/>
        </w:rPr>
        <w:t>财政收支未发生重大问题。</w:t>
      </w:r>
    </w:p>
    <w:p w:rsidR="00D84010" w:rsidRDefault="00DD20F4">
      <w:pPr>
        <w:pStyle w:val="1"/>
        <w:spacing w:before="0" w:after="0" w:line="56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（2）项目实施对经济和社会的影响。通过对“幼儿配方奶粉中微生物”“掺假赤砂糖”“食品中非法添加”“米粉中食品</w:t>
      </w:r>
      <w:r>
        <w:rPr>
          <w:rFonts w:ascii="仿宋_GB2312" w:eastAsia="仿宋_GB2312" w:hAnsi="仿宋_GB2312" w:cs="仿宋_GB2312" w:hint="eastAsia"/>
          <w:sz w:val="32"/>
          <w:szCs w:val="32"/>
        </w:rPr>
        <w:lastRenderedPageBreak/>
        <w:t>添加剂”“食用油中塑化剂”“白酒中甜味剂”“饮料中咖啡因”“椰子汁食品添加剂”“真假牛羊肉”等10余件公共事件提供技术支持</w:t>
      </w:r>
      <w:r>
        <w:rPr>
          <w:rFonts w:ascii="仿宋_GB2312" w:eastAsia="仿宋_GB2312" w:hAnsi="仿宋_GB2312" w:cs="仿宋_GB2312" w:hint="eastAsia"/>
          <w:kern w:val="2"/>
          <w:sz w:val="32"/>
          <w:szCs w:val="32"/>
        </w:rPr>
        <w:t>，为规范市场秩序，肃清谣言及强化社会监督,鼓励公众参与食品安全监管,及时控制和消除食品安全隐患发挥了重要的技术支撑作用和更好的服务食品安全监管。</w:t>
      </w:r>
      <w:r>
        <w:rPr>
          <w:rFonts w:ascii="仿宋_GB2312" w:eastAsia="仿宋_GB2312" w:hAnsi="仿宋_GB2312" w:cs="仿宋_GB2312" w:hint="eastAsia"/>
          <w:sz w:val="32"/>
          <w:szCs w:val="32"/>
        </w:rPr>
        <w:t>开展实验室公众开放、你点我检、进社区进商超志愿服务等活动，普及食品安全知识，受到社会广泛赞许。</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4.项目的可持续性分析</w:t>
      </w:r>
    </w:p>
    <w:p w:rsidR="00D84010" w:rsidRDefault="00DD20F4">
      <w:pPr>
        <w:pStyle w:val="1"/>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面对当今社会复杂多变的饮食环境，为百姓提供食品安全保障，</w:t>
      </w:r>
      <w:r>
        <w:rPr>
          <w:rFonts w:ascii="仿宋_GB2312" w:eastAsia="仿宋_GB2312" w:hAnsi="仿宋_GB2312" w:cs="仿宋_GB2312" w:hint="eastAsia"/>
          <w:color w:val="000000"/>
          <w:sz w:val="32"/>
          <w:szCs w:val="32"/>
        </w:rPr>
        <w:t>提升我省食品安全检验检测能力，加强食品安全监督管理力度是我们需要一直坚持进行的工作 。我们要贯彻以“服从监管需要，服务公众健康”为工作宗旨，贯彻落实专项资金有效使用，</w:t>
      </w:r>
      <w:r>
        <w:rPr>
          <w:rFonts w:ascii="仿宋_GB2312" w:eastAsia="仿宋_GB2312" w:hAnsi="仿宋_GB2312" w:cs="仿宋_GB2312" w:hint="eastAsia"/>
          <w:sz w:val="32"/>
          <w:szCs w:val="32"/>
        </w:rPr>
        <w:t>进一步发挥好政府实验室的技术兜底支撑作用。</w:t>
      </w:r>
    </w:p>
    <w:p w:rsidR="00D84010" w:rsidRDefault="00DD20F4">
      <w:pPr>
        <w:numPr>
          <w:ilvl w:val="0"/>
          <w:numId w:val="5"/>
        </w:numPr>
        <w:spacing w:before="0" w:after="0" w:line="560" w:lineRule="exact"/>
        <w:ind w:firstLine="640"/>
        <w:rPr>
          <w:rFonts w:ascii="楷体" w:eastAsia="楷体" w:hAnsi="楷体" w:cs="仿宋_GB2312"/>
          <w:sz w:val="32"/>
          <w:szCs w:val="32"/>
        </w:rPr>
      </w:pPr>
      <w:r>
        <w:rPr>
          <w:rFonts w:ascii="楷体" w:eastAsia="楷体" w:hAnsi="楷体" w:cs="仿宋_GB2312" w:hint="eastAsia"/>
          <w:sz w:val="32"/>
          <w:szCs w:val="32"/>
        </w:rPr>
        <w:t>项目绩效目标未完成原因分析</w:t>
      </w:r>
    </w:p>
    <w:p w:rsidR="00D84010" w:rsidRDefault="00DD20F4">
      <w:pPr>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无未完成情况。</w:t>
      </w:r>
    </w:p>
    <w:p w:rsidR="00D84010" w:rsidRDefault="00DD20F4">
      <w:pPr>
        <w:spacing w:before="0" w:after="0" w:line="560" w:lineRule="exact"/>
        <w:ind w:firstLine="640"/>
        <w:rPr>
          <w:rFonts w:ascii="黑体" w:eastAsia="黑体" w:hAnsi="黑体" w:cs="黑体"/>
          <w:sz w:val="32"/>
          <w:szCs w:val="32"/>
        </w:rPr>
      </w:pPr>
      <w:r>
        <w:rPr>
          <w:rFonts w:ascii="黑体" w:eastAsia="黑体" w:hAnsi="黑体" w:cs="黑体" w:hint="eastAsia"/>
          <w:sz w:val="32"/>
          <w:szCs w:val="32"/>
        </w:rPr>
        <w:t>五、其他需要说明的情况</w:t>
      </w:r>
    </w:p>
    <w:p w:rsidR="00D84010" w:rsidRDefault="00DD20F4">
      <w:pPr>
        <w:spacing w:before="0" w:after="0" w:line="560" w:lineRule="exact"/>
        <w:ind w:firstLine="640"/>
        <w:rPr>
          <w:rFonts w:ascii="楷体" w:eastAsia="楷体" w:hAnsi="楷体" w:cs="仿宋_GB2312"/>
          <w:sz w:val="32"/>
          <w:szCs w:val="32"/>
        </w:rPr>
      </w:pPr>
      <w:r>
        <w:rPr>
          <w:rFonts w:ascii="楷体" w:eastAsia="楷体" w:hAnsi="楷体" w:cs="仿宋_GB2312" w:hint="eastAsia"/>
          <w:sz w:val="32"/>
          <w:szCs w:val="32"/>
        </w:rPr>
        <w:t>（一）后续工作计划</w:t>
      </w:r>
    </w:p>
    <w:p w:rsidR="00D84010" w:rsidRDefault="00DD20F4">
      <w:pPr>
        <w:spacing w:before="0" w:after="0" w:line="560" w:lineRule="exact"/>
        <w:ind w:firstLine="640"/>
        <w:rPr>
          <w:rFonts w:ascii="仿宋_GB2312" w:eastAsia="仿宋_GB2312" w:hAnsi="方正仿宋简体" w:cs="仿宋_GB2312"/>
          <w:sz w:val="32"/>
          <w:szCs w:val="32"/>
        </w:rPr>
      </w:pPr>
      <w:r>
        <w:rPr>
          <w:rFonts w:ascii="仿宋_GB2312" w:eastAsia="仿宋_GB2312" w:hAnsi="方正仿宋简体" w:cs="仿宋_GB2312" w:hint="eastAsia"/>
          <w:sz w:val="32"/>
          <w:szCs w:val="32"/>
        </w:rPr>
        <w:t>2021年食品药品安全保障项目已按预期计划圆满完成，接下来我们将重新梳理该项目执行过程中的经验及做法，优化执行程序，选择性调整细化各个绩效指标，为往后的预算项目执行提供参考，让财政资金发挥最大化效益。</w:t>
      </w:r>
    </w:p>
    <w:p w:rsidR="00D84010" w:rsidRDefault="00DD20F4">
      <w:pPr>
        <w:spacing w:before="0" w:after="0" w:line="560" w:lineRule="exact"/>
        <w:ind w:firstLine="640"/>
        <w:rPr>
          <w:rFonts w:ascii="楷体" w:eastAsia="楷体" w:hAnsi="楷体" w:cs="仿宋_GB2312"/>
          <w:sz w:val="32"/>
          <w:szCs w:val="32"/>
        </w:rPr>
      </w:pPr>
      <w:r>
        <w:rPr>
          <w:rFonts w:ascii="楷体" w:eastAsia="楷体" w:hAnsi="楷体" w:cs="仿宋_GB2312" w:hint="eastAsia"/>
          <w:sz w:val="32"/>
          <w:szCs w:val="32"/>
        </w:rPr>
        <w:t>（二）主要经验及做法</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是项目预算编制要严格依据以前年度单位收支的实际情况，真实反映单位本年度全部业务收支计划，避免虚增预算出现剩余情况。二是积极工作，稳步推进。预算下达后要明确相关科室责任，督促各科室将项目预算落到实处，使财政资金得到充分利用。三是加强组织实施，促进绩效监控工作的规范、有序、顺利开展。四是精心组织，提升预算项目绩效水平。</w:t>
      </w:r>
    </w:p>
    <w:p w:rsidR="00D84010" w:rsidRDefault="00DD20F4">
      <w:pPr>
        <w:spacing w:before="0" w:after="0" w:line="560" w:lineRule="exact"/>
        <w:ind w:firstLine="640"/>
        <w:rPr>
          <w:rFonts w:ascii="楷体" w:eastAsia="楷体" w:hAnsi="楷体" w:cs="仿宋_GB2312"/>
          <w:sz w:val="32"/>
          <w:szCs w:val="32"/>
        </w:rPr>
      </w:pPr>
      <w:r>
        <w:rPr>
          <w:rFonts w:ascii="楷体" w:eastAsia="楷体" w:hAnsi="楷体" w:cs="仿宋_GB2312" w:hint="eastAsia"/>
          <w:sz w:val="32"/>
          <w:szCs w:val="32"/>
        </w:rPr>
        <w:t>（三）存在的问题和建议</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当前添翼实验系统还在优化完善的状态，偶尔会出现运行不畅的情况，影响项目支出进度，降低了检验人员的工作效率。</w:t>
      </w:r>
    </w:p>
    <w:p w:rsidR="00D84010" w:rsidRDefault="00DD20F4">
      <w:pPr>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一是积极跟天翼工程师沟通，加快平台升级进度；二是优化</w:t>
      </w:r>
    </w:p>
    <w:p w:rsidR="00D84010" w:rsidRDefault="00DD20F4">
      <w:pPr>
        <w:spacing w:before="0" w:after="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采购方式，灵活执行预算。</w:t>
      </w:r>
    </w:p>
    <w:p w:rsidR="00D84010" w:rsidRDefault="00D84010">
      <w:pPr>
        <w:spacing w:before="0" w:after="0" w:line="560" w:lineRule="exact"/>
        <w:rPr>
          <w:rFonts w:ascii="仿宋_GB2312" w:eastAsia="仿宋_GB2312" w:hAnsi="仿宋_GB2312" w:cs="仿宋_GB2312"/>
          <w:sz w:val="32"/>
          <w:szCs w:val="32"/>
        </w:rPr>
      </w:pPr>
    </w:p>
    <w:p w:rsidR="00D84010" w:rsidRDefault="00D84010">
      <w:pPr>
        <w:spacing w:before="0" w:after="0" w:line="560" w:lineRule="exact"/>
        <w:rPr>
          <w:rFonts w:ascii="仿宋_GB2312" w:eastAsia="仿宋_GB2312" w:hAnsi="仿宋_GB2312" w:cs="仿宋_GB2312"/>
          <w:sz w:val="32"/>
          <w:szCs w:val="32"/>
        </w:rPr>
      </w:pPr>
    </w:p>
    <w:p w:rsidR="00D84010" w:rsidRDefault="00D84010">
      <w:pPr>
        <w:spacing w:before="0" w:after="0" w:line="560" w:lineRule="exact"/>
        <w:rPr>
          <w:rFonts w:ascii="仿宋_GB2312" w:eastAsia="仿宋_GB2312" w:hAnsi="仿宋_GB2312" w:cs="仿宋_GB2312"/>
          <w:sz w:val="32"/>
          <w:szCs w:val="32"/>
        </w:rPr>
      </w:pPr>
    </w:p>
    <w:p w:rsidR="00D84010" w:rsidRDefault="00DD20F4">
      <w:pPr>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海南省食品检验检测中心</w:t>
      </w:r>
    </w:p>
    <w:p w:rsidR="00D84010" w:rsidRDefault="00DD20F4">
      <w:pPr>
        <w:spacing w:before="0"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2022年5月20日</w:t>
      </w:r>
    </w:p>
    <w:sectPr w:rsidR="00D84010" w:rsidSect="00D840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F0" w:rsidRDefault="007B25F0" w:rsidP="00D84010">
      <w:pPr>
        <w:spacing w:before="0" w:after="0"/>
      </w:pPr>
      <w:r>
        <w:separator/>
      </w:r>
    </w:p>
  </w:endnote>
  <w:endnote w:type="continuationSeparator" w:id="1">
    <w:p w:rsidR="007B25F0" w:rsidRDefault="007B25F0" w:rsidP="00D840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方正仿宋_GBK"/>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10" w:rsidRDefault="001C74DE">
    <w:pPr>
      <w:pStyle w:val="a3"/>
      <w:framePr w:wrap="around" w:vAnchor="text" w:hAnchor="margin" w:xAlign="outside" w:y="1"/>
      <w:rPr>
        <w:rStyle w:val="a5"/>
      </w:rPr>
    </w:pPr>
    <w:r>
      <w:rPr>
        <w:rStyle w:val="a5"/>
      </w:rPr>
      <w:fldChar w:fldCharType="begin"/>
    </w:r>
    <w:r w:rsidR="00DD20F4">
      <w:rPr>
        <w:rStyle w:val="a5"/>
      </w:rPr>
      <w:instrText xml:space="preserve">PAGE  </w:instrText>
    </w:r>
    <w:r>
      <w:rPr>
        <w:rStyle w:val="a5"/>
      </w:rPr>
      <w:fldChar w:fldCharType="end"/>
    </w:r>
  </w:p>
  <w:p w:rsidR="00D84010" w:rsidRDefault="00D8401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10" w:rsidRDefault="00DD20F4">
    <w:pPr>
      <w:pStyle w:val="a3"/>
      <w:framePr w:wrap="around" w:vAnchor="text" w:hAnchor="margin" w:xAlign="outside" w:y="1"/>
      <w:rPr>
        <w:rStyle w:val="a5"/>
        <w:rFonts w:ascii="宋体" w:hAnsi="宋体"/>
        <w:sz w:val="28"/>
        <w:szCs w:val="28"/>
      </w:rPr>
    </w:pPr>
    <w:r>
      <w:rPr>
        <w:rStyle w:val="a5"/>
        <w:rFonts w:ascii="宋体" w:hAnsi="宋体" w:hint="eastAsia"/>
        <w:sz w:val="28"/>
        <w:szCs w:val="28"/>
      </w:rPr>
      <w:t>—</w:t>
    </w:r>
    <w:r w:rsidR="001C74DE">
      <w:rPr>
        <w:rStyle w:val="a5"/>
        <w:rFonts w:ascii="宋体" w:hAnsi="宋体"/>
        <w:sz w:val="28"/>
        <w:szCs w:val="28"/>
      </w:rPr>
      <w:fldChar w:fldCharType="begin"/>
    </w:r>
    <w:r>
      <w:rPr>
        <w:rStyle w:val="a5"/>
        <w:rFonts w:ascii="宋体" w:hAnsi="宋体"/>
        <w:sz w:val="28"/>
        <w:szCs w:val="28"/>
      </w:rPr>
      <w:instrText xml:space="preserve">PAGE  </w:instrText>
    </w:r>
    <w:r w:rsidR="001C74DE">
      <w:rPr>
        <w:rStyle w:val="a5"/>
        <w:rFonts w:ascii="宋体" w:hAnsi="宋体"/>
        <w:sz w:val="28"/>
        <w:szCs w:val="28"/>
      </w:rPr>
      <w:fldChar w:fldCharType="separate"/>
    </w:r>
    <w:r w:rsidR="007C02FC">
      <w:rPr>
        <w:rStyle w:val="a5"/>
        <w:rFonts w:ascii="宋体" w:hAnsi="宋体"/>
        <w:noProof/>
        <w:sz w:val="28"/>
        <w:szCs w:val="28"/>
      </w:rPr>
      <w:t>3</w:t>
    </w:r>
    <w:r w:rsidR="001C74DE">
      <w:rPr>
        <w:rStyle w:val="a5"/>
        <w:rFonts w:ascii="宋体" w:hAnsi="宋体"/>
        <w:sz w:val="28"/>
        <w:szCs w:val="28"/>
      </w:rPr>
      <w:fldChar w:fldCharType="end"/>
    </w:r>
    <w:r>
      <w:rPr>
        <w:rStyle w:val="a5"/>
        <w:rFonts w:ascii="宋体" w:hAnsi="宋体" w:hint="eastAsia"/>
        <w:sz w:val="28"/>
        <w:szCs w:val="28"/>
      </w:rPr>
      <w:t>—</w:t>
    </w:r>
  </w:p>
  <w:p w:rsidR="00D84010" w:rsidRDefault="00D84010">
    <w:pPr>
      <w:pStyle w:val="a3"/>
      <w:ind w:right="360" w:firstLine="360"/>
      <w:jc w:val="center"/>
    </w:pPr>
  </w:p>
  <w:p w:rsidR="00D84010" w:rsidRDefault="00D840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F0" w:rsidRDefault="007B25F0" w:rsidP="00D84010">
      <w:pPr>
        <w:spacing w:before="0" w:after="0"/>
      </w:pPr>
      <w:r>
        <w:separator/>
      </w:r>
    </w:p>
  </w:footnote>
  <w:footnote w:type="continuationSeparator" w:id="1">
    <w:p w:rsidR="007B25F0" w:rsidRDefault="007B25F0" w:rsidP="00D8401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65DA48"/>
    <w:multiLevelType w:val="singleLevel"/>
    <w:tmpl w:val="8E65DA48"/>
    <w:lvl w:ilvl="0">
      <w:start w:val="1"/>
      <w:numFmt w:val="chineseCounting"/>
      <w:suff w:val="nothing"/>
      <w:lvlText w:val="（%1）"/>
      <w:lvlJc w:val="left"/>
      <w:rPr>
        <w:rFonts w:hint="eastAsia"/>
      </w:rPr>
    </w:lvl>
  </w:abstractNum>
  <w:abstractNum w:abstractNumId="1">
    <w:nsid w:val="FBA5B1A2"/>
    <w:multiLevelType w:val="singleLevel"/>
    <w:tmpl w:val="FBA5B1A2"/>
    <w:lvl w:ilvl="0">
      <w:start w:val="4"/>
      <w:numFmt w:val="chineseCounting"/>
      <w:suff w:val="nothing"/>
      <w:lvlText w:val="%1、"/>
      <w:lvlJc w:val="left"/>
      <w:rPr>
        <w:rFonts w:hint="eastAsia"/>
      </w:rPr>
    </w:lvl>
  </w:abstractNum>
  <w:abstractNum w:abstractNumId="2">
    <w:nsid w:val="01836025"/>
    <w:multiLevelType w:val="singleLevel"/>
    <w:tmpl w:val="01836025"/>
    <w:lvl w:ilvl="0">
      <w:start w:val="2"/>
      <w:numFmt w:val="chineseCounting"/>
      <w:suff w:val="nothing"/>
      <w:lvlText w:val="（%1）"/>
      <w:lvlJc w:val="left"/>
      <w:rPr>
        <w:rFonts w:hint="eastAsia"/>
      </w:rPr>
    </w:lvl>
  </w:abstractNum>
  <w:abstractNum w:abstractNumId="3">
    <w:nsid w:val="5EA10EF3"/>
    <w:multiLevelType w:val="singleLevel"/>
    <w:tmpl w:val="5EA10EF3"/>
    <w:lvl w:ilvl="0">
      <w:start w:val="1"/>
      <w:numFmt w:val="decimal"/>
      <w:suff w:val="nothing"/>
      <w:lvlText w:val="%1."/>
      <w:lvlJc w:val="left"/>
    </w:lvl>
  </w:abstractNum>
  <w:abstractNum w:abstractNumId="4">
    <w:nsid w:val="5EA14FD6"/>
    <w:multiLevelType w:val="singleLevel"/>
    <w:tmpl w:val="5EA14FD6"/>
    <w:lvl w:ilvl="0">
      <w:start w:val="2"/>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U2NTc0MmJlOWIzMzM2NWMyMzY4YWZhMzg4OWYyMzMifQ=="/>
  </w:docVars>
  <w:rsids>
    <w:rsidRoot w:val="00CB3729"/>
    <w:rsid w:val="D6EE17C2"/>
    <w:rsid w:val="FC7D5AA4"/>
    <w:rsid w:val="FCFE49C0"/>
    <w:rsid w:val="00023F27"/>
    <w:rsid w:val="00026576"/>
    <w:rsid w:val="00056073"/>
    <w:rsid w:val="00073837"/>
    <w:rsid w:val="000802D2"/>
    <w:rsid w:val="000C23F7"/>
    <w:rsid w:val="001011BE"/>
    <w:rsid w:val="00103D60"/>
    <w:rsid w:val="001122CD"/>
    <w:rsid w:val="001610A1"/>
    <w:rsid w:val="001C74DE"/>
    <w:rsid w:val="00211538"/>
    <w:rsid w:val="002649FD"/>
    <w:rsid w:val="00312276"/>
    <w:rsid w:val="00402EE0"/>
    <w:rsid w:val="00446DF3"/>
    <w:rsid w:val="004661F3"/>
    <w:rsid w:val="0051663C"/>
    <w:rsid w:val="0053565E"/>
    <w:rsid w:val="00596F77"/>
    <w:rsid w:val="00663508"/>
    <w:rsid w:val="006E4A44"/>
    <w:rsid w:val="007258C9"/>
    <w:rsid w:val="007B1395"/>
    <w:rsid w:val="007B25F0"/>
    <w:rsid w:val="007C02FC"/>
    <w:rsid w:val="007C0C5B"/>
    <w:rsid w:val="007D7265"/>
    <w:rsid w:val="007F3763"/>
    <w:rsid w:val="00830D45"/>
    <w:rsid w:val="00845CBE"/>
    <w:rsid w:val="008F114F"/>
    <w:rsid w:val="00957A0D"/>
    <w:rsid w:val="00997A1C"/>
    <w:rsid w:val="009C2411"/>
    <w:rsid w:val="009E34CA"/>
    <w:rsid w:val="00A3073E"/>
    <w:rsid w:val="00A3748B"/>
    <w:rsid w:val="00A57A6D"/>
    <w:rsid w:val="00AD2A29"/>
    <w:rsid w:val="00B032FC"/>
    <w:rsid w:val="00B22826"/>
    <w:rsid w:val="00B87636"/>
    <w:rsid w:val="00B95DB9"/>
    <w:rsid w:val="00BB7E6C"/>
    <w:rsid w:val="00BD4288"/>
    <w:rsid w:val="00BD5900"/>
    <w:rsid w:val="00CA438F"/>
    <w:rsid w:val="00CB3729"/>
    <w:rsid w:val="00CE4C20"/>
    <w:rsid w:val="00D42915"/>
    <w:rsid w:val="00D84010"/>
    <w:rsid w:val="00DA3DC1"/>
    <w:rsid w:val="00DD20F4"/>
    <w:rsid w:val="00E01757"/>
    <w:rsid w:val="00E200BA"/>
    <w:rsid w:val="00EA2166"/>
    <w:rsid w:val="00EB3B34"/>
    <w:rsid w:val="00ED6429"/>
    <w:rsid w:val="00EF6312"/>
    <w:rsid w:val="00F121A9"/>
    <w:rsid w:val="00F23832"/>
    <w:rsid w:val="00F44760"/>
    <w:rsid w:val="00F72082"/>
    <w:rsid w:val="00FD5B59"/>
    <w:rsid w:val="00FE4901"/>
    <w:rsid w:val="04E2157A"/>
    <w:rsid w:val="04E35A1E"/>
    <w:rsid w:val="07FE66CB"/>
    <w:rsid w:val="0926237D"/>
    <w:rsid w:val="0AA93D07"/>
    <w:rsid w:val="0B925AA8"/>
    <w:rsid w:val="0CD6523C"/>
    <w:rsid w:val="135005A2"/>
    <w:rsid w:val="13FE288D"/>
    <w:rsid w:val="17D2549A"/>
    <w:rsid w:val="1EFF3413"/>
    <w:rsid w:val="205775A3"/>
    <w:rsid w:val="21D92BDF"/>
    <w:rsid w:val="25517FBF"/>
    <w:rsid w:val="28493ED5"/>
    <w:rsid w:val="29CE7267"/>
    <w:rsid w:val="29D23485"/>
    <w:rsid w:val="2C2B3683"/>
    <w:rsid w:val="35996D48"/>
    <w:rsid w:val="391B6AA2"/>
    <w:rsid w:val="3D420749"/>
    <w:rsid w:val="3F6F78D3"/>
    <w:rsid w:val="41EB6778"/>
    <w:rsid w:val="42A459E7"/>
    <w:rsid w:val="4AC22C29"/>
    <w:rsid w:val="4B2D319F"/>
    <w:rsid w:val="51162720"/>
    <w:rsid w:val="514629AD"/>
    <w:rsid w:val="51A265CF"/>
    <w:rsid w:val="58E821BF"/>
    <w:rsid w:val="5B890C51"/>
    <w:rsid w:val="5BCE7C55"/>
    <w:rsid w:val="5BCF756D"/>
    <w:rsid w:val="64BF44DB"/>
    <w:rsid w:val="68D334AF"/>
    <w:rsid w:val="6F986709"/>
    <w:rsid w:val="76660B2F"/>
    <w:rsid w:val="77490984"/>
    <w:rsid w:val="7E5A7BF2"/>
    <w:rsid w:val="7E5F1964"/>
    <w:rsid w:val="7E621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10"/>
    <w:pPr>
      <w:spacing w:before="120" w:after="240"/>
      <w:jc w:val="both"/>
    </w:pPr>
    <w:rPr>
      <w:rFonts w:ascii="Calibri" w:hAnsi="Calibri"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D84010"/>
    <w:pPr>
      <w:tabs>
        <w:tab w:val="center" w:pos="4153"/>
        <w:tab w:val="right" w:pos="8306"/>
      </w:tabs>
      <w:snapToGrid w:val="0"/>
      <w:jc w:val="left"/>
    </w:pPr>
    <w:rPr>
      <w:sz w:val="18"/>
      <w:szCs w:val="18"/>
    </w:rPr>
  </w:style>
  <w:style w:type="paragraph" w:styleId="a4">
    <w:name w:val="header"/>
    <w:basedOn w:val="a"/>
    <w:link w:val="Char"/>
    <w:uiPriority w:val="99"/>
    <w:semiHidden/>
    <w:unhideWhenUsed/>
    <w:qFormat/>
    <w:rsid w:val="00D8401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84010"/>
  </w:style>
  <w:style w:type="character" w:customStyle="1" w:styleId="font11">
    <w:name w:val="font11"/>
    <w:basedOn w:val="a0"/>
    <w:qFormat/>
    <w:rsid w:val="00D84010"/>
    <w:rPr>
      <w:rFonts w:ascii="宋体" w:eastAsia="宋体" w:hAnsi="宋体" w:cs="宋体" w:hint="eastAsia"/>
      <w:color w:val="000000"/>
      <w:sz w:val="22"/>
      <w:szCs w:val="22"/>
      <w:u w:val="none"/>
    </w:rPr>
  </w:style>
  <w:style w:type="character" w:customStyle="1" w:styleId="font21">
    <w:name w:val="font21"/>
    <w:basedOn w:val="a0"/>
    <w:qFormat/>
    <w:rsid w:val="00D84010"/>
    <w:rPr>
      <w:rFonts w:ascii="宋体" w:eastAsia="宋体" w:hAnsi="宋体" w:cs="宋体" w:hint="eastAsia"/>
      <w:color w:val="000000"/>
      <w:sz w:val="22"/>
      <w:szCs w:val="22"/>
      <w:u w:val="none"/>
    </w:rPr>
  </w:style>
  <w:style w:type="paragraph" w:customStyle="1" w:styleId="2">
    <w:name w:val="列出段落2"/>
    <w:basedOn w:val="a"/>
    <w:qFormat/>
    <w:rsid w:val="00D84010"/>
    <w:pPr>
      <w:adjustRightInd w:val="0"/>
      <w:snapToGrid w:val="0"/>
      <w:spacing w:after="200"/>
      <w:ind w:firstLineChars="200" w:firstLine="420"/>
      <w:jc w:val="left"/>
    </w:pPr>
    <w:rPr>
      <w:rFonts w:ascii="Tahoma" w:eastAsia="微软雅黑" w:hAnsi="Tahoma" w:cs="Tahoma"/>
    </w:rPr>
  </w:style>
  <w:style w:type="paragraph" w:customStyle="1" w:styleId="1">
    <w:name w:val="列出段落1"/>
    <w:basedOn w:val="a"/>
    <w:qFormat/>
    <w:rsid w:val="00D84010"/>
    <w:pPr>
      <w:adjustRightInd w:val="0"/>
      <w:snapToGrid w:val="0"/>
      <w:spacing w:after="200"/>
      <w:ind w:firstLineChars="200" w:firstLine="420"/>
      <w:jc w:val="left"/>
    </w:pPr>
    <w:rPr>
      <w:rFonts w:ascii="Tahoma" w:eastAsia="微软雅黑" w:hAnsi="Tahoma" w:cs="Tahoma"/>
    </w:rPr>
  </w:style>
  <w:style w:type="paragraph" w:styleId="a6">
    <w:name w:val="List Paragraph"/>
    <w:basedOn w:val="a"/>
    <w:uiPriority w:val="34"/>
    <w:qFormat/>
    <w:rsid w:val="00D84010"/>
    <w:pPr>
      <w:ind w:firstLineChars="200" w:firstLine="420"/>
    </w:pPr>
    <w:rPr>
      <w:rFonts w:cs="Times New Roman"/>
    </w:rPr>
  </w:style>
  <w:style w:type="character" w:customStyle="1" w:styleId="Char">
    <w:name w:val="页眉 Char"/>
    <w:basedOn w:val="a0"/>
    <w:link w:val="a4"/>
    <w:uiPriority w:val="99"/>
    <w:semiHidden/>
    <w:qFormat/>
    <w:rsid w:val="00D84010"/>
    <w:rPr>
      <w:rFonts w:ascii="Calibri" w:hAnsi="Calibri"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LENOVO</cp:lastModifiedBy>
  <cp:revision>48</cp:revision>
  <cp:lastPrinted>2022-05-18T23:04:00Z</cp:lastPrinted>
  <dcterms:created xsi:type="dcterms:W3CDTF">2022-05-12T23:01:00Z</dcterms:created>
  <dcterms:modified xsi:type="dcterms:W3CDTF">2022-06-10T08:53:00Z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022002A56F874C09985D48B1CFADC9F1</vt:lpwstr>
  </property>
</Properties>
</file>