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5495" w:type="dxa"/>
        <w:tblInd w:w="0" w:type="dxa"/>
        <w:shd w:val="clear"/>
        <w:tblLayout w:type="autofit"/>
        <w:tblCellMar>
          <w:top w:w="0" w:type="dxa"/>
          <w:left w:w="0" w:type="dxa"/>
          <w:bottom w:w="0" w:type="dxa"/>
          <w:right w:w="0" w:type="dxa"/>
        </w:tblCellMar>
      </w:tblPr>
      <w:tblGrid>
        <w:gridCol w:w="664"/>
        <w:gridCol w:w="3311"/>
        <w:gridCol w:w="2883"/>
        <w:gridCol w:w="2035"/>
        <w:gridCol w:w="1230"/>
        <w:gridCol w:w="1515"/>
        <w:gridCol w:w="3857"/>
      </w:tblGrid>
      <w:tr>
        <w:tblPrEx>
          <w:tblCellMar>
            <w:top w:w="0" w:type="dxa"/>
            <w:left w:w="0" w:type="dxa"/>
            <w:bottom w:w="0" w:type="dxa"/>
            <w:right w:w="0" w:type="dxa"/>
          </w:tblCellMar>
        </w:tblPrEx>
        <w:trPr>
          <w:trHeight w:val="352"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ascii="仿宋" w:hAnsi="仿宋" w:eastAsia="仿宋" w:cs="仿宋"/>
                <w:b/>
                <w:i w:val="0"/>
                <w:color w:val="000000"/>
                <w:sz w:val="28"/>
                <w:szCs w:val="28"/>
                <w:u w:val="none"/>
              </w:rPr>
            </w:pPr>
            <w:r>
              <w:rPr>
                <w:rFonts w:hint="eastAsia" w:ascii="仿宋" w:hAnsi="仿宋" w:eastAsia="仿宋" w:cs="仿宋"/>
                <w:b/>
                <w:i w:val="0"/>
                <w:color w:val="000000"/>
                <w:kern w:val="0"/>
                <w:sz w:val="28"/>
                <w:szCs w:val="28"/>
                <w:u w:val="none"/>
                <w:bdr w:val="none" w:color="auto" w:sz="0" w:space="0"/>
                <w:lang w:val="en-US" w:eastAsia="zh-CN" w:bidi="ar"/>
              </w:rPr>
              <w:t>四、违反标准化和条码监管行政处罚</w:t>
            </w:r>
          </w:p>
        </w:tc>
      </w:tr>
      <w:tr>
        <w:tblPrEx>
          <w:shd w:val="clear"/>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《商品条码管理办法》（2005年10月1日实施）</w:t>
            </w:r>
          </w:p>
        </w:tc>
      </w:tr>
      <w:tr>
        <w:tblPrEx>
          <w:tblCellMar>
            <w:top w:w="0" w:type="dxa"/>
            <w:left w:w="0" w:type="dxa"/>
            <w:bottom w:w="0" w:type="dxa"/>
            <w:right w:w="0" w:type="dxa"/>
          </w:tblCellMar>
        </w:tblPrEx>
        <w:trPr>
          <w:trHeight w:val="270" w:hRule="atLeast"/>
        </w:trPr>
        <w:tc>
          <w:tcPr>
            <w:tcW w:w="66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序号</w:t>
            </w:r>
          </w:p>
        </w:tc>
        <w:tc>
          <w:tcPr>
            <w:tcW w:w="3311"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法律依据</w:t>
            </w:r>
          </w:p>
        </w:tc>
        <w:tc>
          <w:tcPr>
            <w:tcW w:w="2883"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违法行为</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处罚种类</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处罚阶次</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适用情形</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裁量基准</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商品条码管理办法》第三十五条：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未经核准注册使用厂商识别代码和相应商品条码的。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责令改正，处不足0.9万元罚款。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责令改正，处0.9万元以上不足2.1万元罚款。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责令改正，处2.1万元以上3万元以下罚款。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在商品包装上使用其他条码冒充商品条码或伪造商品条码的。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责令改正，处不足0.9万元罚款。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责令改正，处0.9万元以上不足2.1万元罚款。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责令改正，处2.1万元以上3万元以下罚款。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使用已经注销的厂商识别代码和相应商品条码的。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责令改正，处不足0.9万元罚款。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责令改正，处0.9万元以上不足2.1万元罚款。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责令改正，处2.1万元以上3万元以下罚款。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《商品条码管理办法》第三十六条：经销的商品印有未经核准注册、备案或者伪造的商品条码的，责令其改正，处以10000元以下罚款。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经销的商品印有未经核准注册、备案或者伪造的商品条码的。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责令改正，处不足0.3万元罚款。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责令改正，处0.3万元以上不足0.7万元罚款。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责令改正，0.7万元以上1万元以下罚款。</w:t>
            </w:r>
          </w:p>
        </w:tc>
      </w:tr>
      <w:tr>
        <w:tblPrEx>
          <w:shd w:val="clear"/>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《海南经济特区公共信息标志标准化管理规定》（2017年3月1日实施）</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3</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经济特区公共信息标志标准化管理规定》第二十二条：违反本规定，有下列影响公共信息标志正常使用情形之一的，由质量技术监督部门或者有关行政主管部门在各自的职责范围内责令限期改正；逾期不改正的，处一千元以上一万元以下罚款；情节严重的，处一万元以上十万元以下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 xml:space="preserve"> 　　(一) 设计、制作或者销售不符合标准目录所列标准的公共信息标志产品的；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 xml:space="preserve"> 　　(二) 未按照规定设置公共信息标志，或者设置的公共信息标志不符合标准目录所列标准的；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 xml:space="preserve"> 　　(三) 公共信息发生变更或者公共信息标志有损坏、脱落等情况，影响公共信息标志提示和指引功能，未及时修复、更新或者拆除的；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 xml:space="preserve"> 　　(四) 在公共信息标志上附加广告内容的；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 xml:space="preserve"> 　　(五) 影响公共信息标志正常使用的其他情形。</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设计、制作或者销售不符合标准目录所列标准的公共信息标志产品的，责令改正而逾期未改，且不构成情节严重的。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处不足0.3万元罚款。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处0.3万元以上不足0.7万元罚款。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处0.7万元以上1万元以下罚款。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设计、制作或者销售不符合标准目录所列标准的公共信息标志产品的，责令改正而逾期未改，情节严重的。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处不足3.7万元罚款。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处3.7万元以上不足7.3万元罚款。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处7.3万元以上10万元以下罚款。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未按照规定设置公共信息标志，或者设置的公共信息标志不符合标准目录所列标准的，责令改正而逾期未改，且不构成情节严重的。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处不足0.3万元罚款。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处0.3万元以上不足0.7万元罚款。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处0.7万元以上1万元以下罚款。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未按照规定设置公共信息标志，或者设置的公共信息标志不符合标准目录所列标准的，责令改正而逾期未改，情节严重的。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处不足3.7万元罚款。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处3.7万元以上不足7.3万元罚款。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处7.3万元以上10万元以下罚款。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公共信息发生变更或者公共信息标志有损坏、脱落等情况，影响公共信息标志提示和指引功能，未及时修复、更新或者拆除的，责令改正而逾期未改，且不构成情节严重的。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处不足0.3万元罚款。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处0.3万元以上不足0.7万元罚款。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处0.7万元以上1万元以下罚款。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公共信息发生变更或者公共信息标志有损坏、脱落等情况，影响公共信息标志提示和指引功能，未及时修复、更新或者拆除的，责令改正而逾期未改，情节严重的。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处不足3.7万元罚款。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处3.7万元以上不足7.3万元罚款。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处7.3万元以上10万元以下罚款。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在公共信息标志上附加广告内容的，责令改正而逾期未改，且不构成情节严重的。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处不足0.3万元罚款。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处0.3万元以上不足0.7万元罚款。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处0.7万元以上1万元以下罚款。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在公共信息标志上附加广告内容的，责令改正而逾期未改，情节严重的。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处不足3.7万元罚款。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处3.7万元以上不足7.3万元罚款。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处7.3万元以上10万元以下罚款。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影响公共信息标志正常使用的其他情形，责令改正而逾期未改，且不构成情节严重的。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处不足0.3万元罚款。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处0.3万元以上不足0.7万元罚款。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处0.7万元以上1万元以下罚款。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影响公共信息标志正常使用的其他情形，责令改正而逾期未改，情节严重的。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处不足3.7万元罚款。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处3.7万元以上不足7.3万元罚款。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处7.3万元以上10万元以下罚款。</w:t>
            </w:r>
          </w:p>
        </w:tc>
      </w:tr>
      <w:tr>
        <w:tblPrEx>
          <w:shd w:val="clear"/>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《海南经济特区标准化管理办法》（2012年11月26日实施）</w:t>
            </w:r>
          </w:p>
        </w:tc>
      </w:tr>
      <w:tr>
        <w:tblPrEx>
          <w:shd w:val="clear"/>
          <w:tblCellMar>
            <w:top w:w="0" w:type="dxa"/>
            <w:left w:w="0" w:type="dxa"/>
            <w:bottom w:w="0" w:type="dxa"/>
            <w:right w:w="0" w:type="dxa"/>
          </w:tblCellMar>
        </w:tblPrEx>
        <w:trPr>
          <w:trHeight w:val="162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4</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经济特区标准化管理办法》第二十六条：有下列行为之一的，由县级以上标准化行政主管部门或工商行政管理部门在各自的职权范围内责令限期改正；逾期不改的，处以2000元至1万元罚款，并根据国家有关法律、法规的规定，处以没收其非法财物、没收违法所得、责令停产停业、吊销营业执照的行政处罚，对主要责任人处以500元以上2000元以下罚款；构成犯罪的，依法追究刑事责任：</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（一）生产无合法标准产品的；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（二）销售无合法标准产品的；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（三）虽有合法标准，但不按合法标准组织生产和验收的；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（四）企业产品执行标准未按规定备案登记的；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（五）研制、开发新产品、改造产品、进行技术改造、引进技术和设备，不符合标准化要求的；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（六）产品未按规定附有标识或标识不符合法定要求的；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（七）科研设计生产中违反有关强制性标准规定的；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（八）没有按规定设置公共信息图形符号的；</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（九）违反本办法第十九条规定的。</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生产无合法标准产品的，责令改正而逾期未改的。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销售无合法标准产品的，责令改正而逾期未改的。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虽有合法标准，但不按合法标准组织生产和验收的，责令改正而逾期未改的。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企业产品执行标准未按规定备案登记的，责令改正而逾期未改的。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研制、开发新产品、改造产品、进行技术改造、引进技术和设备，不符合标准化要求的，责令改正而逾期未改的。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产品未按规定附有标识或标识不符合法定要求的，责令改正而逾期未改的。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科研设计生产中违反有关强制性标准规定的，责令改正而逾期未改的。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没有按规定设置公共信息图形符号的，责令改正而逾期未改的。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生产的产品质量未达到国家认证标准、未取得国家安全认证证书的强制监督管理的安全认证产品的，责令改正而逾期未改的。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处以2000元以上不足4400元罚款，并根据国家有关法律、法规的规定，处以没收其非法财物、没收违法所得、责令停产停业、吊销营业执照的行政处罚，对主要责任人处以500元以上不足950元罚款。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处以4400元以上不足7600元罚款，并根据国家有关法律、法规的规定，处以没收其非法财物、没收违法所得、责令停产停业、吊销营业执照的行政处罚，对主要责任人处以950元以上不足1550元罚款。</w:t>
            </w:r>
          </w:p>
        </w:tc>
      </w:tr>
      <w:tr>
        <w:tblPrEx>
          <w:shd w:val="clear"/>
          <w:tblCellMar>
            <w:top w:w="0" w:type="dxa"/>
            <w:left w:w="0" w:type="dxa"/>
            <w:bottom w:w="0" w:type="dxa"/>
            <w:right w:w="0" w:type="dxa"/>
          </w:tblCellMar>
        </w:tblPrEx>
        <w:trPr>
          <w:trHeight w:val="1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罚款、没收非法财产、没收违法所得、责令停产停业</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处以7600元以上1万元以下罚款，并根据国家有关法律、法规的规定，处以没收其非法财物、没收违法所得、责令停产停业、吊销营业执照的行政处罚，对主要责任人处以1550元以上2000元以下罚款。</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《海南经济特区标准化管理办法》第二十七条：获得认证证书的产品不符合认证标准而使用认证标志销售的，由标准化行政主管部门责令其停止销售，并处以违法所得2倍以下罚款。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获得认证证书的产品不符合认证标准而使用认证标志销售的</w:t>
            </w:r>
          </w:p>
        </w:tc>
        <w:tc>
          <w:tcPr>
            <w:tcW w:w="0" w:type="auto"/>
            <w:tcBorders>
              <w:top w:val="single" w:color="000000" w:sz="4" w:space="0"/>
              <w:left w:val="single" w:color="000000" w:sz="4" w:space="0"/>
              <w:bottom w:val="single" w:color="000000" w:sz="4" w:space="0"/>
              <w:right w:val="single" w:color="000000" w:sz="4" w:space="0"/>
            </w:tcBorders>
            <w:shd w:val="clear"/>
            <w:noWrap/>
            <w:tcMar>
              <w:top w:w="8" w:type="dxa"/>
              <w:left w:w="8" w:type="dxa"/>
              <w:right w:w="8"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责令其停止销售，并处以违法所得不足0.6倍罚款。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宋体" w:hAnsi="宋体" w:eastAsia="宋体" w:cs="宋体"/>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8" w:type="dxa"/>
              <w:left w:w="8" w:type="dxa"/>
              <w:right w:w="8"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责令其停止销售，并处以违法所得0.6倍以上不足1.4倍罚款。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宋体" w:hAnsi="宋体" w:eastAsia="宋体" w:cs="宋体"/>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8" w:type="dxa"/>
              <w:left w:w="8" w:type="dxa"/>
              <w:right w:w="8"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责令其停止销售，并处以违法所得1.4倍以上2倍以下罚款。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《海南经济特区标准化管理办法》第二十八条：产品未经认证或认证不合格而擅自使用认证标志销售的，由标准化行政主管部门责令其停止销售，并处以违法所得2至3倍的罚款，对有关责任人处以5000元以下罚款。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产品未经认证或认证不合格而擅自使用认证标志销售的</w:t>
            </w:r>
          </w:p>
        </w:tc>
        <w:tc>
          <w:tcPr>
            <w:tcW w:w="0" w:type="auto"/>
            <w:tcBorders>
              <w:top w:val="single" w:color="000000" w:sz="4" w:space="0"/>
              <w:left w:val="single" w:color="000000" w:sz="4" w:space="0"/>
              <w:bottom w:val="single" w:color="000000" w:sz="4" w:space="0"/>
              <w:right w:val="single" w:color="000000" w:sz="4" w:space="0"/>
            </w:tcBorders>
            <w:shd w:val="clear"/>
            <w:noWrap/>
            <w:tcMar>
              <w:top w:w="8" w:type="dxa"/>
              <w:left w:w="8" w:type="dxa"/>
              <w:right w:w="8"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责令其停止销售，并处以违法所得2倍以上不足2.3倍的罚款，对有关责任人处以不足1500元罚款。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宋体" w:hAnsi="宋体" w:eastAsia="宋体" w:cs="宋体"/>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1"/>
                <w:szCs w:val="21"/>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8" w:type="dxa"/>
              <w:left w:w="8" w:type="dxa"/>
              <w:right w:w="8"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责令其停止销售，并处以违法所得2.3倍以上不足2.7倍的罚款，对有关责任人处以1500元以上不足3500元罚款。</w:t>
            </w:r>
          </w:p>
        </w:tc>
      </w:tr>
      <w:tr>
        <w:tblPrEx>
          <w:tblCellMar>
            <w:top w:w="0" w:type="dxa"/>
            <w:left w:w="0" w:type="dxa"/>
            <w:bottom w:w="0" w:type="dxa"/>
            <w:right w:w="0" w:type="dxa"/>
          </w:tblCellMar>
        </w:tblPrEx>
        <w:trPr>
          <w:trHeight w:val="10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宋体" w:hAnsi="宋体" w:eastAsia="宋体" w:cs="宋体"/>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1"/>
                <w:szCs w:val="21"/>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8" w:type="dxa"/>
              <w:left w:w="8" w:type="dxa"/>
              <w:right w:w="8"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责令其停止销售，并处以违法所得2倍以上2.7倍以上3倍以下的罚款，对有关责任人处以3500元以上5000元以下罚款。</w:t>
            </w:r>
          </w:p>
        </w:tc>
      </w:tr>
    </w:tbl>
    <w:p>
      <w:bookmarkStart w:id="0" w:name="_GoBack"/>
      <w:bookmarkEnd w:id="0"/>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581802"/>
    <w:rsid w:val="48581802"/>
    <w:rsid w:val="58B34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2020-10-09T08:19:00Z</dcterms:created>
  <dc:creator>郑嘉诚</dc:creator>
  <cp:lastModifiedBy>郑嘉诚</cp:lastModifiedBy>
  <dcterms:modified xsi:type="dcterms:W3CDTF">2020-10-09T08:20:42Z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