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2DF9F">
      <w:pPr>
        <w:keepNext w:val="0"/>
        <w:keepLines w:val="0"/>
        <w:pageBreakBefore w:val="0"/>
        <w:kinsoku/>
        <w:wordWrap/>
        <w:overflowPunct/>
        <w:topLinePunct w:val="0"/>
        <w:bidi w:val="0"/>
        <w:snapToGrid/>
        <w:spacing w:line="560" w:lineRule="exact"/>
        <w:ind w:firstLine="0" w:firstLineChars="0"/>
        <w:jc w:val="both"/>
        <w:textAlignment w:val="auto"/>
        <w:rPr>
          <w:rFonts w:hint="default" w:ascii="Times New Roman" w:hAnsi="Times New Roman" w:eastAsia="方正小标宋_GBK" w:cs="Times New Roman"/>
          <w:color w:val="000000" w:themeColor="text1"/>
          <w:sz w:val="44"/>
          <w:szCs w:val="44"/>
          <w14:textFill>
            <w14:solidFill>
              <w14:schemeClr w14:val="tx1"/>
            </w14:solidFill>
          </w14:textFill>
        </w:rPr>
      </w:pPr>
      <w:r>
        <w:rPr>
          <w:rFonts w:hint="default" w:ascii="Times New Roman" w:hAnsi="Times New Roman" w:eastAsia="方正小标宋_GBK" w:cs="Times New Roman"/>
          <w:color w:val="000000" w:themeColor="text1"/>
          <w:sz w:val="44"/>
          <w:szCs w:val="44"/>
          <w14:textFill>
            <w14:solidFill>
              <w14:schemeClr w14:val="tx1"/>
            </w14:solidFill>
          </w14:textFill>
        </w:rPr>
        <w:t>部分不合格项目的小知识</w:t>
      </w:r>
    </w:p>
    <w:p w14:paraId="3340DAA6">
      <w:pPr>
        <w:keepNext w:val="0"/>
        <w:keepLines w:val="0"/>
        <w:pageBreakBefore w:val="0"/>
        <w:numPr>
          <w:ilvl w:val="0"/>
          <w:numId w:val="0"/>
        </w:numPr>
        <w:kinsoku/>
        <w:wordWrap/>
        <w:overflowPunct/>
        <w:topLinePunct w:val="0"/>
        <w:bidi w:val="0"/>
        <w:snapToGrid/>
        <w:spacing w:line="560" w:lineRule="exact"/>
        <w:ind w:leftChars="0" w:firstLine="602" w:firstLineChars="200"/>
        <w:jc w:val="both"/>
        <w:textAlignment w:val="auto"/>
        <w:rPr>
          <w:rFonts w:hint="eastAsia" w:ascii="黑体" w:hAnsi="黑体" w:eastAsia="黑体" w:cs="黑体"/>
          <w:b/>
          <w:bCs/>
          <w:sz w:val="30"/>
          <w:szCs w:val="30"/>
          <w:lang w:val="en-US" w:eastAsia="zh-CN"/>
        </w:rPr>
      </w:pPr>
    </w:p>
    <w:p w14:paraId="41B2B90F">
      <w:pPr>
        <w:keepNext w:val="0"/>
        <w:keepLines w:val="0"/>
        <w:pageBreakBefore w:val="0"/>
        <w:numPr>
          <w:ilvl w:val="0"/>
          <w:numId w:val="0"/>
        </w:numPr>
        <w:kinsoku/>
        <w:wordWrap/>
        <w:overflowPunct/>
        <w:topLinePunct w:val="0"/>
        <w:bidi w:val="0"/>
        <w:snapToGrid/>
        <w:spacing w:line="560" w:lineRule="exact"/>
        <w:ind w:lef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一、红2G</w:t>
      </w:r>
    </w:p>
    <w:p w14:paraId="23E5645E">
      <w:pPr>
        <w:pStyle w:val="2"/>
        <w:keepNext w:val="0"/>
        <w:keepLines w:val="0"/>
        <w:pageBreakBefore w:val="0"/>
        <w:numPr>
          <w:ilvl w:val="0"/>
          <w:numId w:val="0"/>
        </w:numPr>
        <w:kinsoku/>
        <w:wordWrap/>
        <w:overflowPunct/>
        <w:topLinePunct w:val="0"/>
        <w:bidi w:val="0"/>
        <w:snapToGrid/>
        <w:spacing w:line="560" w:lineRule="exact"/>
        <w:ind w:leftChars="0" w:firstLine="640" w:firstLineChars="200"/>
        <w:textAlignment w:val="auto"/>
        <w:rPr>
          <w:rFonts w:hint="eastAsia" w:ascii="仿宋_GB2312" w:hAnsi="Times New Roman" w:eastAsia="仿宋_GB2312" w:cs="Times New Roman"/>
          <w:bCs/>
          <w:color w:val="auto"/>
          <w:kern w:val="2"/>
          <w:sz w:val="32"/>
          <w:szCs w:val="28"/>
          <w:lang w:val="en-US" w:eastAsia="zh-CN" w:bidi="ar-SA"/>
        </w:rPr>
      </w:pPr>
      <w:r>
        <w:rPr>
          <w:rFonts w:hint="eastAsia" w:ascii="仿宋_GB2312" w:hAnsi="Times New Roman" w:eastAsia="仿宋_GB2312" w:cs="Times New Roman"/>
          <w:bCs/>
          <w:color w:val="auto"/>
          <w:kern w:val="2"/>
          <w:sz w:val="32"/>
          <w:szCs w:val="28"/>
          <w:lang w:val="en-US" w:eastAsia="zh-CN" w:bidi="ar-SA"/>
        </w:rPr>
        <w:t>红2G，又称酸性红，是一种合成着色剂。酸性红作为合成色素具有一定的毒性，对人体具有潜在危害。《关于将红2G等物质纳入食品中可能添加的非食用物质名录的公告》（市场监管总局 国家卫生健康委2025年第46号）中规定，腊肠中不得使用红2G。腊肠中检出红2G的原因，可能是商家为改善产品外观、掩盖劣质原料而违规使用。</w:t>
      </w:r>
    </w:p>
    <w:p w14:paraId="23851D7D">
      <w:pPr>
        <w:keepNext w:val="0"/>
        <w:keepLines w:val="0"/>
        <w:pageBreakBefore w:val="0"/>
        <w:numPr>
          <w:ilvl w:val="0"/>
          <w:numId w:val="0"/>
        </w:numPr>
        <w:kinsoku/>
        <w:wordWrap/>
        <w:overflowPunct/>
        <w:topLinePunct w:val="0"/>
        <w:bidi w:val="0"/>
        <w:snapToGrid/>
        <w:spacing w:line="560" w:lineRule="exact"/>
        <w:ind w:leftChars="0" w:firstLine="640" w:firstLineChars="200"/>
        <w:jc w:val="both"/>
        <w:textAlignment w:val="auto"/>
        <w:rPr>
          <w:rFonts w:hint="eastAsia" w:ascii="黑体" w:hAnsi="黑体" w:eastAsia="黑体" w:cs="黑体"/>
          <w:sz w:val="30"/>
          <w:szCs w:val="30"/>
          <w:lang w:val="en-US" w:eastAsia="zh-CN"/>
        </w:rPr>
      </w:pPr>
      <w:r>
        <w:rPr>
          <w:rFonts w:hint="eastAsia" w:ascii="黑体" w:hAnsi="黑体" w:eastAsia="黑体" w:cs="黑体"/>
          <w:sz w:val="32"/>
          <w:szCs w:val="32"/>
          <w:lang w:val="en-US" w:eastAsia="zh-CN"/>
        </w:rPr>
        <w:t>二、二氧化硫残留量</w:t>
      </w:r>
    </w:p>
    <w:p w14:paraId="6F9F7930">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i w:val="0"/>
          <w:iCs w:val="0"/>
          <w:caps w:val="0"/>
          <w:color w:val="auto"/>
          <w:spacing w:val="0"/>
          <w:kern w:val="2"/>
          <w:sz w:val="32"/>
          <w:szCs w:val="32"/>
          <w:lang w:val="en-US" w:eastAsia="zh-CN" w:bidi="ar-SA"/>
        </w:rPr>
      </w:pPr>
      <w:r>
        <w:rPr>
          <w:rFonts w:hint="eastAsia" w:ascii="仿宋_GB2312" w:hAnsi="仿宋_GB2312" w:eastAsia="仿宋_GB2312" w:cs="仿宋_GB2312"/>
          <w:i w:val="0"/>
          <w:iCs w:val="0"/>
          <w:caps w:val="0"/>
          <w:color w:val="auto"/>
          <w:spacing w:val="0"/>
          <w:kern w:val="2"/>
          <w:sz w:val="32"/>
          <w:szCs w:val="32"/>
          <w:lang w:val="en-US" w:eastAsia="zh-CN" w:bidi="ar-SA"/>
        </w:rPr>
        <w:t>二氧化硫是食品加工中常用的漂白剂和防腐剂，具有漂白、防腐和抗氧化作用。少量二氧化硫进入人体不会对身体造成健康危害，但过量食用会引起如恶心、呕吐等胃肠道反应。《食品安全国家标准 食品添加剂使用标准》（GB 2760-2024）中规定，</w:t>
      </w:r>
      <w:r>
        <w:rPr>
          <w:rFonts w:hint="default" w:ascii="仿宋_GB2312" w:hAnsi="Calibri" w:eastAsia="仿宋_GB2312" w:cs="仿宋_GB2312"/>
          <w:i w:val="0"/>
          <w:iCs w:val="0"/>
          <w:caps w:val="0"/>
          <w:spacing w:val="0"/>
          <w:kern w:val="2"/>
          <w:sz w:val="32"/>
          <w:szCs w:val="32"/>
          <w:lang w:val="en-US" w:eastAsia="zh-CN" w:bidi="ar"/>
        </w:rPr>
        <w:t>腌渍的蔬菜、</w:t>
      </w:r>
      <w:r>
        <w:rPr>
          <w:rFonts w:hint="eastAsia" w:ascii="仿宋_GB2312" w:hAnsi="仿宋_GB2312" w:eastAsia="仿宋_GB2312" w:cs="仿宋_GB2312"/>
          <w:i w:val="0"/>
          <w:iCs w:val="0"/>
          <w:caps w:val="0"/>
          <w:color w:val="auto"/>
          <w:spacing w:val="0"/>
          <w:kern w:val="2"/>
          <w:sz w:val="32"/>
          <w:szCs w:val="32"/>
          <w:lang w:val="en-US" w:eastAsia="zh-CN" w:bidi="ar-SA"/>
        </w:rPr>
        <w:t>桂圆肉中二氧化硫最大使用量为0.1g/kg。</w:t>
      </w:r>
      <w:r>
        <w:rPr>
          <w:rFonts w:hint="default" w:ascii="仿宋_GB2312" w:hAnsi="Calibri" w:eastAsia="仿宋_GB2312" w:cs="仿宋_GB2312"/>
          <w:i w:val="0"/>
          <w:iCs w:val="0"/>
          <w:caps w:val="0"/>
          <w:spacing w:val="0"/>
          <w:kern w:val="2"/>
          <w:sz w:val="32"/>
          <w:szCs w:val="32"/>
          <w:lang w:val="en-US" w:eastAsia="zh-CN" w:bidi="ar"/>
        </w:rPr>
        <w:t>腌渍的蔬菜、</w:t>
      </w:r>
      <w:r>
        <w:rPr>
          <w:rFonts w:hint="eastAsia" w:ascii="仿宋_GB2312" w:hAnsi="仿宋_GB2312" w:eastAsia="仿宋_GB2312" w:cs="仿宋_GB2312"/>
          <w:i w:val="0"/>
          <w:iCs w:val="0"/>
          <w:caps w:val="0"/>
          <w:color w:val="auto"/>
          <w:spacing w:val="0"/>
          <w:kern w:val="2"/>
          <w:sz w:val="32"/>
          <w:szCs w:val="32"/>
          <w:lang w:val="en-US" w:eastAsia="zh-CN" w:bidi="ar-SA"/>
        </w:rPr>
        <w:t>桂圆肉中二氧化硫残留量超标的原因，可能是生产企业为了改善产品色泽而超范围超限量使用二氧化硫；也可能是使用时不计量或计量不准确；还可能是由于使用硫磺熏蒸漂白这种传统工艺或直接使用亚硫酸盐浸泡所造成。</w:t>
      </w:r>
    </w:p>
    <w:p w14:paraId="6E3F0420">
      <w:pPr>
        <w:keepNext w:val="0"/>
        <w:keepLines w:val="0"/>
        <w:pageBreakBefore w:val="0"/>
        <w:kinsoku/>
        <w:wordWrap/>
        <w:overflowPunct/>
        <w:topLinePunct w:val="0"/>
        <w:bidi w:val="0"/>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三、镉(以Cd计)</w:t>
      </w:r>
    </w:p>
    <w:p w14:paraId="66509EB5">
      <w:pPr>
        <w:keepNext w:val="0"/>
        <w:keepLines w:val="0"/>
        <w:pageBreakBefore w:val="0"/>
        <w:widowControl/>
        <w:suppressLineNumbers w:val="0"/>
        <w:kinsoku/>
        <w:wordWrap/>
        <w:overflowPunct/>
        <w:topLinePunct w:val="0"/>
        <w:bidi w:val="0"/>
        <w:snapToGrid/>
        <w:spacing w:line="560" w:lineRule="exact"/>
        <w:ind w:firstLine="640" w:firstLineChars="200"/>
        <w:jc w:val="both"/>
        <w:textAlignment w:val="auto"/>
        <w:rPr>
          <w:rFonts w:hint="eastAsia" w:ascii="仿宋_GB2312" w:hAnsi="Times New Roman" w:eastAsia="仿宋_GB2312" w:cs="Times New Roman"/>
          <w:bCs/>
          <w:color w:val="auto"/>
          <w:kern w:val="2"/>
          <w:sz w:val="32"/>
          <w:szCs w:val="28"/>
          <w:lang w:val="en-US" w:eastAsia="zh-CN" w:bidi="ar-SA"/>
        </w:rPr>
      </w:pPr>
      <w:r>
        <w:rPr>
          <w:rFonts w:hint="eastAsia" w:ascii="仿宋_GB2312" w:hAnsi="Times New Roman" w:eastAsia="仿宋_GB2312" w:cs="Times New Roman"/>
          <w:bCs/>
          <w:color w:val="auto"/>
          <w:kern w:val="2"/>
          <w:sz w:val="32"/>
          <w:szCs w:val="28"/>
          <w:lang w:val="en-US" w:eastAsia="zh-CN" w:bidi="ar-SA"/>
        </w:rPr>
        <w:t>镉是一种蓄积性的重金属元素，可通过食物链进入人体。长期食用镉超标的食品，可能会对人体肾脏和肝脏造成损害，还会影响免疫系统，甚至可能对儿童高级神经活动有损害。《食品安全国家标准 食品中污染物限量》（GB 2762-2022）中规定，贝类中镉(以Cd计)最大的限量值为2.0mg/kg。贝类中镉（以Cd计）检验值超标的原因，可能是水产动物对生长环境中镉元素的富集。</w:t>
      </w:r>
    </w:p>
    <w:p w14:paraId="5447A09A">
      <w:pPr>
        <w:keepNext w:val="0"/>
        <w:keepLines w:val="0"/>
        <w:pageBreakBefore w:val="0"/>
        <w:widowControl/>
        <w:numPr>
          <w:ilvl w:val="0"/>
          <w:numId w:val="0"/>
        </w:numPr>
        <w:suppressLineNumbers w:val="0"/>
        <w:kinsoku/>
        <w:wordWrap/>
        <w:overflowPunct/>
        <w:topLinePunct w:val="0"/>
        <w:bidi w:val="0"/>
        <w:snapToGrid/>
        <w:spacing w:line="560" w:lineRule="exact"/>
        <w:ind w:firstLine="640" w:firstLineChars="200"/>
        <w:jc w:val="both"/>
        <w:textAlignment w:val="auto"/>
        <w:rPr>
          <w:rFonts w:hint="eastAsia" w:ascii="黑体" w:hAnsi="黑体" w:eastAsia="黑体" w:cs="黑体"/>
          <w:b w:val="0"/>
          <w:bCs/>
          <w:color w:val="auto"/>
          <w:kern w:val="2"/>
          <w:sz w:val="30"/>
          <w:szCs w:val="30"/>
          <w:lang w:val="en-US" w:eastAsia="zh-CN" w:bidi="ar-SA"/>
        </w:rPr>
      </w:pPr>
      <w:r>
        <w:rPr>
          <w:rFonts w:hint="eastAsia" w:ascii="黑体" w:hAnsi="黑体" w:eastAsia="黑体" w:cs="黑体"/>
          <w:b w:val="0"/>
          <w:bCs/>
          <w:color w:val="auto"/>
          <w:kern w:val="2"/>
          <w:sz w:val="32"/>
          <w:szCs w:val="32"/>
          <w:lang w:val="en-US" w:eastAsia="zh-CN" w:bidi="ar-SA"/>
        </w:rPr>
        <w:t>四、呋喃唑酮代谢物</w:t>
      </w:r>
    </w:p>
    <w:p w14:paraId="1091BC11">
      <w:pPr>
        <w:keepNext w:val="0"/>
        <w:keepLines w:val="0"/>
        <w:pageBreakBefore w:val="0"/>
        <w:widowControl/>
        <w:suppressLineNumbers w:val="0"/>
        <w:kinsoku/>
        <w:wordWrap/>
        <w:overflowPunct/>
        <w:topLinePunct w:val="0"/>
        <w:bidi w:val="0"/>
        <w:snapToGrid/>
        <w:spacing w:line="560" w:lineRule="exact"/>
        <w:ind w:firstLine="640" w:firstLineChars="200"/>
        <w:jc w:val="both"/>
        <w:textAlignment w:val="auto"/>
        <w:rPr>
          <w:rFonts w:hint="default" w:ascii="仿宋_GB2312" w:hAnsi="Times New Roman" w:eastAsia="仿宋_GB2312" w:cs="Times New Roman"/>
          <w:bCs/>
          <w:color w:val="auto"/>
          <w:kern w:val="2"/>
          <w:sz w:val="32"/>
          <w:szCs w:val="28"/>
          <w:lang w:val="en-US" w:eastAsia="zh-CN" w:bidi="ar-SA"/>
        </w:rPr>
      </w:pPr>
      <w:r>
        <w:rPr>
          <w:rFonts w:hint="eastAsia" w:ascii="仿宋_GB2312" w:hAnsi="Times New Roman" w:eastAsia="仿宋_GB2312" w:cs="Times New Roman"/>
          <w:bCs/>
          <w:color w:val="auto"/>
          <w:kern w:val="2"/>
          <w:sz w:val="32"/>
          <w:szCs w:val="28"/>
          <w:lang w:val="en-US" w:eastAsia="zh-CN" w:bidi="ar-SA"/>
        </w:rPr>
        <w:t>呋喃唑酮是硝基呋喃类抗菌药，具有抗菌谱广等特点。对革兰氏阳性菌及阴性菌均有一定抗菌作用。动物产品中的呋喃唑酮代谢物残留，一般不会导致对人体的急性毒性作用；长期大量摄入呋喃唑酮代谢物残留超标的食品，对人体健康有一定影响。《食品动物中禁止使用的药品及其他化合物清单》（农业农村部公告 第250号）中规定，海水鱼中不得检出呋喃唑酮代谢物。海水鱼中检出呋喃唑酮代谢物的原因，</w:t>
      </w:r>
      <w:r>
        <w:rPr>
          <w:rFonts w:hint="eastAsia" w:ascii="仿宋_GB2312" w:hAnsi="仿宋_GB2312" w:eastAsia="仿宋_GB2312" w:cs="仿宋_GB2312"/>
          <w:i w:val="0"/>
          <w:iCs w:val="0"/>
          <w:caps w:val="0"/>
          <w:color w:val="auto"/>
          <w:spacing w:val="0"/>
          <w:kern w:val="2"/>
          <w:sz w:val="32"/>
          <w:szCs w:val="32"/>
          <w:lang w:val="en-US" w:eastAsia="zh-CN" w:bidi="ar-SA"/>
        </w:rPr>
        <w:t>可能是在养殖过程中为快速控制疫病，养殖户违规加大用药量或不遵守休药期规定</w:t>
      </w:r>
      <w:r>
        <w:rPr>
          <w:rFonts w:hint="eastAsia" w:ascii="仿宋_GB2312" w:hAnsi="Times New Roman" w:eastAsia="仿宋_GB2312" w:cs="Times New Roman"/>
          <w:bCs/>
          <w:color w:val="auto"/>
          <w:kern w:val="2"/>
          <w:sz w:val="32"/>
          <w:szCs w:val="28"/>
          <w:lang w:val="en-US" w:eastAsia="zh-CN" w:bidi="ar-SA"/>
        </w:rPr>
        <w:t>。</w:t>
      </w:r>
    </w:p>
    <w:p w14:paraId="6691246C">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五、毒死蜱</w:t>
      </w:r>
    </w:p>
    <w:p w14:paraId="47096BC6">
      <w:pPr>
        <w:keepNext w:val="0"/>
        <w:keepLines w:val="0"/>
        <w:pageBreakBefore w:val="0"/>
        <w:numPr>
          <w:ilvl w:val="0"/>
          <w:numId w:val="0"/>
        </w:numPr>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毒死蜱，又名氯吡硫磷，是一种硫代磷酸酯类有机磷杀虫、杀螨剂，具有良好的触杀、胃毒和熏蒸作用。少量的农药残留不会引起人体急性中毒，但长期食用毒死蜱超标的食品，对人体健康可能有一定影响。《食品安全国家标准 食品中农药最大残留限量》（GB 2763-2026）中规定，马铃薯中毒死蜱最大残留限值为0.02mg/kg。马铃薯</w:t>
      </w:r>
      <w:r>
        <w:rPr>
          <w:rFonts w:hint="eastAsia" w:ascii="仿宋_GB2312" w:hAnsi="Times New Roman" w:eastAsia="仿宋_GB2312" w:cs="Times New Roman"/>
          <w:bCs/>
          <w:color w:val="auto"/>
          <w:kern w:val="2"/>
          <w:sz w:val="32"/>
          <w:szCs w:val="28"/>
          <w:lang w:val="en-US" w:eastAsia="zh-CN" w:bidi="ar-SA"/>
        </w:rPr>
        <w:t>中</w:t>
      </w:r>
      <w:r>
        <w:rPr>
          <w:rFonts w:hint="eastAsia" w:ascii="仿宋_GB2312" w:hAnsi="仿宋_GB2312" w:eastAsia="仿宋_GB2312" w:cs="仿宋_GB2312"/>
          <w:color w:val="000000"/>
          <w:kern w:val="0"/>
          <w:sz w:val="32"/>
          <w:szCs w:val="32"/>
          <w:lang w:val="en-US" w:eastAsia="zh-CN" w:bidi="ar"/>
        </w:rPr>
        <w:t>毒死蜱残留量</w:t>
      </w:r>
      <w:r>
        <w:rPr>
          <w:rFonts w:hint="eastAsia" w:ascii="仿宋_GB2312" w:hAnsi="Times New Roman" w:eastAsia="仿宋_GB2312" w:cs="Times New Roman"/>
          <w:bCs/>
          <w:color w:val="auto"/>
          <w:kern w:val="2"/>
          <w:sz w:val="32"/>
          <w:szCs w:val="28"/>
          <w:lang w:val="en-US" w:eastAsia="zh-CN" w:bidi="ar-SA"/>
        </w:rPr>
        <w:t>超标的原因，</w:t>
      </w:r>
      <w:r>
        <w:rPr>
          <w:rFonts w:hint="eastAsia" w:ascii="仿宋_GB2312" w:hAnsi="仿宋_GB2312" w:eastAsia="仿宋_GB2312" w:cs="仿宋_GB2312"/>
          <w:color w:val="000000"/>
          <w:kern w:val="0"/>
          <w:sz w:val="32"/>
          <w:szCs w:val="32"/>
          <w:lang w:val="en-US" w:eastAsia="zh-CN" w:bidi="ar"/>
        </w:rPr>
        <w:t>可能是为快速控制虫害，加大用药量或未遵守采摘间隔期规定。</w:t>
      </w:r>
    </w:p>
    <w:p w14:paraId="44FC0B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0"/>
          <w:szCs w:val="30"/>
        </w:rPr>
      </w:pPr>
      <w:r>
        <w:rPr>
          <w:rFonts w:hint="eastAsia" w:ascii="黑体" w:hAnsi="黑体" w:eastAsia="黑体" w:cs="黑体"/>
          <w:kern w:val="2"/>
          <w:sz w:val="32"/>
          <w:szCs w:val="32"/>
          <w:lang w:val="en-US" w:eastAsia="zh-CN" w:bidi="ar-SA"/>
        </w:rPr>
        <w:t>六、</w:t>
      </w:r>
      <w:r>
        <w:rPr>
          <w:rFonts w:hint="eastAsia" w:ascii="黑体" w:hAnsi="黑体" w:eastAsia="黑体" w:cs="黑体"/>
          <w:sz w:val="32"/>
          <w:szCs w:val="32"/>
        </w:rPr>
        <w:t>过氧化值(以脂肪计)</w:t>
      </w:r>
    </w:p>
    <w:p w14:paraId="3891C0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color w:val="000000"/>
          <w:kern w:val="0"/>
          <w:sz w:val="32"/>
          <w:szCs w:val="32"/>
          <w:lang w:val="en-US" w:eastAsia="zh-CN" w:bidi="ar"/>
        </w:rPr>
        <w:t>过氧化值主要反映油脂被氧化的程度。食用过氧化值超标的食品一般不会对人体健康造成损害，但长期食用过氧化值严重超标的食品可能导致肠胃不适、腹泻等。《食品安全国家标准 坚果与籽类食品》（GB 19300-2014）中规定，瓜子中</w:t>
      </w:r>
      <w:r>
        <w:rPr>
          <w:rFonts w:hint="eastAsia" w:ascii="仿宋_GB2312" w:hAnsi="Times New Roman" w:eastAsia="仿宋_GB2312" w:cs="Times New Roman"/>
          <w:bCs/>
          <w:color w:val="auto"/>
          <w:kern w:val="2"/>
          <w:sz w:val="32"/>
          <w:szCs w:val="28"/>
          <w:lang w:val="en-US" w:eastAsia="zh-CN" w:bidi="ar-SA"/>
        </w:rPr>
        <w:t>过氧化值（以脂肪计）最大限量值为0.80g/100g；《食品安全国家标准 饼干》（GB 7100-2015）中规定，饼干中过氧化值（以脂肪计）最大限量值为0.25g/100g。瓜子、饼干</w:t>
      </w:r>
      <w:r>
        <w:rPr>
          <w:rFonts w:hint="default" w:ascii="Times New Roman" w:hAnsi="Times New Roman" w:eastAsia="仿宋_GB2312" w:cs="Times New Roman"/>
          <w:sz w:val="32"/>
          <w:szCs w:val="32"/>
          <w:lang w:val="en-US" w:eastAsia="zh-CN"/>
        </w:rPr>
        <w:t>中过氧化值（以脂肪计）检验值超标的原因，可能是原料中的脂肪已经被氧化</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也可能与产品在储运过程中环境条件控制不当等有关。</w:t>
      </w:r>
    </w:p>
    <w:p w14:paraId="5F4D23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七、</w:t>
      </w:r>
      <w:r>
        <w:rPr>
          <w:rFonts w:hint="default" w:ascii="黑体" w:hAnsi="黑体" w:eastAsia="黑体" w:cs="黑体"/>
          <w:b w:val="0"/>
          <w:bCs w:val="0"/>
          <w:color w:val="auto"/>
          <w:sz w:val="32"/>
          <w:szCs w:val="32"/>
          <w:lang w:val="en-US" w:eastAsia="zh-CN"/>
        </w:rPr>
        <w:t>除虫脲</w:t>
      </w:r>
    </w:p>
    <w:p w14:paraId="10A9575F">
      <w:pPr>
        <w:pStyle w:val="8"/>
        <w:keepNext w:val="0"/>
        <w:keepLines w:val="0"/>
        <w:pageBreakBefore w:val="0"/>
        <w:kinsoku/>
        <w:wordWrap/>
        <w:overflowPunct/>
        <w:topLinePunct w:val="0"/>
        <w:bidi w:val="0"/>
        <w:snapToGrid/>
        <w:spacing w:line="560" w:lineRule="exact"/>
        <w:ind w:firstLine="640" w:firstLineChars="200"/>
        <w:jc w:val="both"/>
        <w:textAlignment w:val="auto"/>
        <w:rPr>
          <w:rFonts w:hint="default"/>
          <w:lang w:val="en-US" w:eastAsia="zh-CN"/>
        </w:rPr>
      </w:pPr>
      <w:r>
        <w:rPr>
          <w:rFonts w:hint="eastAsia" w:ascii="仿宋_GB2312" w:hAnsi="仿宋_GB2312" w:eastAsia="仿宋_GB2312" w:cs="仿宋_GB2312"/>
          <w:kern w:val="2"/>
          <w:sz w:val="32"/>
          <w:szCs w:val="32"/>
          <w:lang w:val="en-US" w:eastAsia="zh-CN" w:bidi="ar-SA"/>
        </w:rPr>
        <w:t>除虫脲，非内吸性昆虫生长调节剂，具有触杀和胃毒作用。在昆虫蜕皮或者卵的孵化时起效。通过食品摄入一般不会导致除虫脲的急性中毒，但长期食用除虫脲超标的食品，对人体健康也有一定影响。《食品安全国家标准 食品中农药最大残留限量》</w:t>
      </w:r>
      <w:r>
        <w:rPr>
          <w:rFonts w:hint="eastAsia" w:ascii="仿宋_GB2312" w:hAnsi="仿宋_GB2312" w:eastAsia="仿宋_GB2312" w:cs="仿宋_GB2312"/>
          <w:color w:val="auto"/>
          <w:kern w:val="2"/>
          <w:sz w:val="32"/>
          <w:szCs w:val="32"/>
          <w:lang w:val="en-US" w:eastAsia="zh-CN" w:bidi="ar-SA"/>
        </w:rPr>
        <w:t>（GB 2763-2026）</w:t>
      </w:r>
      <w:r>
        <w:rPr>
          <w:rFonts w:hint="eastAsia" w:ascii="仿宋_GB2312" w:hAnsi="仿宋_GB2312" w:eastAsia="仿宋_GB2312" w:cs="仿宋_GB2312"/>
          <w:kern w:val="2"/>
          <w:sz w:val="32"/>
          <w:szCs w:val="32"/>
          <w:lang w:val="en-US" w:eastAsia="zh-CN" w:bidi="ar-SA"/>
        </w:rPr>
        <w:t>中规定，荔枝中除虫脲最大残留限量为</w:t>
      </w:r>
      <w:r>
        <w:rPr>
          <w:rFonts w:hint="eastAsia" w:ascii="仿宋_GB2312" w:hAnsi="仿宋_GB2312" w:eastAsia="仿宋_GB2312" w:cs="仿宋_GB2312"/>
          <w:color w:val="auto"/>
          <w:kern w:val="2"/>
          <w:sz w:val="32"/>
          <w:szCs w:val="32"/>
          <w:lang w:val="en-US" w:eastAsia="zh-CN" w:bidi="ar-SA"/>
        </w:rPr>
        <w:t>0.5mg/kg</w:t>
      </w:r>
      <w:r>
        <w:rPr>
          <w:rFonts w:hint="eastAsia" w:ascii="仿宋_GB2312" w:hAnsi="仿宋_GB2312" w:eastAsia="仿宋_GB2312" w:cs="仿宋_GB2312"/>
          <w:kern w:val="2"/>
          <w:sz w:val="32"/>
          <w:szCs w:val="32"/>
          <w:lang w:val="en-US" w:eastAsia="zh-CN" w:bidi="ar-SA"/>
        </w:rPr>
        <w:t>。荔枝中除虫脲超标原因</w:t>
      </w:r>
      <w:r>
        <w:rPr>
          <w:rFonts w:hint="eastAsia" w:ascii="仿宋_GB2312" w:hAnsi="仿宋_GB2312" w:eastAsia="仿宋_GB2312" w:cs="仿宋_GB2312"/>
          <w:color w:val="000000"/>
          <w:kern w:val="0"/>
          <w:sz w:val="32"/>
          <w:szCs w:val="32"/>
          <w:lang w:val="en-US" w:eastAsia="zh-CN" w:bidi="ar"/>
        </w:rPr>
        <w:t>，可能是为快速控制虫害，加大用药量或未遵守采摘间隔期</w:t>
      </w:r>
      <w:r>
        <w:rPr>
          <w:rFonts w:hint="eastAsia" w:hAnsi="仿宋_GB2312" w:cs="仿宋_GB2312"/>
          <w:color w:val="000000"/>
          <w:kern w:val="0"/>
          <w:sz w:val="32"/>
          <w:szCs w:val="32"/>
          <w:lang w:val="en-US" w:eastAsia="zh-CN" w:bidi="ar"/>
        </w:rPr>
        <w:t>规定</w:t>
      </w:r>
      <w:r>
        <w:rPr>
          <w:rFonts w:hint="eastAsia" w:ascii="仿宋_GB2312" w:hAnsi="仿宋_GB2312" w:eastAsia="仿宋_GB2312" w:cs="仿宋_GB2312"/>
          <w:kern w:val="2"/>
          <w:sz w:val="32"/>
          <w:szCs w:val="22"/>
          <w:lang w:val="en-US" w:eastAsia="zh-CN" w:bidi="ar-SA"/>
        </w:rPr>
        <w:t>。</w:t>
      </w:r>
    </w:p>
    <w:p w14:paraId="1887A871">
      <w:pPr>
        <w:keepNext w:val="0"/>
        <w:keepLines w:val="0"/>
        <w:pageBreakBefore w:val="0"/>
        <w:widowControl/>
        <w:kinsoku/>
        <w:wordWrap/>
        <w:overflowPunct/>
        <w:topLinePunct w:val="0"/>
        <w:autoSpaceDE/>
        <w:autoSpaceDN/>
        <w:bidi w:val="0"/>
        <w:adjustRightInd/>
        <w:snapToGrid/>
        <w:spacing w:before="0" w:after="0" w:line="578" w:lineRule="exact"/>
        <w:ind w:right="0" w:firstLine="640" w:firstLineChars="200"/>
        <w:jc w:val="both"/>
        <w:textAlignment w:val="auto"/>
        <w:outlineLvl w:val="9"/>
        <w:rPr>
          <w:rFonts w:hint="eastAsia" w:ascii="CESI宋体-GB2312" w:hAnsi="CESI宋体-GB2312" w:eastAsia="黑体" w:cs="黑体"/>
          <w:color w:val="auto"/>
          <w:kern w:val="0"/>
          <w:sz w:val="32"/>
          <w:szCs w:val="32"/>
          <w:lang w:val="en-US" w:eastAsia="zh-CN" w:bidi="ar-SA"/>
        </w:rPr>
      </w:pPr>
      <w:r>
        <w:rPr>
          <w:rFonts w:hint="eastAsia" w:ascii="CESI宋体-GB2312" w:hAnsi="CESI宋体-GB2312" w:eastAsia="黑体" w:cs="黑体"/>
          <w:color w:val="auto"/>
          <w:kern w:val="0"/>
          <w:sz w:val="32"/>
          <w:szCs w:val="32"/>
          <w:lang w:val="en-US" w:eastAsia="zh-CN" w:bidi="ar-SA"/>
        </w:rPr>
        <w:t>八、大肠菌群</w:t>
      </w:r>
    </w:p>
    <w:p w14:paraId="7487684A">
      <w:pPr>
        <w:pStyle w:val="8"/>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大肠菌群是国内外通用的食品污染常用指示菌之一。餐饮具中检出大肠菌群，提示被肠道致病菌污染的可能性较大。</w:t>
      </w:r>
      <w:r>
        <w:rPr>
          <w:rFonts w:hint="eastAsia" w:ascii="仿宋_GB2312" w:hAnsi="仿宋_GB2312" w:eastAsia="仿宋_GB2312" w:cs="仿宋_GB2312"/>
          <w:sz w:val="32"/>
          <w:szCs w:val="32"/>
          <w:lang w:val="en-US" w:eastAsia="zh-CN"/>
        </w:rPr>
        <w:t>如果食品中的大肠菌群严重超标，将会破坏食品的营养成分，使食品失去食用价值；还会加速食品腐败变质，可能危害人体健康。</w:t>
      </w:r>
      <w:r>
        <w:rPr>
          <w:rFonts w:hint="eastAsia" w:ascii="仿宋_GB2312" w:hAnsi="仿宋_GB2312" w:eastAsia="仿宋_GB2312" w:cs="仿宋_GB2312"/>
          <w:color w:val="auto"/>
          <w:sz w:val="32"/>
          <w:szCs w:val="32"/>
        </w:rPr>
        <w:t>《食品安全国家标准 消毒餐（饮）具》</w:t>
      </w:r>
      <w:r>
        <w:rPr>
          <w:rFonts w:hint="eastAsia" w:ascii="仿宋_GB2312" w:hAnsi="仿宋_GB2312" w:eastAsia="仿宋_GB2312" w:cs="仿宋_GB2312"/>
          <w:spacing w:val="0"/>
          <w:sz w:val="32"/>
          <w:szCs w:val="32"/>
          <w:lang w:val="en-US" w:eastAsia="zh-CN"/>
        </w:rPr>
        <w:t>(GB 14934-2016)</w:t>
      </w:r>
      <w:r>
        <w:rPr>
          <w:rFonts w:hint="eastAsia" w:ascii="仿宋_GB2312" w:hAnsi="仿宋_GB2312" w:eastAsia="仿宋_GB2312" w:cs="仿宋_GB2312"/>
          <w:color w:val="auto"/>
          <w:sz w:val="32"/>
          <w:szCs w:val="32"/>
          <w:lang w:val="en-US" w:eastAsia="zh-CN"/>
        </w:rPr>
        <w:t>中规定，复用餐饮具</w:t>
      </w:r>
      <w:r>
        <w:rPr>
          <w:rFonts w:hint="eastAsia" w:ascii="仿宋_GB2312" w:hAnsi="仿宋_GB2312" w:eastAsia="仿宋_GB2312" w:cs="仿宋_GB2312"/>
          <w:color w:val="auto"/>
          <w:sz w:val="32"/>
          <w:szCs w:val="32"/>
          <w:lang w:val="en-US" w:eastAsia="zh"/>
        </w:rPr>
        <w:t>（消毒餐饮具）</w:t>
      </w:r>
      <w:r>
        <w:rPr>
          <w:rFonts w:hint="eastAsia" w:ascii="仿宋_GB2312" w:hAnsi="仿宋_GB2312" w:eastAsia="仿宋_GB2312" w:cs="仿宋_GB2312"/>
          <w:color w:val="auto"/>
          <w:sz w:val="32"/>
          <w:szCs w:val="32"/>
          <w:lang w:val="en-US" w:eastAsia="zh-CN"/>
        </w:rPr>
        <w:t>中不得检出大肠菌群</w:t>
      </w:r>
      <w:r>
        <w:rPr>
          <w:rFonts w:hint="eastAsia" w:ascii="仿宋_GB2312" w:hAnsi="仿宋_GB2312" w:eastAsia="仿宋_GB2312" w:cs="仿宋_GB2312"/>
          <w:sz w:val="32"/>
          <w:szCs w:val="32"/>
          <w:lang w:val="en-US" w:eastAsia="zh-CN"/>
        </w:rPr>
        <w:t>。复用餐饮具中检出大肠菌群的原因，可能是生产过程中受人员、工器具等的污染；也可能是灭菌工艺不彻底；还可能与储存条件不当有关。</w:t>
      </w:r>
    </w:p>
    <w:p w14:paraId="76C3C29B">
      <w:pPr>
        <w:keepNext w:val="0"/>
        <w:keepLines w:val="0"/>
        <w:pageBreakBefore w:val="0"/>
        <w:widowControl/>
        <w:kinsoku/>
        <w:wordWrap/>
        <w:overflowPunct/>
        <w:topLinePunct w:val="0"/>
        <w:autoSpaceDE/>
        <w:autoSpaceDN/>
        <w:bidi w:val="0"/>
        <w:adjustRightInd/>
        <w:snapToGrid/>
        <w:spacing w:before="0" w:after="0" w:line="578" w:lineRule="exact"/>
        <w:ind w:right="0" w:firstLine="640" w:firstLineChars="200"/>
        <w:jc w:val="both"/>
        <w:textAlignment w:val="auto"/>
        <w:outlineLvl w:val="9"/>
        <w:rPr>
          <w:rFonts w:hint="default" w:ascii="CESI宋体-GB2312" w:hAnsi="CESI宋体-GB2312" w:eastAsia="黑体" w:cs="黑体"/>
          <w:color w:val="auto"/>
          <w:kern w:val="0"/>
          <w:sz w:val="32"/>
          <w:szCs w:val="32"/>
          <w:lang w:val="en-US" w:eastAsia="zh-CN" w:bidi="ar-SA"/>
        </w:rPr>
      </w:pPr>
      <w:r>
        <w:rPr>
          <w:rFonts w:hint="eastAsia" w:ascii="CESI宋体-GB2312" w:hAnsi="CESI宋体-GB2312" w:eastAsia="黑体" w:cs="黑体"/>
          <w:color w:val="auto"/>
          <w:kern w:val="0"/>
          <w:sz w:val="32"/>
          <w:szCs w:val="32"/>
          <w:lang w:val="en-US" w:eastAsia="zh-CN" w:bidi="ar-SA"/>
        </w:rPr>
        <w:t>九</w:t>
      </w:r>
      <w:r>
        <w:rPr>
          <w:rFonts w:hint="default" w:ascii="CESI宋体-GB2312" w:hAnsi="CESI宋体-GB2312" w:eastAsia="黑体" w:cs="黑体"/>
          <w:color w:val="auto"/>
          <w:kern w:val="0"/>
          <w:sz w:val="32"/>
          <w:szCs w:val="32"/>
          <w:lang w:val="en-US" w:eastAsia="zh-CN" w:bidi="ar-SA"/>
        </w:rPr>
        <w:t>、阴离子合成洗涤剂（以十二烷基苯磺酸钠计）</w:t>
      </w:r>
    </w:p>
    <w:p w14:paraId="07084BE8">
      <w:pPr>
        <w:pStyle w:val="8"/>
        <w:ind w:firstLine="640" w:firstLineChars="200"/>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阴离子合成洗涤剂（以十二烷基苯磺酸钠计）是洗涤剂的主要成分。餐具清洗消毒过程中控制不当，会造成洗涤剂在餐具上的残留。《食品安全国家标准 消毒餐（饮）具》(GB 14934-2016)规定，复用餐饮具（消毒餐饮具）中不得检出阴离子合成洗涤剂。检出阴离子合成洗涤剂的原因可能是由于餐饮具消毒单位使用的洗涤剂不合格或使用量过大，或未经足够量清水冲洗。</w:t>
      </w:r>
    </w:p>
    <w:p w14:paraId="7C259531">
      <w:pPr>
        <w:keepNext w:val="0"/>
        <w:keepLines w:val="0"/>
        <w:pageBreakBefore w:val="0"/>
        <w:widowControl w:val="0"/>
        <w:kinsoku/>
        <w:wordWrap/>
        <w:overflowPunct/>
        <w:topLinePunct w:val="0"/>
        <w:autoSpaceDE/>
        <w:autoSpaceDN/>
        <w:bidi w:val="0"/>
        <w:adjustRightInd/>
        <w:snapToGrid/>
        <w:spacing w:line="594" w:lineRule="exact"/>
        <w:ind w:left="-105" w:leftChars="-50" w:firstLine="640" w:firstLineChars="200"/>
        <w:textAlignment w:val="auto"/>
        <w:rPr>
          <w:rFonts w:hint="eastAsia" w:ascii="Times New Roman" w:hAnsi="Times New Roman" w:eastAsia="黑体" w:cs="Times New Roman"/>
          <w:spacing w:val="0"/>
          <w:sz w:val="32"/>
          <w:szCs w:val="32"/>
          <w:highlight w:val="none"/>
          <w:lang w:val="en-US" w:eastAsia="zh-CN"/>
        </w:rPr>
      </w:pPr>
      <w:r>
        <w:rPr>
          <w:rFonts w:hint="eastAsia" w:ascii="Times New Roman" w:hAnsi="Times New Roman" w:eastAsia="黑体" w:cs="Times New Roman"/>
          <w:spacing w:val="0"/>
          <w:sz w:val="32"/>
          <w:szCs w:val="32"/>
          <w:highlight w:val="none"/>
          <w:lang w:val="en-US" w:eastAsia="zh-CN"/>
        </w:rPr>
        <w:t>十、脱氢乙酸及其钠盐（以脱氢乙酸计）</w:t>
      </w:r>
    </w:p>
    <w:p w14:paraId="1B792430">
      <w:pPr>
        <w:pStyle w:val="2"/>
        <w:keepNext w:val="0"/>
        <w:keepLines w:val="0"/>
        <w:pageBreakBefore w:val="0"/>
        <w:widowControl w:val="0"/>
        <w:kinsoku/>
        <w:wordWrap/>
        <w:overflowPunct/>
        <w:topLinePunct w:val="0"/>
        <w:bidi w:val="0"/>
        <w:ind w:left="-105" w:leftChars="-50"/>
        <w:textAlignment w:val="auto"/>
        <w:rPr>
          <w:rFonts w:hint="eastAsia" w:ascii="Times New Roman" w:hAnsi="Times New Roman" w:eastAsia="仿宋_GB2312" w:cs="Times New Roman"/>
          <w:sz w:val="32"/>
          <w:szCs w:val="32"/>
          <w:lang w:val="en-US" w:eastAsia="zh-CN"/>
        </w:rPr>
      </w:pPr>
      <w:bookmarkStart w:id="0" w:name="hmcheck_1ceb93055b1543cc984b02229716b1fa"/>
      <w:r>
        <w:rPr>
          <w:rFonts w:hint="eastAsia" w:ascii="Times New Roman" w:hAnsi="Times New Roman" w:eastAsia="仿宋_GB2312" w:cs="Times New Roman"/>
          <w:sz w:val="32"/>
          <w:szCs w:val="32"/>
          <w:lang w:val="en-US" w:eastAsia="zh-CN"/>
        </w:rPr>
        <w:t>脱氢乙酸及其钠盐作为一种广谱食品防腐剂，对霉菌和酵母菌的抑制能力强。脱氢乙酸毒性较低，按标准规定的范围和使用量使用是安全的。脱氢乙酸及其钠盐能被人体完全吸收，并能抑制人体内多种氧化酶，长期过量摄入脱氢乙酸及其钠盐会危害人体健康。</w:t>
      </w:r>
      <w:bookmarkEnd w:id="0"/>
      <w:r>
        <w:rPr>
          <w:rFonts w:hint="eastAsia" w:ascii="Times New Roman" w:hAnsi="Times New Roman" w:eastAsia="仿宋_GB2312" w:cs="Times New Roman"/>
          <w:sz w:val="32"/>
          <w:szCs w:val="32"/>
          <w:shd w:val="clear" w:color="auto" w:fill="FFFFFF"/>
          <w:lang w:val="en-US" w:eastAsia="zh-CN"/>
        </w:rPr>
        <w:t>《食品安全国家标准 食品添加剂使用标</w:t>
      </w:r>
      <w:r>
        <w:rPr>
          <w:rFonts w:hint="eastAsia" w:ascii="仿宋_GB2312" w:hAnsi="仿宋_GB2312" w:eastAsia="仿宋_GB2312" w:cs="仿宋_GB2312"/>
          <w:sz w:val="32"/>
          <w:szCs w:val="32"/>
          <w:shd w:val="clear" w:color="auto" w:fill="FFFFFF"/>
          <w:lang w:val="en-US" w:eastAsia="zh-CN"/>
        </w:rPr>
        <w:t>准》（GB 2760—2024）中规</w:t>
      </w:r>
      <w:r>
        <w:rPr>
          <w:rFonts w:hint="eastAsia" w:ascii="Times New Roman" w:hAnsi="Times New Roman" w:eastAsia="仿宋_GB2312" w:cs="Times New Roman"/>
          <w:sz w:val="32"/>
          <w:szCs w:val="32"/>
          <w:shd w:val="clear" w:color="auto" w:fill="FFFFFF"/>
          <w:lang w:val="en-US" w:eastAsia="zh-CN"/>
        </w:rPr>
        <w:t>定</w:t>
      </w:r>
      <w:r>
        <w:rPr>
          <w:rFonts w:hint="eastAsia" w:ascii="Times New Roman" w:hAnsi="Times New Roman" w:eastAsia="仿宋_GB2312" w:cs="Times New Roman"/>
          <w:sz w:val="32"/>
          <w:szCs w:val="32"/>
          <w:lang w:val="en-US" w:eastAsia="zh-CN"/>
        </w:rPr>
        <w:t>，杨梅中不得使用脱氢乙酸及其钠盐（以脱氢乙酸计）。杨梅中检出脱氢乙酸及其钠盐的原因，可能是</w:t>
      </w:r>
      <w:r>
        <w:rPr>
          <w:rFonts w:hint="default" w:ascii="Times New Roman" w:hAnsi="Times New Roman" w:eastAsia="仿宋_GB2312" w:cs="Times New Roman"/>
          <w:sz w:val="32"/>
          <w:szCs w:val="32"/>
          <w:lang w:val="en-US" w:eastAsia="zh-CN"/>
        </w:rPr>
        <w:t>经营者</w:t>
      </w:r>
      <w:r>
        <w:rPr>
          <w:rFonts w:hint="eastAsia" w:ascii="Times New Roman" w:hAnsi="Times New Roman" w:eastAsia="仿宋_GB2312" w:cs="Times New Roman"/>
          <w:sz w:val="32"/>
          <w:szCs w:val="32"/>
          <w:lang w:val="en-US" w:eastAsia="zh-CN"/>
        </w:rPr>
        <w:t>为了杨梅能保存更长的时间，防止其腐烂变质而违规使用。</w:t>
      </w:r>
    </w:p>
    <w:p w14:paraId="1B29D47F">
      <w:pPr>
        <w:keepNext w:val="0"/>
        <w:keepLines w:val="0"/>
        <w:pageBreakBefore w:val="0"/>
        <w:widowControl w:val="0"/>
        <w:kinsoku/>
        <w:wordWrap/>
        <w:overflowPunct/>
        <w:topLinePunct w:val="0"/>
        <w:autoSpaceDE/>
        <w:autoSpaceDN/>
        <w:bidi w:val="0"/>
        <w:adjustRightInd w:val="0"/>
        <w:snapToGrid w:val="0"/>
        <w:spacing w:line="594" w:lineRule="exact"/>
        <w:ind w:left="-105" w:leftChars="-50" w:right="0" w:firstLine="640" w:firstLineChars="200"/>
        <w:jc w:val="both"/>
        <w:textAlignment w:val="auto"/>
        <w:rPr>
          <w:rFonts w:hint="default" w:ascii="Times New Roman" w:hAnsi="Times New Roman" w:eastAsia="黑体" w:cs="Times New Roman"/>
          <w:spacing w:val="0"/>
          <w:sz w:val="32"/>
          <w:szCs w:val="32"/>
          <w:lang w:val="en-US" w:eastAsia="zh-CN"/>
        </w:rPr>
      </w:pPr>
      <w:r>
        <w:rPr>
          <w:rFonts w:hint="eastAsia" w:ascii="Times New Roman" w:hAnsi="Times New Roman" w:eastAsia="黑体" w:cs="Times New Roman"/>
          <w:spacing w:val="0"/>
          <w:sz w:val="32"/>
          <w:szCs w:val="32"/>
          <w:lang w:val="en-US" w:eastAsia="zh-CN"/>
        </w:rPr>
        <w:t>十一、</w:t>
      </w:r>
      <w:r>
        <w:rPr>
          <w:rFonts w:hint="default" w:ascii="Times New Roman" w:hAnsi="Times New Roman" w:eastAsia="黑体" w:cs="Times New Roman"/>
          <w:spacing w:val="0"/>
          <w:sz w:val="32"/>
          <w:szCs w:val="32"/>
          <w:lang w:val="en-US" w:eastAsia="zh-CN"/>
        </w:rPr>
        <w:t>甜蜜素（以环己基氨基磺酸计）</w:t>
      </w:r>
    </w:p>
    <w:p w14:paraId="3C6AA349">
      <w:pPr>
        <w:pStyle w:val="2"/>
        <w:keepNext w:val="0"/>
        <w:keepLines w:val="0"/>
        <w:pageBreakBefore w:val="0"/>
        <w:widowControl w:val="0"/>
        <w:kinsoku/>
        <w:wordWrap/>
        <w:overflowPunct/>
        <w:topLinePunct w:val="0"/>
        <w:bidi w:val="0"/>
        <w:adjustRightInd/>
        <w:snapToGrid/>
        <w:spacing w:after="0" w:line="594" w:lineRule="exact"/>
        <w:ind w:left="-105" w:leftChars="-50" w:firstLine="0"/>
        <w:jc w:val="both"/>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甜蜜素，化学名称为环己基氨基磺酸钠，是食品生产中常用的甜味剂之一，甜度是蔗糖</w:t>
      </w:r>
      <w:r>
        <w:rPr>
          <w:rFonts w:hint="eastAsia" w:ascii="仿宋_GB2312" w:hAnsi="仿宋_GB2312" w:eastAsia="仿宋_GB2312" w:cs="仿宋_GB2312"/>
          <w:color w:val="auto"/>
          <w:sz w:val="32"/>
          <w:szCs w:val="32"/>
          <w:lang w:val="en-US" w:eastAsia="zh-CN"/>
        </w:rPr>
        <w:t>的40—50倍。</w:t>
      </w:r>
      <w:r>
        <w:rPr>
          <w:rFonts w:hint="default" w:ascii="Times New Roman" w:hAnsi="Times New Roman" w:eastAsia="仿宋_GB2312" w:cs="Times New Roman"/>
          <w:color w:val="auto"/>
          <w:sz w:val="32"/>
          <w:szCs w:val="32"/>
          <w:lang w:val="en-US" w:eastAsia="zh-CN"/>
        </w:rPr>
        <w:t>长期摄入甜蜜素超标的食品，可能危害人体健康。《食品安全国家标准 食品添加剂使用标准</w:t>
      </w:r>
      <w:r>
        <w:rPr>
          <w:rFonts w:hint="eastAsia" w:ascii="仿宋_GB2312" w:hAnsi="仿宋_GB2312" w:eastAsia="仿宋_GB2312" w:cs="仿宋_GB2312"/>
          <w:color w:val="auto"/>
          <w:sz w:val="32"/>
          <w:szCs w:val="32"/>
          <w:lang w:val="en-US" w:eastAsia="zh-CN"/>
        </w:rPr>
        <w:t>》（GB 2760—2024）</w:t>
      </w:r>
      <w:r>
        <w:rPr>
          <w:rFonts w:hint="default" w:ascii="Times New Roman" w:hAnsi="Times New Roman" w:eastAsia="仿宋_GB2312" w:cs="Times New Roman"/>
          <w:color w:val="auto"/>
          <w:sz w:val="32"/>
          <w:szCs w:val="32"/>
          <w:lang w:val="en-US" w:eastAsia="zh-CN"/>
        </w:rPr>
        <w:t>中规定，</w:t>
      </w:r>
      <w:r>
        <w:rPr>
          <w:rFonts w:hint="eastAsia" w:ascii="Times New Roman" w:hAnsi="Times New Roman" w:eastAsia="仿宋_GB2312" w:cs="Times New Roman"/>
          <w:color w:val="auto"/>
          <w:sz w:val="32"/>
          <w:szCs w:val="32"/>
          <w:lang w:val="en-US" w:eastAsia="zh-CN"/>
        </w:rPr>
        <w:t>杨梅中</w:t>
      </w:r>
      <w:r>
        <w:rPr>
          <w:rFonts w:hint="default" w:ascii="Times New Roman" w:hAnsi="Times New Roman" w:eastAsia="仿宋_GB2312" w:cs="Times New Roman"/>
          <w:color w:val="auto"/>
          <w:sz w:val="32"/>
          <w:szCs w:val="32"/>
          <w:lang w:val="en-US" w:eastAsia="zh-CN"/>
        </w:rPr>
        <w:t>不得使用甜蜜素（以环己基氨基磺酸计）</w:t>
      </w:r>
      <w:r>
        <w:rPr>
          <w:rFonts w:hint="eastAsia" w:ascii="Times New Roman" w:hAnsi="Times New Roman" w:eastAsia="仿宋_GB2312" w:cs="Times New Roman"/>
          <w:color w:val="auto"/>
          <w:sz w:val="32"/>
          <w:szCs w:val="32"/>
          <w:lang w:val="en-US" w:eastAsia="zh-CN"/>
        </w:rPr>
        <w:t>。杨梅中检出</w:t>
      </w:r>
      <w:r>
        <w:rPr>
          <w:rFonts w:hint="default" w:ascii="Times New Roman" w:hAnsi="Times New Roman" w:eastAsia="仿宋_GB2312" w:cs="Times New Roman"/>
          <w:color w:val="auto"/>
          <w:sz w:val="32"/>
          <w:szCs w:val="32"/>
          <w:lang w:val="en-US" w:eastAsia="zh-CN"/>
        </w:rPr>
        <w:t>甜蜜素（以环己基氨基磺酸计）的原因，可能是</w:t>
      </w:r>
      <w:r>
        <w:rPr>
          <w:rFonts w:hint="default" w:ascii="Times New Roman" w:hAnsi="Times New Roman" w:eastAsia="仿宋_GB2312" w:cs="Times New Roman"/>
          <w:sz w:val="32"/>
          <w:szCs w:val="32"/>
          <w:lang w:val="en-US" w:eastAsia="zh-CN"/>
        </w:rPr>
        <w:t>经营者</w:t>
      </w:r>
      <w:r>
        <w:rPr>
          <w:rFonts w:hint="default" w:ascii="Times New Roman" w:hAnsi="Times New Roman" w:eastAsia="仿宋_GB2312" w:cs="Times New Roman"/>
          <w:color w:val="auto"/>
          <w:sz w:val="32"/>
          <w:szCs w:val="32"/>
          <w:lang w:val="en-US" w:eastAsia="zh-CN"/>
        </w:rPr>
        <w:t>为</w:t>
      </w:r>
      <w:r>
        <w:rPr>
          <w:rFonts w:hint="default" w:ascii="Times New Roman" w:hAnsi="Times New Roman" w:eastAsia="仿宋_GB2312" w:cs="Times New Roman"/>
          <w:sz w:val="32"/>
          <w:szCs w:val="32"/>
          <w:lang w:eastAsia="zh-CN"/>
        </w:rPr>
        <w:t>改善口感</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lang w:val="en-US" w:eastAsia="zh-CN"/>
        </w:rPr>
        <w:t>增加甜味</w:t>
      </w:r>
      <w:r>
        <w:rPr>
          <w:rFonts w:hint="eastAsia" w:ascii="Times New Roman" w:hAnsi="Times New Roman" w:eastAsia="仿宋_GB2312" w:cs="Times New Roman"/>
          <w:color w:val="auto"/>
          <w:sz w:val="32"/>
          <w:szCs w:val="32"/>
          <w:lang w:val="en-US" w:eastAsia="zh-CN"/>
        </w:rPr>
        <w:t>而</w:t>
      </w:r>
      <w:r>
        <w:rPr>
          <w:rFonts w:hint="eastAsia" w:ascii="Times New Roman" w:hAnsi="Times New Roman" w:eastAsia="仿宋_GB2312" w:cs="Times New Roman"/>
          <w:sz w:val="32"/>
          <w:szCs w:val="32"/>
          <w:lang w:val="en-US" w:eastAsia="zh-CN"/>
        </w:rPr>
        <w:t>超范围使用</w:t>
      </w:r>
      <w:r>
        <w:rPr>
          <w:rFonts w:hint="eastAsia" w:ascii="Times New Roman" w:hAnsi="Times New Roman" w:eastAsia="仿宋_GB2312" w:cs="Times New Roman"/>
          <w:color w:val="auto"/>
          <w:sz w:val="32"/>
          <w:szCs w:val="32"/>
          <w:lang w:val="en-US" w:eastAsia="zh-CN"/>
        </w:rPr>
        <w:t>。</w:t>
      </w:r>
      <w:bookmarkStart w:id="1" w:name="_GoBack"/>
      <w:bookmarkEnd w:id="1"/>
    </w:p>
    <w:p w14:paraId="5EBA0E31">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both"/>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pacing w:val="0"/>
          <w:sz w:val="32"/>
          <w:szCs w:val="32"/>
          <w:lang w:val="en-US" w:eastAsia="zh-CN"/>
        </w:rPr>
        <w:t>十二、</w:t>
      </w:r>
      <w:r>
        <w:rPr>
          <w:rFonts w:hint="default" w:ascii="Times New Roman" w:hAnsi="Times New Roman" w:eastAsia="黑体" w:cs="Times New Roman"/>
          <w:sz w:val="32"/>
          <w:szCs w:val="32"/>
          <w:lang w:val="en-US" w:eastAsia="zh-CN"/>
        </w:rPr>
        <w:t>铝的残留量(干样品,以Al计)</w:t>
      </w:r>
    </w:p>
    <w:p w14:paraId="6AFF328B">
      <w:pPr>
        <w:pStyle w:val="8"/>
        <w:keepNext w:val="0"/>
        <w:keepLines w:val="0"/>
        <w:pageBreakBefore w:val="0"/>
        <w:widowControl w:val="0"/>
        <w:kinsoku/>
        <w:wordWrap/>
        <w:overflowPunct/>
        <w:topLinePunct w:val="0"/>
        <w:bidi w:val="0"/>
        <w:ind w:left="-105" w:leftChars="-50" w:firstLine="640" w:firstLineChars="200"/>
        <w:jc w:val="both"/>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含铝食品添加剂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比如钾明矾</w:t>
      </w:r>
      <w:r>
        <w:rPr>
          <w:rFonts w:hint="eastAsia" w:ascii="Times New Roman" w:hAnsi="Times New Roman" w:eastAsia="仿宋_GB2312" w:cs="Times New Roman"/>
          <w:sz w:val="32"/>
          <w:szCs w:val="32"/>
          <w:lang w:eastAsia="zh-CN"/>
        </w:rPr>
        <w:t>、铵</w:t>
      </w:r>
      <w:r>
        <w:rPr>
          <w:rFonts w:ascii="Times New Roman" w:hAnsi="Times New Roman" w:eastAsia="仿宋_GB2312" w:cs="Times New Roman"/>
          <w:sz w:val="32"/>
          <w:szCs w:val="32"/>
        </w:rPr>
        <w:t>明矾）</w:t>
      </w:r>
      <w:r>
        <w:rPr>
          <w:rFonts w:hint="eastAsia" w:ascii="Times New Roman" w:hAnsi="Times New Roman" w:eastAsia="仿宋_GB2312" w:cs="Times New Roman"/>
          <w:sz w:val="32"/>
          <w:szCs w:val="32"/>
          <w:lang w:eastAsia="zh-CN"/>
        </w:rPr>
        <w:t>可用</w:t>
      </w:r>
      <w:r>
        <w:rPr>
          <w:rFonts w:ascii="Times New Roman" w:hAnsi="Times New Roman" w:eastAsia="仿宋_GB2312" w:cs="Times New Roman"/>
          <w:sz w:val="32"/>
          <w:szCs w:val="32"/>
        </w:rPr>
        <w:t>作膨松剂、稳定剂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按标准使用</w:t>
      </w:r>
      <w:r>
        <w:rPr>
          <w:rFonts w:hint="eastAsia" w:ascii="Times New Roman" w:hAnsi="Times New Roman" w:eastAsia="仿宋_GB2312" w:cs="Times New Roman"/>
          <w:sz w:val="32"/>
          <w:szCs w:val="32"/>
          <w:lang w:eastAsia="zh-CN"/>
        </w:rPr>
        <w:t>含</w:t>
      </w:r>
      <w:r>
        <w:rPr>
          <w:rFonts w:ascii="Times New Roman" w:hAnsi="Times New Roman" w:eastAsia="仿宋_GB2312" w:cs="Times New Roman"/>
          <w:sz w:val="32"/>
          <w:szCs w:val="32"/>
        </w:rPr>
        <w:t>铝</w:t>
      </w:r>
      <w:r>
        <w:rPr>
          <w:rFonts w:hint="eastAsia" w:ascii="Times New Roman" w:hAnsi="Times New Roman" w:eastAsia="仿宋_GB2312" w:cs="Times New Roman"/>
          <w:sz w:val="32"/>
          <w:szCs w:val="32"/>
          <w:lang w:eastAsia="zh-CN"/>
        </w:rPr>
        <w:t>食品添加剂不会对健康造成危害，</w:t>
      </w:r>
      <w:r>
        <w:rPr>
          <w:rFonts w:hint="eastAsia" w:ascii="仿宋_GB2312" w:hAnsi="仿宋_GB2312" w:eastAsia="仿宋_GB2312" w:cs="仿宋_GB2312"/>
          <w:sz w:val="32"/>
          <w:szCs w:val="32"/>
          <w:lang w:val="en-US" w:eastAsia="zh-CN"/>
        </w:rPr>
        <w:t>但长期</w:t>
      </w:r>
      <w:r>
        <w:rPr>
          <w:rFonts w:hint="eastAsia" w:ascii="仿宋_GB2312" w:hAnsi="仿宋_GB2312" w:eastAsia="仿宋_GB2312" w:cs="仿宋_GB2312"/>
          <w:sz w:val="32"/>
          <w:szCs w:val="32"/>
          <w:lang w:val="en-US" w:eastAsia="zh"/>
        </w:rPr>
        <w:t>食用铝超标的食品会导致运动和学习能力下降，影响儿童智力发育</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shd w:val="clear" w:color="auto" w:fill="FFFFFF"/>
          <w:lang w:val="en-US" w:eastAsia="zh-CN"/>
        </w:rPr>
        <w:t>《食品安全国家标准 食品添加剂使用标准》</w:t>
      </w:r>
      <w:r>
        <w:rPr>
          <w:rFonts w:hint="eastAsia" w:ascii="仿宋_GB2312" w:hAnsi="仿宋_GB2312" w:eastAsia="仿宋_GB2312" w:cs="仿宋_GB2312"/>
          <w:sz w:val="32"/>
          <w:szCs w:val="32"/>
          <w:shd w:val="clear" w:color="auto" w:fill="FFFFFF"/>
          <w:lang w:val="en-US" w:eastAsia="zh-CN"/>
        </w:rPr>
        <w:t>（GB 2760—2024）中规定</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highlight w:val="none"/>
          <w:lang w:eastAsia="zh-CN"/>
        </w:rPr>
        <w:t>油条</w:t>
      </w:r>
      <w:r>
        <w:rPr>
          <w:rFonts w:hint="eastAsia" w:ascii="仿宋_GB2312" w:hAnsi="仿宋_GB2312" w:eastAsia="仿宋_GB2312" w:cs="仿宋_GB2312"/>
          <w:sz w:val="32"/>
          <w:szCs w:val="32"/>
          <w:highlight w:val="none"/>
        </w:rPr>
        <w:t>中铝的残留</w:t>
      </w:r>
      <w:r>
        <w:rPr>
          <w:rFonts w:hint="eastAsia" w:ascii="仿宋_GB2312" w:hAnsi="仿宋_GB2312" w:eastAsia="仿宋_GB2312" w:cs="仿宋_GB2312"/>
          <w:sz w:val="32"/>
          <w:szCs w:val="32"/>
          <w:highlight w:val="none"/>
          <w:lang w:val="en-US" w:eastAsia="zh-CN"/>
        </w:rPr>
        <w:t>量</w:t>
      </w:r>
      <w:r>
        <w:rPr>
          <w:rFonts w:hint="eastAsia" w:ascii="仿宋_GB2312" w:hAnsi="仿宋_GB2312" w:eastAsia="仿宋_GB2312" w:cs="仿宋_GB2312"/>
          <w:sz w:val="32"/>
          <w:szCs w:val="32"/>
          <w:highlight w:val="none"/>
        </w:rPr>
        <w:t>（干样品，以Al计）最大限量值为</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00mg/kg</w:t>
      </w:r>
      <w:r>
        <w:rPr>
          <w:rFonts w:hint="eastAsia" w:ascii="仿宋_GB2312" w:hAnsi="仿宋_GB2312" w:eastAsia="仿宋_GB2312" w:cs="仿宋_GB2312"/>
          <w:sz w:val="32"/>
          <w:szCs w:val="32"/>
          <w:highlight w:val="none"/>
          <w:lang w:eastAsia="zh-CN"/>
        </w:rPr>
        <w:t>。</w:t>
      </w:r>
      <w:r>
        <w:rPr>
          <w:rFonts w:hint="default" w:ascii="Times New Roman" w:hAnsi="Times New Roman" w:eastAsia="仿宋_GB2312" w:cs="Times New Roman"/>
          <w:sz w:val="32"/>
          <w:szCs w:val="32"/>
          <w:lang w:val="en-US" w:eastAsia="zh-CN"/>
        </w:rPr>
        <w:t>油条</w:t>
      </w:r>
      <w:r>
        <w:rPr>
          <w:rFonts w:hint="eastAsia" w:ascii="Times New Roman" w:hAnsi="Times New Roman" w:eastAsia="仿宋_GB2312" w:cs="Times New Roman"/>
          <w:sz w:val="32"/>
          <w:szCs w:val="32"/>
        </w:rPr>
        <w:t>中铝的残留量（干样品，以Al计）超标的原因，可能是企业在生产加工过程中未控制好含铝食品添加剂的使用量；也可能是其使用的复配食品添加剂中铝含量过高</w:t>
      </w:r>
      <w:r>
        <w:rPr>
          <w:rFonts w:hint="eastAsia" w:ascii="Times New Roman" w:hAnsi="Times New Roman" w:eastAsia="仿宋_GB2312" w:cs="Times New Roman"/>
          <w:sz w:val="32"/>
          <w:szCs w:val="32"/>
          <w:lang w:eastAsia="zh-CN"/>
        </w:rPr>
        <w:t>。</w:t>
      </w:r>
    </w:p>
    <w:p w14:paraId="2BECFFC8">
      <w:pPr>
        <w:keepNext w:val="0"/>
        <w:keepLines w:val="0"/>
        <w:pageBreakBefore w:val="0"/>
        <w:widowControl w:val="0"/>
        <w:numPr>
          <w:ilvl w:val="0"/>
          <w:numId w:val="0"/>
        </w:numPr>
        <w:kinsoku/>
        <w:wordWrap/>
        <w:overflowPunct/>
        <w:topLinePunct w:val="0"/>
        <w:bidi w:val="0"/>
        <w:ind w:left="-105" w:leftChars="-50" w:firstLine="640" w:firstLineChars="200"/>
        <w:jc w:val="both"/>
        <w:textAlignment w:val="auto"/>
        <w:rPr>
          <w:rFonts w:hint="eastAsia" w:ascii="仿宋_GB2312" w:hAnsi="仿宋_GB2312" w:eastAsia="仿宋_GB2312" w:cs="仿宋_GB2312"/>
          <w:i w:val="0"/>
          <w:iCs w:val="0"/>
          <w:caps w:val="0"/>
          <w:color w:val="auto"/>
          <w:spacing w:val="0"/>
          <w:kern w:val="2"/>
          <w:sz w:val="32"/>
          <w:szCs w:val="32"/>
          <w:lang w:val="en-US" w:eastAsia="zh-CN" w:bidi="ar-SA"/>
        </w:rPr>
      </w:pPr>
      <w:r>
        <w:rPr>
          <w:rFonts w:hint="eastAsia" w:ascii="黑体" w:hAnsi="黑体" w:eastAsia="黑体" w:cs="黑体"/>
          <w:sz w:val="32"/>
          <w:szCs w:val="32"/>
          <w:lang w:val="en-US" w:eastAsia="zh-CN"/>
        </w:rPr>
        <w:t>十三、挥发性盐基氮</w:t>
      </w:r>
    </w:p>
    <w:p w14:paraId="216E5339">
      <w:pPr>
        <w:pStyle w:val="8"/>
        <w:keepNext w:val="0"/>
        <w:keepLines w:val="0"/>
        <w:pageBreakBefore w:val="0"/>
        <w:widowControl w:val="0"/>
        <w:kinsoku/>
        <w:wordWrap/>
        <w:overflowPunct/>
        <w:topLinePunct w:val="0"/>
        <w:bidi w:val="0"/>
        <w:ind w:left="-105" w:leftChars="-50" w:firstLine="640" w:firstLineChars="200"/>
        <w:jc w:val="both"/>
        <w:textAlignment w:val="auto"/>
        <w:rPr>
          <w:rFonts w:hint="eastAsia" w:ascii="仿宋_GB2312" w:hAnsi="仿宋_GB2312" w:eastAsia="仿宋_GB2312" w:cs="仿宋_GB2312"/>
          <w:i w:val="0"/>
          <w:iCs w:val="0"/>
          <w:caps w:val="0"/>
          <w:color w:val="auto"/>
          <w:spacing w:val="0"/>
          <w:kern w:val="2"/>
          <w:sz w:val="32"/>
          <w:szCs w:val="32"/>
          <w:lang w:val="en-US" w:eastAsia="zh-CN" w:bidi="ar-SA"/>
        </w:rPr>
      </w:pPr>
      <w:r>
        <w:rPr>
          <w:rFonts w:hint="eastAsia" w:ascii="仿宋_GB2312" w:hAnsi="仿宋_GB2312" w:eastAsia="仿宋_GB2312" w:cs="仿宋_GB2312"/>
          <w:i w:val="0"/>
          <w:iCs w:val="0"/>
          <w:caps w:val="0"/>
          <w:color w:val="auto"/>
          <w:spacing w:val="0"/>
          <w:kern w:val="2"/>
          <w:sz w:val="32"/>
          <w:szCs w:val="32"/>
          <w:lang w:val="en-US" w:eastAsia="zh-CN" w:bidi="ar-SA"/>
        </w:rPr>
        <w:t>挥发性盐基氮与动物性食品腐败变质有关，是评价食品鲜度的主要指标。挥发性盐基氮含量越高，表明氨基酸破坏的越多，营养价值等受到的影响也就越大。食用挥发性盐基氮超标的食品，可能会引起反胃、腹泻等症状。《食品安全国家标准 鲜、冻动物性水产品》（GB 2733-2015）中规定，海水鱼、带鱼中挥发性盐基氮最大量限量值为30mg/100g。海水鱼、带鱼中挥发性盐基氮超标的原因，可能是生产经营企业卫生状况不达标，造成产品微生物污染和腐败变质；也可能是运输过程中温度、氧气浓度和湿度等条件控制不当，加快了产品腐败变质速度。</w:t>
      </w:r>
    </w:p>
    <w:p w14:paraId="7E47F9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05" w:leftChars="-50"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十四、酒精度</w:t>
      </w:r>
    </w:p>
    <w:p w14:paraId="2D470286">
      <w:pPr>
        <w:pStyle w:val="4"/>
        <w:keepNext w:val="0"/>
        <w:keepLines w:val="0"/>
        <w:pageBreakBefore w:val="0"/>
        <w:widowControl w:val="0"/>
        <w:kinsoku/>
        <w:wordWrap/>
        <w:overflowPunct/>
        <w:topLinePunct w:val="0"/>
        <w:autoSpaceDE/>
        <w:autoSpaceDN/>
        <w:bidi w:val="0"/>
        <w:adjustRightInd/>
        <w:snapToGrid/>
        <w:spacing w:line="560" w:lineRule="exact"/>
        <w:ind w:left="-105" w:leftChars="-5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酒精度又叫酒度，是指在20℃时，100毫升酒中含有乙醇（酒精）的毫升数，即体积（容量）的百分数。酒精度是酒类产品的一个重要理化指标，主要反映产品品质。目前酒类中酒精度暂无食品安全国家标准要求，主要由相关产品执行标准要求规定，</w:t>
      </w:r>
      <w:r>
        <w:rPr>
          <w:rFonts w:hint="eastAsia" w:ascii="仿宋_GB2312" w:hAnsi="仿宋_GB2312" w:eastAsia="仿宋_GB2312" w:cs="仿宋_GB2312"/>
          <w:kern w:val="2"/>
          <w:sz w:val="32"/>
          <w:szCs w:val="32"/>
          <w:lang w:val="en-US" w:eastAsia="zh-CN" w:bidi="ar-SA"/>
        </w:rPr>
        <w:t>《露</w:t>
      </w:r>
      <w:r>
        <w:rPr>
          <w:rFonts w:hint="eastAsia" w:ascii="仿宋_GB2312" w:hAnsi="仿宋_GB2312" w:eastAsia="仿宋_GB2312" w:cs="仿宋_GB2312"/>
          <w:color w:val="auto"/>
          <w:kern w:val="2"/>
          <w:sz w:val="32"/>
          <w:szCs w:val="32"/>
          <w:lang w:val="en-US" w:eastAsia="zh-CN" w:bidi="ar-SA"/>
        </w:rPr>
        <w:t>酒》（GB/T 27588-2011）</w:t>
      </w:r>
      <w:r>
        <w:rPr>
          <w:rFonts w:hint="eastAsia" w:ascii="Times New Roman" w:hAnsi="Times New Roman" w:eastAsia="仿宋_GB2312" w:cs="Times New Roman"/>
          <w:color w:val="auto"/>
          <w:kern w:val="2"/>
          <w:sz w:val="32"/>
          <w:szCs w:val="32"/>
          <w:lang w:val="en-US" w:eastAsia="zh-CN" w:bidi="ar-SA"/>
        </w:rPr>
        <w:t>中规定，酒精度实测值与标签标示值允许差</w:t>
      </w:r>
      <w:r>
        <w:rPr>
          <w:rFonts w:hint="eastAsia" w:ascii="仿宋_GB2312" w:hAnsi="仿宋_GB2312" w:eastAsia="仿宋_GB2312" w:cs="仿宋_GB2312"/>
          <w:color w:val="auto"/>
          <w:kern w:val="2"/>
          <w:sz w:val="32"/>
          <w:szCs w:val="32"/>
          <w:lang w:val="en-US" w:eastAsia="zh-CN" w:bidi="ar-SA"/>
        </w:rPr>
        <w:t>为±1.0%vol。</w:t>
      </w:r>
      <w:r>
        <w:rPr>
          <w:rFonts w:hint="eastAsia" w:ascii="Times New Roman" w:hAnsi="Times New Roman" w:eastAsia="仿宋_GB2312" w:cs="Times New Roman"/>
          <w:color w:val="auto"/>
          <w:kern w:val="2"/>
          <w:sz w:val="32"/>
          <w:szCs w:val="32"/>
          <w:lang w:val="en-US" w:eastAsia="zh-CN" w:bidi="ar-SA"/>
        </w:rPr>
        <w:t>酒精度不符合产品明示标准要求的原因，可能是企业生产工艺控制不严或生产工艺水平较低，无法准确控制酒精度；也可能是生产企业检验器具未检定或检验过程不规范，造成出厂检验结果有偏差。</w:t>
      </w:r>
    </w:p>
    <w:p w14:paraId="7B7D1378">
      <w:pPr>
        <w:keepNext w:val="0"/>
        <w:keepLines w:val="0"/>
        <w:pageBreakBefore w:val="0"/>
        <w:widowControl w:val="0"/>
        <w:kinsoku/>
        <w:wordWrap/>
        <w:overflowPunct/>
        <w:topLinePunct w:val="0"/>
        <w:bidi w:val="0"/>
        <w:spacing w:line="594" w:lineRule="exact"/>
        <w:ind w:left="-105" w:leftChars="-50" w:firstLine="640" w:firstLineChars="200"/>
        <w:textAlignment w:val="auto"/>
        <w:rPr>
          <w:rFonts w:hint="default" w:ascii="黑体" w:hAnsi="黑体" w:eastAsia="黑体" w:cs="Times New Roman"/>
          <w:spacing w:val="0"/>
          <w:sz w:val="32"/>
          <w:szCs w:val="32"/>
          <w:highlight w:val="none"/>
          <w:lang w:val="en-US" w:eastAsia="zh-CN"/>
        </w:rPr>
      </w:pPr>
      <w:r>
        <w:rPr>
          <w:rFonts w:hint="eastAsia" w:eastAsia="黑体"/>
          <w:spacing w:val="0"/>
          <w:sz w:val="32"/>
          <w:szCs w:val="32"/>
          <w:highlight w:val="none"/>
          <w:lang w:val="en-US" w:eastAsia="zh-CN"/>
        </w:rPr>
        <w:t>十五、三氯蔗糖</w:t>
      </w:r>
    </w:p>
    <w:p w14:paraId="21FECCAD">
      <w:pPr>
        <w:pStyle w:val="8"/>
        <w:keepNext w:val="0"/>
        <w:keepLines w:val="0"/>
        <w:pageBreakBefore w:val="0"/>
        <w:widowControl w:val="0"/>
        <w:kinsoku/>
        <w:wordWrap/>
        <w:overflowPunct/>
        <w:topLinePunct w:val="0"/>
        <w:bidi w:val="0"/>
        <w:ind w:left="-105" w:leftChars="-50" w:firstLine="640" w:firstLineChars="200"/>
        <w:jc w:val="both"/>
        <w:textAlignment w:val="auto"/>
        <w:rPr>
          <w:rFonts w:hint="eastAsia" w:ascii="仿宋_GB2312" w:hAnsi="仿宋_GB2312" w:eastAsia="仿宋_GB2312" w:cs="仿宋_GB2312"/>
          <w:i w:val="0"/>
          <w:iCs w:val="0"/>
          <w:caps w:val="0"/>
          <w:color w:val="auto"/>
          <w:spacing w:val="0"/>
          <w:kern w:val="2"/>
          <w:sz w:val="32"/>
          <w:szCs w:val="32"/>
          <w:lang w:val="en-US" w:eastAsia="zh-CN" w:bidi="ar-SA"/>
        </w:rPr>
      </w:pPr>
      <w:r>
        <w:rPr>
          <w:rFonts w:hint="eastAsia" w:ascii="仿宋_GB2312" w:hAnsi="仿宋_GB2312" w:eastAsia="仿宋_GB2312" w:cs="仿宋_GB2312"/>
          <w:i w:val="0"/>
          <w:iCs w:val="0"/>
          <w:caps w:val="0"/>
          <w:color w:val="auto"/>
          <w:spacing w:val="0"/>
          <w:kern w:val="2"/>
          <w:sz w:val="32"/>
          <w:szCs w:val="32"/>
          <w:lang w:val="en-US" w:eastAsia="zh-CN" w:bidi="ar-SA"/>
        </w:rPr>
        <w:t>三氯蔗糖是最接近蔗糖的一种甜味剂，热稳定性好，温度和pH值对它几乎无影响。《食品安全国家标准 食品添加剂使用标准》（GB 2760—2024）中规定，橄榄中不得使用三氯蔗糖。橄榄中检出三氯蔗糖的原因，可能是生产经营者</w:t>
      </w:r>
      <w:r>
        <w:rPr>
          <w:rFonts w:hint="eastAsia" w:hAnsi="仿宋_GB2312" w:cs="仿宋_GB2312"/>
          <w:i w:val="0"/>
          <w:iCs w:val="0"/>
          <w:caps w:val="0"/>
          <w:color w:val="auto"/>
          <w:spacing w:val="0"/>
          <w:kern w:val="2"/>
          <w:sz w:val="32"/>
          <w:szCs w:val="32"/>
          <w:lang w:val="en-US" w:eastAsia="zh-CN" w:bidi="ar-SA"/>
        </w:rPr>
        <w:t>为增加产品甜味超范围使用</w:t>
      </w:r>
      <w:r>
        <w:rPr>
          <w:rFonts w:hint="eastAsia" w:ascii="仿宋_GB2312" w:hAnsi="仿宋_GB2312" w:eastAsia="仿宋_GB2312" w:cs="仿宋_GB2312"/>
          <w:i w:val="0"/>
          <w:iCs w:val="0"/>
          <w:caps w:val="0"/>
          <w:color w:val="auto"/>
          <w:spacing w:val="0"/>
          <w:kern w:val="2"/>
          <w:sz w:val="32"/>
          <w:szCs w:val="32"/>
          <w:lang w:val="en-US" w:eastAsia="zh-CN" w:bidi="ar-SA"/>
        </w:rPr>
        <w:t>；也可能是对食品添加剂使用标准理解偏差所致。</w:t>
      </w:r>
    </w:p>
    <w:p w14:paraId="13250E8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十六、氯氟氰菊酯和高效氯氟氰菊酯</w:t>
      </w:r>
    </w:p>
    <w:p w14:paraId="689C1E73">
      <w:pPr>
        <w:pStyle w:val="8"/>
        <w:keepNext w:val="0"/>
        <w:keepLines w:val="0"/>
        <w:pageBreakBefore w:val="0"/>
        <w:widowControl w:val="0"/>
        <w:kinsoku/>
        <w:wordWrap/>
        <w:overflowPunct/>
        <w:topLinePunct w:val="0"/>
        <w:bidi w:val="0"/>
        <w:ind w:left="-105" w:leftChars="-50" w:firstLine="640" w:firstLineChars="200"/>
        <w:jc w:val="both"/>
        <w:textAlignment w:val="auto"/>
        <w:rPr>
          <w:rFonts w:hint="eastAsia" w:ascii="仿宋_GB2312" w:hAnsi="仿宋_GB2312" w:eastAsia="仿宋_GB2312" w:cs="仿宋_GB2312"/>
          <w:i w:val="0"/>
          <w:iCs w:val="0"/>
          <w:caps w:val="0"/>
          <w:color w:val="auto"/>
          <w:spacing w:val="0"/>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氯氟氰菊酯和高效氯氟氰菊酯可有效防治棉花、果树、蔬菜、大豆等作物上的多种害虫，也能防治动物体上的寄生虫，具有广谱、高效、快速等特性。《食品安全国家标准 食品中农药最大残留限量</w:t>
      </w:r>
      <w:r>
        <w:rPr>
          <w:rFonts w:hint="eastAsia" w:ascii="仿宋_GB2312" w:hAnsi="仿宋_GB2312" w:eastAsia="仿宋_GB2312" w:cs="仿宋_GB2312"/>
          <w:color w:val="000000"/>
          <w:kern w:val="2"/>
          <w:sz w:val="32"/>
          <w:szCs w:val="32"/>
          <w:highlight w:val="none"/>
          <w:lang w:val="en-US" w:eastAsia="zh-CN" w:bidi="ar-SA"/>
        </w:rPr>
        <w:t>》（GB 2763-2026）中的规定，荔枝中氯氟氰菊酯和高效氯氟氰菊酯的最大残留限量值为0.1mg/kg。荔枝中</w:t>
      </w:r>
      <w:r>
        <w:rPr>
          <w:rFonts w:hint="default" w:ascii="Times New Roman" w:hAnsi="Times New Roman" w:eastAsia="仿宋_GB2312" w:cs="Times New Roman"/>
          <w:color w:val="000000"/>
          <w:kern w:val="2"/>
          <w:sz w:val="32"/>
          <w:szCs w:val="32"/>
          <w:highlight w:val="none"/>
          <w:lang w:val="en-US" w:eastAsia="zh-CN" w:bidi="ar-SA"/>
        </w:rPr>
        <w:t>氯氟氰菊酯和高效氯氟氰菊酯残留量超标的原因，可能是为快速控制虫害，加大用药量或未遵守采摘间隔期规定。</w:t>
      </w:r>
    </w:p>
    <w:p w14:paraId="203754F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十七、柠檬黄</w:t>
      </w:r>
    </w:p>
    <w:p w14:paraId="0C72748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highlight w:val="none"/>
          <w:lang w:eastAsia="zh-CN"/>
        </w:rPr>
        <w:t>柠檬黄</w:t>
      </w:r>
      <w:r>
        <w:rPr>
          <w:rFonts w:hint="eastAsia" w:ascii="仿宋_GB2312" w:hAnsi="仿宋_GB2312" w:eastAsia="仿宋_GB2312" w:cs="仿宋_GB2312"/>
          <w:color w:val="000000"/>
          <w:sz w:val="32"/>
          <w:szCs w:val="32"/>
          <w:highlight w:val="none"/>
        </w:rPr>
        <w:t>又名食用黄色</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号，</w:t>
      </w:r>
      <w:r>
        <w:rPr>
          <w:rFonts w:hint="eastAsia" w:ascii="仿宋_GB2312" w:hAnsi="仿宋_GB2312" w:eastAsia="仿宋_GB2312" w:cs="仿宋_GB2312"/>
          <w:color w:val="000000"/>
          <w:sz w:val="32"/>
          <w:szCs w:val="32"/>
          <w:highlight w:val="none"/>
          <w:lang w:eastAsia="zh-CN"/>
        </w:rPr>
        <w:t>水溶性</w:t>
      </w:r>
      <w:r>
        <w:rPr>
          <w:rFonts w:hint="eastAsia" w:ascii="仿宋_GB2312" w:hAnsi="仿宋_GB2312" w:eastAsia="仿宋_GB2312" w:cs="仿宋_GB2312"/>
          <w:color w:val="000000"/>
          <w:sz w:val="32"/>
          <w:szCs w:val="32"/>
          <w:highlight w:val="none"/>
        </w:rPr>
        <w:t>偶氮类</w:t>
      </w:r>
      <w:r>
        <w:rPr>
          <w:rFonts w:hint="eastAsia" w:ascii="仿宋_GB2312" w:hAnsi="仿宋_GB2312" w:eastAsia="仿宋_GB2312" w:cs="仿宋_GB2312"/>
          <w:color w:val="000000"/>
          <w:sz w:val="32"/>
          <w:szCs w:val="32"/>
          <w:highlight w:val="none"/>
          <w:lang w:eastAsia="zh-CN"/>
        </w:rPr>
        <w:t>化合物，</w:t>
      </w:r>
      <w:r>
        <w:rPr>
          <w:rFonts w:hint="eastAsia" w:ascii="仿宋_GB2312" w:hAnsi="仿宋_GB2312" w:eastAsia="仿宋_GB2312" w:cs="仿宋_GB2312"/>
          <w:color w:val="000000"/>
          <w:sz w:val="32"/>
          <w:szCs w:val="32"/>
          <w:highlight w:val="none"/>
        </w:rPr>
        <w:t>是常见的人工合成着色剂，在食品</w:t>
      </w:r>
      <w:r>
        <w:rPr>
          <w:rFonts w:hint="eastAsia" w:ascii="仿宋_GB2312" w:hAnsi="仿宋_GB2312" w:eastAsia="仿宋_GB2312" w:cs="仿宋_GB2312"/>
          <w:color w:val="000000"/>
          <w:sz w:val="32"/>
          <w:szCs w:val="32"/>
          <w:highlight w:val="none"/>
          <w:lang w:eastAsia="zh-CN"/>
        </w:rPr>
        <w:t>生产</w:t>
      </w:r>
      <w:r>
        <w:rPr>
          <w:rFonts w:hint="eastAsia" w:ascii="仿宋_GB2312" w:hAnsi="仿宋_GB2312" w:eastAsia="仿宋_GB2312" w:cs="仿宋_GB2312"/>
          <w:color w:val="000000"/>
          <w:sz w:val="32"/>
          <w:szCs w:val="32"/>
          <w:highlight w:val="none"/>
        </w:rPr>
        <w:t>中应用广泛。如果长期摄入</w:t>
      </w:r>
      <w:r>
        <w:rPr>
          <w:rFonts w:hint="eastAsia" w:ascii="仿宋_GB2312" w:hAnsi="仿宋_GB2312" w:eastAsia="仿宋_GB2312" w:cs="仿宋_GB2312"/>
          <w:color w:val="000000"/>
          <w:sz w:val="32"/>
          <w:szCs w:val="32"/>
          <w:highlight w:val="none"/>
          <w:lang w:eastAsia="zh-CN"/>
        </w:rPr>
        <w:t>柠檬黄超标的食品</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可能</w:t>
      </w:r>
      <w:r>
        <w:rPr>
          <w:rFonts w:hint="eastAsia" w:ascii="仿宋_GB2312" w:hAnsi="仿宋_GB2312" w:eastAsia="仿宋_GB2312" w:cs="仿宋_GB2312"/>
          <w:color w:val="000000"/>
          <w:sz w:val="32"/>
          <w:szCs w:val="32"/>
          <w:highlight w:val="none"/>
        </w:rPr>
        <w:t>对人体肝脏等造成损害。</w:t>
      </w:r>
      <w:r>
        <w:rPr>
          <w:rFonts w:hint="eastAsia" w:ascii="仿宋_GB2312" w:hAnsi="仿宋_GB2312" w:eastAsia="仿宋_GB2312" w:cs="仿宋_GB2312"/>
          <w:kern w:val="2"/>
          <w:sz w:val="32"/>
          <w:szCs w:val="32"/>
          <w:lang w:val="en-US" w:eastAsia="zh-CN" w:bidi="ar-SA"/>
        </w:rPr>
        <w:t>《食品安全国家标准 食品添加剂使用标准》（GB 2760—2024）中规定，</w:t>
      </w:r>
      <w:r>
        <w:rPr>
          <w:rFonts w:hint="eastAsia" w:ascii="仿宋_GB2312" w:hAnsi="仿宋_GB2312" w:eastAsia="仿宋_GB2312" w:cs="仿宋_GB2312"/>
          <w:bCs/>
          <w:color w:val="auto"/>
          <w:kern w:val="2"/>
          <w:sz w:val="32"/>
          <w:szCs w:val="28"/>
          <w:lang w:val="en-US" w:eastAsia="zh-CN" w:bidi="ar-SA"/>
        </w:rPr>
        <w:t>柠檬黄在馒头中不得使用。馒头中</w:t>
      </w:r>
      <w:r>
        <w:rPr>
          <w:rFonts w:hint="eastAsia" w:ascii="仿宋_GB2312" w:hAnsi="仿宋_GB2312" w:eastAsia="仿宋_GB2312" w:cs="仿宋_GB2312"/>
          <w:sz w:val="32"/>
          <w:szCs w:val="32"/>
          <w:lang w:val="en-US" w:eastAsia="zh-CN"/>
        </w:rPr>
        <w:t>检出柠檬黄的原因，可能是生产企业为改善产品色泽而违规使用。</w:t>
      </w:r>
    </w:p>
    <w:p w14:paraId="35B4A4B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十八、亮蓝</w:t>
      </w:r>
    </w:p>
    <w:p w14:paraId="6FF6C5D8">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iCs w:val="0"/>
          <w:caps w:val="0"/>
          <w:color w:val="auto"/>
          <w:spacing w:val="0"/>
          <w:kern w:val="2"/>
          <w:sz w:val="30"/>
          <w:szCs w:val="30"/>
          <w:lang w:val="en-US" w:eastAsia="zh-CN" w:bidi="ar-SA"/>
        </w:rPr>
      </w:pPr>
      <w:r>
        <w:rPr>
          <w:rFonts w:hint="eastAsia" w:ascii="仿宋_GB2312" w:hAnsi="仿宋_GB2312" w:eastAsia="仿宋_GB2312" w:cs="仿宋_GB2312"/>
          <w:i w:val="0"/>
          <w:iCs w:val="0"/>
          <w:caps w:val="0"/>
          <w:color w:val="000000"/>
          <w:spacing w:val="0"/>
          <w:kern w:val="2"/>
          <w:sz w:val="32"/>
          <w:szCs w:val="32"/>
          <w:highlight w:val="none"/>
          <w:lang w:val="en-US" w:eastAsia="zh-CN" w:bidi="ar-SA"/>
        </w:rPr>
        <w:t>亮蓝又名食用蓝色2号，属于水溶性非偶氮类合成着色剂，食品行业中适用于糕点、糖果、饮料等的着色。亮蓝必须严格按照标准使用，如果长期摄入，存在致畸、致癌的风险。</w:t>
      </w:r>
      <w:r>
        <w:rPr>
          <w:rFonts w:hint="eastAsia" w:ascii="仿宋_GB2312" w:hAnsi="仿宋_GB2312" w:eastAsia="仿宋_GB2312" w:cs="仿宋_GB2312"/>
          <w:bCs w:val="0"/>
          <w:color w:val="000000"/>
          <w:kern w:val="2"/>
          <w:sz w:val="32"/>
          <w:szCs w:val="32"/>
          <w:highlight w:val="none"/>
          <w:lang w:val="en-US" w:eastAsia="zh-CN" w:bidi="ar-SA"/>
        </w:rPr>
        <w:t>《食品安全国家标准 食品添加剂使用标准》(GB 2760-2024)中规定，亮蓝在馒头中不得使用。馒头中</w:t>
      </w:r>
      <w:r>
        <w:rPr>
          <w:rFonts w:hint="eastAsia" w:ascii="仿宋_GB2312" w:hAnsi="仿宋_GB2312" w:eastAsia="仿宋_GB2312" w:cs="仿宋_GB2312"/>
          <w:color w:val="000000"/>
          <w:kern w:val="2"/>
          <w:sz w:val="32"/>
          <w:szCs w:val="32"/>
          <w:highlight w:val="none"/>
          <w:lang w:val="en-US" w:eastAsia="zh-CN"/>
        </w:rPr>
        <w:t>检出</w:t>
      </w:r>
      <w:r>
        <w:rPr>
          <w:rFonts w:hint="eastAsia" w:ascii="仿宋_GB2312" w:hAnsi="仿宋_GB2312" w:eastAsia="仿宋_GB2312" w:cs="仿宋_GB2312"/>
          <w:bCs w:val="0"/>
          <w:color w:val="000000"/>
          <w:kern w:val="2"/>
          <w:sz w:val="32"/>
          <w:szCs w:val="32"/>
          <w:highlight w:val="none"/>
          <w:lang w:val="en-US" w:eastAsia="zh-CN" w:bidi="ar-SA"/>
        </w:rPr>
        <w:t>亮蓝</w:t>
      </w:r>
      <w:r>
        <w:rPr>
          <w:rFonts w:hint="eastAsia" w:ascii="仿宋_GB2312" w:hAnsi="仿宋_GB2312" w:eastAsia="仿宋_GB2312" w:cs="仿宋_GB2312"/>
          <w:color w:val="000000"/>
          <w:kern w:val="2"/>
          <w:sz w:val="32"/>
          <w:szCs w:val="32"/>
          <w:highlight w:val="none"/>
          <w:lang w:val="en-US" w:eastAsia="zh-CN"/>
        </w:rPr>
        <w:t>的原因，可能是</w:t>
      </w:r>
      <w:r>
        <w:rPr>
          <w:rFonts w:hint="eastAsia" w:ascii="仿宋_GB2312" w:hAnsi="仿宋_GB2312" w:eastAsia="仿宋_GB2312" w:cs="仿宋_GB2312"/>
          <w:i w:val="0"/>
          <w:iCs w:val="0"/>
          <w:caps w:val="0"/>
          <w:color w:val="000000"/>
          <w:spacing w:val="0"/>
          <w:kern w:val="2"/>
          <w:sz w:val="32"/>
          <w:szCs w:val="32"/>
          <w:highlight w:val="none"/>
          <w:lang w:val="en-US" w:eastAsia="zh-CN" w:bidi="ar-SA"/>
        </w:rPr>
        <w:t>生产经营企业</w:t>
      </w:r>
      <w:r>
        <w:rPr>
          <w:rFonts w:hint="eastAsia" w:ascii="仿宋_GB2312" w:hAnsi="仿宋_GB2312" w:eastAsia="仿宋_GB2312" w:cs="仿宋_GB2312"/>
          <w:color w:val="000000"/>
          <w:kern w:val="2"/>
          <w:sz w:val="32"/>
          <w:szCs w:val="32"/>
          <w:highlight w:val="none"/>
          <w:lang w:val="en-US" w:eastAsia="zh-CN"/>
        </w:rPr>
        <w:t>为改善产品色泽而违</w:t>
      </w:r>
      <w:r>
        <w:rPr>
          <w:rFonts w:hint="eastAsia" w:ascii="仿宋_GB2312" w:hAnsi="仿宋_GB2312" w:eastAsia="仿宋_GB2312" w:cs="仿宋_GB2312"/>
          <w:sz w:val="32"/>
          <w:szCs w:val="32"/>
          <w:lang w:val="en-US" w:eastAsia="zh-CN"/>
        </w:rPr>
        <w:t>规使用</w:t>
      </w:r>
      <w:r>
        <w:rPr>
          <w:rFonts w:hint="eastAsia" w:ascii="仿宋_GB2312" w:hAnsi="仿宋_GB2312" w:eastAsia="仿宋_GB2312" w:cs="仿宋_GB2312"/>
          <w:i w:val="0"/>
          <w:iCs w:val="0"/>
          <w:caps w:val="0"/>
          <w:color w:val="auto"/>
          <w:spacing w:val="0"/>
          <w:kern w:val="2"/>
          <w:sz w:val="30"/>
          <w:szCs w:val="30"/>
          <w:lang w:val="en-US" w:eastAsia="zh-CN" w:bidi="ar-SA"/>
        </w:rPr>
        <w:t>。</w:t>
      </w:r>
    </w:p>
    <w:p w14:paraId="7335B090">
      <w:pPr>
        <w:pStyle w:val="8"/>
        <w:keepNext w:val="0"/>
        <w:keepLines w:val="0"/>
        <w:pageBreakBefore w:val="0"/>
        <w:widowControl w:val="0"/>
        <w:kinsoku/>
        <w:wordWrap/>
        <w:overflowPunct/>
        <w:topLinePunct w:val="0"/>
        <w:bidi w:val="0"/>
        <w:ind w:left="-105" w:leftChars="-50" w:firstLine="640" w:firstLineChars="200"/>
        <w:jc w:val="both"/>
        <w:textAlignment w:val="auto"/>
        <w:rPr>
          <w:rFonts w:hint="default" w:ascii="仿宋_GB2312" w:hAnsi="仿宋_GB2312" w:eastAsia="仿宋_GB2312" w:cs="仿宋_GB2312"/>
          <w:i w:val="0"/>
          <w:iCs w:val="0"/>
          <w:caps w:val="0"/>
          <w:color w:val="auto"/>
          <w:spacing w:val="0"/>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ESI宋体-GB2312">
    <w:panose1 w:val="02000500000000000000"/>
    <w:charset w:val="86"/>
    <w:family w:val="auto"/>
    <w:pitch w:val="default"/>
    <w:sig w:usb0="800002AF" w:usb1="08476CF8" w:usb2="00000010" w:usb3="00000000" w:csb0="0004000F"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B972A4"/>
    <w:rsid w:val="09E140FA"/>
    <w:rsid w:val="1B3C5EBC"/>
    <w:rsid w:val="2C947BA5"/>
    <w:rsid w:val="2EFD4C43"/>
    <w:rsid w:val="42B972A4"/>
    <w:rsid w:val="53279DBB"/>
    <w:rsid w:val="5776A187"/>
    <w:rsid w:val="5B54415E"/>
    <w:rsid w:val="5FD720F5"/>
    <w:rsid w:val="5FF73589"/>
    <w:rsid w:val="77181A17"/>
    <w:rsid w:val="7836203D"/>
    <w:rsid w:val="7DFFCC83"/>
    <w:rsid w:val="7F578C6B"/>
    <w:rsid w:val="7F777076"/>
    <w:rsid w:val="7FAC539F"/>
    <w:rsid w:val="7FE426AE"/>
    <w:rsid w:val="7FFD957F"/>
    <w:rsid w:val="AF7F6FB6"/>
    <w:rsid w:val="B8BA1E3D"/>
    <w:rsid w:val="BF7670CA"/>
    <w:rsid w:val="CFFB690E"/>
    <w:rsid w:val="ED674AB6"/>
    <w:rsid w:val="EF0F6DC7"/>
    <w:rsid w:val="F3D7FB25"/>
    <w:rsid w:val="F5B9E307"/>
    <w:rsid w:val="F9BF8295"/>
    <w:rsid w:val="FCA88AB4"/>
    <w:rsid w:val="FD33F002"/>
    <w:rsid w:val="FFFB43A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rPr>
      <w:kern w:val="0"/>
      <w:szCs w:val="20"/>
    </w:rPr>
  </w:style>
  <w:style w:type="paragraph" w:styleId="4">
    <w:name w:val="toa heading"/>
    <w:basedOn w:val="1"/>
    <w:next w:val="1"/>
    <w:qFormat/>
    <w:uiPriority w:val="0"/>
    <w:pPr>
      <w:spacing w:before="120"/>
    </w:pPr>
    <w:rPr>
      <w:rFonts w:ascii="Cambria" w:hAnsi="Cambria"/>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9">
    <w:name w:val="List Paragraph"/>
    <w:basedOn w:val="1"/>
    <w:unhideWhenUsed/>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2372</Words>
  <Characters>2569</Characters>
  <Lines>0</Lines>
  <Paragraphs>0</Paragraphs>
  <TotalTime>4</TotalTime>
  <ScaleCrop>false</ScaleCrop>
  <LinksUpToDate>false</LinksUpToDate>
  <CharactersWithSpaces>2590</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2026-07-25T08:30:00Z</dcterms:created>
  <dc:creator>王婷</dc:creator>
  <cp:lastModifiedBy>uos</cp:lastModifiedBy>
  <dcterms:modified xsi:type="dcterms:W3CDTF">2026-09-02T11:14:14Z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C012825D2EB41B728694976A395C09E7_43</vt:lpwstr>
  </property>
  <property fmtid="{D5CDD505-2E9C-101B-9397-08002B2CF9AE}" pid="4" name="KSOTemplateDocerSaveRecord">
    <vt:lpwstr>eyJoZGlkIjoiZWY0ZGQzNTAxMjNiYTBmMjY1M2U5YTJjMTJiZjEzOGYiLCJ1c2VySWQiOiIzODQ0NjAyNDgifQ==</vt:lpwstr>
  </property>
</Properties>
</file>