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4B11EA">
      <w:pPr>
        <w:spacing w:line="640" w:lineRule="exact"/>
        <w:jc w:val="center"/>
        <w:rPr>
          <w:rFonts w:hint="default" w:ascii="Times New Roman" w:hAnsi="Times New Roman" w:eastAsia="方正小标宋_GBK" w:cs="Times New Roman"/>
          <w:color w:val="000000" w:themeColor="text1"/>
          <w:sz w:val="44"/>
          <w:szCs w:val="44"/>
          <w14:textFill>
            <w14:solidFill>
              <w14:schemeClr w14:val="tx1"/>
            </w14:solidFill>
          </w14:textFill>
        </w:rPr>
      </w:pPr>
      <w:bookmarkStart w:id="1" w:name="_GoBack"/>
      <w:bookmarkEnd w:id="1"/>
      <w:r>
        <w:rPr>
          <w:rFonts w:hint="default" w:ascii="Times New Roman" w:hAnsi="Times New Roman" w:eastAsia="方正小标宋_GBK" w:cs="Times New Roman"/>
          <w:color w:val="000000" w:themeColor="text1"/>
          <w:sz w:val="44"/>
          <w:szCs w:val="44"/>
          <w14:textFill>
            <w14:solidFill>
              <w14:schemeClr w14:val="tx1"/>
            </w14:solidFill>
          </w14:textFill>
        </w:rPr>
        <w:t>部分不合格项目的小知识</w:t>
      </w:r>
    </w:p>
    <w:p w14:paraId="1FEAB0F9">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Times New Roman" w:hAnsi="Times New Roman" w:cs="Times New Roman"/>
        </w:rPr>
      </w:pPr>
    </w:p>
    <w:p w14:paraId="679DF781">
      <w:pPr>
        <w:spacing w:line="594" w:lineRule="exact"/>
        <w:ind w:firstLine="592" w:firstLineChars="200"/>
        <w:rPr>
          <w:rFonts w:hint="default" w:ascii="黑体" w:hAnsi="黑体" w:eastAsia="黑体" w:cs="Times New Roman"/>
          <w:spacing w:val="0"/>
          <w:sz w:val="32"/>
          <w:szCs w:val="32"/>
          <w:highlight w:val="none"/>
          <w:lang w:val="en-US" w:eastAsia="zh-CN"/>
        </w:rPr>
      </w:pPr>
      <w:r>
        <w:rPr>
          <w:rFonts w:hint="eastAsia" w:ascii="Times New Roman" w:hAnsi="Times New Roman" w:eastAsia="黑体" w:cs="Times New Roman"/>
          <w:color w:val="auto"/>
          <w:spacing w:val="-12"/>
          <w:sz w:val="32"/>
          <w:szCs w:val="32"/>
          <w:highlight w:val="none"/>
          <w:lang w:eastAsia="zh-CN"/>
        </w:rPr>
        <w:t>一</w:t>
      </w:r>
      <w:r>
        <w:rPr>
          <w:rFonts w:hint="default" w:ascii="Times New Roman" w:hAnsi="Times New Roman" w:eastAsia="黑体" w:cs="Times New Roman"/>
          <w:color w:val="auto"/>
          <w:spacing w:val="-12"/>
          <w:sz w:val="32"/>
          <w:szCs w:val="32"/>
          <w:highlight w:val="none"/>
        </w:rPr>
        <w:t>、</w:t>
      </w:r>
      <w:r>
        <w:rPr>
          <w:rFonts w:hint="eastAsia" w:ascii="Calibri" w:hAnsi="Calibri" w:eastAsia="黑体" w:cs="Times New Roman"/>
          <w:spacing w:val="0"/>
          <w:sz w:val="32"/>
          <w:szCs w:val="32"/>
          <w:highlight w:val="none"/>
          <w:lang w:val="en-US" w:eastAsia="zh-CN"/>
        </w:rPr>
        <w:t>三氯蔗糖</w:t>
      </w:r>
    </w:p>
    <w:p w14:paraId="57195E14">
      <w:pPr>
        <w:keepNext w:val="0"/>
        <w:keepLines w:val="0"/>
        <w:widowControl/>
        <w:suppressLineNumbers w:val="0"/>
        <w:ind w:firstLine="640" w:firstLineChars="200"/>
        <w:jc w:val="both"/>
        <w:rPr>
          <w:rFonts w:hint="eastAsia" w:ascii="仿宋_GB2312" w:hAnsi="仿宋_GB2312" w:eastAsia="仿宋_GB2312" w:cs="仿宋_GB2312"/>
          <w:i w:val="0"/>
          <w:iCs w:val="0"/>
          <w:caps w:val="0"/>
          <w:color w:val="auto"/>
          <w:spacing w:val="0"/>
          <w:kern w:val="2"/>
          <w:sz w:val="30"/>
          <w:szCs w:val="30"/>
          <w:lang w:val="en-US" w:eastAsia="zh-CN" w:bidi="ar-SA"/>
        </w:rPr>
      </w:pPr>
      <w:r>
        <w:rPr>
          <w:rFonts w:hint="eastAsia" w:ascii="仿宋_GB2312" w:hAnsi="仿宋_GB2312" w:eastAsia="仿宋_GB2312" w:cs="仿宋_GB2312"/>
          <w:i w:val="0"/>
          <w:iCs w:val="0"/>
          <w:caps w:val="0"/>
          <w:color w:val="auto"/>
          <w:spacing w:val="0"/>
          <w:kern w:val="2"/>
          <w:sz w:val="32"/>
          <w:szCs w:val="32"/>
          <w:lang w:val="en-US" w:eastAsia="zh-CN" w:bidi="ar-SA"/>
        </w:rPr>
        <w:t>三氯蔗糖是最接近蔗糖的一种甜味剂，热稳定性好，温度和pH值对它几乎无影响。</w:t>
      </w:r>
      <w:r>
        <w:rPr>
          <w:rFonts w:hint="eastAsia" w:ascii="仿宋_GB2312" w:hAnsi="仿宋_GB2312" w:eastAsia="仿宋_GB2312" w:cs="仿宋_GB2312"/>
          <w:i w:val="0"/>
          <w:iCs w:val="0"/>
          <w:caps w:val="0"/>
          <w:color w:val="auto"/>
          <w:spacing w:val="0"/>
          <w:kern w:val="2"/>
          <w:sz w:val="30"/>
          <w:szCs w:val="30"/>
          <w:lang w:val="en-US" w:eastAsia="zh-CN" w:bidi="ar-SA"/>
        </w:rPr>
        <w:t>《食品安全国家标准 食品添加剂使用标准》（GB 2760—2024）中规定，橄榄、油柑果中不得使用三氯蔗糖。橄榄、油柑果中检出三氯蔗糖的原因，可能是生产经营者为增加产品甜味而超范围使用。</w:t>
      </w:r>
    </w:p>
    <w:p w14:paraId="107685DE">
      <w:pPr>
        <w:keepNext w:val="0"/>
        <w:keepLines w:val="0"/>
        <w:pageBreakBefore w:val="0"/>
        <w:widowControl w:val="0"/>
        <w:numPr>
          <w:ilvl w:val="0"/>
          <w:numId w:val="0"/>
        </w:numPr>
        <w:kinsoku/>
        <w:wordWrap/>
        <w:overflowPunct/>
        <w:topLinePunct w:val="0"/>
        <w:autoSpaceDN/>
        <w:bidi w:val="0"/>
        <w:adjustRightInd w:val="0"/>
        <w:spacing w:after="0" w:line="594" w:lineRule="exact"/>
        <w:ind w:left="0" w:leftChars="0" w:firstLine="640" w:firstLineChars="200"/>
        <w:jc w:val="both"/>
        <w:textAlignment w:val="auto"/>
        <w:rPr>
          <w:rFonts w:hint="eastAsia" w:ascii="Times New Roman" w:hAnsi="Times New Roman" w:eastAsia="黑体" w:cs="Times New Roman"/>
          <w:color w:val="000000"/>
          <w:kern w:val="2"/>
          <w:sz w:val="32"/>
          <w:szCs w:val="32"/>
          <w:highlight w:val="none"/>
          <w:lang w:val="en-US" w:eastAsia="zh-CN" w:bidi="ar-SA"/>
        </w:rPr>
      </w:pPr>
      <w:r>
        <w:rPr>
          <w:rFonts w:hint="eastAsia" w:ascii="Times New Roman" w:hAnsi="Times New Roman" w:eastAsia="黑体" w:cs="Times New Roman"/>
          <w:color w:val="000000"/>
          <w:kern w:val="2"/>
          <w:sz w:val="32"/>
          <w:szCs w:val="32"/>
          <w:highlight w:val="none"/>
          <w:lang w:val="en-US" w:eastAsia="zh-CN" w:bidi="ar-SA"/>
        </w:rPr>
        <w:t>二、脱氢乙酸及其钠盐</w:t>
      </w:r>
      <w:r>
        <w:rPr>
          <w:rFonts w:hint="eastAsia" w:ascii="黑体" w:hAnsi="黑体" w:eastAsia="黑体" w:cs="黑体"/>
          <w:kern w:val="2"/>
          <w:sz w:val="32"/>
          <w:szCs w:val="32"/>
          <w:highlight w:val="none"/>
          <w:lang w:val="en-US" w:eastAsia="zh-CN" w:bidi="ar-SA"/>
        </w:rPr>
        <w:t>（以脱氢乙酸计）</w:t>
      </w:r>
    </w:p>
    <w:p w14:paraId="30A852BC">
      <w:pPr>
        <w:keepNext w:val="0"/>
        <w:keepLines w:val="0"/>
        <w:pageBreakBefore w:val="0"/>
        <w:numPr>
          <w:ilvl w:val="0"/>
          <w:numId w:val="0"/>
        </w:numPr>
        <w:kinsoku/>
        <w:wordWrap/>
        <w:overflowPunct/>
        <w:topLinePunct w:val="0"/>
        <w:autoSpaceDE/>
        <w:autoSpaceDN/>
        <w:bidi w:val="0"/>
        <w:adjustRightInd/>
        <w:snapToGrid/>
        <w:spacing w:line="594" w:lineRule="exact"/>
        <w:ind w:firstLine="640" w:firstLineChars="200"/>
        <w:textAlignment w:val="auto"/>
        <w:rPr>
          <w:rFonts w:hint="default" w:ascii="Calibri" w:hAnsi="Calibri" w:eastAsia="仿宋_GB2312" w:cs="Times New Roman"/>
          <w:kern w:val="2"/>
          <w:sz w:val="32"/>
          <w:szCs w:val="32"/>
          <w:highlight w:val="none"/>
          <w:lang w:val="en-US" w:eastAsia="zh-CN" w:bidi="ar-SA"/>
        </w:rPr>
      </w:pPr>
      <w:r>
        <w:rPr>
          <w:rFonts w:hint="default" w:ascii="Calibri" w:hAnsi="Calibri" w:eastAsia="仿宋_GB2312" w:cs="Times New Roman"/>
          <w:kern w:val="2"/>
          <w:sz w:val="32"/>
          <w:szCs w:val="32"/>
          <w:highlight w:val="none"/>
          <w:lang w:val="en-US" w:eastAsia="zh-CN" w:bidi="ar-SA"/>
        </w:rPr>
        <w:t>脱氢乙酸及其钠盐作为一种广谱食品防腐剂，对霉菌和酵母菌的抑制能力强。脱氢乙酸毒性较低，按标准规定的范围和使用量使用是安全的。脱氢乙酸及其钠盐能被人体完全吸收，并能抑制人体内多种氧化酶，长期过量摄入脱氢乙酸及其钠盐会危害人体健康。《食品安全国家标准 食品添加剂使用标准</w:t>
      </w:r>
      <w:r>
        <w:rPr>
          <w:rFonts w:hint="eastAsia" w:ascii="仿宋_GB2312" w:hAnsi="仿宋_GB2312" w:eastAsia="仿宋_GB2312" w:cs="仿宋_GB2312"/>
          <w:kern w:val="2"/>
          <w:sz w:val="32"/>
          <w:szCs w:val="32"/>
          <w:highlight w:val="none"/>
          <w:lang w:val="en-US" w:eastAsia="zh-CN" w:bidi="ar-SA"/>
        </w:rPr>
        <w:t>》（GB 2760—2024）中规</w:t>
      </w:r>
      <w:r>
        <w:rPr>
          <w:rFonts w:hint="default" w:ascii="Calibri" w:hAnsi="Calibri" w:eastAsia="仿宋_GB2312" w:cs="Times New Roman"/>
          <w:kern w:val="2"/>
          <w:sz w:val="32"/>
          <w:szCs w:val="32"/>
          <w:highlight w:val="none"/>
          <w:lang w:val="en-US" w:eastAsia="zh-CN" w:bidi="ar-SA"/>
        </w:rPr>
        <w:t>定，</w:t>
      </w:r>
      <w:r>
        <w:rPr>
          <w:rFonts w:hint="eastAsia" w:ascii="Calibri" w:hAnsi="Calibri" w:eastAsia="仿宋_GB2312" w:cs="Times New Roman"/>
          <w:kern w:val="2"/>
          <w:sz w:val="32"/>
          <w:szCs w:val="32"/>
          <w:highlight w:val="none"/>
          <w:lang w:val="en-US" w:eastAsia="zh-CN" w:bidi="ar-SA"/>
        </w:rPr>
        <w:t>杨梅</w:t>
      </w:r>
      <w:r>
        <w:rPr>
          <w:rFonts w:hint="default" w:ascii="Calibri" w:hAnsi="Calibri" w:eastAsia="仿宋_GB2312" w:cs="Times New Roman"/>
          <w:kern w:val="2"/>
          <w:sz w:val="32"/>
          <w:szCs w:val="32"/>
          <w:highlight w:val="none"/>
          <w:lang w:val="en-US" w:eastAsia="zh-CN" w:bidi="ar-SA"/>
        </w:rPr>
        <w:t>中不得使用脱氢乙酸及其钠盐（以脱氢乙酸计）</w:t>
      </w:r>
      <w:r>
        <w:rPr>
          <w:rFonts w:hint="eastAsia" w:ascii="仿宋_GB2312" w:hAnsi="仿宋_GB2312" w:eastAsia="仿宋_GB2312" w:cs="仿宋_GB2312"/>
          <w:kern w:val="2"/>
          <w:sz w:val="32"/>
          <w:szCs w:val="32"/>
          <w:highlight w:val="none"/>
          <w:lang w:val="en-US" w:eastAsia="zh-CN" w:bidi="ar-SA"/>
        </w:rPr>
        <w:t>。杨梅</w:t>
      </w:r>
      <w:r>
        <w:rPr>
          <w:rFonts w:hint="default" w:ascii="Calibri" w:hAnsi="Calibri" w:eastAsia="仿宋_GB2312" w:cs="Times New Roman"/>
          <w:kern w:val="2"/>
          <w:sz w:val="32"/>
          <w:szCs w:val="32"/>
          <w:highlight w:val="none"/>
          <w:lang w:val="en-US" w:eastAsia="zh-CN" w:bidi="ar-SA"/>
        </w:rPr>
        <w:t>中检出脱氢乙酸及其钠盐（以脱氢乙酸计）的原因，</w:t>
      </w:r>
      <w:r>
        <w:rPr>
          <w:rFonts w:hint="eastAsia" w:ascii="Times New Roman" w:hAnsi="Times New Roman" w:eastAsia="仿宋_GB2312" w:cs="Times New Roman"/>
          <w:sz w:val="32"/>
          <w:szCs w:val="32"/>
          <w:highlight w:val="none"/>
          <w:lang w:val="en-US" w:eastAsia="zh-CN"/>
        </w:rPr>
        <w:t>可能是经营者为了杨梅能保存更长的时间，防止其腐烂变质而违规使用</w:t>
      </w:r>
      <w:r>
        <w:rPr>
          <w:rFonts w:hint="default" w:ascii="Calibri" w:hAnsi="Calibri" w:eastAsia="仿宋_GB2312" w:cs="Times New Roman"/>
          <w:kern w:val="2"/>
          <w:sz w:val="32"/>
          <w:szCs w:val="32"/>
          <w:highlight w:val="none"/>
          <w:lang w:val="en-US" w:eastAsia="zh-CN" w:bidi="ar-SA"/>
        </w:rPr>
        <w:t>。</w:t>
      </w:r>
    </w:p>
    <w:p w14:paraId="666EBBF6">
      <w:pPr>
        <w:keepNext w:val="0"/>
        <w:keepLines w:val="0"/>
        <w:pageBreakBefore w:val="0"/>
        <w:widowControl w:val="0"/>
        <w:numPr>
          <w:ilvl w:val="0"/>
          <w:numId w:val="0"/>
        </w:numPr>
        <w:kinsoku/>
        <w:wordWrap/>
        <w:overflowPunct/>
        <w:topLinePunct w:val="0"/>
        <w:autoSpaceDE/>
        <w:autoSpaceDN/>
        <w:bidi w:val="0"/>
        <w:adjustRightInd w:val="0"/>
        <w:snapToGrid w:val="0"/>
        <w:spacing w:line="594" w:lineRule="exact"/>
        <w:ind w:right="0" w:rightChars="0" w:firstLine="640" w:firstLineChars="200"/>
        <w:jc w:val="both"/>
        <w:textAlignment w:val="auto"/>
        <w:rPr>
          <w:rFonts w:hint="default" w:ascii="Times New Roman" w:hAnsi="Times New Roman" w:eastAsia="方正黑体_GBK" w:cs="Times New Roman"/>
          <w:color w:val="000000"/>
          <w:sz w:val="32"/>
          <w:szCs w:val="32"/>
          <w:highlight w:val="none"/>
          <w:lang w:val="en-US" w:eastAsia="zh-CN"/>
        </w:rPr>
      </w:pPr>
      <w:r>
        <w:rPr>
          <w:rFonts w:hint="eastAsia" w:ascii="Times New Roman" w:hAnsi="Times New Roman" w:eastAsia="方正黑体_GBK" w:cs="Times New Roman"/>
          <w:color w:val="000000"/>
          <w:sz w:val="32"/>
          <w:szCs w:val="32"/>
          <w:highlight w:val="none"/>
          <w:lang w:val="en-US" w:eastAsia="zh-CN"/>
        </w:rPr>
        <w:t>三、甜蜜素（以环己基氨基磺酸计）</w:t>
      </w:r>
    </w:p>
    <w:p w14:paraId="739F196A">
      <w:pPr>
        <w:widowControl w:val="0"/>
        <w:numPr>
          <w:ilvl w:val="0"/>
          <w:numId w:val="0"/>
        </w:numPr>
        <w:adjustRightInd w:val="0"/>
        <w:spacing w:after="0" w:line="594" w:lineRule="exact"/>
        <w:ind w:left="0" w:leftChars="0" w:firstLine="640" w:firstLineChars="200"/>
        <w:jc w:val="both"/>
        <w:rPr>
          <w:rFonts w:hint="default"/>
          <w:lang w:val="en-US" w:eastAsia="zh-CN"/>
        </w:rPr>
      </w:pPr>
      <w:r>
        <w:rPr>
          <w:rFonts w:hint="default" w:ascii="Times New Roman" w:hAnsi="Times New Roman" w:eastAsia="仿宋_GB2312" w:cs="Times New Roman"/>
          <w:color w:val="auto"/>
          <w:kern w:val="2"/>
          <w:sz w:val="32"/>
          <w:szCs w:val="32"/>
          <w:highlight w:val="none"/>
          <w:lang w:val="en-US" w:eastAsia="zh-CN" w:bidi="ar-SA"/>
        </w:rPr>
        <w:t>甜蜜素，化学名称为环己基氨基磺酸钠，是食品生产中常用的甜味剂之一，甜度是蔗糖</w:t>
      </w:r>
      <w:r>
        <w:rPr>
          <w:rFonts w:hint="eastAsia" w:ascii="仿宋_GB2312" w:hAnsi="仿宋_GB2312" w:eastAsia="仿宋_GB2312" w:cs="仿宋_GB2312"/>
          <w:color w:val="auto"/>
          <w:kern w:val="2"/>
          <w:sz w:val="32"/>
          <w:szCs w:val="32"/>
          <w:highlight w:val="none"/>
          <w:lang w:val="en-US" w:eastAsia="zh-CN" w:bidi="ar-SA"/>
        </w:rPr>
        <w:t>的40—50</w:t>
      </w:r>
      <w:r>
        <w:rPr>
          <w:rFonts w:hint="default" w:ascii="Times New Roman" w:hAnsi="Times New Roman" w:eastAsia="仿宋_GB2312" w:cs="Times New Roman"/>
          <w:color w:val="auto"/>
          <w:kern w:val="2"/>
          <w:sz w:val="32"/>
          <w:szCs w:val="32"/>
          <w:highlight w:val="none"/>
          <w:lang w:val="en-US" w:eastAsia="zh-CN" w:bidi="ar-SA"/>
        </w:rPr>
        <w:t>倍。长期摄入甜蜜素超标的食品，可能危害人体健康。《食品安全国家标准 食品添加剂使用标准</w:t>
      </w:r>
      <w:r>
        <w:rPr>
          <w:rFonts w:hint="eastAsia" w:ascii="仿宋_GB2312" w:hAnsi="仿宋_GB2312" w:eastAsia="仿宋_GB2312" w:cs="仿宋_GB2312"/>
          <w:color w:val="auto"/>
          <w:kern w:val="2"/>
          <w:sz w:val="32"/>
          <w:szCs w:val="32"/>
          <w:highlight w:val="none"/>
          <w:lang w:val="en-US" w:eastAsia="zh-CN" w:bidi="ar-SA"/>
        </w:rPr>
        <w:t>》（GB 2760—2024）中</w:t>
      </w:r>
      <w:r>
        <w:rPr>
          <w:rFonts w:hint="default" w:ascii="Times New Roman" w:hAnsi="Times New Roman" w:eastAsia="仿宋_GB2312" w:cs="Times New Roman"/>
          <w:color w:val="auto"/>
          <w:kern w:val="2"/>
          <w:sz w:val="32"/>
          <w:szCs w:val="32"/>
          <w:highlight w:val="none"/>
          <w:lang w:val="en-US" w:eastAsia="zh-CN" w:bidi="ar-SA"/>
        </w:rPr>
        <w:t>规定，</w:t>
      </w:r>
      <w:r>
        <w:rPr>
          <w:rFonts w:hint="eastAsia" w:ascii="Times New Roman" w:hAnsi="Times New Roman" w:eastAsia="仿宋_GB2312" w:cs="Times New Roman"/>
          <w:color w:val="auto"/>
          <w:kern w:val="2"/>
          <w:sz w:val="32"/>
          <w:szCs w:val="32"/>
          <w:highlight w:val="none"/>
          <w:lang w:val="en-US" w:eastAsia="zh-CN" w:bidi="ar-SA"/>
        </w:rPr>
        <w:t>杨梅、其他水果制品(自制)</w:t>
      </w:r>
      <w:r>
        <w:rPr>
          <w:rFonts w:hint="default" w:ascii="Times New Roman" w:hAnsi="Times New Roman" w:eastAsia="仿宋_GB2312" w:cs="Times New Roman"/>
          <w:color w:val="auto"/>
          <w:kern w:val="2"/>
          <w:sz w:val="32"/>
          <w:szCs w:val="32"/>
          <w:highlight w:val="none"/>
          <w:lang w:val="en-US" w:eastAsia="zh-CN" w:bidi="ar-SA"/>
        </w:rPr>
        <w:t>中不得使用甜蜜素（以环己基氨基磺酸计）。杨梅、其他水果制品(自制)中检出甜蜜素（以环己基氨基磺酸计）</w:t>
      </w:r>
      <w:r>
        <w:rPr>
          <w:rFonts w:hint="eastAsia" w:ascii="Times New Roman" w:hAnsi="Times New Roman" w:eastAsia="仿宋_GB2312" w:cs="Times New Roman"/>
          <w:color w:val="auto"/>
          <w:kern w:val="2"/>
          <w:sz w:val="32"/>
          <w:szCs w:val="32"/>
          <w:highlight w:val="none"/>
          <w:lang w:val="en-US" w:eastAsia="zh-CN" w:bidi="ar-SA"/>
        </w:rPr>
        <w:t>的原因</w:t>
      </w:r>
      <w:r>
        <w:rPr>
          <w:rFonts w:hint="default" w:ascii="Times New Roman" w:hAnsi="Times New Roman" w:eastAsia="仿宋_GB2312" w:cs="Times New Roman"/>
          <w:color w:val="auto"/>
          <w:kern w:val="2"/>
          <w:sz w:val="32"/>
          <w:szCs w:val="32"/>
          <w:highlight w:val="none"/>
          <w:lang w:val="en-US" w:eastAsia="zh-CN" w:bidi="ar-SA"/>
        </w:rPr>
        <w:t>，可能是经营者违规添加以改善口感</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color w:val="auto"/>
          <w:sz w:val="32"/>
          <w:szCs w:val="32"/>
          <w:lang w:val="en-US" w:eastAsia="zh-CN"/>
        </w:rPr>
        <w:t>增加甜味</w:t>
      </w:r>
      <w:r>
        <w:rPr>
          <w:rFonts w:hint="eastAsia" w:ascii="Times New Roman" w:hAnsi="Times New Roman" w:eastAsia="仿宋_GB2312" w:cs="Times New Roman"/>
          <w:color w:val="auto"/>
          <w:sz w:val="32"/>
          <w:szCs w:val="32"/>
          <w:lang w:val="en-US" w:eastAsia="zh-CN"/>
        </w:rPr>
        <w:t>而</w:t>
      </w:r>
      <w:r>
        <w:rPr>
          <w:rFonts w:hint="eastAsia" w:ascii="Times New Roman" w:hAnsi="Times New Roman" w:eastAsia="仿宋_GB2312" w:cs="Times New Roman"/>
          <w:sz w:val="32"/>
          <w:szCs w:val="32"/>
          <w:lang w:val="en-US" w:eastAsia="zh-CN"/>
        </w:rPr>
        <w:t>超范围使用</w:t>
      </w:r>
      <w:r>
        <w:rPr>
          <w:rFonts w:hint="eastAsia" w:ascii="Times New Roman" w:hAnsi="Times New Roman" w:eastAsia="仿宋_GB2312" w:cs="Times New Roman"/>
          <w:color w:val="auto"/>
          <w:sz w:val="32"/>
          <w:szCs w:val="32"/>
          <w:lang w:val="en-US" w:eastAsia="zh-CN"/>
        </w:rPr>
        <w:t>。</w:t>
      </w:r>
    </w:p>
    <w:p w14:paraId="28F1E670">
      <w:pPr>
        <w:spacing w:line="594" w:lineRule="exact"/>
        <w:ind w:firstLine="640" w:firstLineChars="200"/>
        <w:rPr>
          <w:rFonts w:ascii="Calibri" w:hAnsi="Calibri" w:eastAsia="黑体" w:cs="Times New Roman"/>
          <w:spacing w:val="-12"/>
          <w:sz w:val="32"/>
          <w:szCs w:val="32"/>
        </w:rPr>
      </w:pPr>
      <w:r>
        <w:rPr>
          <w:rFonts w:hint="eastAsia" w:ascii="黑体" w:hAnsi="黑体" w:eastAsia="黑体" w:cs="黑体"/>
          <w:sz w:val="32"/>
          <w:szCs w:val="32"/>
          <w:lang w:val="en-US" w:eastAsia="zh-CN"/>
        </w:rPr>
        <w:t>四、山梨酸及其钾盐（以山梨酸计）</w:t>
      </w:r>
    </w:p>
    <w:p w14:paraId="655552ED">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default" w:ascii="Times New Roman" w:hAnsi="Times New Roman" w:eastAsia="仿宋_GB2312" w:cs="Times New Roman"/>
          <w:spacing w:val="0"/>
          <w:kern w:val="2"/>
          <w:sz w:val="32"/>
          <w:szCs w:val="32"/>
          <w:highlight w:val="none"/>
          <w:lang w:val="en-US" w:eastAsia="zh-CN" w:bidi="ar-SA"/>
        </w:rPr>
      </w:pPr>
      <w:r>
        <w:rPr>
          <w:rFonts w:hint="eastAsia" w:ascii="Times New Roman" w:hAnsi="Times New Roman" w:eastAsia="仿宋_GB2312" w:cs="Times New Roman"/>
          <w:spacing w:val="0"/>
          <w:kern w:val="2"/>
          <w:sz w:val="32"/>
          <w:szCs w:val="32"/>
          <w:lang w:val="en-US" w:eastAsia="zh-CN" w:bidi="ar-SA"/>
        </w:rPr>
        <w:t>山梨酸又名花秋酸，多用其钾盐。其抗菌性强，能抑制细菌、真菌和酵母的生长，防腐效果好。山梨酸可参与体内正常代谢，几乎对人体无害。只要摄入量在食品安全限量范围内并不影响人体健康，如果长期大量服用，会危害人体健康。</w:t>
      </w:r>
      <w:r>
        <w:rPr>
          <w:rFonts w:hint="default" w:ascii="Times New Roman" w:hAnsi="Times New Roman" w:eastAsia="仿宋_GB2312" w:cs="Times New Roman"/>
          <w:spacing w:val="0"/>
          <w:kern w:val="2"/>
          <w:sz w:val="32"/>
          <w:szCs w:val="32"/>
          <w:lang w:val="en-US" w:eastAsia="zh-CN" w:bidi="ar-SA"/>
        </w:rPr>
        <w:t>《食品安全国家标准 食品添加剂使用标</w:t>
      </w:r>
      <w:r>
        <w:rPr>
          <w:rFonts w:hint="eastAsia" w:ascii="仿宋_GB2312" w:hAnsi="仿宋_GB2312" w:eastAsia="仿宋_GB2312" w:cs="仿宋_GB2312"/>
          <w:spacing w:val="0"/>
          <w:kern w:val="2"/>
          <w:sz w:val="32"/>
          <w:szCs w:val="32"/>
          <w:lang w:val="en-US" w:eastAsia="zh-CN" w:bidi="ar-SA"/>
        </w:rPr>
        <w:t>准》（GB 2760—2024）中</w:t>
      </w:r>
      <w:r>
        <w:rPr>
          <w:rFonts w:hint="default" w:ascii="Times New Roman" w:hAnsi="Times New Roman" w:eastAsia="仿宋_GB2312" w:cs="Times New Roman"/>
          <w:spacing w:val="0"/>
          <w:kern w:val="2"/>
          <w:sz w:val="32"/>
          <w:szCs w:val="32"/>
          <w:lang w:val="en-US" w:eastAsia="zh-CN" w:bidi="ar-SA"/>
        </w:rPr>
        <w:t>规定，</w:t>
      </w:r>
      <w:r>
        <w:rPr>
          <w:rFonts w:hint="eastAsia" w:ascii="Times New Roman" w:hAnsi="Times New Roman" w:eastAsia="仿宋_GB2312" w:cs="Times New Roman"/>
          <w:spacing w:val="0"/>
          <w:kern w:val="2"/>
          <w:sz w:val="32"/>
          <w:szCs w:val="32"/>
          <w:lang w:val="en-US" w:eastAsia="zh-CN" w:bidi="ar-SA"/>
        </w:rPr>
        <w:t>饼干中不得使用山梨酸及其钾盐（以山梨酸计）。饼干</w:t>
      </w:r>
      <w:r>
        <w:rPr>
          <w:rFonts w:hint="eastAsia" w:ascii="仿宋_GB2312" w:hAnsi="仿宋_GB2312" w:eastAsia="仿宋_GB2312" w:cs="仿宋_GB2312"/>
          <w:spacing w:val="0"/>
          <w:kern w:val="2"/>
          <w:sz w:val="32"/>
          <w:szCs w:val="32"/>
          <w:lang w:val="en-US" w:eastAsia="zh-CN" w:bidi="ar-SA"/>
        </w:rPr>
        <w:t>中检出山梨酸及</w:t>
      </w:r>
      <w:r>
        <w:rPr>
          <w:rFonts w:hint="eastAsia" w:ascii="Times New Roman" w:hAnsi="Times New Roman" w:eastAsia="仿宋_GB2312" w:cs="Times New Roman"/>
          <w:spacing w:val="0"/>
          <w:kern w:val="2"/>
          <w:sz w:val="32"/>
          <w:szCs w:val="32"/>
          <w:lang w:val="en-US" w:eastAsia="zh-CN" w:bidi="ar-SA"/>
        </w:rPr>
        <w:t>其钾盐（以山梨酸计）</w:t>
      </w:r>
      <w:r>
        <w:rPr>
          <w:rFonts w:hint="default" w:ascii="Times New Roman" w:hAnsi="Times New Roman" w:eastAsia="仿宋_GB2312" w:cs="Times New Roman"/>
          <w:spacing w:val="0"/>
          <w:kern w:val="2"/>
          <w:sz w:val="32"/>
          <w:szCs w:val="32"/>
          <w:lang w:val="en-US" w:eastAsia="zh-CN" w:bidi="ar-SA"/>
        </w:rPr>
        <w:t>的原因，可能是生产经营企业为延长产品保质期</w:t>
      </w:r>
      <w:r>
        <w:rPr>
          <w:rFonts w:hint="eastAsia" w:ascii="Times New Roman" w:hAnsi="Times New Roman" w:eastAsia="仿宋_GB2312" w:cs="Times New Roman"/>
          <w:spacing w:val="0"/>
          <w:kern w:val="2"/>
          <w:sz w:val="32"/>
          <w:szCs w:val="32"/>
          <w:lang w:val="en-US" w:eastAsia="zh-CN" w:bidi="ar-SA"/>
        </w:rPr>
        <w:t>，</w:t>
      </w:r>
      <w:r>
        <w:rPr>
          <w:rFonts w:hint="default" w:ascii="Times New Roman" w:hAnsi="Times New Roman" w:eastAsia="仿宋_GB2312" w:cs="Times New Roman"/>
          <w:spacing w:val="0"/>
          <w:kern w:val="2"/>
          <w:sz w:val="32"/>
          <w:szCs w:val="32"/>
          <w:lang w:val="en-US" w:eastAsia="zh-CN" w:bidi="ar-SA"/>
        </w:rPr>
        <w:t>或者弥补产品生产过程卫生条件不佳而超</w:t>
      </w:r>
      <w:r>
        <w:rPr>
          <w:rFonts w:hint="eastAsia" w:ascii="Times New Roman" w:hAnsi="Times New Roman" w:eastAsia="仿宋_GB2312" w:cs="Times New Roman"/>
          <w:spacing w:val="0"/>
          <w:kern w:val="2"/>
          <w:sz w:val="32"/>
          <w:szCs w:val="32"/>
          <w:lang w:val="en-US" w:eastAsia="zh-CN" w:bidi="ar-SA"/>
        </w:rPr>
        <w:t>范围</w:t>
      </w:r>
      <w:r>
        <w:rPr>
          <w:rFonts w:hint="default" w:ascii="Times New Roman" w:hAnsi="Times New Roman" w:eastAsia="仿宋_GB2312" w:cs="Times New Roman"/>
          <w:spacing w:val="0"/>
          <w:kern w:val="2"/>
          <w:sz w:val="32"/>
          <w:szCs w:val="32"/>
          <w:lang w:val="en-US" w:eastAsia="zh-CN" w:bidi="ar-SA"/>
        </w:rPr>
        <w:t>使用</w:t>
      </w:r>
      <w:r>
        <w:rPr>
          <w:rFonts w:hint="default" w:ascii="Times New Roman" w:hAnsi="Times New Roman" w:eastAsia="仿宋_GB2312" w:cs="Times New Roman"/>
          <w:spacing w:val="0"/>
          <w:kern w:val="2"/>
          <w:sz w:val="32"/>
          <w:szCs w:val="32"/>
          <w:highlight w:val="none"/>
          <w:lang w:val="en-US" w:eastAsia="zh-CN" w:bidi="ar-SA"/>
        </w:rPr>
        <w:t>。</w:t>
      </w:r>
    </w:p>
    <w:p w14:paraId="7155CA53">
      <w:pPr>
        <w:numPr>
          <w:ilvl w:val="0"/>
          <w:numId w:val="0"/>
        </w:numPr>
        <w:suppressAutoHyphens/>
        <w:bidi w:val="0"/>
        <w:ind w:firstLine="640" w:firstLineChars="200"/>
        <w:rPr>
          <w:rFonts w:hint="eastAsia" w:ascii="黑体" w:hAnsi="黑体" w:eastAsia="黑体" w:cs="黑体"/>
          <w:color w:val="000000" w:themeColor="text1"/>
          <w:sz w:val="30"/>
          <w:szCs w:val="30"/>
          <w14:textFill>
            <w14:solidFill>
              <w14:schemeClr w14:val="tx1"/>
            </w14:solidFill>
          </w14:textFill>
        </w:rPr>
      </w:pPr>
      <w:r>
        <w:rPr>
          <w:rFonts w:hint="eastAsia" w:ascii="Times New Roman" w:hAnsi="Times New Roman" w:eastAsia="黑体" w:cs="Times New Roman"/>
          <w:color w:val="auto"/>
          <w:sz w:val="32"/>
          <w:szCs w:val="32"/>
          <w:lang w:val="en-US" w:eastAsia="zh-CN"/>
        </w:rPr>
        <w:t>五、噻虫胺</w:t>
      </w:r>
    </w:p>
    <w:p w14:paraId="26C7DAE1">
      <w:pPr>
        <w:pStyle w:val="5"/>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outlineLvl w:val="9"/>
        <w:rPr>
          <w:rFonts w:hint="eastAsia" w:ascii="仿宋_GB2312" w:hAnsi="仿宋_GB2312" w:eastAsia="仿宋_GB2312" w:cs="仿宋_GB2312"/>
          <w:i w:val="0"/>
          <w:iCs w:val="0"/>
          <w:caps w:val="0"/>
          <w:color w:val="auto"/>
          <w:spacing w:val="0"/>
          <w:sz w:val="30"/>
          <w:szCs w:val="30"/>
          <w:lang w:val="en-US" w:eastAsia="zh-CN"/>
        </w:rPr>
      </w:pPr>
      <w:r>
        <w:rPr>
          <w:rFonts w:hint="eastAsia" w:ascii="仿宋_GB2312" w:eastAsia="仿宋_GB2312"/>
          <w:bCs/>
          <w:color w:val="auto"/>
          <w:sz w:val="32"/>
          <w:szCs w:val="28"/>
          <w:lang w:val="en-US" w:eastAsia="zh-CN"/>
        </w:rPr>
        <w:t>噻虫胺，烟碱类杀虫剂，具有触杀、胃毒作用，具有根内吸活性和层间传导性。食用少量含有噻虫胺的食品一般不会导致急性中毒，但长期食用噻虫胺超标的食品，对人体健康也有一定影响。</w:t>
      </w:r>
      <w:r>
        <w:rPr>
          <w:rFonts w:hint="eastAsia" w:ascii="仿宋_GB2312" w:eastAsia="仿宋_GB2312"/>
          <w:bCs/>
          <w:color w:val="auto"/>
          <w:sz w:val="32"/>
          <w:szCs w:val="28"/>
        </w:rPr>
        <w:t>《食品安全国家标准 食品中农药最大残留限量》（GB 2763-2026）中规定，</w:t>
      </w:r>
      <w:bookmarkStart w:id="0" w:name="OLE_LINK2"/>
      <w:r>
        <w:rPr>
          <w:rFonts w:hint="eastAsia" w:ascii="仿宋_GB2312" w:eastAsia="仿宋_GB2312"/>
          <w:bCs/>
          <w:color w:val="auto"/>
          <w:sz w:val="32"/>
          <w:szCs w:val="28"/>
        </w:rPr>
        <w:t>绿豆中噻虫胺</w:t>
      </w:r>
      <w:r>
        <w:rPr>
          <w:rFonts w:hint="eastAsia" w:ascii="仿宋_GB2312" w:eastAsia="仿宋_GB2312"/>
          <w:bCs/>
          <w:color w:val="auto"/>
          <w:sz w:val="32"/>
          <w:szCs w:val="28"/>
          <w:lang w:eastAsia="zh-CN"/>
        </w:rPr>
        <w:t>的</w:t>
      </w:r>
      <w:r>
        <w:rPr>
          <w:rFonts w:hint="eastAsia" w:ascii="仿宋_GB2312" w:eastAsia="仿宋_GB2312"/>
          <w:bCs/>
          <w:color w:val="auto"/>
          <w:sz w:val="32"/>
          <w:szCs w:val="28"/>
          <w:lang w:val="en-US" w:eastAsia="zh-CN"/>
        </w:rPr>
        <w:t>最大残留限量值为</w:t>
      </w:r>
      <w:r>
        <w:rPr>
          <w:rFonts w:hint="eastAsia" w:ascii="仿宋_GB2312" w:eastAsia="仿宋_GB2312"/>
          <w:bCs/>
          <w:color w:val="auto"/>
          <w:sz w:val="32"/>
          <w:szCs w:val="28"/>
        </w:rPr>
        <w:t>0.</w:t>
      </w:r>
      <w:r>
        <w:rPr>
          <w:rFonts w:hint="eastAsia" w:ascii="仿宋_GB2312" w:eastAsia="仿宋_GB2312"/>
          <w:bCs/>
          <w:color w:val="auto"/>
          <w:sz w:val="32"/>
          <w:szCs w:val="28"/>
          <w:lang w:val="en-US" w:eastAsia="zh-CN"/>
        </w:rPr>
        <w:t>0</w:t>
      </w:r>
      <w:r>
        <w:rPr>
          <w:rFonts w:hint="eastAsia" w:ascii="仿宋_GB2312" w:eastAsia="仿宋_GB2312"/>
          <w:bCs/>
          <w:color w:val="auto"/>
          <w:sz w:val="32"/>
          <w:szCs w:val="28"/>
        </w:rPr>
        <w:t>2mg/kg</w:t>
      </w:r>
      <w:bookmarkEnd w:id="0"/>
      <w:r>
        <w:rPr>
          <w:rFonts w:hint="eastAsia" w:ascii="仿宋_GB2312" w:eastAsia="仿宋_GB2312"/>
          <w:bCs/>
          <w:color w:val="auto"/>
          <w:sz w:val="32"/>
          <w:szCs w:val="28"/>
          <w:lang w:eastAsia="zh-CN"/>
        </w:rPr>
        <w:t>，</w:t>
      </w:r>
      <w:r>
        <w:rPr>
          <w:rFonts w:hint="eastAsia" w:ascii="仿宋_GB2312" w:eastAsia="仿宋_GB2312"/>
          <w:bCs/>
          <w:color w:val="auto"/>
          <w:sz w:val="32"/>
          <w:szCs w:val="28"/>
        </w:rPr>
        <w:t>胡萝卜中噻虫胺</w:t>
      </w:r>
      <w:r>
        <w:rPr>
          <w:rFonts w:hint="eastAsia" w:ascii="仿宋_GB2312" w:eastAsia="仿宋_GB2312"/>
          <w:bCs/>
          <w:color w:val="auto"/>
          <w:sz w:val="32"/>
          <w:szCs w:val="28"/>
          <w:lang w:eastAsia="zh-CN"/>
        </w:rPr>
        <w:t>的</w:t>
      </w:r>
      <w:r>
        <w:rPr>
          <w:rFonts w:hint="eastAsia" w:ascii="仿宋_GB2312" w:eastAsia="仿宋_GB2312"/>
          <w:bCs/>
          <w:color w:val="auto"/>
          <w:sz w:val="32"/>
          <w:szCs w:val="28"/>
          <w:lang w:val="en-US" w:eastAsia="zh-CN"/>
        </w:rPr>
        <w:t>最大残留限量值为</w:t>
      </w:r>
      <w:r>
        <w:rPr>
          <w:rFonts w:hint="eastAsia" w:ascii="仿宋_GB2312" w:eastAsia="仿宋_GB2312"/>
          <w:bCs/>
          <w:color w:val="auto"/>
          <w:sz w:val="32"/>
          <w:szCs w:val="28"/>
        </w:rPr>
        <w:t>0.2mg/kg</w:t>
      </w:r>
      <w:r>
        <w:rPr>
          <w:rFonts w:hint="eastAsia" w:ascii="仿宋_GB2312" w:eastAsia="仿宋_GB2312"/>
          <w:bCs/>
          <w:color w:val="auto"/>
          <w:sz w:val="32"/>
          <w:szCs w:val="28"/>
          <w:highlight w:val="none"/>
        </w:rPr>
        <w:t>。绿豆</w:t>
      </w:r>
      <w:r>
        <w:rPr>
          <w:rFonts w:hint="eastAsia" w:ascii="仿宋_GB2312" w:eastAsia="仿宋_GB2312"/>
          <w:bCs/>
          <w:color w:val="auto"/>
          <w:sz w:val="32"/>
          <w:szCs w:val="28"/>
          <w:highlight w:val="none"/>
          <w:lang w:eastAsia="zh-CN"/>
        </w:rPr>
        <w:t>、胡萝卜中</w:t>
      </w:r>
      <w:r>
        <w:rPr>
          <w:rFonts w:hint="eastAsia" w:ascii="仿宋_GB2312" w:hAnsi="仿宋_GB2312" w:eastAsia="仿宋_GB2312" w:cs="仿宋_GB2312"/>
          <w:i w:val="0"/>
          <w:iCs w:val="0"/>
          <w:caps w:val="0"/>
          <w:color w:val="auto"/>
          <w:spacing w:val="0"/>
          <w:sz w:val="30"/>
          <w:szCs w:val="30"/>
          <w:lang w:val="en-US" w:eastAsia="zh-CN"/>
        </w:rPr>
        <w:t>噻虫胺残留量超标的原因，可能是为快速控制虫害，加大用药量或未遵守采摘间隔期规定。</w:t>
      </w:r>
    </w:p>
    <w:p w14:paraId="1887A871">
      <w:pPr>
        <w:keepNext w:val="0"/>
        <w:keepLines w:val="0"/>
        <w:pageBreakBefore w:val="0"/>
        <w:widowControl/>
        <w:kinsoku/>
        <w:wordWrap/>
        <w:overflowPunct/>
        <w:topLinePunct w:val="0"/>
        <w:autoSpaceDE/>
        <w:autoSpaceDN/>
        <w:bidi w:val="0"/>
        <w:adjustRightInd/>
        <w:snapToGrid/>
        <w:spacing w:before="0" w:after="0" w:line="578" w:lineRule="exact"/>
        <w:ind w:right="0" w:firstLine="640" w:firstLineChars="200"/>
        <w:jc w:val="both"/>
        <w:textAlignment w:val="auto"/>
        <w:outlineLvl w:val="9"/>
        <w:rPr>
          <w:rFonts w:hint="eastAsia" w:ascii="CESI宋体-GB2312" w:hAnsi="CESI宋体-GB2312" w:eastAsia="黑体" w:cs="黑体"/>
          <w:color w:val="auto"/>
          <w:kern w:val="0"/>
          <w:sz w:val="32"/>
          <w:szCs w:val="32"/>
          <w:lang w:val="en-US" w:eastAsia="zh-CN" w:bidi="ar-SA"/>
        </w:rPr>
      </w:pPr>
      <w:r>
        <w:rPr>
          <w:rFonts w:hint="eastAsia" w:ascii="CESI宋体-GB2312" w:hAnsi="CESI宋体-GB2312" w:eastAsia="黑体" w:cs="黑体"/>
          <w:color w:val="auto"/>
          <w:kern w:val="0"/>
          <w:sz w:val="32"/>
          <w:szCs w:val="32"/>
          <w:lang w:val="en-US" w:eastAsia="zh-CN" w:bidi="ar-SA"/>
        </w:rPr>
        <w:t>六、大肠菌群</w:t>
      </w:r>
    </w:p>
    <w:p w14:paraId="7487684A">
      <w:pPr>
        <w:pStyle w:val="11"/>
        <w:keepNext w:val="0"/>
        <w:keepLines w:val="0"/>
        <w:pageBreakBefore w:val="0"/>
        <w:widowControl w:val="0"/>
        <w:kinsoku/>
        <w:wordWrap/>
        <w:overflowPunct/>
        <w:topLinePunct w:val="0"/>
        <w:autoSpaceDE/>
        <w:autoSpaceDN/>
        <w:bidi w:val="0"/>
        <w:adjustRightInd w:val="0"/>
        <w:spacing w:after="0"/>
        <w:ind w:left="0" w:leftChars="0" w:firstLine="640" w:firstLineChars="200"/>
        <w:jc w:val="both"/>
        <w:textAlignment w:val="auto"/>
        <w:rPr>
          <w:rFonts w:hint="eastAsia" w:ascii="Times New Roman" w:hAnsi="Times New Roman" w:eastAsia="黑体" w:cs="Times New Roman"/>
          <w:color w:val="auto"/>
          <w:spacing w:val="-12"/>
          <w:kern w:val="2"/>
          <w:sz w:val="32"/>
          <w:szCs w:val="32"/>
          <w:lang w:val="en-US" w:eastAsia="zh-CN" w:bidi="ar-SA"/>
        </w:rPr>
      </w:pPr>
      <w:r>
        <w:rPr>
          <w:rFonts w:hint="eastAsia" w:ascii="仿宋_GB2312" w:hAnsi="仿宋_GB2312" w:eastAsia="仿宋_GB2312" w:cs="仿宋_GB2312"/>
          <w:sz w:val="32"/>
          <w:szCs w:val="32"/>
        </w:rPr>
        <w:t>大肠菌群是国内外通用的食品污染常用指示菌之一。餐饮具中检出大肠菌群，提示被肠道致病菌污染的可能性较大。</w:t>
      </w:r>
      <w:r>
        <w:rPr>
          <w:rFonts w:hint="eastAsia" w:ascii="仿宋_GB2312" w:hAnsi="仿宋_GB2312" w:eastAsia="仿宋_GB2312" w:cs="仿宋_GB2312"/>
          <w:sz w:val="32"/>
          <w:szCs w:val="32"/>
          <w:lang w:val="en-US" w:eastAsia="zh-CN"/>
        </w:rPr>
        <w:t>如果食品中的大肠菌群严重超标，将会破坏食品的营养成分，使食品失去食用价值；还会加速食品腐败变质，可能危害人体健康。</w:t>
      </w:r>
      <w:r>
        <w:rPr>
          <w:rFonts w:hint="eastAsia" w:ascii="仿宋_GB2312" w:hAnsi="仿宋_GB2312" w:eastAsia="仿宋_GB2312" w:cs="仿宋_GB2312"/>
          <w:color w:val="auto"/>
          <w:sz w:val="32"/>
          <w:szCs w:val="32"/>
        </w:rPr>
        <w:t>《食品安全国家标准 消毒餐（饮）具》</w:t>
      </w:r>
      <w:r>
        <w:rPr>
          <w:rFonts w:hint="eastAsia" w:ascii="仿宋_GB2312" w:hAnsi="仿宋_GB2312" w:eastAsia="仿宋_GB2312" w:cs="仿宋_GB2312"/>
          <w:spacing w:val="0"/>
          <w:sz w:val="32"/>
          <w:szCs w:val="32"/>
          <w:lang w:val="en-US" w:eastAsia="zh-CN"/>
        </w:rPr>
        <w:t>(GB 14934-2016)</w:t>
      </w:r>
      <w:r>
        <w:rPr>
          <w:rFonts w:hint="eastAsia" w:ascii="仿宋_GB2312" w:hAnsi="仿宋_GB2312" w:eastAsia="仿宋_GB2312" w:cs="仿宋_GB2312"/>
          <w:color w:val="auto"/>
          <w:sz w:val="32"/>
          <w:szCs w:val="32"/>
          <w:lang w:val="en-US" w:eastAsia="zh-CN"/>
        </w:rPr>
        <w:t>中规定，复用餐饮具</w:t>
      </w:r>
      <w:r>
        <w:rPr>
          <w:rFonts w:hint="eastAsia" w:ascii="仿宋_GB2312" w:hAnsi="仿宋_GB2312" w:eastAsia="仿宋_GB2312" w:cs="仿宋_GB2312"/>
          <w:color w:val="auto"/>
          <w:sz w:val="32"/>
          <w:szCs w:val="32"/>
          <w:lang w:val="en-US" w:eastAsia="zh"/>
        </w:rPr>
        <w:t>（消毒餐饮具）</w:t>
      </w:r>
      <w:r>
        <w:rPr>
          <w:rFonts w:hint="eastAsia" w:ascii="仿宋_GB2312" w:hAnsi="仿宋_GB2312" w:eastAsia="仿宋_GB2312" w:cs="仿宋_GB2312"/>
          <w:color w:val="auto"/>
          <w:sz w:val="32"/>
          <w:szCs w:val="32"/>
          <w:lang w:val="en-US" w:eastAsia="zh-CN"/>
        </w:rPr>
        <w:t>中不得检出大肠菌群</w:t>
      </w:r>
      <w:r>
        <w:rPr>
          <w:rFonts w:hint="eastAsia" w:ascii="仿宋_GB2312" w:hAnsi="仿宋_GB2312" w:eastAsia="仿宋_GB2312" w:cs="仿宋_GB2312"/>
          <w:sz w:val="32"/>
          <w:szCs w:val="32"/>
          <w:lang w:val="en-US" w:eastAsia="zh-CN"/>
        </w:rPr>
        <w:t>。复用餐饮具中检出大肠菌群的原因，可能是生产过程中受人员、工器具等的污染；也可能是灭菌工艺不彻底；还可能与储存条件不当有关。</w:t>
      </w:r>
    </w:p>
    <w:p w14:paraId="456CCBEA">
      <w:pPr>
        <w:keepNext w:val="0"/>
        <w:keepLines w:val="0"/>
        <w:pageBreakBefore w:val="0"/>
        <w:widowControl w:val="0"/>
        <w:numPr>
          <w:ilvl w:val="0"/>
          <w:numId w:val="0"/>
        </w:numPr>
        <w:kinsoku/>
        <w:wordWrap/>
        <w:overflowPunct/>
        <w:topLinePunct w:val="0"/>
        <w:autoSpaceDE/>
        <w:autoSpaceDN/>
        <w:bidi w:val="0"/>
        <w:adjustRightInd w:val="0"/>
        <w:snapToGrid w:val="0"/>
        <w:spacing w:line="594" w:lineRule="exact"/>
        <w:ind w:right="0" w:rightChars="0" w:firstLine="640" w:firstLineChars="200"/>
        <w:jc w:val="both"/>
        <w:textAlignment w:val="auto"/>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t>七、柠檬黄</w:t>
      </w:r>
    </w:p>
    <w:p w14:paraId="41CB0844">
      <w:pPr>
        <w:ind w:firstLine="640" w:firstLineChars="200"/>
        <w:rPr>
          <w:rFonts w:hint="default" w:ascii="Times New Roman" w:hAnsi="Times New Roman" w:eastAsia="仿宋_GB2312" w:cs="Times New Roman"/>
          <w:color w:val="auto"/>
          <w:kern w:val="2"/>
          <w:sz w:val="32"/>
          <w:szCs w:val="32"/>
          <w:highlight w:val="none"/>
          <w:lang w:val="en-US" w:eastAsia="zh-CN" w:bidi="ar-SA"/>
        </w:rPr>
      </w:pPr>
      <w:r>
        <w:rPr>
          <w:rFonts w:hint="default" w:ascii="Times New Roman" w:hAnsi="Times New Roman" w:eastAsia="仿宋_GB2312" w:cs="Times New Roman"/>
          <w:color w:val="auto"/>
          <w:kern w:val="2"/>
          <w:sz w:val="32"/>
          <w:szCs w:val="32"/>
          <w:highlight w:val="none"/>
          <w:lang w:val="en-US" w:eastAsia="zh-CN" w:bidi="ar-SA"/>
        </w:rPr>
        <w:t>柠檬黄又名食用黄色4号，属于水溶性偶氮化合物，是常见的人工合成着色剂，在食品生产中应用广泛</w:t>
      </w:r>
      <w:r>
        <w:rPr>
          <w:rFonts w:hint="eastAsia" w:ascii="Times New Roman" w:hAnsi="Times New Roman" w:eastAsia="仿宋_GB2312" w:cs="Times New Roman"/>
          <w:color w:val="auto"/>
          <w:kern w:val="2"/>
          <w:sz w:val="32"/>
          <w:szCs w:val="32"/>
          <w:highlight w:val="none"/>
          <w:lang w:val="en-US" w:eastAsia="zh-CN" w:bidi="ar-SA"/>
        </w:rPr>
        <w:t>，</w:t>
      </w:r>
      <w:r>
        <w:rPr>
          <w:rFonts w:ascii="Times New Roman" w:hAnsi="Times New Roman" w:eastAsia="仿宋_GB2312" w:cs="Times New Roman"/>
          <w:color w:val="auto"/>
          <w:kern w:val="2"/>
          <w:sz w:val="32"/>
          <w:szCs w:val="32"/>
          <w:highlight w:val="none"/>
          <w:lang w:val="en-US" w:eastAsia="zh-CN" w:bidi="ar-SA"/>
        </w:rPr>
        <w:t>按标准使用不会对健康造成危害</w:t>
      </w:r>
      <w:r>
        <w:rPr>
          <w:rFonts w:hint="default" w:ascii="Times New Roman" w:hAnsi="Times New Roman" w:eastAsia="仿宋_GB2312" w:cs="Times New Roman"/>
          <w:color w:val="auto"/>
          <w:kern w:val="2"/>
          <w:sz w:val="32"/>
          <w:szCs w:val="32"/>
          <w:highlight w:val="none"/>
          <w:lang w:val="en-US" w:eastAsia="zh-CN" w:bidi="ar-SA"/>
        </w:rPr>
        <w:t>，但长期食用柠檬黄超标的食品，可</w:t>
      </w:r>
      <w:r>
        <w:rPr>
          <w:rFonts w:hint="eastAsia" w:ascii="仿宋_GB2312" w:hAnsi="仿宋_GB2312" w:eastAsia="仿宋_GB2312" w:cs="仿宋_GB2312"/>
          <w:color w:val="auto"/>
          <w:kern w:val="2"/>
          <w:sz w:val="32"/>
          <w:szCs w:val="32"/>
          <w:highlight w:val="none"/>
          <w:lang w:val="en-US" w:eastAsia="zh-CN" w:bidi="ar-SA"/>
        </w:rPr>
        <w:t>能危害人体健康。《食品安全国家标准 食品添加剂使用标准》（GB 2760—2024）中规定，饼干</w:t>
      </w:r>
      <w:r>
        <w:rPr>
          <w:rFonts w:hint="eastAsia" w:ascii="Times New Roman" w:hAnsi="Times New Roman" w:eastAsia="仿宋_GB2312" w:cs="Times New Roman"/>
          <w:color w:val="auto"/>
          <w:kern w:val="2"/>
          <w:sz w:val="32"/>
          <w:szCs w:val="32"/>
          <w:highlight w:val="none"/>
          <w:lang w:val="en-US" w:eastAsia="zh-CN" w:bidi="ar-SA"/>
        </w:rPr>
        <w:t>、豆腐</w:t>
      </w:r>
      <w:r>
        <w:rPr>
          <w:rFonts w:hint="default" w:ascii="Times New Roman" w:hAnsi="Times New Roman" w:eastAsia="仿宋_GB2312" w:cs="Times New Roman"/>
          <w:color w:val="auto"/>
          <w:kern w:val="2"/>
          <w:sz w:val="32"/>
          <w:szCs w:val="32"/>
          <w:highlight w:val="none"/>
          <w:lang w:val="en-US" w:eastAsia="zh-CN" w:bidi="ar-SA"/>
        </w:rPr>
        <w:t>中不得使用柠檬黄。饼干、豆腐中检出柠檬黄的原因，可能是</w:t>
      </w:r>
      <w:r>
        <w:rPr>
          <w:rFonts w:hint="eastAsia" w:ascii="Times New Roman" w:hAnsi="Times New Roman" w:eastAsia="仿宋_GB2312" w:cs="Times New Roman"/>
          <w:color w:val="auto"/>
          <w:kern w:val="2"/>
          <w:sz w:val="32"/>
          <w:szCs w:val="32"/>
          <w:highlight w:val="none"/>
          <w:lang w:val="en-US" w:eastAsia="zh-CN" w:bidi="ar-SA"/>
        </w:rPr>
        <w:t>生产</w:t>
      </w:r>
      <w:r>
        <w:rPr>
          <w:rFonts w:hint="default" w:ascii="Times New Roman" w:hAnsi="Times New Roman" w:eastAsia="仿宋_GB2312" w:cs="Times New Roman"/>
          <w:color w:val="auto"/>
          <w:kern w:val="2"/>
          <w:sz w:val="32"/>
          <w:szCs w:val="32"/>
          <w:highlight w:val="none"/>
          <w:lang w:val="en-US" w:eastAsia="zh-CN" w:bidi="ar-SA"/>
        </w:rPr>
        <w:t>经营者为改善产品色泽而超范围使用。</w:t>
      </w:r>
    </w:p>
    <w:p w14:paraId="0F5E134E">
      <w:pPr>
        <w:keepNext w:val="0"/>
        <w:keepLines w:val="0"/>
        <w:pageBreakBefore w:val="0"/>
        <w:kinsoku/>
        <w:wordWrap/>
        <w:overflowPunct/>
        <w:topLinePunct w:val="0"/>
        <w:autoSpaceDE/>
        <w:autoSpaceDN/>
        <w:bidi w:val="0"/>
        <w:spacing w:line="594" w:lineRule="exact"/>
        <w:ind w:firstLine="592" w:firstLineChars="200"/>
        <w:textAlignment w:val="auto"/>
        <w:rPr>
          <w:rFonts w:hint="eastAsia" w:ascii="Calibri" w:hAnsi="Calibri" w:eastAsia="黑体" w:cs="Times New Roman"/>
          <w:spacing w:val="-12"/>
          <w:sz w:val="32"/>
          <w:szCs w:val="32"/>
        </w:rPr>
      </w:pPr>
      <w:r>
        <w:rPr>
          <w:rFonts w:hint="eastAsia" w:ascii="Calibri" w:hAnsi="Calibri" w:eastAsia="黑体" w:cs="Times New Roman"/>
          <w:spacing w:val="-12"/>
          <w:sz w:val="32"/>
          <w:szCs w:val="32"/>
          <w:lang w:eastAsia="zh-CN"/>
        </w:rPr>
        <w:t>八、</w:t>
      </w:r>
      <w:r>
        <w:rPr>
          <w:rFonts w:hint="eastAsia" w:ascii="Calibri" w:hAnsi="Calibri" w:eastAsia="黑体" w:cs="Times New Roman"/>
          <w:spacing w:val="-12"/>
          <w:sz w:val="32"/>
          <w:szCs w:val="32"/>
        </w:rPr>
        <w:t>亮蓝</w:t>
      </w:r>
    </w:p>
    <w:p w14:paraId="787EC594">
      <w:pPr>
        <w:adjustRightInd w:val="0"/>
        <w:spacing w:after="0" w:line="594" w:lineRule="exact"/>
        <w:ind w:left="0" w:leftChars="0" w:firstLine="640" w:firstLineChars="200"/>
        <w:rPr>
          <w:rFonts w:hint="eastAsia"/>
          <w:lang w:val="en-US" w:eastAsia="zh-CN"/>
        </w:rPr>
      </w:pPr>
      <w:r>
        <w:rPr>
          <w:rFonts w:hint="default" w:ascii="Times New Roman" w:hAnsi="Times New Roman" w:eastAsia="仿宋_GB2312" w:cs="Times New Roman"/>
          <w:color w:val="auto"/>
          <w:kern w:val="2"/>
          <w:sz w:val="32"/>
          <w:szCs w:val="32"/>
          <w:highlight w:val="none"/>
          <w:lang w:val="en-US" w:eastAsia="zh-CN" w:bidi="ar-SA"/>
        </w:rPr>
        <w:t>亮蓝，又名食用蓝色2号，属于水溶性非偶氮类合成着色剂，是常见的人工合成着色剂，在食品生产中应用广泛</w:t>
      </w:r>
      <w:r>
        <w:rPr>
          <w:rFonts w:hint="eastAsia" w:ascii="Times New Roman" w:hAnsi="Times New Roman" w:eastAsia="仿宋_GB2312" w:cs="Times New Roman"/>
          <w:color w:val="auto"/>
          <w:kern w:val="2"/>
          <w:sz w:val="32"/>
          <w:szCs w:val="32"/>
          <w:highlight w:val="none"/>
          <w:lang w:val="en-US" w:eastAsia="zh-CN" w:bidi="ar-SA"/>
        </w:rPr>
        <w:t>，</w:t>
      </w:r>
      <w:r>
        <w:rPr>
          <w:rFonts w:hint="default" w:ascii="Times New Roman" w:hAnsi="Times New Roman" w:eastAsia="仿宋_GB2312" w:cs="Times New Roman"/>
          <w:color w:val="auto"/>
          <w:kern w:val="2"/>
          <w:sz w:val="32"/>
          <w:szCs w:val="32"/>
          <w:highlight w:val="none"/>
          <w:lang w:val="en-US" w:eastAsia="zh-CN" w:bidi="ar-SA"/>
        </w:rPr>
        <w:t>按标准使用不会对健康造成危害。长期摄入亮蓝超标的食品，</w:t>
      </w:r>
      <w:r>
        <w:rPr>
          <w:rFonts w:hint="eastAsia" w:ascii="Times New Roman" w:hAnsi="Times New Roman" w:eastAsia="仿宋_GB2312" w:cs="Times New Roman"/>
          <w:color w:val="auto"/>
          <w:kern w:val="2"/>
          <w:sz w:val="32"/>
          <w:szCs w:val="32"/>
          <w:highlight w:val="none"/>
          <w:lang w:val="en-US" w:eastAsia="zh-CN" w:bidi="ar-SA"/>
        </w:rPr>
        <w:t>可能会危害人体健康</w:t>
      </w:r>
      <w:r>
        <w:rPr>
          <w:rFonts w:hint="default" w:ascii="Times New Roman" w:hAnsi="Times New Roman" w:eastAsia="仿宋_GB2312" w:cs="Times New Roman"/>
          <w:color w:val="auto"/>
          <w:kern w:val="2"/>
          <w:sz w:val="32"/>
          <w:szCs w:val="32"/>
          <w:highlight w:val="none"/>
          <w:lang w:val="en-US" w:eastAsia="zh-CN" w:bidi="ar-SA"/>
        </w:rPr>
        <w:t>。《食品安全国家标准 食品添加剂使用标准</w:t>
      </w:r>
      <w:r>
        <w:rPr>
          <w:rFonts w:hint="eastAsia" w:ascii="仿宋_GB2312" w:hAnsi="仿宋_GB2312" w:eastAsia="仿宋_GB2312" w:cs="仿宋_GB2312"/>
          <w:color w:val="auto"/>
          <w:kern w:val="2"/>
          <w:sz w:val="32"/>
          <w:szCs w:val="32"/>
          <w:highlight w:val="none"/>
          <w:lang w:val="en-US" w:eastAsia="zh-CN" w:bidi="ar-SA"/>
        </w:rPr>
        <w:t>》（GB 2760—2024）中规</w:t>
      </w:r>
      <w:r>
        <w:rPr>
          <w:rFonts w:hint="eastAsia" w:ascii="Times New Roman" w:hAnsi="Times New Roman" w:eastAsia="仿宋_GB2312" w:cs="Times New Roman"/>
          <w:color w:val="auto"/>
          <w:kern w:val="2"/>
          <w:sz w:val="32"/>
          <w:szCs w:val="32"/>
          <w:highlight w:val="none"/>
          <w:lang w:val="en-US" w:eastAsia="zh-CN" w:bidi="ar-SA"/>
        </w:rPr>
        <w:t>定，饼干中不得使用亮蓝。饼干</w:t>
      </w:r>
      <w:r>
        <w:rPr>
          <w:rFonts w:hint="default" w:ascii="Times New Roman" w:hAnsi="Times New Roman" w:eastAsia="仿宋_GB2312" w:cs="Times New Roman"/>
          <w:color w:val="auto"/>
          <w:kern w:val="2"/>
          <w:sz w:val="32"/>
          <w:szCs w:val="32"/>
          <w:highlight w:val="none"/>
          <w:lang w:val="en-US" w:eastAsia="zh-CN" w:bidi="ar-SA"/>
        </w:rPr>
        <w:t>中检出</w:t>
      </w:r>
      <w:r>
        <w:rPr>
          <w:rFonts w:hint="eastAsia" w:ascii="Times New Roman" w:hAnsi="Times New Roman" w:eastAsia="仿宋_GB2312" w:cs="Times New Roman"/>
          <w:color w:val="auto"/>
          <w:kern w:val="2"/>
          <w:sz w:val="32"/>
          <w:szCs w:val="32"/>
          <w:highlight w:val="none"/>
          <w:lang w:val="en-US" w:eastAsia="zh-CN" w:bidi="ar-SA"/>
        </w:rPr>
        <w:t>亮蓝</w:t>
      </w:r>
      <w:r>
        <w:rPr>
          <w:rFonts w:hint="default" w:ascii="Times New Roman" w:hAnsi="Times New Roman" w:eastAsia="仿宋_GB2312" w:cs="Times New Roman"/>
          <w:color w:val="auto"/>
          <w:kern w:val="2"/>
          <w:sz w:val="32"/>
          <w:szCs w:val="32"/>
          <w:highlight w:val="none"/>
          <w:lang w:val="en-US" w:eastAsia="zh-CN" w:bidi="ar-SA"/>
        </w:rPr>
        <w:t>的原因，可能是企业为改善产品色泽在生产加工过程中超范围使用</w:t>
      </w:r>
      <w:r>
        <w:rPr>
          <w:rFonts w:hint="eastAsia" w:ascii="Times New Roman" w:hAnsi="Times New Roman" w:eastAsia="仿宋_GB2312" w:cs="Times New Roman"/>
          <w:color w:val="auto"/>
          <w:kern w:val="2"/>
          <w:sz w:val="32"/>
          <w:szCs w:val="32"/>
          <w:highlight w:val="none"/>
          <w:lang w:val="en-US" w:eastAsia="zh-CN" w:bidi="ar-SA"/>
        </w:rPr>
        <w:t>。</w:t>
      </w:r>
    </w:p>
    <w:p w14:paraId="76C3C29B">
      <w:pPr>
        <w:keepNext w:val="0"/>
        <w:keepLines w:val="0"/>
        <w:pageBreakBefore w:val="0"/>
        <w:widowControl/>
        <w:kinsoku/>
        <w:wordWrap/>
        <w:overflowPunct/>
        <w:topLinePunct w:val="0"/>
        <w:autoSpaceDE/>
        <w:autoSpaceDN/>
        <w:bidi w:val="0"/>
        <w:adjustRightInd/>
        <w:snapToGrid/>
        <w:spacing w:before="0" w:after="0" w:line="578" w:lineRule="exact"/>
        <w:ind w:right="0" w:firstLine="640" w:firstLineChars="200"/>
        <w:jc w:val="both"/>
        <w:textAlignment w:val="auto"/>
        <w:outlineLvl w:val="9"/>
        <w:rPr>
          <w:rFonts w:hint="default" w:ascii="CESI宋体-GB2312" w:hAnsi="CESI宋体-GB2312" w:eastAsia="黑体" w:cs="黑体"/>
          <w:color w:val="auto"/>
          <w:kern w:val="0"/>
          <w:sz w:val="32"/>
          <w:szCs w:val="32"/>
          <w:lang w:val="en-US" w:eastAsia="zh-CN" w:bidi="ar-SA"/>
        </w:rPr>
      </w:pPr>
      <w:r>
        <w:rPr>
          <w:rFonts w:hint="eastAsia" w:ascii="CESI宋体-GB2312" w:hAnsi="CESI宋体-GB2312" w:eastAsia="黑体" w:cs="黑体"/>
          <w:color w:val="auto"/>
          <w:kern w:val="0"/>
          <w:sz w:val="32"/>
          <w:szCs w:val="32"/>
          <w:lang w:val="en-US" w:eastAsia="zh-CN" w:bidi="ar-SA"/>
        </w:rPr>
        <w:t>九</w:t>
      </w:r>
      <w:r>
        <w:rPr>
          <w:rFonts w:hint="default" w:ascii="CESI宋体-GB2312" w:hAnsi="CESI宋体-GB2312" w:eastAsia="黑体" w:cs="黑体"/>
          <w:color w:val="auto"/>
          <w:kern w:val="0"/>
          <w:sz w:val="32"/>
          <w:szCs w:val="32"/>
          <w:lang w:val="en-US" w:eastAsia="zh-CN" w:bidi="ar-SA"/>
        </w:rPr>
        <w:t>、阴离子合成洗涤剂（以十二烷基苯磺酸钠计）</w:t>
      </w:r>
    </w:p>
    <w:p w14:paraId="50E981F9">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阴离子合成洗涤剂（以十二烷基苯磺酸钠计）是洗涤剂的主要成分。餐具清洗消毒过程中控制不当，会造成洗涤剂在餐具上的残留。《食品安全国家标准 消毒餐（饮）具》(GB 14934-2016)规定，复用餐饮具（消毒餐饮具）中不得检出阴离子合成洗涤剂。检出阴离子合成洗涤剂的原因可能是由于餐饮具消毒单位使用的洗涤剂不合格或使用量过大，或未经足够量清水冲洗。</w:t>
      </w:r>
    </w:p>
    <w:p w14:paraId="6691246C">
      <w:pPr>
        <w:pStyle w:val="2"/>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十、毒死蜱</w:t>
      </w:r>
    </w:p>
    <w:p w14:paraId="47096BC6">
      <w:pPr>
        <w:numPr>
          <w:ilvl w:val="0"/>
          <w:numId w:val="0"/>
        </w:numPr>
        <w:spacing w:line="560" w:lineRule="exact"/>
        <w:ind w:firstLine="640" w:firstLineChars="200"/>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毒死蜱，又名氯吡硫磷，是一种硫代磷酸酯类有机磷杀虫、杀螨剂，具有良好的触杀、胃毒和熏蒸作用。少量的农药残留不会引起人体急性中毒，但长期食用毒死蜱超标的食品，对人体健康可能有一定影响。《代用茶》（GH/T 1091-2014）中规定，代用茶中毒死蜱最大残留限值为0.2mg/kg。代用茶</w:t>
      </w:r>
      <w:r>
        <w:rPr>
          <w:rFonts w:hint="eastAsia" w:ascii="仿宋_GB2312" w:hAnsi="Times New Roman" w:eastAsia="仿宋_GB2312" w:cs="Times New Roman"/>
          <w:bCs/>
          <w:color w:val="auto"/>
          <w:kern w:val="2"/>
          <w:sz w:val="32"/>
          <w:szCs w:val="28"/>
          <w:lang w:val="en-US" w:eastAsia="zh-CN" w:bidi="ar-SA"/>
        </w:rPr>
        <w:t>中</w:t>
      </w:r>
      <w:r>
        <w:rPr>
          <w:rFonts w:hint="eastAsia" w:ascii="仿宋_GB2312" w:hAnsi="仿宋_GB2312" w:eastAsia="仿宋_GB2312" w:cs="仿宋_GB2312"/>
          <w:color w:val="000000"/>
          <w:kern w:val="0"/>
          <w:sz w:val="32"/>
          <w:szCs w:val="32"/>
          <w:lang w:val="en-US" w:eastAsia="zh-CN" w:bidi="ar"/>
        </w:rPr>
        <w:t>毒死蜱残留量</w:t>
      </w:r>
      <w:r>
        <w:rPr>
          <w:rFonts w:hint="eastAsia" w:ascii="仿宋_GB2312" w:hAnsi="Times New Roman" w:eastAsia="仿宋_GB2312" w:cs="Times New Roman"/>
          <w:bCs/>
          <w:color w:val="auto"/>
          <w:kern w:val="2"/>
          <w:sz w:val="32"/>
          <w:szCs w:val="28"/>
          <w:lang w:val="en-US" w:eastAsia="zh-CN" w:bidi="ar-SA"/>
        </w:rPr>
        <w:t>超标的原因，</w:t>
      </w:r>
      <w:r>
        <w:rPr>
          <w:rFonts w:hint="eastAsia" w:ascii="仿宋_GB2312" w:hAnsi="仿宋_GB2312" w:eastAsia="仿宋_GB2312" w:cs="仿宋_GB2312"/>
          <w:color w:val="000000"/>
          <w:kern w:val="0"/>
          <w:sz w:val="32"/>
          <w:szCs w:val="32"/>
          <w:lang w:val="en-US" w:eastAsia="zh-CN" w:bidi="ar"/>
        </w:rPr>
        <w:t>可能是为快速控制虫害，加大用药量或未遵守采摘间隔期规定。</w:t>
      </w:r>
    </w:p>
    <w:p w14:paraId="0499A52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黑体" w:cs="Times New Roman"/>
          <w:sz w:val="32"/>
          <w:szCs w:val="32"/>
          <w:highlight w:val="none"/>
        </w:rPr>
      </w:pPr>
      <w:r>
        <w:rPr>
          <w:rFonts w:hint="eastAsia" w:ascii="Times New Roman" w:hAnsi="Times New Roman" w:eastAsia="黑体" w:cs="Times New Roman"/>
          <w:kern w:val="2"/>
          <w:sz w:val="32"/>
          <w:szCs w:val="32"/>
          <w:highlight w:val="none"/>
          <w:lang w:val="en-US" w:eastAsia="zh-CN" w:bidi="ar-SA"/>
        </w:rPr>
        <w:t>十一、</w:t>
      </w:r>
      <w:r>
        <w:rPr>
          <w:rFonts w:hint="default" w:ascii="Times New Roman" w:hAnsi="Times New Roman" w:eastAsia="黑体" w:cs="Times New Roman"/>
          <w:sz w:val="32"/>
          <w:szCs w:val="32"/>
          <w:highlight w:val="none"/>
        </w:rPr>
        <w:t>磺胺类(总量)</w:t>
      </w:r>
    </w:p>
    <w:p w14:paraId="42AEDC87">
      <w:pPr>
        <w:numPr>
          <w:ilvl w:val="0"/>
          <w:numId w:val="0"/>
        </w:numPr>
        <w:spacing w:line="560" w:lineRule="exact"/>
        <w:ind w:firstLine="640" w:firstLineChars="200"/>
        <w:rPr>
          <w:rFonts w:hint="eastAsia"/>
          <w:lang w:val="en-US" w:eastAsia="zh-CN"/>
        </w:rPr>
      </w:pPr>
      <w:r>
        <w:rPr>
          <w:rFonts w:hint="default" w:ascii="Times New Roman" w:hAnsi="Times New Roman" w:eastAsia="仿宋_GB2312" w:cs="Times New Roman"/>
          <w:sz w:val="32"/>
          <w:szCs w:val="32"/>
        </w:rPr>
        <w:t>磺胺类药物是一类人工合成的抑菌药，具有抗菌谱广、性质稳定、便于贮存、吸收迅速等优点，用于动物疫病治疗。长期大量食用磺胺类（总量）残留超标的食品，可能在人体内蓄积，不利健康，引起过敏反应和耐药性菌株的产生。《食品安全国家标准 食品中兽药最大残留限量》（GB 31650—2019）中规定，磺胺类（总量）在</w:t>
      </w:r>
      <w:r>
        <w:rPr>
          <w:rFonts w:hint="eastAsia" w:ascii="Times New Roman" w:hAnsi="Times New Roman" w:eastAsia="仿宋_GB2312" w:cs="Times New Roman"/>
          <w:sz w:val="32"/>
          <w:szCs w:val="32"/>
          <w:lang w:val="en-US" w:eastAsia="zh-CN"/>
        </w:rPr>
        <w:t>水产品</w:t>
      </w:r>
      <w:r>
        <w:rPr>
          <w:rFonts w:hint="default" w:ascii="Times New Roman" w:hAnsi="Times New Roman" w:eastAsia="仿宋_GB2312" w:cs="Times New Roman"/>
          <w:sz w:val="32"/>
          <w:szCs w:val="32"/>
        </w:rPr>
        <w:t>中最大残留限量值为100μg/kg。</w:t>
      </w:r>
      <w:r>
        <w:rPr>
          <w:rFonts w:hint="eastAsia" w:ascii="Times New Roman" w:hAnsi="Times New Roman" w:eastAsia="仿宋_GB2312" w:cs="Times New Roman"/>
          <w:sz w:val="32"/>
          <w:szCs w:val="32"/>
          <w:lang w:val="en-US" w:eastAsia="zh-CN"/>
        </w:rPr>
        <w:t>水产品</w:t>
      </w:r>
      <w:r>
        <w:rPr>
          <w:rFonts w:hint="default" w:ascii="Times New Roman" w:hAnsi="Times New Roman" w:eastAsia="仿宋_GB2312" w:cs="Times New Roman"/>
          <w:sz w:val="32"/>
          <w:szCs w:val="32"/>
        </w:rPr>
        <w:t>中磺胺类（总量）残留量超标的原因，可能是在养殖过程中为快速控制疫病</w:t>
      </w:r>
      <w:r>
        <w:rPr>
          <w:rFonts w:hint="eastAsia" w:ascii="Times New Roman" w:hAnsi="Times New Roman" w:eastAsia="仿宋_GB2312" w:cs="Times New Roman"/>
          <w:sz w:val="32"/>
          <w:szCs w:val="32"/>
          <w:lang w:eastAsia="zh-CN"/>
        </w:rPr>
        <w:t>，</w:t>
      </w:r>
      <w:r>
        <w:rPr>
          <w:rFonts w:hint="eastAsia" w:ascii="仿宋_GB2312" w:hAnsi="仿宋_GB2312" w:eastAsia="仿宋_GB2312" w:cs="仿宋_GB2312"/>
          <w:i w:val="0"/>
          <w:iCs w:val="0"/>
          <w:caps w:val="0"/>
          <w:color w:val="auto"/>
          <w:spacing w:val="0"/>
          <w:kern w:val="2"/>
          <w:sz w:val="32"/>
          <w:szCs w:val="32"/>
          <w:lang w:val="en-US" w:eastAsia="zh-CN" w:bidi="ar-SA"/>
        </w:rPr>
        <w:t>养殖户违规加大用药量或不遵守休药期规定</w:t>
      </w:r>
      <w:r>
        <w:rPr>
          <w:rFonts w:hint="default" w:ascii="Times New Roman" w:hAnsi="Times New Roman" w:eastAsia="仿宋_GB2312" w:cs="Times New Roman"/>
          <w:sz w:val="32"/>
          <w:szCs w:val="32"/>
        </w:rPr>
        <w:t>。</w:t>
      </w:r>
    </w:p>
    <w:p w14:paraId="5EBA0E31">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both"/>
        <w:textAlignment w:val="auto"/>
        <w:rPr>
          <w:rFonts w:hint="default" w:ascii="Times New Roman" w:hAnsi="Times New Roman" w:eastAsia="黑体" w:cs="Times New Roman"/>
          <w:sz w:val="32"/>
          <w:szCs w:val="32"/>
          <w:lang w:val="en-US" w:eastAsia="zh-CN"/>
        </w:rPr>
      </w:pPr>
      <w:r>
        <w:rPr>
          <w:rFonts w:hint="eastAsia" w:ascii="Times New Roman" w:hAnsi="Times New Roman" w:eastAsia="黑体" w:cs="Times New Roman"/>
          <w:spacing w:val="0"/>
          <w:sz w:val="32"/>
          <w:szCs w:val="32"/>
          <w:lang w:val="en-US" w:eastAsia="zh-CN"/>
        </w:rPr>
        <w:t>十二、</w:t>
      </w:r>
      <w:r>
        <w:rPr>
          <w:rFonts w:hint="default" w:ascii="Times New Roman" w:hAnsi="Times New Roman" w:eastAsia="黑体" w:cs="Times New Roman"/>
          <w:sz w:val="32"/>
          <w:szCs w:val="32"/>
          <w:lang w:val="en-US" w:eastAsia="zh-CN"/>
        </w:rPr>
        <w:t>铝的残留量(以即食海蜇中Al计)</w:t>
      </w:r>
    </w:p>
    <w:p w14:paraId="6AFF328B">
      <w:pPr>
        <w:pStyle w:val="11"/>
        <w:keepNext w:val="0"/>
        <w:keepLines w:val="0"/>
        <w:pageBreakBefore w:val="0"/>
        <w:widowControl w:val="0"/>
        <w:kinsoku/>
        <w:wordWrap/>
        <w:overflowPunct/>
        <w:topLinePunct w:val="0"/>
        <w:bidi w:val="0"/>
        <w:ind w:left="-105" w:leftChars="-50" w:firstLine="640" w:firstLineChars="200"/>
        <w:textAlignment w:val="auto"/>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含铝食品添加剂</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比如钾明矾</w:t>
      </w:r>
      <w:r>
        <w:rPr>
          <w:rFonts w:hint="eastAsia" w:ascii="Times New Roman" w:hAnsi="Times New Roman" w:eastAsia="仿宋_GB2312" w:cs="Times New Roman"/>
          <w:sz w:val="32"/>
          <w:szCs w:val="32"/>
          <w:lang w:eastAsia="zh-CN"/>
        </w:rPr>
        <w:t>、铵</w:t>
      </w:r>
      <w:r>
        <w:rPr>
          <w:rFonts w:ascii="Times New Roman" w:hAnsi="Times New Roman" w:eastAsia="仿宋_GB2312" w:cs="Times New Roman"/>
          <w:sz w:val="32"/>
          <w:szCs w:val="32"/>
        </w:rPr>
        <w:t>明矾）</w:t>
      </w:r>
      <w:r>
        <w:rPr>
          <w:rFonts w:hint="eastAsia" w:ascii="Times New Roman" w:hAnsi="Times New Roman" w:eastAsia="仿宋_GB2312" w:cs="Times New Roman"/>
          <w:sz w:val="32"/>
          <w:szCs w:val="32"/>
          <w:lang w:eastAsia="zh-CN"/>
        </w:rPr>
        <w:t>可用</w:t>
      </w:r>
      <w:r>
        <w:rPr>
          <w:rFonts w:ascii="Times New Roman" w:hAnsi="Times New Roman" w:eastAsia="仿宋_GB2312" w:cs="Times New Roman"/>
          <w:sz w:val="32"/>
          <w:szCs w:val="32"/>
        </w:rPr>
        <w:t>作膨松剂、稳定剂</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按标准使用</w:t>
      </w:r>
      <w:r>
        <w:rPr>
          <w:rFonts w:hint="eastAsia" w:ascii="Times New Roman" w:hAnsi="Times New Roman" w:eastAsia="仿宋_GB2312" w:cs="Times New Roman"/>
          <w:sz w:val="32"/>
          <w:szCs w:val="32"/>
          <w:lang w:eastAsia="zh-CN"/>
        </w:rPr>
        <w:t>含</w:t>
      </w:r>
      <w:r>
        <w:rPr>
          <w:rFonts w:ascii="Times New Roman" w:hAnsi="Times New Roman" w:eastAsia="仿宋_GB2312" w:cs="Times New Roman"/>
          <w:sz w:val="32"/>
          <w:szCs w:val="32"/>
        </w:rPr>
        <w:t>铝</w:t>
      </w:r>
      <w:r>
        <w:rPr>
          <w:rFonts w:hint="eastAsia" w:ascii="Times New Roman" w:hAnsi="Times New Roman" w:eastAsia="仿宋_GB2312" w:cs="Times New Roman"/>
          <w:sz w:val="32"/>
          <w:szCs w:val="32"/>
          <w:lang w:eastAsia="zh-CN"/>
        </w:rPr>
        <w:t>食品添加剂不会对健康造成危害，</w:t>
      </w:r>
      <w:r>
        <w:rPr>
          <w:rFonts w:hint="eastAsia" w:ascii="仿宋_GB2312" w:hAnsi="仿宋_GB2312" w:eastAsia="仿宋_GB2312" w:cs="仿宋_GB2312"/>
          <w:sz w:val="32"/>
          <w:szCs w:val="32"/>
          <w:lang w:val="en-US" w:eastAsia="zh-CN"/>
        </w:rPr>
        <w:t>但长期</w:t>
      </w:r>
      <w:r>
        <w:rPr>
          <w:rFonts w:hint="eastAsia" w:ascii="仿宋_GB2312" w:hAnsi="仿宋_GB2312" w:eastAsia="仿宋_GB2312" w:cs="仿宋_GB2312"/>
          <w:sz w:val="32"/>
          <w:szCs w:val="32"/>
          <w:lang w:val="en-US" w:eastAsia="zh"/>
        </w:rPr>
        <w:t>食用铝超标的食品会导致运动和学习能力下降，影响儿童智力发育</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shd w:val="clear" w:color="auto" w:fill="FFFFFF"/>
          <w:lang w:val="en-US" w:eastAsia="zh-CN"/>
        </w:rPr>
        <w:t>《食品安全国家标准 食品添加剂使用标准》</w:t>
      </w:r>
      <w:r>
        <w:rPr>
          <w:rFonts w:hint="eastAsia" w:ascii="仿宋_GB2312" w:hAnsi="仿宋_GB2312" w:eastAsia="仿宋_GB2312" w:cs="仿宋_GB2312"/>
          <w:sz w:val="32"/>
          <w:szCs w:val="32"/>
          <w:shd w:val="clear" w:color="auto" w:fill="FFFFFF"/>
          <w:lang w:val="en-US" w:eastAsia="zh-CN"/>
        </w:rPr>
        <w:t>（GB 2760—2024）中规定</w:t>
      </w:r>
      <w:r>
        <w:rPr>
          <w:rFonts w:hint="eastAsia" w:ascii="仿宋_GB2312" w:hAnsi="仿宋_GB2312" w:eastAsia="仿宋_GB2312" w:cs="仿宋_GB2312"/>
          <w:sz w:val="32"/>
          <w:szCs w:val="32"/>
          <w:lang w:val="en-US" w:eastAsia="zh-CN"/>
        </w:rPr>
        <w:t>，海蜇</w:t>
      </w:r>
      <w:r>
        <w:rPr>
          <w:rFonts w:hint="eastAsia" w:ascii="仿宋_GB2312" w:hAnsi="仿宋_GB2312" w:eastAsia="仿宋_GB2312" w:cs="仿宋_GB2312"/>
          <w:sz w:val="32"/>
          <w:szCs w:val="32"/>
          <w:highlight w:val="none"/>
        </w:rPr>
        <w:t>中铝的残留量(以即食海蜇中Al计)最大限量值为</w:t>
      </w:r>
      <w:r>
        <w:rPr>
          <w:rFonts w:hint="eastAsia" w:hAnsi="仿宋_GB2312" w:cs="仿宋_GB2312"/>
          <w:sz w:val="32"/>
          <w:szCs w:val="32"/>
          <w:highlight w:val="none"/>
          <w:lang w:val="en-US" w:eastAsia="zh-CN"/>
        </w:rPr>
        <w:t>5</w:t>
      </w:r>
      <w:r>
        <w:rPr>
          <w:rFonts w:hint="eastAsia" w:ascii="仿宋_GB2312" w:hAnsi="仿宋_GB2312" w:eastAsia="仿宋_GB2312" w:cs="仿宋_GB2312"/>
          <w:sz w:val="32"/>
          <w:szCs w:val="32"/>
          <w:highlight w:val="none"/>
        </w:rPr>
        <w:t>00mg/kg</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lang w:val="en-US" w:eastAsia="zh-CN"/>
        </w:rPr>
        <w:t>海蜇</w:t>
      </w:r>
      <w:r>
        <w:rPr>
          <w:rFonts w:hint="eastAsia" w:ascii="仿宋_GB2312" w:hAnsi="仿宋_GB2312" w:eastAsia="仿宋_GB2312" w:cs="仿宋_GB2312"/>
          <w:sz w:val="32"/>
          <w:szCs w:val="32"/>
          <w:highlight w:val="none"/>
        </w:rPr>
        <w:t>中铝的残留量(以即食海蜇中Al计)</w:t>
      </w:r>
      <w:r>
        <w:rPr>
          <w:rFonts w:hint="eastAsia" w:ascii="Times New Roman" w:hAnsi="Times New Roman" w:eastAsia="仿宋_GB2312" w:cs="Times New Roman"/>
          <w:sz w:val="32"/>
          <w:szCs w:val="32"/>
        </w:rPr>
        <w:t>超标的原因，可能是</w:t>
      </w:r>
      <w:r>
        <w:rPr>
          <w:rFonts w:hint="eastAsia" w:ascii="Times New Roman" w:cs="Times New Roman"/>
          <w:sz w:val="32"/>
          <w:szCs w:val="32"/>
          <w:lang w:eastAsia="zh-CN"/>
        </w:rPr>
        <w:t>生产经营者为增加产品口感，在生产加工过程中超范围、超限量使用含铝添加剂</w:t>
      </w:r>
      <w:r>
        <w:rPr>
          <w:rFonts w:hint="eastAsia" w:ascii="Times New Roman" w:hAnsi="Times New Roman" w:eastAsia="仿宋_GB2312" w:cs="Times New Roman"/>
          <w:sz w:val="32"/>
          <w:szCs w:val="32"/>
        </w:rPr>
        <w:t>；也可能是其使用的复配食品添加剂中铝含量过高</w:t>
      </w:r>
      <w:r>
        <w:rPr>
          <w:rFonts w:hint="eastAsia" w:ascii="Times New Roman" w:hAnsi="Times New Roman" w:eastAsia="仿宋_GB2312" w:cs="Times New Roman"/>
          <w:sz w:val="32"/>
          <w:szCs w:val="32"/>
          <w:lang w:eastAsia="zh-CN"/>
        </w:rPr>
        <w:t>。</w:t>
      </w:r>
    </w:p>
    <w:p w14:paraId="2E0EE095">
      <w:pPr>
        <w:keepNext w:val="0"/>
        <w:keepLines w:val="0"/>
        <w:pageBreakBefore w:val="0"/>
        <w:widowControl w:val="0"/>
        <w:numPr>
          <w:ilvl w:val="0"/>
          <w:numId w:val="0"/>
        </w:numPr>
        <w:kinsoku/>
        <w:wordWrap/>
        <w:overflowPunct/>
        <w:topLinePunct w:val="0"/>
        <w:bidi w:val="0"/>
        <w:ind w:left="-105" w:leftChars="-50" w:firstLine="640" w:firstLineChars="200"/>
        <w:jc w:val="both"/>
        <w:textAlignment w:val="auto"/>
        <w:rPr>
          <w:rFonts w:hint="eastAsia" w:ascii="仿宋_GB2312" w:hAnsi="仿宋_GB2312" w:eastAsia="仿宋_GB2312" w:cs="仿宋_GB2312"/>
          <w:i w:val="0"/>
          <w:iCs w:val="0"/>
          <w:caps w:val="0"/>
          <w:color w:val="auto"/>
          <w:spacing w:val="0"/>
          <w:kern w:val="2"/>
          <w:sz w:val="32"/>
          <w:szCs w:val="32"/>
          <w:lang w:val="en-US" w:eastAsia="zh-CN" w:bidi="ar-SA"/>
        </w:rPr>
      </w:pPr>
      <w:r>
        <w:rPr>
          <w:rFonts w:hint="eastAsia" w:ascii="黑体" w:hAnsi="黑体" w:eastAsia="黑体" w:cs="黑体"/>
          <w:sz w:val="32"/>
          <w:szCs w:val="32"/>
          <w:lang w:val="en-US" w:eastAsia="zh-CN"/>
        </w:rPr>
        <w:t>十三、挥发性盐基氮</w:t>
      </w:r>
    </w:p>
    <w:p w14:paraId="73318B7F">
      <w:pPr>
        <w:pStyle w:val="11"/>
        <w:keepNext w:val="0"/>
        <w:keepLines w:val="0"/>
        <w:pageBreakBefore w:val="0"/>
        <w:widowControl w:val="0"/>
        <w:kinsoku/>
        <w:wordWrap/>
        <w:overflowPunct/>
        <w:topLinePunct w:val="0"/>
        <w:bidi w:val="0"/>
        <w:ind w:left="-105" w:leftChars="-50" w:firstLine="640" w:firstLineChars="200"/>
        <w:textAlignment w:val="auto"/>
        <w:rPr>
          <w:rFonts w:hint="eastAsia" w:ascii="仿宋_GB2312" w:hAnsi="仿宋_GB2312" w:eastAsia="仿宋_GB2312" w:cs="仿宋_GB2312"/>
          <w:i w:val="0"/>
          <w:iCs w:val="0"/>
          <w:caps w:val="0"/>
          <w:color w:val="auto"/>
          <w:spacing w:val="0"/>
          <w:kern w:val="2"/>
          <w:sz w:val="32"/>
          <w:szCs w:val="32"/>
          <w:lang w:val="en-US" w:eastAsia="zh-CN" w:bidi="ar-SA"/>
        </w:rPr>
      </w:pPr>
      <w:r>
        <w:rPr>
          <w:rFonts w:hint="eastAsia" w:ascii="仿宋_GB2312" w:hAnsi="仿宋_GB2312" w:eastAsia="仿宋_GB2312" w:cs="仿宋_GB2312"/>
          <w:i w:val="0"/>
          <w:iCs w:val="0"/>
          <w:caps w:val="0"/>
          <w:color w:val="auto"/>
          <w:spacing w:val="0"/>
          <w:kern w:val="2"/>
          <w:sz w:val="32"/>
          <w:szCs w:val="32"/>
          <w:lang w:val="en-US" w:eastAsia="zh-CN" w:bidi="ar-SA"/>
        </w:rPr>
        <w:t>挥发性盐基氮与动物性食品腐败变质有关，是评价食品鲜度的主要指标。挥发性盐基氮含量越高，表明氨基酸破坏的越多，营养价值等受到的影响也就越大。食用挥发性盐基氮超标的食品，可能会引起反胃、腹泻等症状。《食品安全国家标准 鲜、冻动物性水产品》（GB 2733-2015）中规定，海水鱼中挥发性盐基氮最大量限量值为30mg/100g。海水鱼中挥发性盐基氮超标的原因，可能是生产经营企业卫生状况不达标，造成产品微生物污染和腐败变质；也可能是运输过程中温度、氧气浓度和湿度等条件控制不当，加快了产品腐败变质速度。</w:t>
      </w:r>
    </w:p>
    <w:p w14:paraId="23851D7D">
      <w:pPr>
        <w:keepNext w:val="0"/>
        <w:keepLines w:val="0"/>
        <w:pageBreakBefore w:val="0"/>
        <w:numPr>
          <w:ilvl w:val="0"/>
          <w:numId w:val="0"/>
        </w:numPr>
        <w:kinsoku/>
        <w:wordWrap/>
        <w:overflowPunct/>
        <w:topLinePunct w:val="0"/>
        <w:bidi w:val="0"/>
        <w:snapToGrid/>
        <w:spacing w:line="560" w:lineRule="exact"/>
        <w:ind w:leftChars="0" w:firstLine="640" w:firstLineChars="200"/>
        <w:jc w:val="both"/>
        <w:textAlignment w:val="auto"/>
        <w:rPr>
          <w:rFonts w:hint="eastAsia" w:ascii="黑体" w:hAnsi="黑体" w:eastAsia="黑体" w:cs="黑体"/>
          <w:sz w:val="30"/>
          <w:szCs w:val="30"/>
          <w:lang w:val="en-US" w:eastAsia="zh-CN"/>
        </w:rPr>
      </w:pPr>
      <w:r>
        <w:rPr>
          <w:rFonts w:hint="eastAsia" w:ascii="黑体" w:hAnsi="黑体" w:eastAsia="黑体" w:cs="黑体"/>
          <w:sz w:val="32"/>
          <w:szCs w:val="32"/>
          <w:lang w:val="en-US" w:eastAsia="zh-CN"/>
        </w:rPr>
        <w:t>十四、二氧化硫残留量</w:t>
      </w:r>
    </w:p>
    <w:p w14:paraId="5BADC55D">
      <w:pPr>
        <w:pStyle w:val="11"/>
        <w:keepNext w:val="0"/>
        <w:keepLines w:val="0"/>
        <w:pageBreakBefore w:val="0"/>
        <w:widowControl w:val="0"/>
        <w:kinsoku/>
        <w:wordWrap/>
        <w:overflowPunct/>
        <w:topLinePunct w:val="0"/>
        <w:bidi w:val="0"/>
        <w:ind w:left="-105" w:leftChars="-50" w:firstLine="640" w:firstLineChars="200"/>
        <w:textAlignment w:val="auto"/>
        <w:rPr>
          <w:rFonts w:hint="eastAsia" w:ascii="仿宋_GB2312" w:hAnsi="仿宋_GB2312" w:eastAsia="仿宋_GB2312" w:cs="仿宋_GB2312"/>
          <w:i w:val="0"/>
          <w:iCs w:val="0"/>
          <w:caps w:val="0"/>
          <w:color w:val="auto"/>
          <w:spacing w:val="0"/>
          <w:kern w:val="2"/>
          <w:sz w:val="32"/>
          <w:szCs w:val="32"/>
          <w:lang w:val="en-US" w:eastAsia="zh-CN" w:bidi="ar-SA"/>
        </w:rPr>
      </w:pPr>
      <w:r>
        <w:rPr>
          <w:rFonts w:hint="eastAsia" w:ascii="仿宋_GB2312" w:hAnsi="仿宋_GB2312" w:eastAsia="仿宋_GB2312" w:cs="仿宋_GB2312"/>
          <w:i w:val="0"/>
          <w:iCs w:val="0"/>
          <w:caps w:val="0"/>
          <w:color w:val="auto"/>
          <w:spacing w:val="0"/>
          <w:kern w:val="2"/>
          <w:sz w:val="32"/>
          <w:szCs w:val="32"/>
          <w:lang w:val="en-US" w:eastAsia="zh-CN" w:bidi="ar-SA"/>
        </w:rPr>
        <w:t>二氧化硫是食品加工中常用的漂白剂和防腐剂，具有漂白、防腐和抗氧化作用。少量二氧化硫进入人体不会对身体造成健康危害，但过量食用会引起如恶心、呕吐等胃肠道反应。《食品安全国家标准 食品添加剂使用标准》（GB 2760-2024）中规定，</w:t>
      </w:r>
      <w:r>
        <w:rPr>
          <w:rFonts w:hint="eastAsia" w:hAnsi="仿宋_GB2312" w:cs="仿宋_GB2312"/>
          <w:i w:val="0"/>
          <w:iCs w:val="0"/>
          <w:caps w:val="0"/>
          <w:color w:val="auto"/>
          <w:spacing w:val="0"/>
          <w:kern w:val="2"/>
          <w:sz w:val="32"/>
          <w:szCs w:val="32"/>
          <w:lang w:val="en-US" w:eastAsia="zh-CN" w:bidi="ar-SA"/>
        </w:rPr>
        <w:t>蜜饯</w:t>
      </w:r>
      <w:r>
        <w:rPr>
          <w:rFonts w:hint="eastAsia" w:ascii="仿宋_GB2312" w:hAnsi="仿宋_GB2312" w:eastAsia="仿宋_GB2312" w:cs="仿宋_GB2312"/>
          <w:i w:val="0"/>
          <w:iCs w:val="0"/>
          <w:caps w:val="0"/>
          <w:color w:val="auto"/>
          <w:spacing w:val="0"/>
          <w:kern w:val="2"/>
          <w:sz w:val="32"/>
          <w:szCs w:val="32"/>
          <w:lang w:val="en-US" w:eastAsia="zh-CN" w:bidi="ar-SA"/>
        </w:rPr>
        <w:t>中二氧化硫最大使用量为0.</w:t>
      </w:r>
      <w:r>
        <w:rPr>
          <w:rFonts w:hint="eastAsia" w:hAnsi="仿宋_GB2312" w:cs="仿宋_GB2312"/>
          <w:i w:val="0"/>
          <w:iCs w:val="0"/>
          <w:caps w:val="0"/>
          <w:color w:val="auto"/>
          <w:spacing w:val="0"/>
          <w:kern w:val="2"/>
          <w:sz w:val="32"/>
          <w:szCs w:val="32"/>
          <w:lang w:val="en-US" w:eastAsia="zh-CN" w:bidi="ar-SA"/>
        </w:rPr>
        <w:t>35</w:t>
      </w:r>
      <w:r>
        <w:rPr>
          <w:rFonts w:hint="eastAsia" w:ascii="仿宋_GB2312" w:hAnsi="仿宋_GB2312" w:eastAsia="仿宋_GB2312" w:cs="仿宋_GB2312"/>
          <w:i w:val="0"/>
          <w:iCs w:val="0"/>
          <w:caps w:val="0"/>
          <w:color w:val="auto"/>
          <w:spacing w:val="0"/>
          <w:kern w:val="2"/>
          <w:sz w:val="32"/>
          <w:szCs w:val="32"/>
          <w:lang w:val="en-US" w:eastAsia="zh-CN" w:bidi="ar-SA"/>
        </w:rPr>
        <w:t>g/kg</w:t>
      </w:r>
      <w:r>
        <w:rPr>
          <w:rFonts w:hint="eastAsia" w:hAnsi="仿宋_GB2312" w:cs="仿宋_GB2312"/>
          <w:i w:val="0"/>
          <w:iCs w:val="0"/>
          <w:caps w:val="0"/>
          <w:color w:val="auto"/>
          <w:spacing w:val="0"/>
          <w:kern w:val="2"/>
          <w:sz w:val="32"/>
          <w:szCs w:val="32"/>
          <w:lang w:val="en-US" w:eastAsia="zh-CN" w:bidi="ar-SA"/>
        </w:rPr>
        <w:t>，香辛料中不得使用二氧化硫。蜜饯</w:t>
      </w:r>
      <w:r>
        <w:rPr>
          <w:rFonts w:hint="default" w:ascii="仿宋_GB2312" w:hAnsi="Calibri" w:eastAsia="仿宋_GB2312" w:cs="仿宋_GB2312"/>
          <w:i w:val="0"/>
          <w:iCs w:val="0"/>
          <w:caps w:val="0"/>
          <w:spacing w:val="0"/>
          <w:kern w:val="2"/>
          <w:sz w:val="32"/>
          <w:szCs w:val="32"/>
          <w:lang w:val="en-US" w:eastAsia="zh-CN" w:bidi="ar"/>
        </w:rPr>
        <w:t>、</w:t>
      </w:r>
      <w:r>
        <w:rPr>
          <w:rFonts w:hint="eastAsia" w:hAnsi="仿宋_GB2312" w:cs="仿宋_GB2312"/>
          <w:i w:val="0"/>
          <w:iCs w:val="0"/>
          <w:caps w:val="0"/>
          <w:color w:val="auto"/>
          <w:spacing w:val="0"/>
          <w:kern w:val="2"/>
          <w:sz w:val="32"/>
          <w:szCs w:val="32"/>
          <w:lang w:val="en-US" w:eastAsia="zh-CN" w:bidi="ar-SA"/>
        </w:rPr>
        <w:t>香辛料</w:t>
      </w:r>
      <w:r>
        <w:rPr>
          <w:rFonts w:hint="eastAsia" w:ascii="仿宋_GB2312" w:hAnsi="仿宋_GB2312" w:eastAsia="仿宋_GB2312" w:cs="仿宋_GB2312"/>
          <w:i w:val="0"/>
          <w:iCs w:val="0"/>
          <w:caps w:val="0"/>
          <w:color w:val="auto"/>
          <w:spacing w:val="0"/>
          <w:kern w:val="2"/>
          <w:sz w:val="32"/>
          <w:szCs w:val="32"/>
          <w:lang w:val="en-US" w:eastAsia="zh-CN" w:bidi="ar-SA"/>
        </w:rPr>
        <w:t>中二氧化硫残留量超标的原因，可能是生产企业为了改善产品色泽而超范围</w:t>
      </w:r>
      <w:r>
        <w:rPr>
          <w:rFonts w:hint="eastAsia" w:hAnsi="仿宋_GB2312" w:cs="仿宋_GB2312"/>
          <w:i w:val="0"/>
          <w:iCs w:val="0"/>
          <w:caps w:val="0"/>
          <w:color w:val="auto"/>
          <w:spacing w:val="0"/>
          <w:kern w:val="2"/>
          <w:sz w:val="32"/>
          <w:szCs w:val="32"/>
          <w:lang w:val="en-US" w:eastAsia="zh-CN" w:bidi="ar-SA"/>
        </w:rPr>
        <w:t>、</w:t>
      </w:r>
      <w:r>
        <w:rPr>
          <w:rFonts w:hint="eastAsia" w:ascii="仿宋_GB2312" w:hAnsi="仿宋_GB2312" w:eastAsia="仿宋_GB2312" w:cs="仿宋_GB2312"/>
          <w:i w:val="0"/>
          <w:iCs w:val="0"/>
          <w:caps w:val="0"/>
          <w:color w:val="auto"/>
          <w:spacing w:val="0"/>
          <w:kern w:val="2"/>
          <w:sz w:val="32"/>
          <w:szCs w:val="32"/>
          <w:lang w:val="en-US" w:eastAsia="zh-CN" w:bidi="ar-SA"/>
        </w:rPr>
        <w:t>超限量使用二氧化硫；也可能是使用时不计量或计量不准确；还可能是由于使用硫磺熏蒸漂白这种传统工艺或直接使用亚硫酸盐浸泡所造成。</w:t>
      </w:r>
    </w:p>
    <w:p w14:paraId="249A2F93">
      <w:pPr>
        <w:pStyle w:val="10"/>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CESI黑体-GB2312" w:hAnsi="CESI黑体-GB2312" w:eastAsia="CESI黑体-GB2312" w:cs="CESI黑体-GB2312"/>
          <w:sz w:val="32"/>
          <w:szCs w:val="32"/>
          <w:lang w:val="en-US" w:eastAsia="zh-CN"/>
        </w:rPr>
      </w:pPr>
      <w:r>
        <w:rPr>
          <w:rFonts w:hint="eastAsia" w:ascii="CESI黑体-GB2312" w:hAnsi="CESI黑体-GB2312" w:eastAsia="CESI黑体-GB2312" w:cs="CESI黑体-GB2312"/>
          <w:sz w:val="32"/>
          <w:szCs w:val="32"/>
          <w:lang w:val="en-US" w:eastAsia="zh-CN"/>
        </w:rPr>
        <w:t>十五、氯霉素</w:t>
      </w:r>
    </w:p>
    <w:p w14:paraId="31594DFF">
      <w:pPr>
        <w:keepNext w:val="0"/>
        <w:keepLines w:val="0"/>
        <w:pageBreakBefore w:val="0"/>
        <w:widowControl w:val="0"/>
        <w:numPr>
          <w:ilvl w:val="0"/>
          <w:numId w:val="0"/>
        </w:numPr>
        <w:kinsoku/>
        <w:wordWrap/>
        <w:overflowPunct/>
        <w:topLinePunct w:val="0"/>
        <w:autoSpaceDE/>
        <w:autoSpaceDN/>
        <w:bidi w:val="0"/>
        <w:adjustRightInd/>
        <w:spacing w:line="560" w:lineRule="exact"/>
        <w:ind w:left="-105" w:leftChars="-50" w:firstLine="640" w:firstLineChars="200"/>
        <w:jc w:val="both"/>
        <w:textAlignment w:val="auto"/>
        <w:rPr>
          <w:rFonts w:hint="eastAsia" w:ascii="仿宋_GB2312" w:hAnsi="仿宋_GB2312" w:eastAsia="仿宋_GB2312" w:cs="仿宋_GB2312"/>
          <w:i w:val="0"/>
          <w:iCs w:val="0"/>
          <w:caps w:val="0"/>
          <w:color w:val="auto"/>
          <w:spacing w:val="0"/>
          <w:kern w:val="2"/>
          <w:sz w:val="32"/>
          <w:szCs w:val="32"/>
          <w:lang w:val="en-US" w:eastAsia="zh-CN" w:bidi="ar-SA"/>
        </w:rPr>
      </w:pPr>
      <w:r>
        <w:rPr>
          <w:rFonts w:hint="eastAsia" w:ascii="仿宋_GB2312" w:hAnsi="仿宋_GB2312" w:eastAsia="仿宋_GB2312" w:cs="仿宋_GB2312"/>
          <w:color w:val="auto"/>
          <w:sz w:val="32"/>
          <w:szCs w:val="32"/>
          <w:highlight w:val="none"/>
          <w:lang w:val="en-US" w:eastAsia="zh-CN"/>
        </w:rPr>
        <w:t>氯霉素是酰胺醇类抗生素，对革兰氏阳性菌和革兰氏阴性菌均有较好的抑制作用。动物产品的氯霉素残留，一般不会导致对人体的急性毒性作用；长期大量摄入氯霉素残留超标的食品，可能在人体内蓄积，产生耐药并对同类药物有交叉耐药，引起不良反应等。</w:t>
      </w:r>
      <w:r>
        <w:rPr>
          <w:rFonts w:hint="eastAsia" w:ascii="仿宋_GB2312" w:hAnsi="仿宋_GB2312" w:eastAsia="仿宋_GB2312" w:cs="仿宋_GB2312"/>
          <w:i w:val="0"/>
          <w:iCs w:val="0"/>
          <w:caps w:val="0"/>
          <w:color w:val="auto"/>
          <w:spacing w:val="0"/>
          <w:kern w:val="2"/>
          <w:sz w:val="32"/>
          <w:szCs w:val="32"/>
          <w:lang w:val="en-US" w:eastAsia="zh-CN" w:bidi="ar-SA"/>
        </w:rPr>
        <w:t>我国发布的《食品中可能违法添加的非食用物质和易滥用的食品添加剂品种名单（第五批）》（整顿办函〔2011〕1号）中将氯霉素列为可能在肉制品中违法添加的非食用物质，在肉制品中不得检出。</w:t>
      </w:r>
      <w:r>
        <w:rPr>
          <w:rFonts w:hint="eastAsia" w:ascii="仿宋_GB2312" w:hAnsi="仿宋_GB2312" w:eastAsia="仿宋_GB2312" w:cs="仿宋_GB2312"/>
          <w:sz w:val="32"/>
          <w:szCs w:val="32"/>
          <w:highlight w:val="none"/>
          <w:lang w:val="en-US" w:eastAsia="zh-CN"/>
        </w:rPr>
        <w:t>速冻调理肉制品</w:t>
      </w:r>
      <w:r>
        <w:rPr>
          <w:rFonts w:hint="eastAsia" w:ascii="仿宋_GB2312" w:hAnsi="仿宋_GB2312" w:eastAsia="仿宋_GB2312" w:cs="仿宋_GB2312"/>
          <w:sz w:val="32"/>
          <w:szCs w:val="32"/>
          <w:highlight w:val="none"/>
        </w:rPr>
        <w:t>中检出氯霉素的原因，可</w:t>
      </w:r>
      <w:r>
        <w:rPr>
          <w:rFonts w:hint="eastAsia" w:ascii="仿宋_GB2312" w:hAnsi="仿宋_GB2312" w:eastAsia="仿宋_GB2312" w:cs="仿宋_GB2312"/>
          <w:i w:val="0"/>
          <w:iCs w:val="0"/>
          <w:caps w:val="0"/>
          <w:color w:val="auto"/>
          <w:spacing w:val="0"/>
          <w:kern w:val="2"/>
          <w:sz w:val="32"/>
          <w:szCs w:val="32"/>
          <w:lang w:val="en-US" w:eastAsia="zh-CN" w:bidi="ar-SA"/>
        </w:rPr>
        <w:t>能是养殖户在养殖中违规使用，</w:t>
      </w:r>
      <w:r>
        <w:rPr>
          <w:rFonts w:hint="eastAsia" w:ascii="仿宋_GB2312" w:hAnsi="仿宋_GB2312" w:eastAsia="仿宋_GB2312" w:cs="仿宋_GB2312"/>
          <w:sz w:val="32"/>
          <w:szCs w:val="32"/>
          <w:highlight w:val="none"/>
          <w:lang w:eastAsia="zh-CN"/>
        </w:rPr>
        <w:t>导致原料中存在氯霉素残留</w:t>
      </w:r>
      <w:r>
        <w:rPr>
          <w:rFonts w:hint="eastAsia" w:ascii="仿宋_GB2312" w:hAnsi="仿宋_GB2312" w:eastAsia="仿宋_GB2312" w:cs="仿宋_GB2312"/>
          <w:i w:val="0"/>
          <w:iCs w:val="0"/>
          <w:caps w:val="0"/>
          <w:color w:val="auto"/>
          <w:spacing w:val="0"/>
          <w:kern w:val="2"/>
          <w:sz w:val="32"/>
          <w:szCs w:val="32"/>
          <w:lang w:val="en-US" w:eastAsia="zh-CN" w:bidi="ar-SA"/>
        </w:rPr>
        <w:t>；也可能是生产过程控制不佳，造成产品被污染</w:t>
      </w:r>
      <w:r>
        <w:rPr>
          <w:rFonts w:hint="eastAsia" w:ascii="仿宋_GB2312" w:hAnsi="仿宋_GB2312" w:eastAsia="仿宋_GB2312" w:cs="仿宋_GB2312"/>
          <w:sz w:val="32"/>
          <w:szCs w:val="32"/>
          <w:highlight w:val="none"/>
        </w:rPr>
        <w:t>。</w:t>
      </w:r>
    </w:p>
    <w:p w14:paraId="13250E82">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both"/>
        <w:textAlignment w:val="auto"/>
        <w:rPr>
          <w:rFonts w:hint="eastAsia" w:ascii="Times New Roman" w:hAnsi="Times New Roman" w:eastAsia="黑体" w:cs="Times New Roman"/>
          <w:sz w:val="32"/>
          <w:szCs w:val="32"/>
          <w:lang w:val="en-US" w:eastAsia="zh-CN"/>
        </w:rPr>
      </w:pPr>
      <w:r>
        <w:rPr>
          <w:rFonts w:hint="eastAsia" w:ascii="Times New Roman" w:hAnsi="Times New Roman" w:eastAsia="黑体" w:cs="Times New Roman"/>
          <w:sz w:val="32"/>
          <w:szCs w:val="32"/>
          <w:lang w:val="en-US" w:eastAsia="zh-CN"/>
        </w:rPr>
        <w:t>十六、氯氟氰菊酯和高效氯氟氰菊酯</w:t>
      </w:r>
    </w:p>
    <w:p w14:paraId="689C1E73">
      <w:pPr>
        <w:pStyle w:val="11"/>
        <w:keepNext w:val="0"/>
        <w:keepLines w:val="0"/>
        <w:pageBreakBefore w:val="0"/>
        <w:widowControl w:val="0"/>
        <w:kinsoku/>
        <w:wordWrap/>
        <w:overflowPunct/>
        <w:topLinePunct w:val="0"/>
        <w:bidi w:val="0"/>
        <w:ind w:left="-105" w:leftChars="-50" w:firstLine="640" w:firstLineChars="200"/>
        <w:jc w:val="both"/>
        <w:textAlignment w:val="auto"/>
        <w:rPr>
          <w:rFonts w:hint="eastAsia" w:ascii="仿宋_GB2312" w:hAnsi="仿宋_GB2312" w:eastAsia="仿宋_GB2312" w:cs="仿宋_GB2312"/>
          <w:i w:val="0"/>
          <w:iCs w:val="0"/>
          <w:caps w:val="0"/>
          <w:color w:val="auto"/>
          <w:spacing w:val="0"/>
          <w:kern w:val="2"/>
          <w:sz w:val="32"/>
          <w:szCs w:val="32"/>
          <w:lang w:val="en-US" w:eastAsia="zh-CN" w:bidi="ar-SA"/>
        </w:rPr>
      </w:pPr>
      <w:r>
        <w:rPr>
          <w:rFonts w:hint="default" w:ascii="Times New Roman" w:hAnsi="Times New Roman" w:eastAsia="仿宋_GB2312" w:cs="Times New Roman"/>
          <w:color w:val="000000"/>
          <w:kern w:val="2"/>
          <w:sz w:val="32"/>
          <w:szCs w:val="32"/>
          <w:highlight w:val="none"/>
          <w:lang w:val="en-US" w:eastAsia="zh-CN" w:bidi="ar-SA"/>
        </w:rPr>
        <w:t>氯氟氰菊酯和高效氯氟氰菊酯可有效防治棉花、果树、蔬菜、大豆等作物上的多种害虫，也能防治动物体上的寄生虫，具有广谱、高效、快速等特性。《食品安全国家标准 食品中农药最大残留限量</w:t>
      </w:r>
      <w:r>
        <w:rPr>
          <w:rFonts w:hint="eastAsia" w:ascii="仿宋_GB2312" w:hAnsi="仿宋_GB2312" w:eastAsia="仿宋_GB2312" w:cs="仿宋_GB2312"/>
          <w:color w:val="000000"/>
          <w:kern w:val="2"/>
          <w:sz w:val="32"/>
          <w:szCs w:val="32"/>
          <w:highlight w:val="none"/>
          <w:lang w:val="en-US" w:eastAsia="zh-CN" w:bidi="ar-SA"/>
        </w:rPr>
        <w:t>》（GB 2763-2026）中的规定，荔枝中氯氟氰菊酯和高效氯氟氰菊酯的最大残留限量值为0.1mg/kg。荔枝中</w:t>
      </w:r>
      <w:r>
        <w:rPr>
          <w:rFonts w:hint="default" w:ascii="Times New Roman" w:hAnsi="Times New Roman" w:eastAsia="仿宋_GB2312" w:cs="Times New Roman"/>
          <w:color w:val="000000"/>
          <w:kern w:val="2"/>
          <w:sz w:val="32"/>
          <w:szCs w:val="32"/>
          <w:highlight w:val="none"/>
          <w:lang w:val="en-US" w:eastAsia="zh-CN" w:bidi="ar-SA"/>
        </w:rPr>
        <w:t>氯氟氰菊酯和高效氯氟氰菊酯残留量超标的原因，可能是为快速控制虫害，加大用药量或未遵守采摘间隔期规定。</w:t>
      </w:r>
    </w:p>
    <w:p w14:paraId="633D4E90">
      <w:pPr>
        <w:pStyle w:val="6"/>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Calibri">
    <w:altName w:val="Times New Roman"/>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CESI宋体-GB2312">
    <w:panose1 w:val="02000500000000000000"/>
    <w:charset w:val="86"/>
    <w:family w:val="auto"/>
    <w:pitch w:val="default"/>
    <w:sig w:usb0="800002AF" w:usb1="08476CF8" w:usb2="00000010" w:usb3="00000000" w:csb0="0004000F" w:csb1="00000000"/>
  </w:font>
  <w:font w:name="CESI黑体-GB2312">
    <w:panose1 w:val="02000500000000000000"/>
    <w:charset w:val="86"/>
    <w:family w:val="auto"/>
    <w:pitch w:val="default"/>
    <w:sig w:usb0="800002BF" w:usb1="184F6CF8" w:usb2="00000012"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3OTQ2MTcxODk3NTU0ZWM4Y2Q3MjBkYjI4NmJhNTQifQ=="/>
  </w:docVars>
  <w:rsids>
    <w:rsidRoot w:val="1B6B0A58"/>
    <w:rsid w:val="023D1853"/>
    <w:rsid w:val="03C84489"/>
    <w:rsid w:val="0F6F3A01"/>
    <w:rsid w:val="168C45D0"/>
    <w:rsid w:val="1A843B43"/>
    <w:rsid w:val="1AAC0A51"/>
    <w:rsid w:val="1B6B0A58"/>
    <w:rsid w:val="1C1C24C7"/>
    <w:rsid w:val="21DF3BFA"/>
    <w:rsid w:val="243C66DE"/>
    <w:rsid w:val="25401C79"/>
    <w:rsid w:val="28665E9B"/>
    <w:rsid w:val="2AE505CF"/>
    <w:rsid w:val="2EEB1EE6"/>
    <w:rsid w:val="33477866"/>
    <w:rsid w:val="34BE7A46"/>
    <w:rsid w:val="38522724"/>
    <w:rsid w:val="3B9052B1"/>
    <w:rsid w:val="3CB95A05"/>
    <w:rsid w:val="3FAFE36C"/>
    <w:rsid w:val="42152E7B"/>
    <w:rsid w:val="42B71E80"/>
    <w:rsid w:val="45AA51C1"/>
    <w:rsid w:val="46FE5D14"/>
    <w:rsid w:val="47402CC8"/>
    <w:rsid w:val="49E034CB"/>
    <w:rsid w:val="4C3D4232"/>
    <w:rsid w:val="4DD74D6A"/>
    <w:rsid w:val="52B4570D"/>
    <w:rsid w:val="55931176"/>
    <w:rsid w:val="57553BBA"/>
    <w:rsid w:val="58DE315C"/>
    <w:rsid w:val="5EE21556"/>
    <w:rsid w:val="63E91CAF"/>
    <w:rsid w:val="6AF73730"/>
    <w:rsid w:val="6BFE0D70"/>
    <w:rsid w:val="6EBC5389"/>
    <w:rsid w:val="7220529F"/>
    <w:rsid w:val="725F4DE6"/>
    <w:rsid w:val="766D6C75"/>
    <w:rsid w:val="776621D9"/>
    <w:rsid w:val="7DBB6D77"/>
    <w:rsid w:val="7F7F1DB2"/>
    <w:rsid w:val="9FFF5429"/>
    <w:rsid w:val="BFFCF87D"/>
    <w:rsid w:val="D72F31A2"/>
    <w:rsid w:val="D7E8DF1E"/>
    <w:rsid w:val="D7FBC29F"/>
    <w:rsid w:val="DB2EF4C7"/>
    <w:rsid w:val="DD9B3EF0"/>
    <w:rsid w:val="EBBFAB4D"/>
    <w:rsid w:val="F77537B7"/>
    <w:rsid w:val="FDB7F4F3"/>
    <w:rsid w:val="FFBFA815"/>
    <w:rsid w:val="FFF6E9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a heading"/>
    <w:basedOn w:val="1"/>
    <w:next w:val="1"/>
    <w:qFormat/>
    <w:uiPriority w:val="0"/>
    <w:pPr>
      <w:spacing w:before="120"/>
    </w:pPr>
    <w:rPr>
      <w:rFonts w:ascii="Cambria" w:hAnsi="Cambria"/>
    </w:rPr>
  </w:style>
  <w:style w:type="paragraph" w:styleId="3">
    <w:name w:val="Body Text Indent"/>
    <w:basedOn w:val="1"/>
    <w:unhideWhenUsed/>
    <w:qFormat/>
    <w:uiPriority w:val="99"/>
    <w:pPr>
      <w:spacing w:after="120"/>
      <w:ind w:left="420" w:leftChars="200"/>
    </w:pPr>
    <w:rPr>
      <w:kern w:val="0"/>
      <w:szCs w:val="20"/>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unhideWhenUsed/>
    <w:qFormat/>
    <w:uiPriority w:val="99"/>
    <w:rPr>
      <w:rFonts w:ascii="Times New Roman" w:hAnsi="Times New Roman" w:cs="Times New Roman"/>
      <w:sz w:val="24"/>
    </w:rPr>
  </w:style>
  <w:style w:type="paragraph" w:styleId="6">
    <w:name w:val="Body Text First Indent 2"/>
    <w:basedOn w:val="3"/>
    <w:unhideWhenUsed/>
    <w:qFormat/>
    <w:uiPriority w:val="99"/>
    <w:pPr>
      <w:ind w:firstLine="420" w:firstLineChars="200"/>
    </w:pPr>
  </w:style>
  <w:style w:type="character" w:styleId="9">
    <w:name w:val="Strong"/>
    <w:basedOn w:val="8"/>
    <w:qFormat/>
    <w:uiPriority w:val="0"/>
    <w:rPr>
      <w:b/>
    </w:rPr>
  </w:style>
  <w:style w:type="paragraph" w:styleId="10">
    <w:name w:val="List Paragraph"/>
    <w:basedOn w:val="1"/>
    <w:qFormat/>
    <w:uiPriority w:val="0"/>
    <w:pPr>
      <w:ind w:firstLine="420" w:firstLineChars="200"/>
    </w:pPr>
  </w:style>
  <w:style w:type="paragraph" w:customStyle="1" w:styleId="11">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2049</Words>
  <Characters>2172</Characters>
  <Lines>0</Lines>
  <Paragraphs>0</Paragraphs>
  <TotalTime>21</TotalTime>
  <ScaleCrop>false</ScaleCrop>
  <LinksUpToDate>false</LinksUpToDate>
  <CharactersWithSpaces>2191</CharactersWithSpaces>
  <Application>WPS Office_12.1.2.22550_F1E327BC-269C-435d-A152-05C5408002CA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2023-09-01T03:34:00Z</dcterms:created>
  <dc:creator>点到为止</dc:creator>
  <cp:lastModifiedBy>uos</cp:lastModifiedBy>
  <dcterms:modified xsi:type="dcterms:W3CDTF">2026-09-08T16:26:10Z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2052-12.1.2.22550</vt:lpwstr>
  </property>
  <property fmtid="{D5CDD505-2E9C-101B-9397-08002B2CF9AE}" pid="3" name="ICV">
    <vt:lpwstr>BCE80556A3A2FFFC146E9E6AA05A58A4_43</vt:lpwstr>
  </property>
  <property fmtid="{D5CDD505-2E9C-101B-9397-08002B2CF9AE}" pid="4" name="KSOTemplateDocerSaveRecord">
    <vt:lpwstr>eyJoZGlkIjoiMDY0MzQxNGZkMjVlOTc3ZDA4NTZmMzY3NGZjNzVkMjIiLCJ1c2VySWQiOiIxNTcxOTI3ODAxIn0=</vt:lpwstr>
  </property>
</Properties>
</file>