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181B6">
      <w:pPr>
        <w:spacing w:line="640" w:lineRule="exact"/>
        <w:jc w:val="center"/>
        <w:rPr>
          <w:rFonts w:hint="default" w:ascii="Times New Roman" w:hAnsi="Times New Roman" w:eastAsia="方正小标宋_GBK" w:cs="Times New Roman"/>
          <w:color w:val="000000" w:themeColor="text1"/>
          <w:sz w:val="44"/>
          <w:szCs w:val="44"/>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t>部分不合格项目的小知识</w:t>
      </w:r>
    </w:p>
    <w:p w14:paraId="106B49A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cs="Times New Roman"/>
        </w:rPr>
      </w:pPr>
    </w:p>
    <w:p w14:paraId="4B457DD8">
      <w:pPr>
        <w:spacing w:line="594" w:lineRule="exact"/>
        <w:ind w:firstLine="640" w:firstLineChars="200"/>
        <w:rPr>
          <w:rFonts w:hint="eastAsia" w:ascii="黑体" w:hAnsi="黑体" w:eastAsia="黑体" w:cs="Times New Roman"/>
          <w:spacing w:val="0"/>
          <w:sz w:val="32"/>
          <w:szCs w:val="32"/>
          <w:lang w:eastAsia="zh-CN"/>
        </w:rPr>
      </w:pPr>
      <w:r>
        <w:rPr>
          <w:rFonts w:hint="eastAsia" w:ascii="Calibri" w:hAnsi="Calibri" w:eastAsia="黑体" w:cs="Times New Roman"/>
          <w:spacing w:val="0"/>
          <w:sz w:val="32"/>
          <w:szCs w:val="32"/>
          <w:lang w:val="en-US" w:eastAsia="zh-CN"/>
        </w:rPr>
        <w:t>一、酒精度</w:t>
      </w:r>
    </w:p>
    <w:p w14:paraId="6BDCAFD7">
      <w:pPr>
        <w:adjustRightInd w:val="0"/>
        <w:spacing w:line="594" w:lineRule="exact"/>
        <w:ind w:firstLine="640" w:firstLineChars="200"/>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酒精度又叫酒度，是指在20℃时，100毫升酒中含有乙醇（酒精）的毫升数，即体积（容量）的百分数。酒精度是酒类产品的一个重要理化指标，主要反映产品品质。目前酒类中酒精度暂无食品安全国家标准要求，主要由相关产品执行标准要求规定，《露酒》</w:t>
      </w:r>
      <w:r>
        <w:rPr>
          <w:rFonts w:hint="eastAsia" w:ascii="仿宋_GB2312" w:hAnsi="仿宋_GB2312" w:eastAsia="仿宋_GB2312" w:cs="仿宋_GB2312"/>
          <w:kern w:val="0"/>
          <w:sz w:val="32"/>
          <w:szCs w:val="32"/>
          <w:lang w:val="en-US" w:eastAsia="zh-CN"/>
        </w:rPr>
        <w:t>（GB/T 27588-2011）中</w:t>
      </w:r>
      <w:r>
        <w:rPr>
          <w:rFonts w:hint="default" w:ascii="Times New Roman" w:hAnsi="Times New Roman" w:eastAsia="仿宋_GB2312" w:cs="Times New Roman"/>
          <w:kern w:val="0"/>
          <w:sz w:val="32"/>
          <w:szCs w:val="32"/>
          <w:lang w:val="en-US" w:eastAsia="zh-CN"/>
        </w:rPr>
        <w:t>规定，酒精度标签所示值与实测值之间</w:t>
      </w:r>
      <w:r>
        <w:rPr>
          <w:rFonts w:hint="eastAsia" w:ascii="仿宋_GB2312" w:hAnsi="仿宋_GB2312" w:eastAsia="仿宋_GB2312" w:cs="仿宋_GB2312"/>
          <w:kern w:val="0"/>
          <w:sz w:val="32"/>
          <w:szCs w:val="32"/>
          <w:lang w:val="en-US" w:eastAsia="zh-CN"/>
        </w:rPr>
        <w:t>差为±1.0%vol。</w:t>
      </w:r>
      <w:r>
        <w:rPr>
          <w:rFonts w:hint="default" w:ascii="Times New Roman" w:hAnsi="Times New Roman" w:eastAsia="仿宋_GB2312" w:cs="Times New Roman"/>
          <w:kern w:val="0"/>
          <w:sz w:val="32"/>
          <w:szCs w:val="32"/>
          <w:lang w:val="en-US" w:eastAsia="zh-CN"/>
        </w:rPr>
        <w:t>酒精度未达到产品明示标准要求的原因，可能是企业生产工艺控制不严或生产工艺水平较低，无法准确控制酒精度；也可能是生产企业检验器具未检定或检验过程不规范，造成出厂检验结果有偏差；还可能是因包装容器密封不严，在长期储存过程中部分酒精挥发所致。</w:t>
      </w:r>
    </w:p>
    <w:p w14:paraId="0599A20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黑体" w:cs="Times New Roman"/>
          <w:sz w:val="30"/>
          <w:szCs w:val="30"/>
        </w:rPr>
      </w:pPr>
      <w:r>
        <w:rPr>
          <w:rFonts w:hint="eastAsia" w:ascii="黑体" w:hAnsi="黑体" w:eastAsia="黑体" w:cs="黑体"/>
          <w:sz w:val="32"/>
          <w:szCs w:val="32"/>
          <w:lang w:eastAsia="zh-CN"/>
        </w:rPr>
        <w:t>二、</w:t>
      </w:r>
      <w:r>
        <w:rPr>
          <w:rFonts w:hint="eastAsia" w:ascii="黑体" w:hAnsi="黑体" w:eastAsia="黑体" w:cs="黑体"/>
          <w:sz w:val="32"/>
          <w:szCs w:val="32"/>
        </w:rPr>
        <w:t>过氧化值(以脂肪计)</w:t>
      </w:r>
    </w:p>
    <w:p w14:paraId="147E487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color w:val="000000"/>
          <w:kern w:val="0"/>
          <w:sz w:val="32"/>
          <w:szCs w:val="32"/>
          <w:lang w:val="en-US" w:eastAsia="zh-CN" w:bidi="ar"/>
        </w:rPr>
        <w:t>过氧化值主要反映油脂被氧化的程度。食用过氧化值超标的食品一般不会对人体健康造成损害，但长期食用过氧化值严重超标的食品可能导致肠胃不适、腹泻等。</w:t>
      </w:r>
      <w:r>
        <w:rPr>
          <w:rFonts w:hint="eastAsia" w:ascii="仿宋_GB2312" w:hAnsi="Times New Roman" w:eastAsia="仿宋_GB2312" w:cs="Times New Roman"/>
          <w:bCs/>
          <w:color w:val="auto"/>
          <w:kern w:val="2"/>
          <w:sz w:val="32"/>
          <w:szCs w:val="28"/>
          <w:lang w:val="en-US" w:eastAsia="zh-CN" w:bidi="ar-SA"/>
        </w:rPr>
        <w:t>《食品安全国家标准 糕点、面包》（GB 7099-2015）中规定，糕点中过氧化值（以脂肪计）最大限量值为0.25g/100g。糕点</w:t>
      </w:r>
      <w:r>
        <w:rPr>
          <w:rFonts w:hint="default" w:ascii="Times New Roman" w:hAnsi="Times New Roman" w:eastAsia="仿宋_GB2312" w:cs="Times New Roman"/>
          <w:sz w:val="32"/>
          <w:szCs w:val="32"/>
          <w:lang w:val="en-US" w:eastAsia="zh-CN"/>
        </w:rPr>
        <w:t>中过氧化值（以脂肪计）检验值超标的原因，可能是原料中的脂肪已经被氧化</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也可能与产品在储运过程中环境条件控制不当等有关。</w:t>
      </w:r>
    </w:p>
    <w:p w14:paraId="70C011C9">
      <w:pPr>
        <w:numPr>
          <w:ilvl w:val="0"/>
          <w:numId w:val="0"/>
        </w:numPr>
        <w:suppressAutoHyphens/>
        <w:bidi w:val="0"/>
        <w:ind w:firstLine="640" w:firstLineChars="200"/>
        <w:rPr>
          <w:rFonts w:hint="eastAsia" w:ascii="CESI黑体-GB2312" w:hAnsi="CESI黑体-GB2312" w:eastAsia="CESI黑体-GB2312" w:cs="CESI黑体-GB2312"/>
          <w:color w:val="auto"/>
          <w:sz w:val="32"/>
          <w:szCs w:val="32"/>
        </w:rPr>
      </w:pPr>
      <w:r>
        <w:rPr>
          <w:rFonts w:hint="eastAsia" w:ascii="CESI黑体-GB2312" w:hAnsi="CESI黑体-GB2312" w:eastAsia="CESI黑体-GB2312" w:cs="CESI黑体-GB2312"/>
          <w:color w:val="auto"/>
          <w:sz w:val="32"/>
          <w:szCs w:val="32"/>
          <w:lang w:eastAsia="zh-CN"/>
        </w:rPr>
        <w:t>三、</w:t>
      </w:r>
      <w:r>
        <w:rPr>
          <w:rFonts w:hint="eastAsia" w:ascii="CESI黑体-GB2312" w:hAnsi="CESI黑体-GB2312" w:eastAsia="CESI黑体-GB2312" w:cs="CESI黑体-GB2312"/>
          <w:color w:val="auto"/>
          <w:sz w:val="32"/>
          <w:szCs w:val="32"/>
        </w:rPr>
        <w:t>苯醚甲环唑</w:t>
      </w:r>
    </w:p>
    <w:p w14:paraId="13CD2F7B">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苯醚甲环唑是高效广谱杀菌剂，对蔬菜和瓜果等多种真菌性病害具有很好的防治作用。少量的残留不会引起人体急性中毒，但长期食用苯醚甲环唑超标的食品，对人体健康可能有一定影响。</w:t>
      </w:r>
      <w:r>
        <w:rPr>
          <w:rFonts w:hint="default" w:ascii="仿宋_GB2312" w:hAnsi="仿宋_GB2312" w:eastAsia="仿宋_GB2312" w:cs="仿宋_GB2312"/>
          <w:color w:val="auto"/>
          <w:sz w:val="32"/>
          <w:szCs w:val="32"/>
          <w:lang w:val="en-US" w:eastAsia="zh-CN"/>
        </w:rPr>
        <w:t>《食品安全国家标准 食品中农药最大残留限量》（GB 2763-2026）中规定，</w:t>
      </w:r>
      <w:r>
        <w:rPr>
          <w:rFonts w:hint="eastAsia" w:ascii="仿宋_GB2312" w:hAnsi="仿宋_GB2312" w:eastAsia="仿宋_GB2312" w:cs="仿宋_GB2312"/>
          <w:color w:val="auto"/>
          <w:sz w:val="32"/>
          <w:szCs w:val="32"/>
          <w:lang w:val="en-US" w:eastAsia="zh-CN"/>
        </w:rPr>
        <w:t>芒果</w:t>
      </w:r>
      <w:r>
        <w:rPr>
          <w:rFonts w:hint="default" w:ascii="仿宋_GB2312" w:hAnsi="仿宋_GB2312" w:eastAsia="仿宋_GB2312" w:cs="仿宋_GB2312"/>
          <w:color w:val="auto"/>
          <w:sz w:val="32"/>
          <w:szCs w:val="32"/>
          <w:lang w:val="en-US" w:eastAsia="zh-CN"/>
        </w:rPr>
        <w:t>中苯醚甲环唑的最大残留限量值为0.2mg/kg。</w:t>
      </w:r>
      <w:r>
        <w:rPr>
          <w:rFonts w:hint="eastAsia" w:ascii="仿宋_GB2312" w:hAnsi="仿宋_GB2312" w:eastAsia="仿宋_GB2312" w:cs="仿宋_GB2312"/>
          <w:color w:val="auto"/>
          <w:sz w:val="32"/>
          <w:szCs w:val="32"/>
          <w:lang w:val="en-US" w:eastAsia="zh-CN"/>
        </w:rPr>
        <w:t>芒果</w:t>
      </w:r>
      <w:r>
        <w:rPr>
          <w:rFonts w:hint="default"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val="en-US" w:eastAsia="zh-CN"/>
        </w:rPr>
        <w:t>苯醚甲环唑残留量超标的原因，可能是为快速控制病害，加大用药量或未遵守采摘间隔期规定。</w:t>
      </w:r>
    </w:p>
    <w:p w14:paraId="5E3DD83F">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黑体" w:hAnsi="黑体" w:eastAsia="黑体" w:cs="黑体"/>
          <w:color w:val="auto"/>
          <w:sz w:val="32"/>
          <w:szCs w:val="32"/>
          <w:shd w:val="clear" w:color="auto" w:fill="auto"/>
          <w:lang w:val="en-US" w:eastAsia="zh-CN"/>
        </w:rPr>
      </w:pPr>
      <w:r>
        <w:rPr>
          <w:rFonts w:hint="eastAsia" w:ascii="黑体" w:hAnsi="黑体" w:eastAsia="黑体" w:cs="黑体"/>
          <w:color w:val="auto"/>
          <w:sz w:val="32"/>
          <w:szCs w:val="32"/>
          <w:shd w:val="clear" w:color="auto" w:fill="auto"/>
          <w:lang w:val="en-US" w:eastAsia="zh-CN"/>
        </w:rPr>
        <w:t>四、吡虫啉</w:t>
      </w:r>
    </w:p>
    <w:p w14:paraId="7F8565D0">
      <w:pPr>
        <w:pStyle w:val="11"/>
        <w:ind w:firstLine="640" w:firstLineChars="200"/>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吡虫啉，内吸性杀虫剂，可层间传导，具有触杀和胃毒作用。防治刺吸式口器害虫，包括稻飞虱、叶飞虱、蚜虫、蓟马和粉虱等。食用少量含有吡虫啉的食品一般不会导致急性中毒，但长期食用吡虫啉超标的食品，对人体健康也有一定影响。《食品安全国家标准 食品中农药最大残留限量》（GB 2763-2026）中的规定，芒果中吡虫啉最大残留限量值为0.2mg/kg。</w:t>
      </w:r>
      <w:r>
        <w:rPr>
          <w:rFonts w:hint="eastAsia" w:hAnsi="仿宋_GB2312" w:cs="仿宋_GB2312"/>
          <w:color w:val="auto"/>
          <w:sz w:val="32"/>
          <w:szCs w:val="32"/>
          <w:shd w:val="clear" w:color="auto" w:fill="auto"/>
          <w:lang w:val="en-US" w:eastAsia="zh-CN"/>
        </w:rPr>
        <w:t>芒果</w:t>
      </w:r>
      <w:r>
        <w:rPr>
          <w:rFonts w:hint="eastAsia" w:ascii="仿宋_GB2312" w:hAnsi="仿宋_GB2312" w:eastAsia="仿宋_GB2312" w:cs="仿宋_GB2312"/>
          <w:color w:val="auto"/>
          <w:sz w:val="32"/>
          <w:szCs w:val="32"/>
          <w:shd w:val="clear" w:color="auto" w:fill="auto"/>
          <w:lang w:val="en-US" w:eastAsia="zh-CN"/>
        </w:rPr>
        <w:t>中吡虫啉残留量超标的原因，可能是为快速控制虫害，加大用药量或未遵守采摘间隔期规定。</w:t>
      </w:r>
    </w:p>
    <w:p w14:paraId="450C87C6">
      <w:pPr>
        <w:keepNext w:val="0"/>
        <w:keepLines w:val="0"/>
        <w:pageBreakBefore w:val="0"/>
        <w:widowControl w:val="0"/>
        <w:suppressAutoHyphens/>
        <w:kinsoku/>
        <w:wordWrap/>
        <w:overflowPunct/>
        <w:topLinePunct w:val="0"/>
        <w:autoSpaceDE/>
        <w:autoSpaceDN/>
        <w:bidi w:val="0"/>
        <w:adjustRightInd/>
        <w:snapToGrid/>
        <w:spacing w:line="594" w:lineRule="exact"/>
        <w:ind w:right="0" w:firstLine="640" w:firstLineChars="200"/>
        <w:jc w:val="both"/>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五、三氯杀螨醇</w:t>
      </w:r>
    </w:p>
    <w:p w14:paraId="0FE6ACC1">
      <w:pPr>
        <w:keepNext w:val="0"/>
        <w:keepLines w:val="0"/>
        <w:pageBreakBefore w:val="0"/>
        <w:widowControl w:val="0"/>
        <w:suppressAutoHyphens/>
        <w:kinsoku/>
        <w:wordWrap/>
        <w:overflowPunct/>
        <w:topLinePunct w:val="0"/>
        <w:autoSpaceDE/>
        <w:autoSpaceDN/>
        <w:bidi w:val="0"/>
        <w:adjustRightInd/>
        <w:snapToGrid/>
        <w:spacing w:line="594" w:lineRule="exact"/>
        <w:ind w:left="0" w:leftChars="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三氯杀螨醇是一种广谱性有机氯杀螨剂，一般用于杀灭棉花、果树、花卉等的螨虫。食用少量含有三氯杀螨醇的食品一般不会导致急性中毒，但长期食用三氯杀螨醇超标的食品，对人体健康也有一定影响。《食品安全国家标准 食品中农药最大残留限量》（GB 2763-2026）中的规定，乌龙茶中三氯杀螨醇最大残留限量值为0.01mg/kg。乌龙茶中三氯杀螨醇残留量超标的原因，可能是茶农在种植过程中超量使用，也可能是未严格遵守休药期规定所致。</w:t>
      </w:r>
    </w:p>
    <w:p w14:paraId="232C28C1">
      <w:pPr>
        <w:spacing w:line="594" w:lineRule="exact"/>
        <w:ind w:firstLine="592" w:firstLineChars="200"/>
        <w:rPr>
          <w:rFonts w:hint="eastAsia" w:ascii="黑体" w:hAnsi="黑体" w:eastAsia="黑体" w:cs="Times New Roman"/>
          <w:spacing w:val="0"/>
          <w:sz w:val="32"/>
          <w:szCs w:val="32"/>
          <w:highlight w:val="none"/>
          <w:lang w:val="en-US" w:eastAsia="zh-CN"/>
        </w:rPr>
      </w:pPr>
      <w:r>
        <w:rPr>
          <w:rFonts w:hint="eastAsia" w:ascii="Times New Roman" w:hAnsi="Times New Roman" w:eastAsia="黑体" w:cs="Times New Roman"/>
          <w:color w:val="auto"/>
          <w:spacing w:val="-12"/>
          <w:sz w:val="32"/>
          <w:szCs w:val="32"/>
          <w:highlight w:val="none"/>
          <w:lang w:eastAsia="zh-CN"/>
        </w:rPr>
        <w:t>六</w:t>
      </w:r>
      <w:r>
        <w:rPr>
          <w:rFonts w:hint="default" w:ascii="Times New Roman" w:hAnsi="Times New Roman" w:eastAsia="黑体" w:cs="Times New Roman"/>
          <w:color w:val="auto"/>
          <w:spacing w:val="-12"/>
          <w:sz w:val="32"/>
          <w:szCs w:val="32"/>
          <w:highlight w:val="none"/>
        </w:rPr>
        <w:t>、</w:t>
      </w:r>
      <w:r>
        <w:rPr>
          <w:rFonts w:hint="eastAsia" w:ascii="Times New Roman" w:hAnsi="Times New Roman" w:eastAsia="黑体" w:cs="Times New Roman"/>
          <w:color w:val="auto"/>
          <w:spacing w:val="-12"/>
          <w:sz w:val="32"/>
          <w:szCs w:val="32"/>
          <w:highlight w:val="none"/>
          <w:lang w:eastAsia="zh-CN"/>
        </w:rPr>
        <w:t>咖啡因</w:t>
      </w:r>
    </w:p>
    <w:p w14:paraId="05F61298">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kern w:val="2"/>
          <w:sz w:val="32"/>
          <w:szCs w:val="32"/>
          <w:lang w:val="en-US" w:eastAsia="zh-CN" w:bidi="ar-SA"/>
        </w:rPr>
      </w:pPr>
      <w:r>
        <w:rPr>
          <w:rFonts w:hint="eastAsia" w:ascii="仿宋_GB2312" w:hAnsi="仿宋_GB2312" w:eastAsia="仿宋_GB2312" w:cs="仿宋_GB2312"/>
          <w:i w:val="0"/>
          <w:iCs w:val="0"/>
          <w:caps w:val="0"/>
          <w:color w:val="auto"/>
          <w:spacing w:val="0"/>
          <w:kern w:val="2"/>
          <w:sz w:val="32"/>
          <w:szCs w:val="32"/>
          <w:lang w:val="en-US" w:eastAsia="zh-CN" w:bidi="ar-SA"/>
        </w:rPr>
        <w:t>咖啡因是一种白色或带极微黄绿色且有丝光、味苦，无臭，针状结晶或结晶性粉末或颗粒，有风化性。该添加剂具有提神、醒脑等刺激中枢神经系统的作用，但长期或大量使用会对人体产生危害。《茶饮料》（GB/T 21733-2008）中规定，茶饮料中咖啡因最小限量值为25mg/kg。茶饮料中咖啡因不达标的原因，可能是生产所用原料用量不足，也可能是生产企业未严格按配方比例投放原料</w:t>
      </w:r>
      <w:bookmarkStart w:id="0" w:name="_GoBack"/>
      <w:bookmarkEnd w:id="0"/>
      <w:r>
        <w:rPr>
          <w:rFonts w:hint="eastAsia" w:ascii="仿宋_GB2312" w:hAnsi="仿宋_GB2312" w:eastAsia="仿宋_GB2312" w:cs="仿宋_GB2312"/>
          <w:i w:val="0"/>
          <w:iCs w:val="0"/>
          <w:caps w:val="0"/>
          <w:color w:val="auto"/>
          <w:spacing w:val="0"/>
          <w:kern w:val="2"/>
          <w:sz w:val="32"/>
          <w:szCs w:val="32"/>
          <w:lang w:val="en-US" w:eastAsia="zh-CN" w:bidi="ar-SA"/>
        </w:rPr>
        <w:t>等。</w:t>
      </w:r>
    </w:p>
    <w:p w14:paraId="4D59D617">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592" w:firstLineChars="200"/>
        <w:textAlignment w:val="auto"/>
        <w:rPr>
          <w:rFonts w:hint="eastAsia" w:ascii="黑体" w:hAnsi="黑体" w:eastAsia="黑体" w:cs="黑体"/>
          <w:color w:val="000000"/>
          <w:sz w:val="32"/>
          <w:szCs w:val="32"/>
          <w:highlight w:val="none"/>
          <w:lang w:val="en-US" w:eastAsia="zh-CN"/>
        </w:rPr>
      </w:pPr>
      <w:r>
        <w:rPr>
          <w:rFonts w:hint="eastAsia" w:ascii="黑体" w:hAnsi="黑体" w:eastAsia="黑体" w:cs="黑体"/>
          <w:color w:val="auto"/>
          <w:spacing w:val="-12"/>
          <w:sz w:val="32"/>
          <w:szCs w:val="32"/>
          <w:highlight w:val="none"/>
          <w:lang w:val="en-US" w:eastAsia="zh-CN"/>
        </w:rPr>
        <w:t>七、</w:t>
      </w:r>
      <w:r>
        <w:rPr>
          <w:rFonts w:hint="eastAsia" w:ascii="黑体" w:hAnsi="黑体" w:eastAsia="黑体" w:cs="黑体"/>
          <w:color w:val="000000"/>
          <w:sz w:val="32"/>
          <w:szCs w:val="32"/>
          <w:highlight w:val="none"/>
          <w:lang w:val="en-US" w:eastAsia="zh-CN"/>
        </w:rPr>
        <w:t>菌落总数</w:t>
      </w:r>
    </w:p>
    <w:p w14:paraId="64BCD0D4">
      <w:pPr>
        <w:widowControl w:val="0"/>
        <w:numPr>
          <w:ilvl w:val="0"/>
          <w:numId w:val="0"/>
        </w:numPr>
        <w:adjustRightInd/>
        <w:spacing w:line="594"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菌落总数是指示性微生物指标，不是致病菌指标，反映食品在生产过程中的卫生状况。如果食品的菌落总数严重超标，</w:t>
      </w:r>
      <w:r>
        <w:rPr>
          <w:rFonts w:hint="eastAsia" w:ascii="仿宋_GB2312" w:hAnsi="仿宋_GB2312" w:eastAsia="仿宋_GB2312" w:cs="仿宋_GB2312"/>
          <w:sz w:val="32"/>
          <w:szCs w:val="32"/>
          <w:highlight w:val="none"/>
        </w:rPr>
        <w:t>将会破坏食品的营养成分</w:t>
      </w:r>
      <w:r>
        <w:rPr>
          <w:rFonts w:hint="eastAsia" w:ascii="仿宋_GB2312" w:hAnsi="仿宋_GB2312" w:eastAsia="仿宋_GB2312" w:cs="仿宋_GB2312"/>
          <w:sz w:val="32"/>
          <w:szCs w:val="32"/>
          <w:highlight w:val="none"/>
          <w:u w:val="none"/>
        </w:rPr>
        <w:t>，使食品失去食用价值；还会加速食品腐败变质，可能危害人体健康。《食品安全国家标准 冷冻饮品和制作料》（GB 2759-2015）中规定，</w:t>
      </w:r>
      <w:r>
        <w:rPr>
          <w:rFonts w:hint="eastAsia" w:ascii="仿宋_GB2312" w:hAnsi="仿宋_GB2312" w:eastAsia="仿宋_GB2312" w:cs="仿宋_GB2312"/>
          <w:sz w:val="32"/>
          <w:szCs w:val="32"/>
          <w:highlight w:val="none"/>
          <w:u w:val="none"/>
          <w:lang w:eastAsia="zh-CN"/>
        </w:rPr>
        <w:t>雪糕中</w:t>
      </w:r>
      <w:r>
        <w:rPr>
          <w:rFonts w:hint="eastAsia" w:ascii="仿宋_GB2312" w:hAnsi="仿宋_GB2312" w:eastAsia="仿宋_GB2312" w:cs="仿宋_GB2312"/>
          <w:sz w:val="32"/>
          <w:szCs w:val="32"/>
          <w:highlight w:val="none"/>
          <w:u w:val="none"/>
        </w:rPr>
        <w:t>同一批次产品5个样品的菌落总数</w:t>
      </w:r>
      <w:r>
        <w:rPr>
          <w:rFonts w:hint="eastAsia" w:ascii="仿宋_GB2312" w:hAnsi="仿宋_GB2312" w:eastAsia="仿宋_GB2312" w:cs="仿宋_GB2312"/>
          <w:sz w:val="32"/>
          <w:szCs w:val="32"/>
          <w:highlight w:val="none"/>
          <w:u w:val="none"/>
          <w:lang w:val="en-US" w:eastAsia="zh-CN"/>
        </w:rPr>
        <w:t>检验</w:t>
      </w:r>
      <w:r>
        <w:rPr>
          <w:rFonts w:hint="eastAsia" w:ascii="仿宋_GB2312" w:hAnsi="仿宋_GB2312" w:eastAsia="仿宋_GB2312" w:cs="仿宋_GB2312"/>
          <w:sz w:val="32"/>
          <w:szCs w:val="32"/>
          <w:highlight w:val="none"/>
          <w:u w:val="none"/>
        </w:rPr>
        <w:t>结果均不得超过</w:t>
      </w:r>
      <w:r>
        <w:rPr>
          <w:rFonts w:hint="eastAsia" w:ascii="仿宋_GB2312" w:hAnsi="仿宋_GB2312" w:eastAsia="仿宋_GB2312" w:cs="仿宋_GB2312"/>
          <w:sz w:val="32"/>
          <w:szCs w:val="32"/>
          <w:highlight w:val="none"/>
          <w:u w:val="none"/>
          <w:lang w:val="en-US" w:eastAsia="zh-CN"/>
        </w:rPr>
        <w:t>10</w:t>
      </w:r>
      <w:r>
        <w:rPr>
          <w:rFonts w:hint="eastAsia" w:ascii="仿宋_GB2312" w:hAnsi="仿宋_GB2312" w:eastAsia="仿宋_GB2312" w:cs="仿宋_GB2312"/>
          <w:sz w:val="32"/>
          <w:szCs w:val="32"/>
          <w:highlight w:val="none"/>
          <w:u w:val="none"/>
          <w:vertAlign w:val="superscript"/>
          <w:lang w:val="en-US" w:eastAsia="zh-CN"/>
        </w:rPr>
        <w:t>5</w:t>
      </w:r>
      <w:r>
        <w:rPr>
          <w:rFonts w:hint="eastAsia" w:ascii="仿宋_GB2312" w:hAnsi="仿宋_GB2312" w:eastAsia="仿宋_GB2312" w:cs="仿宋_GB2312"/>
          <w:sz w:val="32"/>
          <w:szCs w:val="32"/>
          <w:highlight w:val="none"/>
          <w:u w:val="none"/>
        </w:rPr>
        <w:t>CFU/</w:t>
      </w:r>
      <w:r>
        <w:rPr>
          <w:rFonts w:hint="eastAsia" w:ascii="仿宋_GB2312" w:hAnsi="仿宋_GB2312" w:eastAsia="仿宋_GB2312" w:cs="仿宋_GB2312"/>
          <w:sz w:val="32"/>
          <w:szCs w:val="32"/>
          <w:highlight w:val="none"/>
          <w:u w:val="none"/>
          <w:lang w:val="en-US" w:eastAsia="zh-CN"/>
        </w:rPr>
        <w:t>g</w:t>
      </w:r>
      <w:r>
        <w:rPr>
          <w:rFonts w:hint="eastAsia" w:ascii="仿宋_GB2312" w:hAnsi="仿宋_GB2312" w:eastAsia="仿宋_GB2312" w:cs="仿宋_GB2312"/>
          <w:sz w:val="32"/>
          <w:szCs w:val="32"/>
          <w:highlight w:val="none"/>
          <w:u w:val="none"/>
        </w:rPr>
        <w:t>，且最多允许2个样品的</w:t>
      </w:r>
      <w:r>
        <w:rPr>
          <w:rFonts w:hint="eastAsia" w:ascii="仿宋_GB2312" w:hAnsi="仿宋_GB2312" w:eastAsia="仿宋_GB2312" w:cs="仿宋_GB2312"/>
          <w:sz w:val="32"/>
          <w:szCs w:val="32"/>
          <w:highlight w:val="none"/>
          <w:u w:val="none"/>
          <w:lang w:val="en-US" w:eastAsia="zh-CN"/>
        </w:rPr>
        <w:t>检验</w:t>
      </w:r>
      <w:r>
        <w:rPr>
          <w:rFonts w:hint="eastAsia" w:ascii="仿宋_GB2312" w:hAnsi="仿宋_GB2312" w:eastAsia="仿宋_GB2312" w:cs="仿宋_GB2312"/>
          <w:sz w:val="32"/>
          <w:szCs w:val="32"/>
          <w:highlight w:val="none"/>
          <w:u w:val="none"/>
        </w:rPr>
        <w:t>结果超过</w:t>
      </w:r>
      <w:r>
        <w:rPr>
          <w:rFonts w:hint="eastAsia" w:ascii="仿宋_GB2312" w:hAnsi="仿宋_GB2312" w:eastAsia="仿宋_GB2312" w:cs="仿宋_GB2312"/>
          <w:sz w:val="32"/>
          <w:szCs w:val="32"/>
          <w:highlight w:val="none"/>
          <w:u w:val="none"/>
          <w:lang w:val="en-US" w:eastAsia="zh-CN"/>
        </w:rPr>
        <w:t>25000</w:t>
      </w:r>
      <w:r>
        <w:rPr>
          <w:rFonts w:hint="eastAsia" w:ascii="仿宋_GB2312" w:hAnsi="仿宋_GB2312" w:eastAsia="仿宋_GB2312" w:cs="仿宋_GB2312"/>
          <w:sz w:val="32"/>
          <w:szCs w:val="32"/>
          <w:highlight w:val="none"/>
          <w:u w:val="none"/>
        </w:rPr>
        <w:t>CFU/</w:t>
      </w:r>
      <w:r>
        <w:rPr>
          <w:rFonts w:hint="eastAsia" w:ascii="仿宋_GB2312" w:hAnsi="仿宋_GB2312" w:eastAsia="仿宋_GB2312" w:cs="仿宋_GB2312"/>
          <w:sz w:val="32"/>
          <w:szCs w:val="32"/>
          <w:highlight w:val="none"/>
          <w:u w:val="none"/>
          <w:lang w:val="en-US" w:eastAsia="zh-CN"/>
        </w:rPr>
        <w:t>g</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雪糕</w:t>
      </w:r>
      <w:r>
        <w:rPr>
          <w:rFonts w:hint="default" w:ascii="Times New Roman" w:hAnsi="Times New Roman" w:eastAsia="仿宋_GB2312" w:cs="Times New Roman"/>
          <w:sz w:val="32"/>
          <w:szCs w:val="32"/>
          <w:highlight w:val="none"/>
        </w:rPr>
        <w:t>中菌落总数超标的原因，可能是企业未按要求严格控制生产加工过程的卫生条件</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或者包装容器清洗消毒不到位</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也可能与产品包装密封不严或储运条件不当等有关。</w:t>
      </w:r>
    </w:p>
    <w:p w14:paraId="32A5AF68">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right="0" w:rightChars="0" w:firstLine="640" w:firstLineChars="200"/>
        <w:jc w:val="both"/>
        <w:textAlignment w:val="auto"/>
        <w:rPr>
          <w:rFonts w:hint="eastAsia" w:ascii="黑体" w:hAnsi="黑体" w:eastAsia="黑体" w:cs="黑体"/>
          <w:color w:val="000000"/>
          <w:sz w:val="32"/>
          <w:szCs w:val="32"/>
          <w:highlight w:val="none"/>
          <w:lang w:eastAsia="zh-CN"/>
        </w:rPr>
      </w:pPr>
      <w:r>
        <w:rPr>
          <w:rFonts w:hint="eastAsia" w:ascii="黑体" w:hAnsi="黑体" w:eastAsia="黑体" w:cs="黑体"/>
          <w:color w:val="auto"/>
          <w:spacing w:val="0"/>
          <w:sz w:val="32"/>
          <w:szCs w:val="32"/>
          <w:highlight w:val="none"/>
          <w:lang w:val="en-US" w:eastAsia="zh-CN"/>
        </w:rPr>
        <w:t>八、</w:t>
      </w:r>
      <w:r>
        <w:rPr>
          <w:rFonts w:hint="eastAsia" w:ascii="黑体" w:hAnsi="黑体" w:eastAsia="黑体" w:cs="黑体"/>
          <w:color w:val="000000"/>
          <w:sz w:val="32"/>
          <w:szCs w:val="32"/>
          <w:highlight w:val="none"/>
          <w:lang w:eastAsia="zh-CN"/>
        </w:rPr>
        <w:t>大肠菌群</w:t>
      </w:r>
    </w:p>
    <w:p w14:paraId="751BEEBA">
      <w:pPr>
        <w:widowControl w:val="0"/>
        <w:adjustRightInd/>
        <w:snapToGrid/>
        <w:spacing w:after="0" w:line="594" w:lineRule="exact"/>
        <w:ind w:left="0" w:leftChars="0" w:firstLine="640" w:firstLineChars="200"/>
        <w:jc w:val="both"/>
        <w:rPr>
          <w:rFonts w:hint="default" w:ascii="Times New Roman" w:hAnsi="Times New Roman" w:eastAsia="仿宋_GB2312" w:cs="Times New Roman"/>
          <w:color w:val="auto"/>
          <w:kern w:val="2"/>
          <w:sz w:val="32"/>
          <w:szCs w:val="32"/>
          <w:lang w:val="en-US" w:eastAsia="zh-CN" w:bidi="ar-SA"/>
        </w:rPr>
      </w:pPr>
      <w:r>
        <w:rPr>
          <w:rFonts w:ascii="Times New Roman" w:hAnsi="Times New Roman" w:eastAsia="仿宋_GB2312" w:cs="Times New Roman"/>
          <w:kern w:val="2"/>
          <w:sz w:val="32"/>
          <w:szCs w:val="32"/>
          <w:lang w:val="en-US" w:eastAsia="zh-CN" w:bidi="ar-SA"/>
        </w:rPr>
        <w:t>大肠菌群是国内外通用的食品污染常用指示菌之一。食品中检出大肠菌群，提示被致病菌污染的可能性较大。如果食品中的大肠菌群严重超标，将会破坏食品的营养成分，使</w:t>
      </w:r>
      <w:r>
        <w:rPr>
          <w:rFonts w:hint="eastAsia" w:ascii="仿宋_GB2312" w:hAnsi="仿宋_GB2312" w:eastAsia="仿宋_GB2312" w:cs="仿宋_GB2312"/>
          <w:kern w:val="2"/>
          <w:sz w:val="32"/>
          <w:szCs w:val="32"/>
          <w:lang w:val="en-US" w:eastAsia="zh-CN" w:bidi="ar-SA"/>
        </w:rPr>
        <w:t>食品失去食用价值；还会加速食品腐败变质，可能危害人体健康。《食品安全国家标准 冷冻饮品和制作料》（GB 2759-2015）中规定，雪糕中同一批次产品5个样品的大肠菌群检验结果均不得超过100CFU/g，且最多允许2个样品的检验结果超过10CFU/g；《食品安全国家标准 消毒餐(饮)具》（GB 14934-2016）中规定，</w:t>
      </w:r>
      <w:r>
        <w:rPr>
          <w:rFonts w:hint="default" w:ascii="仿宋_GB2312" w:hAnsi="仿宋_GB2312" w:eastAsia="仿宋_GB2312" w:cs="仿宋_GB2312"/>
          <w:sz w:val="32"/>
          <w:szCs w:val="32"/>
          <w:lang w:val="en-US" w:eastAsia="zh-CN"/>
        </w:rPr>
        <w:t>消毒餐（饮）具</w:t>
      </w:r>
      <w:r>
        <w:rPr>
          <w:rFonts w:hint="eastAsia" w:ascii="仿宋_GB2312" w:hAnsi="仿宋_GB2312" w:eastAsia="仿宋_GB2312" w:cs="仿宋_GB2312"/>
          <w:kern w:val="2"/>
          <w:sz w:val="32"/>
          <w:szCs w:val="32"/>
          <w:lang w:val="en-US" w:eastAsia="zh-CN" w:bidi="ar-SA"/>
        </w:rPr>
        <w:t>中不得检出大肠菌群。雪糕中大肠菌群数超标的原因，</w:t>
      </w:r>
      <w:r>
        <w:rPr>
          <w:rFonts w:hint="eastAsia" w:ascii="Times New Roman" w:hAnsi="Times New Roman" w:eastAsia="仿宋_GB2312" w:cs="Times New Roman"/>
          <w:kern w:val="2"/>
          <w:sz w:val="32"/>
          <w:szCs w:val="32"/>
          <w:lang w:val="en-US" w:eastAsia="zh-CN" w:bidi="ar-SA"/>
        </w:rPr>
        <w:t>可能是加工原料</w:t>
      </w:r>
      <w:r>
        <w:rPr>
          <w:rFonts w:ascii="Times New Roman" w:hAnsi="Times New Roman" w:eastAsia="仿宋_GB2312" w:cs="Times New Roman"/>
          <w:kern w:val="2"/>
          <w:sz w:val="32"/>
          <w:szCs w:val="32"/>
          <w:lang w:val="en-US" w:eastAsia="zh-CN" w:bidi="ar-SA"/>
        </w:rPr>
        <w:t>、包装材料受污染</w:t>
      </w:r>
      <w:r>
        <w:rPr>
          <w:rFonts w:hint="eastAsia" w:ascii="Times New Roman" w:hAnsi="Times New Roman" w:eastAsia="仿宋_GB2312" w:cs="Times New Roman"/>
          <w:kern w:val="2"/>
          <w:sz w:val="32"/>
          <w:szCs w:val="32"/>
          <w:lang w:val="en-US" w:eastAsia="zh-CN" w:bidi="ar-SA"/>
        </w:rPr>
        <w:t>，也</w:t>
      </w:r>
      <w:r>
        <w:rPr>
          <w:rFonts w:ascii="Times New Roman" w:hAnsi="Times New Roman" w:eastAsia="仿宋_GB2312" w:cs="Times New Roman"/>
          <w:kern w:val="2"/>
          <w:sz w:val="32"/>
          <w:szCs w:val="32"/>
          <w:lang w:val="en-US" w:eastAsia="zh-CN" w:bidi="ar-SA"/>
        </w:rPr>
        <w:t>可能是产品在生产过程中受人员、工器具等的污染</w:t>
      </w:r>
      <w:r>
        <w:rPr>
          <w:rFonts w:hint="eastAsia" w:ascii="Times New Roman" w:hAnsi="Times New Roman" w:eastAsia="仿宋_GB2312" w:cs="Times New Roman"/>
          <w:kern w:val="2"/>
          <w:sz w:val="32"/>
          <w:szCs w:val="32"/>
          <w:lang w:val="en-US" w:eastAsia="zh-CN" w:bidi="ar-SA"/>
        </w:rPr>
        <w:t>，或</w:t>
      </w:r>
      <w:r>
        <w:rPr>
          <w:rFonts w:hint="default" w:ascii="Times New Roman" w:hAnsi="Times New Roman" w:eastAsia="仿宋_GB2312" w:cs="Times New Roman"/>
          <w:color w:val="auto"/>
          <w:kern w:val="2"/>
          <w:sz w:val="32"/>
          <w:szCs w:val="32"/>
          <w:lang w:val="en-US" w:eastAsia="zh-CN" w:bidi="ar-SA"/>
        </w:rPr>
        <w:t>与产品储存条件不当有关</w:t>
      </w:r>
      <w:r>
        <w:rPr>
          <w:rFonts w:hint="eastAsia" w:ascii="Times New Roman" w:hAnsi="Times New Roman" w:eastAsia="仿宋_GB2312" w:cs="Times New Roman"/>
          <w:color w:val="auto"/>
          <w:kern w:val="2"/>
          <w:sz w:val="32"/>
          <w:szCs w:val="32"/>
          <w:lang w:val="en-US" w:eastAsia="zh-CN" w:bidi="ar-SA"/>
        </w:rPr>
        <w:t>；</w:t>
      </w:r>
      <w:r>
        <w:rPr>
          <w:rFonts w:hint="default" w:ascii="仿宋_GB2312" w:hAnsi="仿宋_GB2312" w:eastAsia="仿宋_GB2312" w:cs="仿宋_GB2312"/>
          <w:sz w:val="32"/>
          <w:szCs w:val="32"/>
          <w:lang w:val="en-US" w:eastAsia="zh-CN"/>
        </w:rPr>
        <w:t>消毒餐（饮）具</w:t>
      </w:r>
      <w:r>
        <w:rPr>
          <w:rFonts w:hint="default" w:ascii="Times New Roman" w:hAnsi="Times New Roman" w:eastAsia="仿宋_GB2312" w:cs="Times New Roman"/>
          <w:color w:val="auto"/>
          <w:kern w:val="2"/>
          <w:sz w:val="32"/>
          <w:szCs w:val="32"/>
          <w:lang w:val="en-US" w:eastAsia="zh-CN" w:bidi="ar-SA"/>
        </w:rPr>
        <w:t>中</w:t>
      </w:r>
      <w:r>
        <w:rPr>
          <w:rFonts w:hint="eastAsia" w:ascii="Times New Roman" w:hAnsi="Times New Roman" w:eastAsia="仿宋_GB2312" w:cs="Times New Roman"/>
          <w:color w:val="auto"/>
          <w:kern w:val="2"/>
          <w:sz w:val="32"/>
          <w:szCs w:val="32"/>
          <w:lang w:val="en-US" w:eastAsia="zh-CN" w:bidi="ar-SA"/>
        </w:rPr>
        <w:t>检出</w:t>
      </w:r>
      <w:r>
        <w:rPr>
          <w:rFonts w:hint="default" w:ascii="Times New Roman" w:hAnsi="Times New Roman" w:eastAsia="仿宋_GB2312" w:cs="Times New Roman"/>
          <w:color w:val="auto"/>
          <w:kern w:val="2"/>
          <w:sz w:val="32"/>
          <w:szCs w:val="32"/>
          <w:lang w:val="en-US" w:eastAsia="zh-CN" w:bidi="ar-SA"/>
        </w:rPr>
        <w:t>大肠菌群数的原因，可能是清洗消毒不彻底、保洁存放不当</w:t>
      </w:r>
      <w:r>
        <w:rPr>
          <w:rFonts w:hint="eastAsia" w:ascii="Times New Roman" w:hAnsi="Times New Roman" w:eastAsia="仿宋_GB2312" w:cs="Times New Roman"/>
          <w:color w:val="auto"/>
          <w:kern w:val="2"/>
          <w:sz w:val="32"/>
          <w:szCs w:val="32"/>
          <w:lang w:val="en-US" w:eastAsia="zh-CN" w:bidi="ar-SA"/>
        </w:rPr>
        <w:t>。</w:t>
      </w:r>
    </w:p>
    <w:p w14:paraId="4D98C063">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right="0" w:rightChars="0" w:firstLine="640" w:firstLineChars="200"/>
        <w:jc w:val="both"/>
        <w:textAlignment w:val="auto"/>
        <w:rPr>
          <w:rFonts w:hint="eastAsia" w:ascii="黑体" w:hAnsi="黑体" w:eastAsia="黑体" w:cs="黑体"/>
          <w:color w:val="000000"/>
          <w:sz w:val="32"/>
          <w:szCs w:val="32"/>
          <w:highlight w:val="none"/>
          <w:lang w:eastAsia="zh-CN"/>
        </w:rPr>
      </w:pPr>
      <w:r>
        <w:rPr>
          <w:rFonts w:hint="eastAsia" w:ascii="黑体" w:hAnsi="黑体" w:eastAsia="黑体" w:cs="黑体"/>
          <w:color w:val="auto"/>
          <w:spacing w:val="0"/>
          <w:sz w:val="32"/>
          <w:szCs w:val="32"/>
          <w:lang w:val="en-US" w:eastAsia="zh-CN"/>
        </w:rPr>
        <w:t>九、</w:t>
      </w:r>
      <w:r>
        <w:rPr>
          <w:rFonts w:hint="eastAsia" w:ascii="黑体" w:hAnsi="黑体" w:eastAsia="黑体" w:cs="黑体"/>
          <w:color w:val="000000"/>
          <w:sz w:val="32"/>
          <w:szCs w:val="32"/>
          <w:highlight w:val="none"/>
          <w:lang w:eastAsia="zh-CN"/>
        </w:rPr>
        <w:t>阴离子合成洗涤剂（以十二烷基苯磺酸钠计）</w:t>
      </w:r>
    </w:p>
    <w:p w14:paraId="408D08E0">
      <w:pPr>
        <w:numPr>
          <w:ilvl w:val="0"/>
          <w:numId w:val="0"/>
        </w:numPr>
        <w:adjustRightInd/>
        <w:spacing w:line="594" w:lineRule="exact"/>
        <w:ind w:firstLine="640" w:firstLineChars="200"/>
        <w:rPr>
          <w:rFonts w:hint="default" w:ascii="Times New Roman" w:hAnsi="Times New Roman" w:eastAsia="仿宋_GB2312" w:cs="Times New Roman"/>
          <w:color w:val="auto"/>
          <w:spacing w:val="0"/>
          <w:sz w:val="32"/>
          <w:szCs w:val="32"/>
          <w:highlight w:val="none"/>
          <w:lang w:val="en-US" w:eastAsia="zh-CN"/>
        </w:rPr>
      </w:pPr>
      <w:r>
        <w:rPr>
          <w:rFonts w:hint="default" w:ascii="仿宋_GB2312" w:hAnsi="仿宋_GB2312" w:eastAsia="仿宋_GB2312" w:cs="仿宋_GB2312"/>
          <w:sz w:val="32"/>
          <w:szCs w:val="32"/>
          <w:lang w:val="en-US" w:eastAsia="zh-CN"/>
        </w:rPr>
        <w:t>阴离子合成洗涤剂（以十二烷基苯磺酸钠计）是洗涤剂的主要成分。餐具清洗消毒过程中控制不当，会造成洗涤剂在餐具上的残留。《食品安全国家标准 消毒餐（饮）具》(GB 14934-2016)规定，消毒餐（饮）具中不得检出阴离子合成洗涤剂。检出阴离子合成洗涤剂的原因可能是由于餐饮具消毒单位使用的洗涤剂不合格或使用量过大，或未经足够量清水冲洗。</w:t>
      </w:r>
    </w:p>
    <w:p w14:paraId="3A3A1D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w:t>
      </w:r>
      <w:r>
        <w:rPr>
          <w:rFonts w:hint="default" w:ascii="黑体" w:hAnsi="黑体" w:eastAsia="黑体" w:cs="黑体"/>
          <w:b w:val="0"/>
          <w:bCs w:val="0"/>
          <w:color w:val="auto"/>
          <w:sz w:val="32"/>
          <w:szCs w:val="32"/>
          <w:lang w:val="en-US" w:eastAsia="zh-CN"/>
        </w:rPr>
        <w:t>除虫脲</w:t>
      </w:r>
    </w:p>
    <w:p w14:paraId="5DEB30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除虫脲，非内吸性昆虫生长调节剂，具有触杀和胃毒作用。在昆虫蜕皮或者卵的孵化时起效。通过食品摄入一般不会导致除虫脲的急性中毒，但长期食用除虫脲超标的食品，对人体健康也有一定影响。《食品安全国家标准 食品中农药最大残留限量》（GB 2763-2026）中规定，荔枝中除虫脲最大残留限量为0.5mg/kg。荔枝中除虫脲超标原因，可能是为快速控制虫害，加大用药量或未遵守采摘间隔期规定。</w:t>
      </w:r>
    </w:p>
    <w:p w14:paraId="369AA954">
      <w:pPr>
        <w:widowControl w:val="0"/>
        <w:suppressAutoHyphens/>
        <w:bidi w:val="0"/>
        <w:spacing w:line="560" w:lineRule="exact"/>
        <w:ind w:firstLine="640" w:firstLineChars="200"/>
        <w:jc w:val="both"/>
        <w:rPr>
          <w:rFonts w:hint="eastAsia" w:ascii="黑体" w:hAnsi="黑体" w:eastAsia="黑体" w:cs="黑体"/>
          <w:bCs w:val="0"/>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十一、甲氧苄啶</w:t>
      </w:r>
    </w:p>
    <w:p w14:paraId="6D8BC7B2">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甲氧苄啶是合成的抗菌药和磺胺增效药。具有抗菌谱广、性质稳定、体内分布广泛等优点。动物产品的甲氧苄啶残留，一般不会导致对人体的急性毒性作用。《食品安全国家标准 食品中兽药最大残留限量》（GB 31650-2019）中的规定，鸡肉中甲氧苄啶的</w:t>
      </w:r>
      <w:r>
        <w:rPr>
          <w:rFonts w:hint="eastAsia" w:ascii="仿宋_GB2312" w:hAnsi="仿宋_GB2312" w:eastAsia="仿宋_GB2312" w:cs="仿宋_GB2312"/>
          <w:bCs/>
          <w:color w:val="auto"/>
          <w:kern w:val="2"/>
          <w:sz w:val="32"/>
          <w:szCs w:val="32"/>
          <w:lang w:val="en-US" w:eastAsia="zh-CN" w:bidi="ar-SA"/>
        </w:rPr>
        <w:t>最大残留限量值为50µg</w:t>
      </w:r>
      <w:r>
        <w:rPr>
          <w:rFonts w:hint="eastAsia" w:ascii="仿宋_GB2312" w:hAnsi="仿宋_GB2312" w:eastAsia="仿宋_GB2312" w:cs="仿宋_GB2312"/>
          <w:color w:val="auto"/>
          <w:sz w:val="32"/>
          <w:szCs w:val="32"/>
          <w:lang w:val="en-US" w:eastAsia="zh-CN"/>
        </w:rPr>
        <w:t>/kg。鸡肉中甲氧苄啶残留量超标的原因，可能是在养殖过程中为快速控制疫病，违规加大用药量或不遵守休药期规定。</w:t>
      </w:r>
    </w:p>
    <w:p w14:paraId="02CF1D9B">
      <w:pPr>
        <w:numPr>
          <w:ilvl w:val="0"/>
          <w:numId w:val="0"/>
        </w:numPr>
        <w:ind w:leftChars="0"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十二、恩诺沙星</w:t>
      </w:r>
    </w:p>
    <w:p w14:paraId="2360AB9E">
      <w:pPr>
        <w:pStyle w:val="2"/>
        <w:ind w:left="0" w:leftChars="0" w:firstLine="640" w:firstLineChars="200"/>
        <w:rPr>
          <w:rFonts w:hint="eastAsia" w:ascii="仿宋_GB2312" w:hAnsi="仿宋_GB2312" w:eastAsia="仿宋_GB2312" w:cs="仿宋_GB2312"/>
          <w:i w:val="0"/>
          <w:iCs w:val="0"/>
          <w:caps w:val="0"/>
          <w:color w:val="auto"/>
          <w:spacing w:val="0"/>
          <w:kern w:val="2"/>
          <w:sz w:val="32"/>
          <w:szCs w:val="32"/>
          <w:lang w:val="en-US" w:eastAsia="zh-CN" w:bidi="ar-SA"/>
        </w:rPr>
      </w:pPr>
      <w:r>
        <w:rPr>
          <w:rFonts w:hint="eastAsia" w:ascii="仿宋_GB2312" w:hAnsi="仿宋_GB2312" w:eastAsia="仿宋_GB2312" w:cs="仿宋_GB2312"/>
          <w:i w:val="0"/>
          <w:iCs w:val="0"/>
          <w:caps w:val="0"/>
          <w:color w:val="auto"/>
          <w:spacing w:val="0"/>
          <w:kern w:val="2"/>
          <w:sz w:val="32"/>
          <w:szCs w:val="32"/>
          <w:lang w:val="en-US" w:eastAsia="zh-CN" w:bidi="ar-SA"/>
        </w:rPr>
        <w:t>恩诺沙星属第三代喹诺酮类药，是一种人工合成的广谱抗菌药，用于治疗动物的皮肤感染、呼吸道感染等，是动物专属用药。长期使用或者过度使用可能导致在人体中蓄积，进而对人体机能产生危害，还可能使人体产生耐药性菌株。《食品安全国家标准 食品中兽药最大残留限量》(GB 31650-2019)中规定，海水虾中恩诺沙星最大残留量为100µg/kg。海水虾中恩诺沙星残留量超标的原因，可能是在养殖过程中为快速控制疫病，违规加大用药量或不遵守休药期规定。</w:t>
      </w:r>
    </w:p>
    <w:p w14:paraId="23DC4EAA">
      <w:pPr>
        <w:widowControl w:val="0"/>
        <w:suppressAutoHyphens/>
        <w:bidi w:val="0"/>
        <w:spacing w:line="560" w:lineRule="exact"/>
        <w:ind w:firstLine="640" w:firstLineChars="200"/>
        <w:jc w:val="both"/>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十三、磺胺类药物</w:t>
      </w:r>
    </w:p>
    <w:p w14:paraId="51A68FF6">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default" w:ascii="Times New Roman" w:hAnsi="Times New Roman" w:eastAsia="仿宋_GB2312" w:cs="Times New Roman"/>
          <w:color w:val="auto"/>
          <w:sz w:val="32"/>
          <w:szCs w:val="32"/>
        </w:rPr>
        <w:t>磺胺类药物是一类人工合成的抑菌药，具有抗菌谱广、性质稳定、便于贮存、吸收迅速等优点，用于动物疫病治疗。长期大量食用磺胺类（总量）残留超标</w:t>
      </w:r>
      <w:r>
        <w:rPr>
          <w:rFonts w:hint="eastAsia" w:ascii="仿宋_GB2312" w:hAnsi="仿宋_GB2312" w:eastAsia="仿宋_GB2312" w:cs="仿宋_GB2312"/>
          <w:color w:val="auto"/>
          <w:sz w:val="32"/>
          <w:szCs w:val="32"/>
        </w:rPr>
        <w:t>的食品，可能在人体内蓄积，不利健康。《食品安全国家标准 食品中兽药最大残留限量》（GB 31650-2019）中规定，</w:t>
      </w:r>
      <w:r>
        <w:rPr>
          <w:rFonts w:hint="eastAsia" w:ascii="仿宋_GB2312" w:hAnsi="仿宋_GB2312" w:eastAsia="仿宋_GB2312" w:cs="仿宋_GB2312"/>
          <w:color w:val="auto"/>
          <w:sz w:val="32"/>
          <w:szCs w:val="32"/>
          <w:lang w:val="en-US" w:eastAsia="zh-CN"/>
        </w:rPr>
        <w:t>淡水鱼</w:t>
      </w:r>
      <w:r>
        <w:rPr>
          <w:rFonts w:hint="eastAsia" w:ascii="仿宋_GB2312" w:hAnsi="仿宋_GB2312" w:eastAsia="仿宋_GB2312" w:cs="仿宋_GB2312"/>
          <w:color w:val="auto"/>
          <w:sz w:val="32"/>
          <w:szCs w:val="32"/>
        </w:rPr>
        <w:t>中磺胺类（总量）</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最大残留限量值为100μg/kg</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淡水鱼</w:t>
      </w:r>
      <w:r>
        <w:rPr>
          <w:rFonts w:hint="eastAsia" w:ascii="仿宋_GB2312" w:hAnsi="仿宋_GB2312" w:eastAsia="仿宋_GB2312" w:cs="仿宋_GB2312"/>
          <w:color w:val="auto"/>
          <w:sz w:val="32"/>
          <w:szCs w:val="32"/>
        </w:rPr>
        <w:t>中磺胺类（总量）残留量超标的原因，可能是在养殖过程中为快速控制疫病，违规加大用药量或不遵守休药期规定</w:t>
      </w:r>
      <w:r>
        <w:rPr>
          <w:rFonts w:hint="eastAsia" w:ascii="仿宋_GB2312" w:hAnsi="仿宋_GB2312" w:eastAsia="仿宋_GB2312" w:cs="仿宋_GB2312"/>
          <w:color w:val="auto"/>
          <w:sz w:val="32"/>
          <w:szCs w:val="32"/>
          <w:lang w:eastAsia="zh-CN"/>
        </w:rPr>
        <w:t>。</w:t>
      </w:r>
    </w:p>
    <w:p w14:paraId="49052537">
      <w:pPr>
        <w:keepNext w:val="0"/>
        <w:keepLines w:val="0"/>
        <w:pageBreakBefore w:val="0"/>
        <w:widowControl w:val="0"/>
        <w:numPr>
          <w:ilvl w:val="0"/>
          <w:numId w:val="0"/>
        </w:numPr>
        <w:kinsoku/>
        <w:wordWrap/>
        <w:overflowPunct/>
        <w:topLinePunct w:val="0"/>
        <w:autoSpaceDE/>
        <w:autoSpaceDN/>
        <w:bidi w:val="0"/>
        <w:adjustRightInd/>
        <w:snapToGrid/>
        <w:spacing w:before="120" w:line="560"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十四、毒死蜱</w:t>
      </w:r>
    </w:p>
    <w:p w14:paraId="64DD73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毒死蜱，又名氯吡硫磷，是一种硫代磷酸酯类有机磷杀虫、杀螨剂，具有良好的触杀、胃毒和熏蒸作用。少量的农药残留不会引起人体急性中毒，但长期食用毒死蜱超标的食品，对人体健康可能有一定影响。《食品安全国家标准 食品中农药最大残留限量》（GB 2763-2026）中规定，马铃薯中毒死蜱最大残留限值为0.02mg/kg。马铃薯中毒死蜱残留量超标原因，可能是为快速控制虫害，加大用药量或未遵守采摘间隔期规定。</w:t>
      </w:r>
    </w:p>
    <w:p w14:paraId="03F2A326">
      <w:pPr>
        <w:numPr>
          <w:ilvl w:val="0"/>
          <w:numId w:val="0"/>
        </w:numPr>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十五、4-氯苯氧乙酸钠</w:t>
      </w:r>
    </w:p>
    <w:p w14:paraId="193CB276">
      <w:pPr>
        <w:numPr>
          <w:ilvl w:val="0"/>
          <w:numId w:val="0"/>
        </w:numPr>
        <w:ind w:firstLine="640" w:firstLineChars="200"/>
        <w:rPr>
          <w:rFonts w:ascii="Calibri" w:hAnsi="Calibri" w:eastAsia="宋体" w:cs="Times New Roman"/>
        </w:rPr>
      </w:pPr>
      <w:r>
        <w:rPr>
          <w:rFonts w:hint="eastAsia" w:ascii="仿宋_GB2312" w:hAnsi="仿宋_GB2312" w:eastAsia="仿宋_GB2312" w:cs="仿宋_GB2312"/>
          <w:sz w:val="32"/>
          <w:szCs w:val="32"/>
          <w:highlight w:val="none"/>
          <w:lang w:val="en-US" w:eastAsia="zh-CN"/>
        </w:rPr>
        <w:t>4-氯苯氧乙酸钠为最常添加的植物生长调节剂，可促进豆芽肥嫩、粗壮，提高豆芽产量。《关于豆芽生产过程中禁止使用6-苄基腺使嘌呤等物质的公告（2015 年第11号）》中规定，豆芽不得检出4-氯苯氧乙酸钠。豆芽中检出4-氯苯氧乙酸钠的原因，生产者在发制豆芽过程中违规使用。</w:t>
      </w:r>
    </w:p>
    <w:p w14:paraId="448A1467">
      <w:pPr>
        <w:numPr>
          <w:ilvl w:val="0"/>
          <w:numId w:val="0"/>
        </w:numPr>
        <w:ind w:firstLine="592" w:firstLineChars="200"/>
        <w:rPr>
          <w:rFonts w:hint="eastAsia" w:ascii="Times New Roman" w:hAnsi="Times New Roman" w:eastAsia="黑体" w:cs="Times New Roman"/>
          <w:spacing w:val="-12"/>
          <w:sz w:val="32"/>
          <w:szCs w:val="32"/>
          <w:lang w:val="en-US" w:eastAsia="zh-CN"/>
        </w:rPr>
      </w:pPr>
      <w:r>
        <w:rPr>
          <w:rFonts w:hint="eastAsia" w:ascii="Times New Roman" w:hAnsi="Times New Roman" w:eastAsia="黑体" w:cs="Times New Roman"/>
          <w:spacing w:val="-12"/>
          <w:sz w:val="32"/>
          <w:szCs w:val="32"/>
          <w:lang w:val="en-US" w:eastAsia="zh-CN"/>
        </w:rPr>
        <w:t>十六</w:t>
      </w:r>
      <w:r>
        <w:rPr>
          <w:rFonts w:hint="eastAsia" w:ascii="黑体" w:hAnsi="黑体" w:eastAsia="黑体" w:cs="黑体"/>
          <w:spacing w:val="-12"/>
          <w:sz w:val="32"/>
          <w:szCs w:val="32"/>
          <w:lang w:val="en-US" w:eastAsia="zh-CN"/>
        </w:rPr>
        <w:t>、6-苄</w:t>
      </w:r>
      <w:r>
        <w:rPr>
          <w:rFonts w:hint="eastAsia" w:ascii="Times New Roman" w:hAnsi="Times New Roman" w:eastAsia="黑体" w:cs="Times New Roman"/>
          <w:spacing w:val="-12"/>
          <w:sz w:val="32"/>
          <w:szCs w:val="32"/>
          <w:lang w:val="en-US" w:eastAsia="zh-CN"/>
        </w:rPr>
        <w:t>基腺嘌呤</w:t>
      </w:r>
    </w:p>
    <w:p w14:paraId="4FDCD59E">
      <w:pPr>
        <w:numPr>
          <w:ilvl w:val="0"/>
          <w:numId w:val="0"/>
        </w:numPr>
        <w:ind w:firstLine="640" w:firstLineChars="200"/>
        <w:rPr>
          <w:rFonts w:hint="eastAsia" w:ascii="仿宋_GB2312" w:hAnsi="仿宋_GB2312" w:eastAsia="仿宋_GB2312" w:cs="仿宋_GB2312"/>
          <w:spacing w:val="-12"/>
          <w:sz w:val="32"/>
          <w:szCs w:val="32"/>
          <w:lang w:val="en-US" w:eastAsia="zh-CN"/>
        </w:rPr>
      </w:pPr>
      <w:r>
        <w:rPr>
          <w:rFonts w:hint="eastAsia" w:ascii="仿宋_GB2312" w:hAnsi="仿宋_GB2312" w:eastAsia="仿宋_GB2312" w:cs="仿宋_GB2312"/>
          <w:color w:val="auto"/>
          <w:sz w:val="32"/>
          <w:szCs w:val="32"/>
          <w:lang w:val="en-US" w:eastAsia="zh-CN"/>
        </w:rPr>
        <w:t>6-苄基腺嘌呤具有抑制植物叶内叶绿素、核酸和蛋白质分解的作用。摄入过量的6-苄基腺嘌呤会刺激粘膜，造成食道、胃黏膜损伤，出现恶心、呕吐等现象。《关于豆芽生产过程中禁止使用6-苄基腺嘌呤等物质的公告（2015年第11号）》中规定，豆芽不得检出6-苄基腺嘌呤。豆芽中检出6-苄基腺嘌呤的原因，生产者在发制豆芽过程中违规使用。</w:t>
      </w:r>
    </w:p>
    <w:p w14:paraId="2A1049BA">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right="0" w:rightChars="0" w:firstLine="572"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pacing w:val="-17"/>
          <w:sz w:val="32"/>
          <w:szCs w:val="32"/>
          <w:highlight w:val="none"/>
          <w:lang w:val="en-US" w:eastAsia="zh-CN"/>
        </w:rPr>
        <w:t>十七</w:t>
      </w:r>
      <w:r>
        <w:rPr>
          <w:rFonts w:hint="default" w:ascii="Times New Roman" w:hAnsi="Times New Roman" w:eastAsia="黑体" w:cs="Times New Roman"/>
          <w:color w:val="auto"/>
          <w:spacing w:val="-17"/>
          <w:sz w:val="32"/>
          <w:szCs w:val="32"/>
          <w:highlight w:val="none"/>
        </w:rPr>
        <w:t>、</w:t>
      </w:r>
      <w:r>
        <w:rPr>
          <w:rFonts w:hint="eastAsia" w:ascii="Times New Roman" w:hAnsi="Times New Roman" w:eastAsia="黑体" w:cs="Times New Roman"/>
          <w:color w:val="auto"/>
          <w:sz w:val="32"/>
          <w:szCs w:val="32"/>
          <w:highlight w:val="none"/>
          <w:lang w:val="en-US" w:eastAsia="zh-CN"/>
        </w:rPr>
        <w:t>防腐剂混合使用时各自用量占其最大使用量的比例之和</w:t>
      </w:r>
    </w:p>
    <w:p w14:paraId="241FF276">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黑体" w:cs="Times New Roman"/>
          <w:color w:val="auto"/>
          <w:spacing w:val="-17"/>
          <w:sz w:val="32"/>
          <w:szCs w:val="32"/>
          <w:highlight w:val="none"/>
        </w:rPr>
      </w:pPr>
      <w:r>
        <w:rPr>
          <w:rFonts w:hint="default" w:ascii="Times New Roman" w:hAnsi="Times New Roman" w:eastAsia="仿宋_GB2312" w:cs="Times New Roman"/>
          <w:spacing w:val="0"/>
          <w:sz w:val="32"/>
          <w:szCs w:val="32"/>
          <w:highlight w:val="none"/>
        </w:rPr>
        <w:t>防腐剂是常见的食品添加剂，用于延缓或抑制由微生物引起的食品腐败变质。长期食用防腐剂超标的食品会对人体</w:t>
      </w:r>
      <w:r>
        <w:rPr>
          <w:rFonts w:hint="eastAsia" w:ascii="仿宋_GB2312" w:hAnsi="仿宋_GB2312" w:eastAsia="仿宋_GB2312" w:cs="仿宋_GB2312"/>
          <w:spacing w:val="0"/>
          <w:sz w:val="32"/>
          <w:szCs w:val="32"/>
          <w:highlight w:val="none"/>
        </w:rPr>
        <w:t>健康造成损害。</w:t>
      </w:r>
      <w:r>
        <w:rPr>
          <w:rFonts w:hint="eastAsia" w:ascii="仿宋_GB2312" w:hAnsi="仿宋_GB2312" w:eastAsia="仿宋_GB2312" w:cs="仿宋_GB2312"/>
          <w:sz w:val="32"/>
          <w:szCs w:val="32"/>
          <w:highlight w:val="none"/>
          <w:shd w:val="clear" w:color="auto" w:fill="FFFFFF"/>
          <w:lang w:val="en-US" w:eastAsia="zh-CN"/>
        </w:rPr>
        <w:t>《食品安全国家标准 食品添加剂使用标准》（GB 2760-2024）</w:t>
      </w:r>
      <w:r>
        <w:rPr>
          <w:rFonts w:hint="eastAsia" w:ascii="仿宋_GB2312" w:hAnsi="仿宋_GB2312" w:eastAsia="仿宋_GB2312" w:cs="仿宋_GB2312"/>
          <w:spacing w:val="0"/>
          <w:sz w:val="32"/>
          <w:szCs w:val="32"/>
          <w:highlight w:val="none"/>
          <w:lang w:val="en-US" w:eastAsia="zh-CN"/>
        </w:rPr>
        <w:t>中规定</w:t>
      </w:r>
      <w:r>
        <w:rPr>
          <w:rFonts w:hint="eastAsia" w:ascii="仿宋_GB2312" w:hAnsi="仿宋_GB2312" w:eastAsia="仿宋_GB2312" w:cs="仿宋_GB2312"/>
          <w:spacing w:val="0"/>
          <w:sz w:val="32"/>
          <w:szCs w:val="32"/>
          <w:highlight w:val="none"/>
        </w:rPr>
        <w:t>，防腐剂在混合使用时各自用量占其最大使用量的比例之和不应超过1。</w:t>
      </w:r>
      <w:r>
        <w:rPr>
          <w:rFonts w:hint="eastAsia" w:ascii="仿宋_GB2312" w:hAnsi="仿宋_GB2312" w:eastAsia="仿宋_GB2312" w:cs="仿宋_GB2312"/>
          <w:kern w:val="2"/>
          <w:sz w:val="32"/>
          <w:szCs w:val="32"/>
          <w:highlight w:val="none"/>
          <w:lang w:val="en-US" w:eastAsia="zh-CN" w:bidi="ar-SA"/>
        </w:rPr>
        <w:t>腌渍</w:t>
      </w:r>
      <w:r>
        <w:rPr>
          <w:rFonts w:hint="eastAsia" w:ascii="仿宋_GB2312" w:hAnsi="仿宋_GB2312" w:eastAsia="仿宋_GB2312" w:cs="仿宋_GB2312"/>
          <w:spacing w:val="0"/>
          <w:sz w:val="32"/>
          <w:szCs w:val="32"/>
          <w:highlight w:val="none"/>
          <w:lang w:val="en-US" w:eastAsia="zh-CN"/>
        </w:rPr>
        <w:t>的蔬菜中</w:t>
      </w:r>
      <w:r>
        <w:rPr>
          <w:rFonts w:hint="eastAsia" w:ascii="仿宋_GB2312" w:hAnsi="仿宋_GB2312" w:eastAsia="仿宋_GB2312" w:cs="仿宋_GB2312"/>
          <w:spacing w:val="0"/>
          <w:sz w:val="32"/>
          <w:szCs w:val="32"/>
          <w:highlight w:val="none"/>
        </w:rPr>
        <w:t>防腐剂混合使用时</w:t>
      </w:r>
      <w:r>
        <w:rPr>
          <w:rFonts w:hint="default" w:ascii="Times New Roman" w:hAnsi="Times New Roman" w:eastAsia="仿宋_GB2312" w:cs="Times New Roman"/>
          <w:spacing w:val="0"/>
          <w:sz w:val="32"/>
          <w:szCs w:val="32"/>
          <w:highlight w:val="none"/>
        </w:rPr>
        <w:t>各自用量占其最大使用量的比例之和</w:t>
      </w:r>
      <w:r>
        <w:rPr>
          <w:rFonts w:hint="eastAsia" w:ascii="Times New Roman" w:hAnsi="Times New Roman" w:eastAsia="仿宋_GB2312" w:cs="Times New Roman"/>
          <w:spacing w:val="0"/>
          <w:sz w:val="32"/>
          <w:szCs w:val="32"/>
          <w:highlight w:val="none"/>
          <w:lang w:val="en-US" w:eastAsia="zh-CN"/>
        </w:rPr>
        <w:t>超标</w:t>
      </w:r>
      <w:r>
        <w:rPr>
          <w:rFonts w:hint="default" w:ascii="Times New Roman" w:hAnsi="Times New Roman" w:eastAsia="仿宋_GB2312" w:cs="Times New Roman"/>
          <w:spacing w:val="0"/>
          <w:sz w:val="32"/>
          <w:szCs w:val="32"/>
          <w:highlight w:val="none"/>
        </w:rPr>
        <w:t>的原因，可能是生产企业在生产加工过程中未严格控制各防腐剂的用量。</w:t>
      </w:r>
    </w:p>
    <w:p w14:paraId="3A464C8B">
      <w:pPr>
        <w:keepNext w:val="0"/>
        <w:keepLines w:val="0"/>
        <w:pageBreakBefore w:val="0"/>
        <w:widowControl w:val="0"/>
        <w:kinsoku/>
        <w:wordWrap/>
        <w:overflowPunct/>
        <w:topLinePunct w:val="0"/>
        <w:autoSpaceDE/>
        <w:autoSpaceDN/>
        <w:bidi w:val="0"/>
        <w:adjustRightInd/>
        <w:snapToGrid/>
        <w:spacing w:line="594" w:lineRule="exact"/>
        <w:ind w:firstLine="572" w:firstLineChars="200"/>
        <w:textAlignment w:val="auto"/>
        <w:rPr>
          <w:rFonts w:hint="eastAsia" w:ascii="Calibri" w:hAnsi="Calibri" w:eastAsia="黑体" w:cs="Times New Roman"/>
          <w:sz w:val="32"/>
          <w:szCs w:val="32"/>
          <w:highlight w:val="none"/>
          <w:lang w:eastAsia="zh-CN"/>
        </w:rPr>
      </w:pPr>
      <w:r>
        <w:rPr>
          <w:rFonts w:hint="eastAsia" w:ascii="Times New Roman" w:hAnsi="Times New Roman" w:eastAsia="黑体" w:cs="Times New Roman"/>
          <w:color w:val="auto"/>
          <w:spacing w:val="-17"/>
          <w:sz w:val="32"/>
          <w:szCs w:val="32"/>
          <w:highlight w:val="none"/>
          <w:lang w:eastAsia="zh-CN"/>
        </w:rPr>
        <w:t>十八、</w:t>
      </w:r>
      <w:r>
        <w:rPr>
          <w:rFonts w:hint="eastAsia" w:ascii="黑体" w:hAnsi="黑体" w:eastAsia="黑体" w:cs="Times New Roman"/>
          <w:kern w:val="0"/>
          <w:sz w:val="32"/>
          <w:szCs w:val="32"/>
          <w:lang w:eastAsia="zh-CN"/>
        </w:rPr>
        <w:t>氯霉素</w:t>
      </w:r>
    </w:p>
    <w:p w14:paraId="203E77DE">
      <w:pPr>
        <w:ind w:firstLine="640" w:firstLineChars="200"/>
        <w:rPr>
          <w:rFonts w:hint="eastAsia"/>
          <w:lang w:val="en-US" w:eastAsia="zh-CN"/>
        </w:rPr>
      </w:pPr>
      <w:r>
        <w:rPr>
          <w:rFonts w:hint="default" w:ascii="Times New Roman" w:hAnsi="Times New Roman" w:eastAsia="仿宋_GB2312" w:cs="Times New Roman"/>
          <w:sz w:val="32"/>
          <w:szCs w:val="32"/>
        </w:rPr>
        <w:t>氯霉素是酰胺醇类抗生素</w:t>
      </w:r>
      <w:r>
        <w:rPr>
          <w:rFonts w:hint="eastAsia" w:ascii="Times New Roman" w:hAnsi="Times New Roman" w:eastAsia="仿宋_GB2312" w:cs="Times New Roman"/>
          <w:sz w:val="32"/>
          <w:szCs w:val="32"/>
        </w:rPr>
        <w:t>。</w:t>
      </w:r>
      <w:r>
        <w:rPr>
          <w:rFonts w:hint="default" w:ascii="Calibri" w:hAnsi="Calibri" w:eastAsia="仿宋_GB2312" w:cs="Times New Roman"/>
          <w:kern w:val="0"/>
          <w:sz w:val="32"/>
          <w:szCs w:val="32"/>
          <w:highlight w:val="none"/>
          <w:lang w:eastAsia="zh-CN"/>
        </w:rPr>
        <w:t>长期大量摄入氯霉素残留的食品，可能在人体内蓄积，产生耐药并对同类药物有交叉耐药，引起胃肠道症状、肝功能异常、血液系统异常以及表现为神经系统毒性、过敏反应等。</w:t>
      </w:r>
      <w:r>
        <w:rPr>
          <w:rFonts w:hint="default" w:ascii="Times New Roman" w:hAnsi="Times New Roman" w:eastAsia="仿宋_GB2312" w:cs="Times New Roman"/>
          <w:sz w:val="32"/>
          <w:szCs w:val="32"/>
        </w:rPr>
        <w:t xml:space="preserve">《食品动物中禁止使用的药品及其他化合物清单》（农业农村部公告 </w:t>
      </w:r>
      <w:r>
        <w:rPr>
          <w:rFonts w:hint="eastAsia" w:ascii="仿宋_GB2312" w:hAnsi="仿宋_GB2312" w:eastAsia="仿宋_GB2312" w:cs="仿宋_GB2312"/>
          <w:sz w:val="32"/>
          <w:szCs w:val="32"/>
        </w:rPr>
        <w:t>第250号</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中</w:t>
      </w:r>
      <w:r>
        <w:rPr>
          <w:rFonts w:hint="eastAsia" w:ascii="Times New Roman" w:hAnsi="Times New Roman" w:eastAsia="仿宋_GB2312" w:cs="Times New Roman"/>
          <w:sz w:val="32"/>
          <w:szCs w:val="32"/>
          <w:lang w:val="en-US" w:eastAsia="zh-CN"/>
        </w:rPr>
        <w:t>规定，贝类</w:t>
      </w:r>
      <w:r>
        <w:rPr>
          <w:rFonts w:hint="default" w:ascii="Times New Roman" w:hAnsi="Times New Roman" w:eastAsia="仿宋_GB2312" w:cs="Times New Roman"/>
          <w:sz w:val="32"/>
          <w:szCs w:val="32"/>
          <w:lang w:eastAsia="zh-CN"/>
        </w:rPr>
        <w:t>不得检出氯霉素。</w:t>
      </w:r>
      <w:r>
        <w:rPr>
          <w:rFonts w:hint="eastAsia" w:ascii="Times New Roman" w:hAnsi="Times New Roman" w:eastAsia="仿宋_GB2312" w:cs="Times New Roman"/>
          <w:sz w:val="32"/>
          <w:szCs w:val="32"/>
          <w:lang w:eastAsia="zh-CN"/>
        </w:rPr>
        <w:t>贝类</w:t>
      </w:r>
      <w:r>
        <w:rPr>
          <w:rFonts w:hint="eastAsia" w:ascii="Times New Roman" w:hAnsi="Times New Roman" w:eastAsia="仿宋_GB2312" w:cs="Times New Roman"/>
          <w:sz w:val="32"/>
          <w:szCs w:val="32"/>
          <w:lang w:val="en-US" w:eastAsia="zh-CN"/>
        </w:rPr>
        <w:t>中</w:t>
      </w:r>
      <w:r>
        <w:rPr>
          <w:rFonts w:ascii="Calibri" w:hAnsi="Calibri" w:eastAsia="仿宋_GB2312" w:cs="Times New Roman"/>
          <w:kern w:val="0"/>
          <w:sz w:val="32"/>
          <w:szCs w:val="32"/>
          <w:highlight w:val="none"/>
        </w:rPr>
        <w:t>检出</w:t>
      </w:r>
      <w:r>
        <w:rPr>
          <w:rFonts w:hint="eastAsia" w:ascii="Calibri" w:hAnsi="Calibri" w:eastAsia="仿宋_GB2312" w:cs="Times New Roman"/>
          <w:kern w:val="0"/>
          <w:sz w:val="32"/>
          <w:szCs w:val="32"/>
          <w:highlight w:val="none"/>
          <w:lang w:val="en-US" w:eastAsia="zh-CN"/>
        </w:rPr>
        <w:t>氯霉素</w:t>
      </w:r>
      <w:r>
        <w:rPr>
          <w:rFonts w:ascii="Calibri" w:hAnsi="Calibri" w:eastAsia="仿宋_GB2312" w:cs="Times New Roman"/>
          <w:kern w:val="0"/>
          <w:sz w:val="32"/>
          <w:szCs w:val="32"/>
          <w:highlight w:val="none"/>
        </w:rPr>
        <w:t>的原因</w:t>
      </w:r>
      <w:r>
        <w:rPr>
          <w:rFonts w:hint="eastAsia" w:ascii="Calibri" w:hAnsi="Calibri" w:eastAsia="仿宋_GB2312" w:cs="Times New Roman"/>
          <w:kern w:val="0"/>
          <w:sz w:val="32"/>
          <w:szCs w:val="32"/>
          <w:highlight w:val="none"/>
          <w:lang w:eastAsia="zh-CN"/>
        </w:rPr>
        <w:t>，</w:t>
      </w:r>
      <w:r>
        <w:rPr>
          <w:rFonts w:hint="eastAsia" w:ascii="Calibri" w:hAnsi="Calibri" w:eastAsia="仿宋_GB2312" w:cs="Times New Roman"/>
          <w:kern w:val="0"/>
          <w:sz w:val="32"/>
          <w:szCs w:val="32"/>
          <w:highlight w:val="none"/>
          <w:lang w:val="en-US" w:eastAsia="zh-CN"/>
        </w:rPr>
        <w:t>可能</w:t>
      </w:r>
      <w:r>
        <w:rPr>
          <w:rFonts w:ascii="Calibri" w:hAnsi="Calibri" w:eastAsia="仿宋_GB2312" w:cs="Times New Roman"/>
          <w:kern w:val="0"/>
          <w:sz w:val="32"/>
          <w:szCs w:val="32"/>
          <w:highlight w:val="none"/>
        </w:rPr>
        <w:t>是养殖户</w:t>
      </w:r>
      <w:r>
        <w:rPr>
          <w:rFonts w:hint="eastAsia" w:ascii="Calibri" w:hAnsi="Calibri" w:eastAsia="仿宋_GB2312" w:cs="Times New Roman"/>
          <w:kern w:val="0"/>
          <w:sz w:val="32"/>
          <w:szCs w:val="32"/>
          <w:highlight w:val="none"/>
          <w:lang w:eastAsia="zh-CN"/>
        </w:rPr>
        <w:t>在养殖中违规</w:t>
      </w:r>
      <w:r>
        <w:rPr>
          <w:rFonts w:ascii="Calibri" w:hAnsi="Calibri" w:eastAsia="仿宋_GB2312" w:cs="Times New Roman"/>
          <w:kern w:val="0"/>
          <w:sz w:val="32"/>
          <w:szCs w:val="32"/>
          <w:highlight w:val="none"/>
        </w:rPr>
        <w:t>使用</w:t>
      </w:r>
      <w:r>
        <w:rPr>
          <w:rFonts w:hint="eastAsia" w:ascii="Calibri" w:hAnsi="Calibri" w:eastAsia="仿宋_GB2312" w:cs="Times New Roman"/>
          <w:kern w:val="0"/>
          <w:sz w:val="32"/>
          <w:szCs w:val="32"/>
          <w:highlight w:val="none"/>
          <w:lang w:eastAsia="zh-CN"/>
        </w:rPr>
        <w:t>；</w:t>
      </w:r>
      <w:r>
        <w:rPr>
          <w:rFonts w:hint="eastAsia" w:ascii="Calibri" w:hAnsi="Calibri" w:eastAsia="仿宋_GB2312" w:cs="Times New Roman"/>
          <w:kern w:val="0"/>
          <w:sz w:val="32"/>
          <w:szCs w:val="32"/>
          <w:highlight w:val="none"/>
          <w:lang w:val="en-US" w:eastAsia="zh-CN"/>
        </w:rPr>
        <w:t>也可能是生产过程控制不佳，造成终产品被污染</w:t>
      </w:r>
      <w:r>
        <w:rPr>
          <w:rFonts w:hint="default" w:ascii="Calibri" w:hAnsi="Calibri" w:eastAsia="仿宋_GB2312" w:cs="Times New Roman"/>
          <w:kern w:val="0"/>
          <w:sz w:val="32"/>
          <w:szCs w:val="32"/>
          <w:highlight w:val="none"/>
          <w:lang w:eastAsia="zh-CN"/>
        </w:rPr>
        <w:t>。</w:t>
      </w:r>
    </w:p>
    <w:p w14:paraId="78E2AFE8">
      <w:pPr>
        <w:spacing w:line="594" w:lineRule="exact"/>
        <w:ind w:firstLine="592" w:firstLineChars="200"/>
        <w:rPr>
          <w:rFonts w:hint="default" w:ascii="黑体" w:hAnsi="黑体" w:eastAsia="黑体" w:cs="Times New Roman"/>
          <w:spacing w:val="0"/>
          <w:sz w:val="32"/>
          <w:szCs w:val="32"/>
          <w:highlight w:val="none"/>
          <w:lang w:val="en-US" w:eastAsia="zh-CN"/>
        </w:rPr>
      </w:pPr>
      <w:r>
        <w:rPr>
          <w:rFonts w:hint="eastAsia" w:ascii="Times New Roman" w:hAnsi="Times New Roman" w:eastAsia="黑体" w:cs="Times New Roman"/>
          <w:color w:val="auto"/>
          <w:spacing w:val="-12"/>
          <w:sz w:val="32"/>
          <w:szCs w:val="32"/>
          <w:highlight w:val="none"/>
          <w:lang w:eastAsia="zh-CN"/>
        </w:rPr>
        <w:t>十九</w:t>
      </w:r>
      <w:r>
        <w:rPr>
          <w:rFonts w:hint="default" w:ascii="Times New Roman" w:hAnsi="Times New Roman" w:eastAsia="黑体" w:cs="Times New Roman"/>
          <w:color w:val="auto"/>
          <w:spacing w:val="-12"/>
          <w:sz w:val="32"/>
          <w:szCs w:val="32"/>
          <w:highlight w:val="none"/>
        </w:rPr>
        <w:t>、</w:t>
      </w:r>
      <w:r>
        <w:rPr>
          <w:rFonts w:hint="eastAsia" w:ascii="Calibri" w:hAnsi="Calibri" w:eastAsia="黑体" w:cs="Times New Roman"/>
          <w:spacing w:val="0"/>
          <w:sz w:val="32"/>
          <w:szCs w:val="32"/>
          <w:highlight w:val="none"/>
          <w:lang w:val="en-US" w:eastAsia="zh-CN"/>
        </w:rPr>
        <w:t>三氯蔗糖</w:t>
      </w:r>
    </w:p>
    <w:p w14:paraId="53249361">
      <w:pPr>
        <w:widowControl/>
        <w:numPr>
          <w:ilvl w:val="-1"/>
          <w:numId w:val="0"/>
        </w:numPr>
        <w:adjustRightInd/>
        <w:spacing w:after="0" w:line="240" w:lineRule="auto"/>
        <w:ind w:left="0" w:leftChars="0" w:firstLine="640" w:firstLineChars="200"/>
        <w:jc w:val="both"/>
        <w:rPr>
          <w:rFonts w:hint="default"/>
          <w:color w:val="auto"/>
          <w:lang w:val="en-US" w:eastAsia="zh-CN"/>
        </w:rPr>
      </w:pPr>
      <w:r>
        <w:rPr>
          <w:rFonts w:hint="eastAsia" w:ascii="仿宋_GB2312" w:hAnsi="仿宋_GB2312" w:eastAsia="仿宋_GB2312" w:cs="仿宋_GB2312"/>
          <w:i w:val="0"/>
          <w:iCs w:val="0"/>
          <w:caps w:val="0"/>
          <w:color w:val="auto"/>
          <w:spacing w:val="0"/>
          <w:kern w:val="2"/>
          <w:sz w:val="32"/>
          <w:szCs w:val="32"/>
          <w:lang w:val="en-US" w:eastAsia="zh-CN" w:bidi="ar-SA"/>
        </w:rPr>
        <w:t>三氯蔗糖是最接近蔗糖的一种甜味剂，热稳定性好，温度和pH值对它几乎无影响。《食品安全国家标准 食品添加剂使用标准》（GB 2760—2024）中规定，油柑果中不得使用三氯蔗糖。油柑果中检出三氯蔗糖的原因，可能是生产经营者为增加产品甜味而超范围。</w:t>
      </w:r>
    </w:p>
    <w:p w14:paraId="62479FF7">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right="0" w:rightChars="0"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二十、柠檬黄</w:t>
      </w:r>
    </w:p>
    <w:p w14:paraId="07899BC9">
      <w:pPr>
        <w:ind w:firstLine="640" w:firstLineChars="200"/>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柠檬黄又名食用黄色4号，属于水溶性偶氮化合物，是常见的人工合成着色剂，在食品生产中应用广泛</w:t>
      </w:r>
      <w:r>
        <w:rPr>
          <w:rFonts w:hint="eastAsia" w:ascii="Times New Roman" w:hAnsi="Times New Roman" w:eastAsia="仿宋_GB2312" w:cs="Times New Roman"/>
          <w:color w:val="auto"/>
          <w:kern w:val="2"/>
          <w:sz w:val="32"/>
          <w:szCs w:val="32"/>
          <w:highlight w:val="none"/>
          <w:lang w:val="en-US" w:eastAsia="zh-CN" w:bidi="ar-SA"/>
        </w:rPr>
        <w:t>，</w:t>
      </w:r>
      <w:r>
        <w:rPr>
          <w:rFonts w:ascii="Times New Roman" w:hAnsi="Times New Roman" w:eastAsia="仿宋_GB2312" w:cs="Times New Roman"/>
          <w:color w:val="auto"/>
          <w:kern w:val="2"/>
          <w:sz w:val="32"/>
          <w:szCs w:val="32"/>
          <w:highlight w:val="none"/>
          <w:lang w:val="en-US" w:eastAsia="zh-CN" w:bidi="ar-SA"/>
        </w:rPr>
        <w:t>按标准使用不会对健康造成危害</w:t>
      </w:r>
      <w:r>
        <w:rPr>
          <w:rFonts w:hint="default" w:ascii="Times New Roman" w:hAnsi="Times New Roman" w:eastAsia="仿宋_GB2312" w:cs="Times New Roman"/>
          <w:color w:val="auto"/>
          <w:kern w:val="2"/>
          <w:sz w:val="32"/>
          <w:szCs w:val="32"/>
          <w:highlight w:val="none"/>
          <w:lang w:val="en-US" w:eastAsia="zh-CN" w:bidi="ar-SA"/>
        </w:rPr>
        <w:t>。柠檬黄基本无毒，不在体内贮积，绝大部分以原形排出体外，但长期食用柠檬黄超标的食品，可</w:t>
      </w:r>
      <w:r>
        <w:rPr>
          <w:rFonts w:hint="eastAsia" w:ascii="仿宋_GB2312" w:hAnsi="仿宋_GB2312" w:eastAsia="仿宋_GB2312" w:cs="仿宋_GB2312"/>
          <w:color w:val="auto"/>
          <w:kern w:val="2"/>
          <w:sz w:val="32"/>
          <w:szCs w:val="32"/>
          <w:highlight w:val="none"/>
          <w:lang w:val="en-US" w:eastAsia="zh-CN" w:bidi="ar-SA"/>
        </w:rPr>
        <w:t>能危害人体健康。《食品安全国家标准 食品添加剂使用标准》（GB 2760-2024）中规定，糕点</w:t>
      </w:r>
      <w:r>
        <w:rPr>
          <w:rFonts w:hint="default" w:ascii="Times New Roman" w:hAnsi="Times New Roman" w:eastAsia="仿宋_GB2312" w:cs="Times New Roman"/>
          <w:color w:val="auto"/>
          <w:kern w:val="2"/>
          <w:sz w:val="32"/>
          <w:szCs w:val="32"/>
          <w:highlight w:val="none"/>
          <w:lang w:val="en-US" w:eastAsia="zh-CN" w:bidi="ar-SA"/>
        </w:rPr>
        <w:t>中不得使用柠檬黄。糕点中检出柠檬黄的原因，可能是经营者</w:t>
      </w:r>
      <w:r>
        <w:rPr>
          <w:rFonts w:hint="eastAsia" w:ascii="Times New Roman" w:hAnsi="Times New Roman" w:eastAsia="仿宋_GB2312" w:cs="Times New Roman"/>
          <w:color w:val="auto"/>
          <w:kern w:val="2"/>
          <w:sz w:val="32"/>
          <w:szCs w:val="32"/>
          <w:highlight w:val="none"/>
          <w:lang w:val="en-US" w:eastAsia="zh-CN" w:bidi="ar-SA"/>
        </w:rPr>
        <w:t>或生产企业</w:t>
      </w:r>
      <w:r>
        <w:rPr>
          <w:rFonts w:hint="default" w:ascii="Times New Roman" w:hAnsi="Times New Roman" w:eastAsia="仿宋_GB2312" w:cs="Times New Roman"/>
          <w:color w:val="auto"/>
          <w:kern w:val="2"/>
          <w:sz w:val="32"/>
          <w:szCs w:val="32"/>
          <w:highlight w:val="none"/>
          <w:lang w:val="en-US" w:eastAsia="zh-CN" w:bidi="ar-SA"/>
        </w:rPr>
        <w:t>为改善产品色泽而超范围使用。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思源宋体">
    <w:panose1 w:val="02020400000000000000"/>
    <w:charset w:val="86"/>
    <w:family w:val="auto"/>
    <w:pitch w:val="default"/>
    <w:sig w:usb0="30000083" w:usb1="2BDF3C10" w:usb2="00000016" w:usb3="00000000" w:csb0="602E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3OTQ2MTcxODk3NTU0ZWM4Y2Q3MjBkYjI4NmJhNTQifQ=="/>
  </w:docVars>
  <w:rsids>
    <w:rsidRoot w:val="1B6B0A58"/>
    <w:rsid w:val="023D1853"/>
    <w:rsid w:val="03C84489"/>
    <w:rsid w:val="0F6F3A01"/>
    <w:rsid w:val="168C45D0"/>
    <w:rsid w:val="1A843B43"/>
    <w:rsid w:val="1AAC0A51"/>
    <w:rsid w:val="1B6B0A58"/>
    <w:rsid w:val="1C1C24C7"/>
    <w:rsid w:val="1EF97C50"/>
    <w:rsid w:val="21DF3BFA"/>
    <w:rsid w:val="243C66DE"/>
    <w:rsid w:val="25401C79"/>
    <w:rsid w:val="28665E9B"/>
    <w:rsid w:val="2AE505CF"/>
    <w:rsid w:val="2EEB1EE6"/>
    <w:rsid w:val="33477866"/>
    <w:rsid w:val="34BE7A46"/>
    <w:rsid w:val="37FFC00B"/>
    <w:rsid w:val="38522724"/>
    <w:rsid w:val="397FDD16"/>
    <w:rsid w:val="3B9052B1"/>
    <w:rsid w:val="3BF7BA28"/>
    <w:rsid w:val="3CB95A05"/>
    <w:rsid w:val="3FAFE36C"/>
    <w:rsid w:val="42152E7B"/>
    <w:rsid w:val="42B71E80"/>
    <w:rsid w:val="45AA51C1"/>
    <w:rsid w:val="46FE5D14"/>
    <w:rsid w:val="47402CC8"/>
    <w:rsid w:val="49E034CB"/>
    <w:rsid w:val="4C3D4232"/>
    <w:rsid w:val="4DD74D6A"/>
    <w:rsid w:val="4FB71393"/>
    <w:rsid w:val="52B4570D"/>
    <w:rsid w:val="53FE39B1"/>
    <w:rsid w:val="55931176"/>
    <w:rsid w:val="57553BBA"/>
    <w:rsid w:val="58DE315C"/>
    <w:rsid w:val="5B8DE2F3"/>
    <w:rsid w:val="5EE21556"/>
    <w:rsid w:val="5F6AE1C1"/>
    <w:rsid w:val="5FF2B27C"/>
    <w:rsid w:val="63E91CAF"/>
    <w:rsid w:val="63FE41B3"/>
    <w:rsid w:val="66EF3C4C"/>
    <w:rsid w:val="697E4EE3"/>
    <w:rsid w:val="69EB297E"/>
    <w:rsid w:val="6EBC5389"/>
    <w:rsid w:val="6F36DFA8"/>
    <w:rsid w:val="6FEFB289"/>
    <w:rsid w:val="7220529F"/>
    <w:rsid w:val="725F4DE6"/>
    <w:rsid w:val="72FFD47B"/>
    <w:rsid w:val="73DF26BC"/>
    <w:rsid w:val="74FFDF3D"/>
    <w:rsid w:val="75E7C133"/>
    <w:rsid w:val="766D6C75"/>
    <w:rsid w:val="776621D9"/>
    <w:rsid w:val="77DD1B8B"/>
    <w:rsid w:val="77EFDEF8"/>
    <w:rsid w:val="7A7F7E8C"/>
    <w:rsid w:val="7AC9E572"/>
    <w:rsid w:val="7BABE3C8"/>
    <w:rsid w:val="7BEF257F"/>
    <w:rsid w:val="7DAB918B"/>
    <w:rsid w:val="7F6F4ECB"/>
    <w:rsid w:val="7F7F1DB2"/>
    <w:rsid w:val="7F9B99F5"/>
    <w:rsid w:val="7FB36D62"/>
    <w:rsid w:val="7FD7B6A6"/>
    <w:rsid w:val="7FF7E750"/>
    <w:rsid w:val="7FFDD4C5"/>
    <w:rsid w:val="9F7EC72F"/>
    <w:rsid w:val="9FFF5429"/>
    <w:rsid w:val="A4BF82F4"/>
    <w:rsid w:val="A9FCB59B"/>
    <w:rsid w:val="AA763B71"/>
    <w:rsid w:val="B5D65E7A"/>
    <w:rsid w:val="B7BD576E"/>
    <w:rsid w:val="B85DAE7B"/>
    <w:rsid w:val="BBFD9608"/>
    <w:rsid w:val="BCF78A43"/>
    <w:rsid w:val="BFD50135"/>
    <w:rsid w:val="C9E48A21"/>
    <w:rsid w:val="CA7F1626"/>
    <w:rsid w:val="D72F31A2"/>
    <w:rsid w:val="D7E8DF1E"/>
    <w:rsid w:val="D7F9C9E4"/>
    <w:rsid w:val="DB2EF4C7"/>
    <w:rsid w:val="DBFB8A5B"/>
    <w:rsid w:val="DDFBEA53"/>
    <w:rsid w:val="DEFF9E84"/>
    <w:rsid w:val="E3FC5092"/>
    <w:rsid w:val="EAF563D7"/>
    <w:rsid w:val="ED7316D2"/>
    <w:rsid w:val="EEFD4262"/>
    <w:rsid w:val="EF6F4E4C"/>
    <w:rsid w:val="EFFDD0AB"/>
    <w:rsid w:val="F5BD6CAB"/>
    <w:rsid w:val="F5DF68AA"/>
    <w:rsid w:val="F79BB4E9"/>
    <w:rsid w:val="F7FA8863"/>
    <w:rsid w:val="FA9970BA"/>
    <w:rsid w:val="FB4BB319"/>
    <w:rsid w:val="FDB7F4F3"/>
    <w:rsid w:val="FF77989A"/>
    <w:rsid w:val="FFBFA815"/>
    <w:rsid w:val="FFC69FFE"/>
    <w:rsid w:val="FFD31120"/>
    <w:rsid w:val="FFDE0CE3"/>
    <w:rsid w:val="FFF6E9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unhideWhenUsed/>
    <w:qFormat/>
    <w:uiPriority w:val="99"/>
    <w:pPr>
      <w:spacing w:after="120"/>
      <w:ind w:left="420" w:leftChars="200"/>
    </w:pPr>
    <w:rPr>
      <w:kern w:val="0"/>
      <w:szCs w:val="20"/>
    </w:rPr>
  </w:style>
  <w:style w:type="paragraph" w:styleId="4">
    <w:name w:val="toa heading"/>
    <w:basedOn w:val="1"/>
    <w:next w:val="1"/>
    <w:qFormat/>
    <w:uiPriority w:val="0"/>
    <w:pPr>
      <w:spacing w:before="120"/>
    </w:pPr>
    <w:rPr>
      <w:rFonts w:ascii="Cambria" w:hAnsi="Cambria"/>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unhideWhenUsed/>
    <w:qFormat/>
    <w:uiPriority w:val="99"/>
    <w:rPr>
      <w:rFonts w:ascii="Times New Roman" w:hAnsi="Times New Roman" w:cs="Times New Roman"/>
      <w:sz w:val="24"/>
    </w:rPr>
  </w:style>
  <w:style w:type="character" w:styleId="9">
    <w:name w:val="Strong"/>
    <w:basedOn w:val="8"/>
    <w:qFormat/>
    <w:uiPriority w:val="0"/>
    <w:rPr>
      <w:b/>
    </w:rPr>
  </w:style>
  <w:style w:type="paragraph" w:styleId="10">
    <w:name w:val="List Paragraph"/>
    <w:basedOn w:val="1"/>
    <w:qFormat/>
    <w:uiPriority w:val="0"/>
    <w:pPr>
      <w:ind w:firstLine="420" w:firstLineChars="200"/>
    </w:pPr>
  </w:style>
  <w:style w:type="paragraph" w:customStyle="1" w:styleId="11">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2049</Words>
  <Characters>2172</Characters>
  <Lines>0</Lines>
  <Paragraphs>0</Paragraphs>
  <TotalTime>14</TotalTime>
  <ScaleCrop>false</ScaleCrop>
  <LinksUpToDate>false</LinksUpToDate>
  <CharactersWithSpaces>2191</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2023-09-04T03:34:00Z</dcterms:created>
  <dc:creator>点到为止</dc:creator>
  <cp:lastModifiedBy>uos</cp:lastModifiedBy>
  <dcterms:modified xsi:type="dcterms:W3CDTF">2026-09-17T08:56:03Z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807F39C3C959E1D0A33AAB6AF18E9F58_43</vt:lpwstr>
  </property>
  <property fmtid="{D5CDD505-2E9C-101B-9397-08002B2CF9AE}" pid="4" name="KSOTemplateDocerSaveRecord">
    <vt:lpwstr>eyJoZGlkIjoiMDY0MzQxNGZkMjVlOTc3ZDA4NTZmMzY3NGZjNzVkMjIiLCJ1c2VySWQiOiIxNTcxOTI3ODAxIn0=</vt:lpwstr>
  </property>
</Properties>
</file>