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海南省市场监管领域不予行政强制措施清单</w:t>
      </w:r>
    </w:p>
    <w:tbl>
      <w:tblPr>
        <w:tblStyle w:val="5"/>
        <w:tblpPr w:leftFromText="180" w:rightFromText="180" w:vertAnchor="text" w:horzAnchor="page" w:tblpX="1327" w:tblpY="871"/>
        <w:tblOverlap w:val="never"/>
        <w:tblW w:w="146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855"/>
        <w:gridCol w:w="1980"/>
        <w:gridCol w:w="3240"/>
        <w:gridCol w:w="2595"/>
        <w:gridCol w:w="2085"/>
        <w:gridCol w:w="3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6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pPr>
            <w:bookmarkStart w:id="2" w:name="_GoBack"/>
            <w:bookmarkEnd w:id="2"/>
            <w:r>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t>序号</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t>类别</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t>强制措施</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t>法律规范</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t>适用条件</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t>不予强制措施依据</w:t>
            </w:r>
          </w:p>
        </w:tc>
        <w:tc>
          <w:tcPr>
            <w:tcW w:w="323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pPr>
            <w:r>
              <w:rPr>
                <w:rFonts w:hint="eastAsia" w:ascii="黑体" w:hAnsi="黑体" w:eastAsia="黑体" w:cs="黑体"/>
                <w:b w:val="0"/>
                <w:bCs w:val="0"/>
                <w:color w:val="000000" w:themeColor="text1"/>
                <w:sz w:val="28"/>
                <w:szCs w:val="28"/>
                <w:vertAlign w:val="baseline"/>
                <w:lang w:val="en-US" w:eastAsia="zh-Hans"/>
                <w14:textFill>
                  <w14:solidFill>
                    <w14:schemeClr w14:val="tx1"/>
                  </w14:solidFill>
                </w14:textFill>
              </w:rPr>
              <w:t>配套监管措施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1</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广告</w:t>
            </w:r>
          </w:p>
        </w:tc>
        <w:tc>
          <w:tcPr>
            <w:tcW w:w="1980" w:type="dxa"/>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对与涉嫌违法广告直接相关的物品、经营工具、设备等财物予以查封、扣押</w:t>
            </w:r>
          </w:p>
        </w:tc>
        <w:tc>
          <w:tcPr>
            <w:tcW w:w="3240" w:type="dxa"/>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《中华人民共和国广告法》第四十九条，市场监督管理部门履行广告监督管理职责，可以行使下列职权：（五）查封、扣押与涉嫌违法广告直接相关的广告物品、经营工具、设备等财物。</w:t>
            </w:r>
          </w:p>
        </w:tc>
        <w:tc>
          <w:tcPr>
            <w:tcW w:w="2595" w:type="dxa"/>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1.情节显著轻微；</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2.没有明显社会危害；3.例外情形：涉及《广告法》第四十六条规定的医疗、药品、医疗器械、农药、收腰和保健食品广告以及法律、行政法规规定应当进行审查的其他广告不能适用</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《中华人民共和国行政强制法》第十六条第二款、《优化营商环境条例》第五十九条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1.通过说服教育、劝导示范、警示告诫、指导约谈等方式，努力做到宽严相济、全面落实“谁执法谁普法”普法责任制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2.推行“双随机、一公开”监管，加强跨部门联合联查力度</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6"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企业监督管理</w:t>
            </w:r>
          </w:p>
        </w:tc>
        <w:tc>
          <w:tcPr>
            <w:tcW w:w="1980" w:type="dxa"/>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对涉嫌从事无照的场所予以查封，对涉嫌用于无照经营的工具、设备、原材料、产品(商品)等物品予以查封、扣押</w:t>
            </w:r>
          </w:p>
        </w:tc>
        <w:tc>
          <w:tcPr>
            <w:tcW w:w="3240"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《无证无照经营查处办法》第十一条第二款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对涉嫌从事无照的场所，可以予以查封;对涉嫌用于无照经营的工具、设备、原材料、产品(商品)等物品，可以予以查封、扣押</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p>
        </w:tc>
        <w:tc>
          <w:tcPr>
            <w:tcW w:w="2595"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包括但不限于：已停止违法行为或正在办理登记且符合登记条件的</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3</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.例外情形</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经营活动涉及许可事项未取得许可的不能适用</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3</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企业监督管理</w:t>
            </w:r>
          </w:p>
        </w:tc>
        <w:tc>
          <w:tcPr>
            <w:tcW w:w="1980" w:type="dxa"/>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对外国企业常驻代表机构与违法行为有关的合同、票据、账簿以及其他资料进行查封、扣押</w:t>
            </w: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《外国企业常驻代表机构登记管理条例》第二十一条</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登记机关对代表机构涉嫌违反本条例的行为进行查处，可以依法行使下列职权: (二)查阅、复制、查封、扣押与违法行为有关的合同、票据、账簿以及其他资料</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p>
        </w:tc>
        <w:tc>
          <w:tcPr>
            <w:tcW w:w="2595" w:type="dxa"/>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4</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企业监督管理</w:t>
            </w:r>
          </w:p>
        </w:tc>
        <w:tc>
          <w:tcPr>
            <w:tcW w:w="198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对外国企业常驻代表机构专门用于从事违法行为的工具、设备、原材料、产品（商品）等财物进行查封、扣押</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《外国企业常驻代表机构登记管理条例》第二十一条</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登记机关对代表机构涉嫌违反本条例的行为进行查处，可以依法行使下列职权: (三)查封、扣押专门用于从事违法行为的工具、设备、原材料、产品(商品)等财物</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p>
        </w:tc>
        <w:tc>
          <w:tcPr>
            <w:tcW w:w="2595" w:type="dxa"/>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度</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5</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工业产品生产许可</w:t>
            </w:r>
          </w:p>
        </w:tc>
        <w:tc>
          <w:tcPr>
            <w:tcW w:w="1980" w:type="dxa"/>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对有证据表明属于违反本条例生产、销售或者在经营活动中使用的列入目录产品予以查封或者扣押</w:t>
            </w: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Hans" w:bidi="ar"/>
                <w14:textFill>
                  <w14:solidFill>
                    <w14:schemeClr w14:val="tx1"/>
                  </w14:solidFill>
                </w14:textFill>
              </w:rPr>
              <w:t>中华人民共和国工业产品生产许可证管理条例</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Hans" w:bidi="ar"/>
                <w14:textFill>
                  <w14:solidFill>
                    <w14:schemeClr w14:val="tx1"/>
                  </w14:solidFill>
                </w14:textFill>
              </w:rPr>
              <w:t>第三十七条第一款第三项</w:t>
            </w:r>
            <w:r>
              <w:rPr>
                <w:rFonts w:hint="eastAsia" w:ascii="宋体" w:hAnsi="宋体" w:eastAsia="宋体" w:cs="宋体"/>
                <w:b w:val="0"/>
                <w:bCs w:val="0"/>
                <w:color w:val="000000" w:themeColor="text1"/>
                <w:kern w:val="0"/>
                <w:sz w:val="24"/>
                <w:szCs w:val="24"/>
                <w:lang w:eastAsia="zh-Hans"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县级以上工业产品生产许可证主管部门根据已经取得的违法嫌疑证据或者举报，对涉嫌违反本条例的行为进行查处并可以行使下列职权：</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Hans" w:bidi="ar"/>
                <w14:textFill>
                  <w14:solidFill>
                    <w14:schemeClr w14:val="tx1"/>
                  </w14:solidFill>
                </w14:textFill>
              </w:rPr>
              <w:t>三</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w:t>
            </w:r>
          </w:p>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对有证据表明属于违反本条例生产、销售或者在经营活动中使用的列入目录产品予以查封或者扣押。</w:t>
            </w:r>
          </w:p>
        </w:tc>
        <w:tc>
          <w:tcPr>
            <w:tcW w:w="2595" w:type="dxa"/>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2"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6</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强制性产品认证</w:t>
            </w:r>
          </w:p>
        </w:tc>
        <w:tc>
          <w:tcPr>
            <w:tcW w:w="1980" w:type="dxa"/>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可以依法进入生产经营场所实施现场检查，查阅、复制有关合同、票据、帐薄以及其他资料，查封、扣押未经认证的产品或者不符合认证要求的产品</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强制性产品认证管理规定</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第三十八条</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县级以上地方市场监督管理部门进行强制性产品认证监督检查时，可以依法进入生产经营场所实施现场检查，查阅、复制有关合同、票据、帐薄以及其他资料，查封、扣押未经认证的产品或者不符合认证要求的产品。</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2595"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8"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7</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食品安全</w:t>
            </w:r>
          </w:p>
        </w:tc>
        <w:tc>
          <w:tcPr>
            <w:tcW w:w="1980" w:type="dxa"/>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查封、扣押有证据证明不符合食品安全标准或者有证据证明存在安全隐患以及用于违法生产经营的食品、食品添加剂、食品相关产品；</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查封违法从事生产经营活动的场所</w:t>
            </w: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Hans" w:bidi="ar"/>
                <w14:textFill>
                  <w14:solidFill>
                    <w14:schemeClr w14:val="tx1"/>
                  </w14:solidFill>
                </w14:textFill>
              </w:rPr>
              <w:t>中华人民共和国食品安全法</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第一百一十条</w:t>
            </w:r>
            <w:r>
              <w:rPr>
                <w:rFonts w:hint="eastAsia" w:ascii="宋体" w:hAnsi="宋体" w:eastAsia="宋体" w:cs="宋体"/>
                <w:b w:val="0"/>
                <w:bCs w:val="0"/>
                <w:color w:val="000000" w:themeColor="text1"/>
                <w:kern w:val="0"/>
                <w:sz w:val="24"/>
                <w:szCs w:val="24"/>
                <w:lang w:val="en-US" w:eastAsia="zh-Hans" w:bidi="ar"/>
                <w14:textFill>
                  <w14:solidFill>
                    <w14:schemeClr w14:val="tx1"/>
                  </w14:solidFill>
                </w14:textFill>
              </w:rPr>
              <w:t>第四项</w:t>
            </w:r>
            <w:r>
              <w:rPr>
                <w:rFonts w:hint="eastAsia" w:ascii="宋体" w:hAnsi="宋体" w:eastAsia="宋体" w:cs="宋体"/>
                <w:b w:val="0"/>
                <w:bCs w:val="0"/>
                <w:color w:val="000000" w:themeColor="text1"/>
                <w:kern w:val="0"/>
                <w:sz w:val="24"/>
                <w:szCs w:val="24"/>
                <w:lang w:eastAsia="zh-Hans"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Hans" w:bidi="ar"/>
                <w14:textFill>
                  <w14:solidFill>
                    <w14:schemeClr w14:val="tx1"/>
                  </w14:solidFill>
                </w14:textFill>
              </w:rPr>
              <w:t>五项</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fldChar w:fldCharType="begin"/>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instrText xml:space="preserve"> HYPERLINK "javascript:void(0);" </w:instrTex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fldChar w:fldCharType="separate"/>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fldChar w:fldCharType="end"/>
            </w:r>
            <w:bookmarkStart w:id="0" w:name="tiao_110_kuan_1_xiang_5"/>
            <w:bookmarkEnd w:id="0"/>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（五）查封违法从事生产经营活动的场所。</w:t>
            </w:r>
          </w:p>
        </w:tc>
        <w:tc>
          <w:tcPr>
            <w:tcW w:w="2595" w:type="dxa"/>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5"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8</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商标</w:t>
            </w:r>
          </w:p>
        </w:tc>
        <w:tc>
          <w:tcPr>
            <w:tcW w:w="198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对有证据证明是侵犯他人注册商标专用权的物品进行查封、扣押</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《中华人民共和国商标法》第六十二条</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p>
        </w:tc>
        <w:tc>
          <w:tcPr>
            <w:tcW w:w="2595" w:type="dxa"/>
            <w:vAlign w:val="center"/>
          </w:tcPr>
          <w:p>
            <w:pPr>
              <w:keepNext w:val="0"/>
              <w:keepLines w:val="0"/>
              <w:widowControl/>
              <w:numPr>
                <w:ilvl w:val="0"/>
                <w:numId w:val="1"/>
              </w:numPr>
              <w:suppressLineNumbers w:val="0"/>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包括但不限于：销售不知道是侵犯注册商标专用权的商品，能证明该商品是自己合法取得并说明提供者的</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p>
          <w:p>
            <w:pPr>
              <w:keepNext w:val="0"/>
              <w:keepLines w:val="0"/>
              <w:widowControl/>
              <w:numPr>
                <w:ilvl w:val="0"/>
                <w:numId w:val="0"/>
              </w:numPr>
              <w:suppressLineNumbers w:val="0"/>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6"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9</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计量</w:t>
            </w:r>
          </w:p>
        </w:tc>
        <w:tc>
          <w:tcPr>
            <w:tcW w:w="198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对未经型式批准或样机试验合格的计量器具新产品进行封存</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《中华人民共和国计量法实施细则》第四十四条</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制造、销售未经型式批准或样机试验合格的计量器具新产品的，责令其停止制造、销售，封存该种新产品，没收全部违法所得，可并处3000元以下的罚款</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p>
        </w:tc>
        <w:tc>
          <w:tcPr>
            <w:tcW w:w="259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9"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10</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价格</w:t>
            </w:r>
          </w:p>
        </w:tc>
        <w:tc>
          <w:tcPr>
            <w:tcW w:w="198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价格强制措施（责令暂停相关营业）</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《中华人民共和国价格法》第三十四条</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政府价格主管部门进行价格监督检查时，可以行使下列职权:(三)检查与价格违法行为有关的财物，必要时可以责令当事人暂停相关营业</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p>
        </w:tc>
        <w:tc>
          <w:tcPr>
            <w:tcW w:w="2595" w:type="dxa"/>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；3.</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例外情形</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符合</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价格违法行为行政处罚规定</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第十五条第一款情形的不能适用</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8" w:hRule="atLeast"/>
          <w:jc w:val="center"/>
        </w:trPr>
        <w:tc>
          <w:tcPr>
            <w:tcW w:w="625" w:type="dxa"/>
            <w:tcBorders>
              <w:bottom w:val="single" w:color="auto" w:sz="4" w:space="0"/>
            </w:tcBorders>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11</w:t>
            </w:r>
          </w:p>
        </w:tc>
        <w:tc>
          <w:tcPr>
            <w:tcW w:w="855" w:type="dxa"/>
            <w:tcBorders>
              <w:bottom w:val="single" w:color="auto" w:sz="4" w:space="0"/>
            </w:tcBorders>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专利</w:t>
            </w:r>
          </w:p>
        </w:tc>
        <w:tc>
          <w:tcPr>
            <w:tcW w:w="1980" w:type="dxa"/>
            <w:tcBorders>
              <w:bottom w:val="single" w:color="auto" w:sz="4" w:space="0"/>
            </w:tcBorders>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对有证据证明是假冒专利的产品进行查封或者扣押</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tcBorders>
              <w:bottom w:val="single" w:color="auto" w:sz="4" w:space="0"/>
            </w:tcBorders>
            <w:vAlign w:val="center"/>
          </w:tcPr>
          <w:p>
            <w:pPr>
              <w:keepNext w:val="0"/>
              <w:keepLines w:val="0"/>
              <w:widowControl/>
              <w:suppressLineNumbers w:val="0"/>
              <w:jc w:val="left"/>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《中华人民共和国专利法》第六十九条</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CN" w:bidi="ar"/>
                <w14:textFill>
                  <w14:solidFill>
                    <w14:schemeClr w14:val="tx1"/>
                  </w14:solidFill>
                </w14:textFill>
              </w:rPr>
              <w:t>负责专利执法的部门根据已经取得的证据，对涉嫌假冒专利行为进行查处时，有权采取下列措施：（五）对有证据证明是假冒专利的产品，可以查封或者扣押</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CN" w:bidi="ar"/>
                <w14:textFill>
                  <w14:solidFill>
                    <w14:schemeClr w14:val="tx1"/>
                  </w14:solidFill>
                </w14:textFill>
              </w:rPr>
              <w:t>。</w:t>
            </w:r>
          </w:p>
          <w:p>
            <w:pPr>
              <w:keepNext w:val="0"/>
              <w:keepLines w:val="0"/>
              <w:widowControl/>
              <w:suppressLineNumbers w:val="0"/>
              <w:jc w:val="left"/>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pPr>
          </w:p>
        </w:tc>
        <w:tc>
          <w:tcPr>
            <w:tcW w:w="2595" w:type="dxa"/>
            <w:tcBorders>
              <w:bottom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tcBorders>
              <w:bottom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tcBorders>
              <w:bottom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3" w:hRule="atLeast"/>
          <w:jc w:val="center"/>
        </w:trPr>
        <w:tc>
          <w:tcPr>
            <w:tcW w:w="625" w:type="dxa"/>
            <w:tcBorders>
              <w:top w:val="single" w:color="auto" w:sz="4" w:space="0"/>
              <w:bottom w:val="single" w:color="auto" w:sz="4" w:space="0"/>
            </w:tcBorders>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12</w:t>
            </w:r>
          </w:p>
        </w:tc>
        <w:tc>
          <w:tcPr>
            <w:tcW w:w="855" w:type="dxa"/>
            <w:tcBorders>
              <w:top w:val="single" w:color="auto" w:sz="4" w:space="0"/>
              <w:bottom w:val="single" w:color="auto" w:sz="4" w:space="0"/>
            </w:tcBorders>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特种设备</w:t>
            </w:r>
          </w:p>
        </w:tc>
        <w:tc>
          <w:tcPr>
            <w:tcW w:w="1980" w:type="dxa"/>
            <w:tcBorders>
              <w:top w:val="single" w:color="auto" w:sz="4" w:space="0"/>
              <w:bottom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对有证据表明不符合安全技术规范要求的特种设备实施查封</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扣押</w:t>
            </w:r>
          </w:p>
        </w:tc>
        <w:tc>
          <w:tcPr>
            <w:tcW w:w="3240" w:type="dxa"/>
            <w:tcBorders>
              <w:top w:val="single" w:color="auto" w:sz="4" w:space="0"/>
              <w:bottom w:val="single" w:color="auto" w:sz="4" w:space="0"/>
            </w:tcBorders>
            <w:vAlign w:val="center"/>
          </w:tcPr>
          <w:p>
            <w:pPr>
              <w:keepNext w:val="0"/>
              <w:keepLines w:val="0"/>
              <w:widowControl/>
              <w:suppressLineNumbers w:val="0"/>
              <w:jc w:val="left"/>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中华人民共和国特种设备安全法</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第六十一条第三项</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负责特种设备安全监督管理的部门在依法履行监督管理职责时</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可以行使下列职权</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三</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对有证据表明不符合安全技术规范要求或者存在严重故意隐患的特种设备实施查封</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扣押</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p>
        </w:tc>
        <w:tc>
          <w:tcPr>
            <w:tcW w:w="2595" w:type="dxa"/>
            <w:tcBorders>
              <w:top w:val="single" w:color="auto" w:sz="4" w:space="0"/>
              <w:bottom w:val="single" w:color="auto" w:sz="4" w:space="0"/>
            </w:tcBorders>
            <w:vAlign w:val="center"/>
          </w:tcPr>
          <w:p>
            <w:pPr>
              <w:numPr>
                <w:ilvl w:val="0"/>
                <w:numId w:val="2"/>
              </w:num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未造成危害后果或危害后果轻微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.无公共安全隐患或事故隐患</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p>
          <w:p>
            <w:pPr>
              <w:numPr>
                <w:ilvl w:val="0"/>
                <w:numId w:val="0"/>
              </w:num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3</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.当场能够整改</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tcBorders>
              <w:top w:val="single" w:color="auto" w:sz="4" w:space="0"/>
              <w:bottom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tcBorders>
              <w:top w:val="single" w:color="auto" w:sz="4" w:space="0"/>
              <w:bottom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3" w:hRule="atLeast"/>
          <w:jc w:val="center"/>
        </w:trPr>
        <w:tc>
          <w:tcPr>
            <w:tcW w:w="625" w:type="dxa"/>
            <w:tcBorders>
              <w:top w:val="single" w:color="auto" w:sz="4" w:space="0"/>
              <w:bottom w:val="single" w:color="auto" w:sz="4" w:space="0"/>
            </w:tcBorders>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13</w:t>
            </w:r>
          </w:p>
        </w:tc>
        <w:tc>
          <w:tcPr>
            <w:tcW w:w="855" w:type="dxa"/>
            <w:tcBorders>
              <w:top w:val="single" w:color="auto" w:sz="4" w:space="0"/>
              <w:bottom w:val="single" w:color="auto" w:sz="4" w:space="0"/>
            </w:tcBorders>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公平竞争</w:t>
            </w:r>
          </w:p>
        </w:tc>
        <w:tc>
          <w:tcPr>
            <w:tcW w:w="1980" w:type="dxa"/>
            <w:tcBorders>
              <w:top w:val="single" w:color="auto" w:sz="4" w:space="0"/>
              <w:bottom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因直销员未按照规定向消费者推销产品对企业的有关材料和非法财物进行查封</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扣押</w:t>
            </w:r>
          </w:p>
        </w:tc>
        <w:tc>
          <w:tcPr>
            <w:tcW w:w="3240" w:type="dxa"/>
            <w:tcBorders>
              <w:top w:val="single" w:color="auto" w:sz="4" w:space="0"/>
              <w:bottom w:val="single" w:color="auto" w:sz="4" w:space="0"/>
            </w:tcBorders>
            <w:vAlign w:val="center"/>
          </w:tcPr>
          <w:p>
            <w:pPr>
              <w:keepNext w:val="0"/>
              <w:keepLines w:val="0"/>
              <w:widowControl/>
              <w:suppressLineNumbers w:val="0"/>
              <w:jc w:val="left"/>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直销管理条例</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第三十五条第一款第四项</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工商行政管理部门负责对直销企业和直销员及其直销活动实施日常的监督管理</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工商行政管理部门可以采取下列措施进行现场检查</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四</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查阅</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复制、查封</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扣押相关企业与直销活动有关的材料和非法财物</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p>
        </w:tc>
        <w:tc>
          <w:tcPr>
            <w:tcW w:w="2595" w:type="dxa"/>
            <w:tcBorders>
              <w:top w:val="single" w:color="auto" w:sz="4" w:space="0"/>
              <w:bottom w:val="single" w:color="auto" w:sz="4" w:space="0"/>
            </w:tcBorders>
            <w:vAlign w:val="center"/>
          </w:tcPr>
          <w:p>
            <w:pPr>
              <w:numPr>
                <w:ilvl w:val="0"/>
                <w:numId w:val="3"/>
              </w:num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情节显著轻微或者没有明显社会危害</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p>
          <w:p>
            <w:pPr>
              <w:numPr>
                <w:ilvl w:val="0"/>
                <w:numId w:val="3"/>
              </w:num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自行纠正或在责令期限内改正</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tcBorders>
              <w:top w:val="single" w:color="auto" w:sz="4" w:space="0"/>
              <w:bottom w:val="single" w:color="auto" w:sz="4" w:space="0"/>
            </w:tcBorders>
            <w:vAlign w:val="center"/>
          </w:tcPr>
          <w:p>
            <w:pPr>
              <w:numPr>
                <w:ilvl w:val="0"/>
                <w:numId w:val="0"/>
              </w:num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tcBorders>
              <w:top w:val="single" w:color="auto" w:sz="4" w:space="0"/>
              <w:bottom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numPr>
                <w:ilvl w:val="0"/>
                <w:numId w:val="0"/>
              </w:num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625" w:type="dxa"/>
            <w:tcBorders>
              <w:top w:val="single" w:color="auto" w:sz="4" w:space="0"/>
            </w:tcBorders>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14</w:t>
            </w:r>
          </w:p>
        </w:tc>
        <w:tc>
          <w:tcPr>
            <w:tcW w:w="855" w:type="dxa"/>
            <w:tcBorders>
              <w:top w:val="single" w:color="auto" w:sz="4" w:space="0"/>
            </w:tcBorders>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药品</w:t>
            </w:r>
          </w:p>
        </w:tc>
        <w:tc>
          <w:tcPr>
            <w:tcW w:w="1980" w:type="dxa"/>
            <w:tcBorders>
              <w:top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对包装未按照规定印有</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贴有标签或者附有说明书</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标签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说明书未按照规定注明相关信息或者印有规定标志的药品进行查封、扣押</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依法应当按照假药</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劣药处罚的除外</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p>
        </w:tc>
        <w:tc>
          <w:tcPr>
            <w:tcW w:w="3240" w:type="dxa"/>
            <w:tcBorders>
              <w:top w:val="single" w:color="auto" w:sz="4" w:space="0"/>
              <w:bottom w:val="single" w:color="auto" w:sz="4" w:space="0"/>
            </w:tcBorders>
            <w:vAlign w:val="center"/>
          </w:tcPr>
          <w:p>
            <w:pPr>
              <w:keepNext w:val="0"/>
              <w:keepLines w:val="0"/>
              <w:widowControl/>
              <w:suppressLineNumbers w:val="0"/>
              <w:jc w:val="left"/>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中华人民共和国药品管理法</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第一百条第二款</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对有证据证明可能危害人体健康的药品及其有关材料</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药品监督管理部门可以查封扣押</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并在七日内作出行政处理决定</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药品需要检验的</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24"/>
                <w:szCs w:val="24"/>
                <w:u w:val="none"/>
                <w:shd w:val="clear" w:fill="FFFFFF"/>
                <w:lang w:val="en-US" w:eastAsia="zh-Hans" w:bidi="ar"/>
                <w14:textFill>
                  <w14:solidFill>
                    <w14:schemeClr w14:val="tx1"/>
                  </w14:solidFill>
                </w14:textFill>
              </w:rPr>
              <w:t>应当自检验报告发出之日起十日内作出行政处理决定</w:t>
            </w:r>
            <w:r>
              <w:rPr>
                <w:rFonts w:hint="eastAsia" w:ascii="宋体" w:hAnsi="宋体" w:eastAsia="宋体" w:cs="宋体"/>
                <w:b w:val="0"/>
                <w:bCs w:val="0"/>
                <w:i w:val="0"/>
                <w:iCs w:val="0"/>
                <w:caps w:val="0"/>
                <w:color w:val="000000" w:themeColor="text1"/>
                <w:spacing w:val="0"/>
                <w:kern w:val="0"/>
                <w:sz w:val="24"/>
                <w:szCs w:val="24"/>
                <w:u w:val="none"/>
                <w:shd w:val="clear" w:fill="FFFFFF"/>
                <w:lang w:eastAsia="zh-Hans" w:bidi="ar"/>
                <w14:textFill>
                  <w14:solidFill>
                    <w14:schemeClr w14:val="tx1"/>
                  </w14:solidFill>
                </w14:textFill>
              </w:rPr>
              <w:t>。</w:t>
            </w:r>
          </w:p>
        </w:tc>
        <w:tc>
          <w:tcPr>
            <w:tcW w:w="2595" w:type="dxa"/>
            <w:tcBorders>
              <w:top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.情节显著轻微或者没有明显社会危害</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.自行纠正活在责令期限内改正</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tcBorders>
              <w:top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tcBorders>
              <w:top w:val="single" w:color="auto" w:sz="4" w:space="0"/>
            </w:tcBorders>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15</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农药管理</w:t>
            </w:r>
          </w:p>
        </w:tc>
        <w:tc>
          <w:tcPr>
            <w:tcW w:w="1980" w:type="dxa"/>
            <w:vAlign w:val="center"/>
          </w:tcPr>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对农药负有监督管理职责的部门对经检测不符合质量安全标准的农产品及其加工品，有权查封、扣押，并依法处理；对含有本经济特区禁止使用的农药的农产品及其加工品，应当就地销毁。</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tcBorders>
              <w:top w:val="single" w:color="auto" w:sz="4" w:space="0"/>
            </w:tcBorders>
            <w:vAlign w:val="center"/>
          </w:tcPr>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海南经济特区农药管理若干规定</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第三十四条第二款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农产品及其加工品的生产者、收购者、销售者对本规定第二十六条第一款、第二十九条、第三十二条规定的监督抽查检测，有义务依法提供监督检测样品。检测机构应当如实出具检测报告。对监督检测结果有异议的，可以自收到检测结果之日起五日内，向组织实施检查的行政主管部门或其上级行政主管部门申请复检；对采用快速检测方法进行的监督抽查检测，可以自收到检测结果时起四小时内申请复检。复检不得采用快速检测方法。</w:t>
            </w:r>
          </w:p>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bookmarkStart w:id="1" w:name="tiao_34_kuan_2"/>
            <w:bookmarkEnd w:id="1"/>
            <w:r>
              <w:rPr>
                <w:rFonts w:hint="eastAsia" w:ascii="宋体" w:hAnsi="宋体" w:eastAsia="宋体" w:cs="宋体"/>
                <w:color w:val="000000" w:themeColor="text1"/>
                <w:kern w:val="0"/>
                <w:sz w:val="24"/>
                <w:szCs w:val="24"/>
                <w:lang w:val="en-US" w:eastAsia="zh-CN" w:bidi="ar"/>
                <w14:textFill>
                  <w14:solidFill>
                    <w14:schemeClr w14:val="tx1"/>
                  </w14:solidFill>
                </w14:textFill>
              </w:rPr>
              <w:t>对农药负有监督管理职责的部门对经检测不符合质量安全标准的农产品及其加工品，有权查封、扣押，并依法处理；对含有本经济特区禁止使用的农药的农产品及其加工品，应当就地</w:t>
            </w:r>
            <w:r>
              <w:rPr>
                <w:rFonts w:hint="eastAsia" w:ascii="宋体" w:hAnsi="宋体" w:eastAsia="宋体" w:cs="宋体"/>
                <w:color w:val="000000" w:themeColor="text1"/>
                <w:kern w:val="0"/>
                <w:sz w:val="24"/>
                <w:szCs w:val="24"/>
                <w:lang w:val="en-US" w:eastAsia="zh-Hans" w:bidi="ar"/>
                <w14:textFill>
                  <w14:solidFill>
                    <w14:schemeClr w14:val="tx1"/>
                  </w14:solidFill>
                </w14:textFill>
              </w:rPr>
              <w:t>销</w:t>
            </w:r>
            <w:r>
              <w:rPr>
                <w:rFonts w:hint="eastAsia" w:ascii="宋体" w:hAnsi="宋体" w:eastAsia="宋体" w:cs="宋体"/>
                <w:color w:val="000000" w:themeColor="text1"/>
                <w:kern w:val="0"/>
                <w:sz w:val="24"/>
                <w:szCs w:val="24"/>
                <w:lang w:val="en-US" w:eastAsia="zh-CN" w:bidi="ar"/>
                <w14:textFill>
                  <w14:solidFill>
                    <w14:schemeClr w14:val="tx1"/>
                  </w14:solidFill>
                </w14:textFill>
              </w:rPr>
              <w:t>毁。</w:t>
            </w:r>
          </w:p>
        </w:tc>
        <w:tc>
          <w:tcPr>
            <w:tcW w:w="2595" w:type="dxa"/>
            <w:vAlign w:val="center"/>
          </w:tcPr>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16</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不可降解塑料</w:t>
            </w:r>
          </w:p>
        </w:tc>
        <w:tc>
          <w:tcPr>
            <w:tcW w:w="1980" w:type="dxa"/>
            <w:vAlign w:val="center"/>
          </w:tcPr>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依法查封、扣押禁止名录内的塑料制品和直接用于生产该塑料制品的原辅材料、包装物、生产工具</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vAlign w:val="center"/>
          </w:tcPr>
          <w:p>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海南经济特区禁止一次性不可降解塑料制品规定</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第四项</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县级以上人民政府市场监督管理等有关部门履行禁止生产、运输、销售、储存、使用一次性不可降解塑料制品监督检查职责时，有权采取下列措施：（四）依法查封、扣押禁止名录内的塑料制品和直接用于生产该塑料制品的原辅材料、包装物、生产工具</w:t>
            </w:r>
            <w:r>
              <w:rPr>
                <w:rFonts w:hint="eastAsia" w:ascii="宋体" w:hAnsi="宋体" w:eastAsia="宋体" w:cs="宋体"/>
                <w:color w:val="000000" w:themeColor="text1"/>
                <w:kern w:val="0"/>
                <w:sz w:val="24"/>
                <w:szCs w:val="24"/>
                <w:lang w:eastAsia="zh-CN" w:bidi="ar"/>
                <w14:textFill>
                  <w14:solidFill>
                    <w14:schemeClr w14:val="tx1"/>
                  </w14:solidFill>
                </w14:textFill>
              </w:rPr>
              <w:t>。</w:t>
            </w:r>
          </w:p>
        </w:tc>
        <w:tc>
          <w:tcPr>
            <w:tcW w:w="2595"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17</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标准化管理</w:t>
            </w:r>
          </w:p>
        </w:tc>
        <w:tc>
          <w:tcPr>
            <w:tcW w:w="1980" w:type="dxa"/>
            <w:vAlign w:val="center"/>
          </w:tcPr>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对有根据认为不符合保障人体健康和人身、财产安全的国家标准、行业标准的产品，以及直接用于生产、销售该项产品的原辅材料、包装物、生产工具，予以查封或者扣押</w:t>
            </w:r>
          </w:p>
          <w:p>
            <w:pPr>
              <w:jc w:val="left"/>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p>
        </w:tc>
        <w:tc>
          <w:tcPr>
            <w:tcW w:w="3240" w:type="dxa"/>
            <w:vAlign w:val="center"/>
          </w:tcPr>
          <w:p>
            <w:pPr>
              <w:keepNext w:val="0"/>
              <w:keepLines w:val="0"/>
              <w:widowControl/>
              <w:suppressLineNumbers w:val="0"/>
              <w:jc w:val="left"/>
              <w:rPr>
                <w:rFonts w:hint="eastAsia" w:ascii="宋体" w:hAnsi="宋体" w:eastAsia="宋体" w:cs="宋体"/>
                <w:color w:val="000000" w:themeColor="text1"/>
                <w:kern w:val="0"/>
                <w:sz w:val="24"/>
                <w:szCs w:val="24"/>
                <w:lang w:eastAsia="zh-Hans" w:bidi="ar"/>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海南经济特区标准化管理规定</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第二十四条第三项</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县级以上标准化行政主管部门对标准实施的监督检查，可以采取以下措施：（三）对有根据认为不符合保障人体健康和人身、财产安全的国家标准、行业标准的产品，以及直接用于生产、销售该项产品的原辅材料、包装物、生产工具，予以查封或者扣押。</w:t>
            </w:r>
          </w:p>
        </w:tc>
        <w:tc>
          <w:tcPr>
            <w:tcW w:w="2595"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.情节显著轻微</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.没有明显社会危害</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p>
        </w:tc>
        <w:tc>
          <w:tcPr>
            <w:tcW w:w="2085" w:type="dxa"/>
            <w:vAlign w:val="center"/>
          </w:tcPr>
          <w:p>
            <w:pPr>
              <w:jc w:val="left"/>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625" w:type="dxa"/>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18</w:t>
            </w:r>
          </w:p>
        </w:tc>
        <w:tc>
          <w:tcPr>
            <w:tcW w:w="85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其他</w:t>
            </w:r>
          </w:p>
        </w:tc>
        <w:tc>
          <w:tcPr>
            <w:tcW w:w="7815" w:type="dxa"/>
            <w:gridSpan w:val="3"/>
            <w:vAlign w:val="center"/>
          </w:tcPr>
          <w:p>
            <w:pPr>
              <w:jc w:val="cente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对不符合行政处罚的违法行为</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原则上可以不予实施行政强制措施</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p>
        </w:tc>
        <w:tc>
          <w:tcPr>
            <w:tcW w:w="2085" w:type="dxa"/>
            <w:vAlign w:val="center"/>
          </w:tcPr>
          <w:p>
            <w:pPr>
              <w:jc w:val="cente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《中华人民共和国行政强制法》第十六条</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第二款</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优化营商环境条例</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第五十九条</w:t>
            </w:r>
          </w:p>
        </w:tc>
        <w:tc>
          <w:tcPr>
            <w:tcW w:w="3234" w:type="dxa"/>
            <w:vAlign w:val="center"/>
          </w:tcPr>
          <w:p>
            <w:pPr>
              <w:jc w:val="left"/>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1</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.通过</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说服教育、劝导示范、警示告诫、指导约谈等方式，努力做到宽严相济、全面落实“谁执法谁普法”普法责任制</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p>
            <w:pPr>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2</w:t>
            </w:r>
            <w:r>
              <w:rPr>
                <w:rFonts w:hint="eastAsia" w:ascii="宋体" w:hAnsi="宋体" w:eastAsia="宋体" w:cs="宋体"/>
                <w:b w:val="0"/>
                <w:bCs w:val="0"/>
                <w:color w:val="000000" w:themeColor="text1"/>
                <w:sz w:val="24"/>
                <w:szCs w:val="24"/>
                <w:vertAlign w:val="baseline"/>
                <w:lang w:val="en-US" w:eastAsia="zh-Hans"/>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Hans"/>
                <w14:textFill>
                  <w14:solidFill>
                    <w14:schemeClr w14:val="tx1"/>
                  </w14:solidFill>
                </w14:textFill>
              </w:rPr>
              <w:t>推行“双随机、一公开”监管，加强跨部门联合联查力度</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w:t>
            </w:r>
          </w:p>
        </w:tc>
      </w:tr>
    </w:tbl>
    <w:p>
      <w:pPr>
        <w:rPr>
          <w:rFonts w:hint="eastAsia" w:ascii="宋体" w:hAnsi="宋体" w:eastAsia="宋体" w:cs="宋体"/>
          <w:sz w:val="24"/>
          <w:szCs w:val="24"/>
          <w:lang w:val="en-US" w:eastAsia="zh-CN"/>
        </w:rPr>
      </w:pPr>
    </w:p>
    <w:p>
      <w:pPr>
        <w:rPr>
          <w:rFonts w:hint="default"/>
          <w:lang w:val="en-US" w:eastAsia="zh-CN"/>
        </w:rPr>
      </w:pPr>
    </w:p>
    <w:p/>
    <w:sectPr>
      <w:footerReference r:id="rId3" w:type="default"/>
      <w:pgSz w:w="16838" w:h="11906" w:orient="landscape"/>
      <w:pgMar w:top="1134" w:right="850"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DD792"/>
    <w:multiLevelType w:val="singleLevel"/>
    <w:tmpl w:val="8C8DD792"/>
    <w:lvl w:ilvl="0" w:tentative="0">
      <w:start w:val="1"/>
      <w:numFmt w:val="decimal"/>
      <w:lvlText w:val="%1."/>
      <w:lvlJc w:val="left"/>
      <w:pPr>
        <w:tabs>
          <w:tab w:val="left" w:pos="312"/>
        </w:tabs>
      </w:pPr>
    </w:lvl>
  </w:abstractNum>
  <w:abstractNum w:abstractNumId="1">
    <w:nsid w:val="FA407D40"/>
    <w:multiLevelType w:val="singleLevel"/>
    <w:tmpl w:val="FA407D40"/>
    <w:lvl w:ilvl="0" w:tentative="0">
      <w:start w:val="1"/>
      <w:numFmt w:val="decimal"/>
      <w:lvlText w:val="%1."/>
      <w:lvlJc w:val="left"/>
      <w:pPr>
        <w:tabs>
          <w:tab w:val="left" w:pos="312"/>
        </w:tabs>
      </w:pPr>
    </w:lvl>
  </w:abstractNum>
  <w:abstractNum w:abstractNumId="2">
    <w:nsid w:val="FDD63B14"/>
    <w:multiLevelType w:val="singleLevel"/>
    <w:tmpl w:val="FDD63B1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ODE4YzFjZjU5MGU0ZWIwZmFkOTIyMjYwZjJmZGMifQ=="/>
  </w:docVars>
  <w:rsids>
    <w:rsidRoot w:val="00000000"/>
    <w:rsid w:val="2423080D"/>
    <w:rsid w:val="2E930110"/>
    <w:rsid w:val="64141871"/>
    <w:rsid w:val="69996D10"/>
    <w:rsid w:val="6FFFC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5691</Words>
  <Characters>5778</Characters>
  <Lines>0</Lines>
  <Paragraphs>0</Paragraphs>
  <TotalTime>0</TotalTime>
  <ScaleCrop>false</ScaleCrop>
  <LinksUpToDate>false</LinksUpToDate>
  <CharactersWithSpaces>5818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2022-12-23T13:03:00Z</dcterms:created>
  <dc:creator>Administrator</dc:creator>
  <cp:lastModifiedBy>王兆东</cp:lastModifiedBy>
  <dcterms:modified xsi:type="dcterms:W3CDTF">2022-12-23T16:06:44Z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2DA800AD72644EE88BF299AE45B4F804</vt:lpwstr>
  </property>
</Properties>
</file>