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FD1E4">
      <w:pPr>
        <w:spacing w:line="360" w:lineRule="auto"/>
        <w:jc w:val="center"/>
        <w:rPr>
          <w:rFonts w:hint="eastAsia" w:ascii="宋体" w:hAnsi="宋体" w:cs="宋体"/>
          <w:b/>
          <w:bCs/>
          <w:color w:val="000000"/>
          <w:sz w:val="48"/>
          <w:szCs w:val="48"/>
        </w:rPr>
      </w:pPr>
    </w:p>
    <w:p w14:paraId="6402815A">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w:t>
      </w:r>
      <w:r>
        <w:rPr>
          <w:rFonts w:hint="eastAsia" w:ascii="宋体" w:hAnsi="宋体" w:cs="宋体"/>
          <w:b/>
          <w:bCs/>
          <w:color w:val="000000"/>
          <w:sz w:val="48"/>
          <w:szCs w:val="48"/>
          <w:lang w:val="en-US" w:eastAsia="zh-CN"/>
        </w:rPr>
        <w:t>汽车内饰材料</w:t>
      </w:r>
      <w:r>
        <w:rPr>
          <w:rFonts w:hint="eastAsia" w:ascii="宋体" w:hAnsi="宋体" w:cs="宋体"/>
          <w:b/>
          <w:bCs/>
          <w:color w:val="000000"/>
          <w:sz w:val="48"/>
          <w:szCs w:val="48"/>
        </w:rPr>
        <w:t>产品省级</w:t>
      </w:r>
    </w:p>
    <w:p w14:paraId="61B18274">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监督抽查实施细则</w:t>
      </w:r>
    </w:p>
    <w:p w14:paraId="3CDD4BAB">
      <w:pPr>
        <w:spacing w:line="360" w:lineRule="auto"/>
        <w:jc w:val="center"/>
        <w:rPr>
          <w:rFonts w:hint="eastAsia" w:ascii="宋体" w:hAnsi="宋体" w:cs="宋体"/>
          <w:b/>
          <w:bCs/>
          <w:color w:val="000000"/>
          <w:sz w:val="48"/>
          <w:szCs w:val="48"/>
        </w:rPr>
      </w:pPr>
    </w:p>
    <w:p w14:paraId="5FFE1F05">
      <w:pPr>
        <w:spacing w:line="360" w:lineRule="auto"/>
        <w:jc w:val="center"/>
        <w:rPr>
          <w:rFonts w:hint="eastAsia" w:ascii="宋体" w:hAnsi="宋体" w:cs="宋体"/>
          <w:b/>
          <w:bCs/>
          <w:color w:val="000000"/>
          <w:sz w:val="48"/>
          <w:szCs w:val="48"/>
        </w:rPr>
      </w:pPr>
    </w:p>
    <w:p w14:paraId="6084549A">
      <w:pPr>
        <w:spacing w:line="360" w:lineRule="auto"/>
        <w:jc w:val="center"/>
        <w:rPr>
          <w:rFonts w:hint="eastAsia" w:ascii="宋体" w:hAnsi="宋体" w:cs="宋体"/>
          <w:b/>
          <w:bCs/>
          <w:color w:val="000000"/>
          <w:sz w:val="48"/>
          <w:szCs w:val="48"/>
        </w:rPr>
      </w:pPr>
    </w:p>
    <w:p w14:paraId="633CF0CC">
      <w:pPr>
        <w:spacing w:line="360" w:lineRule="auto"/>
        <w:jc w:val="center"/>
        <w:rPr>
          <w:rFonts w:hint="eastAsia" w:ascii="宋体" w:hAnsi="宋体" w:cs="宋体"/>
          <w:b/>
          <w:bCs/>
          <w:color w:val="000000"/>
          <w:sz w:val="48"/>
          <w:szCs w:val="48"/>
        </w:rPr>
      </w:pPr>
    </w:p>
    <w:p w14:paraId="05622AFC">
      <w:pPr>
        <w:spacing w:line="360" w:lineRule="auto"/>
        <w:jc w:val="center"/>
        <w:rPr>
          <w:rFonts w:hint="eastAsia" w:ascii="宋体" w:hAnsi="宋体" w:cs="宋体"/>
          <w:b/>
          <w:bCs/>
          <w:color w:val="000000"/>
          <w:sz w:val="48"/>
          <w:szCs w:val="48"/>
        </w:rPr>
      </w:pPr>
    </w:p>
    <w:p w14:paraId="11D45A61">
      <w:pPr>
        <w:spacing w:line="360" w:lineRule="auto"/>
        <w:jc w:val="center"/>
        <w:rPr>
          <w:rFonts w:hint="eastAsia" w:ascii="宋体" w:hAnsi="宋体" w:cs="宋体"/>
          <w:b/>
          <w:bCs/>
          <w:color w:val="000000"/>
          <w:sz w:val="48"/>
          <w:szCs w:val="48"/>
        </w:rPr>
      </w:pPr>
    </w:p>
    <w:p w14:paraId="1C2C8AC4">
      <w:pPr>
        <w:spacing w:line="360" w:lineRule="auto"/>
        <w:jc w:val="center"/>
        <w:rPr>
          <w:rFonts w:hint="eastAsia" w:ascii="宋体" w:hAnsi="宋体" w:cs="宋体"/>
          <w:b/>
          <w:bCs/>
          <w:color w:val="000000"/>
          <w:sz w:val="48"/>
          <w:szCs w:val="48"/>
        </w:rPr>
      </w:pPr>
    </w:p>
    <w:p w14:paraId="190FF567">
      <w:pPr>
        <w:spacing w:line="360" w:lineRule="auto"/>
        <w:jc w:val="center"/>
        <w:rPr>
          <w:rFonts w:hint="eastAsia" w:ascii="宋体" w:hAnsi="宋体" w:cs="宋体"/>
          <w:b/>
          <w:bCs/>
          <w:color w:val="000000"/>
          <w:sz w:val="48"/>
          <w:szCs w:val="48"/>
        </w:rPr>
      </w:pPr>
    </w:p>
    <w:p w14:paraId="193B7DA0">
      <w:pPr>
        <w:spacing w:line="360" w:lineRule="auto"/>
        <w:jc w:val="center"/>
        <w:rPr>
          <w:rFonts w:hint="eastAsia" w:ascii="宋体" w:hAnsi="宋体" w:cs="宋体"/>
          <w:b/>
          <w:bCs/>
          <w:color w:val="000000"/>
          <w:sz w:val="48"/>
          <w:szCs w:val="48"/>
        </w:rPr>
      </w:pPr>
    </w:p>
    <w:p w14:paraId="29011980">
      <w:pPr>
        <w:spacing w:line="360" w:lineRule="auto"/>
        <w:jc w:val="center"/>
        <w:rPr>
          <w:rFonts w:hint="eastAsia" w:ascii="宋体" w:hAnsi="宋体" w:cs="宋体"/>
          <w:b/>
          <w:bCs/>
          <w:color w:val="000000"/>
          <w:sz w:val="48"/>
          <w:szCs w:val="48"/>
        </w:rPr>
      </w:pPr>
    </w:p>
    <w:p w14:paraId="732A4898">
      <w:pPr>
        <w:spacing w:line="360" w:lineRule="auto"/>
        <w:jc w:val="center"/>
        <w:rPr>
          <w:rFonts w:hint="eastAsia" w:ascii="宋体" w:hAnsi="宋体" w:cs="宋体"/>
          <w:b/>
          <w:bCs/>
          <w:color w:val="000000"/>
          <w:sz w:val="48"/>
          <w:szCs w:val="48"/>
        </w:rPr>
      </w:pPr>
    </w:p>
    <w:p w14:paraId="33175FE9">
      <w:pPr>
        <w:spacing w:line="360" w:lineRule="auto"/>
        <w:jc w:val="center"/>
        <w:rPr>
          <w:rFonts w:hint="eastAsia" w:ascii="宋体" w:hAnsi="宋体" w:cs="宋体"/>
          <w:b/>
          <w:bCs/>
          <w:color w:val="000000"/>
          <w:sz w:val="48"/>
          <w:szCs w:val="48"/>
        </w:rPr>
      </w:pPr>
    </w:p>
    <w:p w14:paraId="145E3287">
      <w:pPr>
        <w:spacing w:line="360" w:lineRule="auto"/>
        <w:jc w:val="center"/>
        <w:rPr>
          <w:rFonts w:hint="eastAsia" w:ascii="宋体" w:hAnsi="宋体" w:cs="宋体"/>
          <w:b/>
          <w:bCs/>
          <w:color w:val="000000"/>
          <w:sz w:val="48"/>
          <w:szCs w:val="48"/>
        </w:rPr>
      </w:pPr>
    </w:p>
    <w:p w14:paraId="516FAD10">
      <w:pPr>
        <w:spacing w:line="360" w:lineRule="auto"/>
        <w:jc w:val="center"/>
        <w:rPr>
          <w:rFonts w:hint="eastAsia" w:ascii="宋体" w:hAnsi="宋体" w:cs="宋体"/>
          <w:b/>
          <w:bCs/>
          <w:color w:val="000000"/>
          <w:sz w:val="48"/>
          <w:szCs w:val="48"/>
        </w:rPr>
      </w:pPr>
    </w:p>
    <w:p w14:paraId="2E141720">
      <w:pPr>
        <w:spacing w:line="360" w:lineRule="auto"/>
        <w:jc w:val="center"/>
        <w:rPr>
          <w:rFonts w:hint="eastAsia" w:ascii="宋体" w:hAnsi="宋体" w:cs="宋体"/>
          <w:b/>
          <w:bCs/>
          <w:color w:val="000000"/>
          <w:sz w:val="48"/>
          <w:szCs w:val="48"/>
        </w:rPr>
      </w:pPr>
    </w:p>
    <w:p w14:paraId="538ADCE9">
      <w:pPr>
        <w:spacing w:line="360" w:lineRule="auto"/>
        <w:jc w:val="center"/>
        <w:rPr>
          <w:rFonts w:hint="eastAsia" w:ascii="宋体" w:hAnsi="宋体" w:cs="宋体"/>
          <w:b/>
          <w:bCs/>
          <w:color w:val="000000"/>
          <w:sz w:val="48"/>
          <w:szCs w:val="48"/>
        </w:rPr>
      </w:pPr>
    </w:p>
    <w:p w14:paraId="67B3CE6A">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14:paraId="7E326B57">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14:paraId="47D122E5">
      <w:pPr>
        <w:spacing w:line="660" w:lineRule="exact"/>
        <w:rPr>
          <w:rFonts w:hint="eastAsia" w:ascii="仿宋" w:hAnsi="仿宋" w:eastAsia="仿宋" w:cs="仿宋"/>
          <w:b/>
          <w:bCs/>
          <w:sz w:val="44"/>
          <w:szCs w:val="44"/>
        </w:rPr>
      </w:pPr>
    </w:p>
    <w:p w14:paraId="6E4B72F3">
      <w:pPr>
        <w:autoSpaceDE w:val="0"/>
        <w:autoSpaceDN w:val="0"/>
        <w:spacing w:line="360" w:lineRule="auto"/>
        <w:jc w:val="center"/>
        <w:rPr>
          <w:rFonts w:eastAsia="微软雅黑" w:cs="宋体"/>
          <w:color w:val="000000"/>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汽车内饰材料</w:t>
      </w:r>
      <w:r>
        <w:rPr>
          <w:rFonts w:hint="eastAsia" w:ascii="宋体" w:hAnsi="宋体" w:cs="仿宋"/>
          <w:b/>
          <w:bCs/>
          <w:sz w:val="32"/>
          <w:szCs w:val="32"/>
        </w:rPr>
        <w:t>产品省级监督抽查实施细则</w:t>
      </w:r>
    </w:p>
    <w:p w14:paraId="618C2721">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14:paraId="70E1C248">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本细则适用于海南省</w:t>
      </w:r>
      <w:r>
        <w:rPr>
          <w:rFonts w:hint="eastAsia" w:ascii="仿宋" w:hAnsi="仿宋" w:cs="仿宋"/>
          <w:color w:val="000000"/>
          <w:szCs w:val="28"/>
          <w:shd w:val="clear" w:color="auto" w:fill="FFFFFF"/>
          <w:lang w:val="en-US" w:eastAsia="zh-CN"/>
        </w:rPr>
        <w:t>汽车内饰材料</w:t>
      </w:r>
      <w:r>
        <w:rPr>
          <w:rFonts w:hint="eastAsia" w:ascii="仿宋" w:hAnsi="仿宋" w:cs="仿宋"/>
          <w:color w:val="000000"/>
          <w:szCs w:val="28"/>
          <w:shd w:val="clear" w:color="auto" w:fill="FFFFFF"/>
        </w:rPr>
        <w:t>产品监督抽查，监督抽查产品范围为海南省范围内市场领域的</w:t>
      </w:r>
      <w:r>
        <w:rPr>
          <w:rFonts w:hint="eastAsia" w:ascii="仿宋" w:hAnsi="仿宋" w:cs="仿宋"/>
          <w:color w:val="000000"/>
          <w:szCs w:val="28"/>
          <w:shd w:val="clear" w:color="auto" w:fill="FFFFFF"/>
          <w:lang w:val="en-US" w:eastAsia="zh-CN"/>
        </w:rPr>
        <w:t>汽车内饰材料</w:t>
      </w:r>
      <w:r>
        <w:rPr>
          <w:rFonts w:hint="eastAsia" w:ascii="仿宋" w:hAnsi="仿宋" w:cs="仿宋"/>
          <w:color w:val="000000"/>
          <w:szCs w:val="28"/>
          <w:shd w:val="clear" w:color="auto" w:fill="FFFFFF"/>
        </w:rPr>
        <w:t>产品。</w:t>
      </w:r>
    </w:p>
    <w:p w14:paraId="4D939342">
      <w:pPr>
        <w:rPr>
          <w:rFonts w:ascii="仿宋" w:hAnsi="仿宋" w:cs="仿宋"/>
          <w:b/>
          <w:bCs w:val="0"/>
          <w:sz w:val="24"/>
        </w:rPr>
      </w:pPr>
      <w:r>
        <w:rPr>
          <w:rFonts w:hint="eastAsia" w:ascii="仿宋" w:hAnsi="仿宋" w:cs="仿宋"/>
          <w:b/>
          <w:bCs w:val="0"/>
          <w:szCs w:val="28"/>
        </w:rPr>
        <w:t>2.  检验依据</w:t>
      </w:r>
    </w:p>
    <w:p w14:paraId="7FDDCC1F">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凡是注明日期的文件，其随后所有的修改单（不包括勘误的内容）或修订版不适用于本细则。凡是不注明日期的引用文件，其最新版本适用于本细则。</w:t>
      </w:r>
    </w:p>
    <w:p w14:paraId="6DCB2196">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lang w:eastAsia="zh-CN"/>
        </w:rPr>
      </w:pPr>
      <w:r>
        <w:rPr>
          <w:rFonts w:hint="eastAsia" w:ascii="仿宋" w:hAnsi="仿宋" w:cs="仿宋"/>
          <w:color w:val="000000"/>
          <w:szCs w:val="28"/>
          <w:shd w:val="clear" w:color="auto" w:fill="FFFFFF"/>
        </w:rPr>
        <w:t xml:space="preserve">GB 8410-2006 </w:t>
      </w:r>
      <w:r>
        <w:rPr>
          <w:rFonts w:hint="eastAsia" w:ascii="仿宋" w:hAnsi="仿宋" w:cs="仿宋"/>
          <w:color w:val="000000"/>
          <w:szCs w:val="28"/>
          <w:shd w:val="clear" w:color="auto" w:fill="FFFFFF"/>
          <w:lang w:eastAsia="zh-CN"/>
        </w:rPr>
        <w:t>《</w:t>
      </w:r>
      <w:r>
        <w:rPr>
          <w:rFonts w:hint="eastAsia" w:ascii="仿宋" w:hAnsi="仿宋" w:cs="仿宋"/>
          <w:color w:val="000000"/>
          <w:szCs w:val="28"/>
          <w:shd w:val="clear" w:color="auto" w:fill="FFFFFF"/>
        </w:rPr>
        <w:t>汽车内饰材料的燃烧特性</w:t>
      </w:r>
      <w:r>
        <w:rPr>
          <w:rFonts w:hint="eastAsia" w:ascii="仿宋" w:hAnsi="仿宋" w:cs="仿宋"/>
          <w:color w:val="000000"/>
          <w:szCs w:val="28"/>
          <w:shd w:val="clear" w:color="auto" w:fill="FFFFFF"/>
          <w:lang w:eastAsia="zh-CN"/>
        </w:rPr>
        <w:t>》</w:t>
      </w:r>
    </w:p>
    <w:p w14:paraId="72730335">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其他现行有效的企业标准及产品明示质量要求</w:t>
      </w:r>
    </w:p>
    <w:p w14:paraId="382C96D0">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相关的法律法规、部门规章和细则</w:t>
      </w:r>
    </w:p>
    <w:p w14:paraId="62833FC2">
      <w:pPr>
        <w:snapToGrid w:val="0"/>
        <w:spacing w:line="440" w:lineRule="exact"/>
        <w:rPr>
          <w:rFonts w:eastAsia="黑体"/>
          <w:color w:val="000000"/>
          <w:szCs w:val="21"/>
        </w:rPr>
      </w:pPr>
      <w:r>
        <w:rPr>
          <w:rFonts w:hint="eastAsia" w:eastAsia="黑体"/>
          <w:color w:val="000000"/>
          <w:szCs w:val="21"/>
          <w:lang w:val="en-US" w:eastAsia="zh-CN"/>
        </w:rPr>
        <w:t>3</w:t>
      </w:r>
      <w:r>
        <w:rPr>
          <w:rFonts w:eastAsia="黑体"/>
          <w:color w:val="000000"/>
          <w:szCs w:val="21"/>
        </w:rPr>
        <w:t xml:space="preserve"> 抽样</w:t>
      </w:r>
    </w:p>
    <w:p w14:paraId="505CEE5B">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以随机抽样的方式在被抽样生产者、销售者的待销产品中抽取。</w:t>
      </w:r>
    </w:p>
    <w:p w14:paraId="4C7CA1C3">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随机数一般可使用随机数表等方法产生。</w:t>
      </w:r>
    </w:p>
    <w:p w14:paraId="40425994">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在确认的汽车内饰材料产品中随机截取样品10块，其中5块作为检验样品，5块作为备用样品。如果汽车内饰材料沿不同方向有不同燃烧速度，则应在不同方向分别截取样品10块，其中5块作为检验样品，5块作为备用样品。一般要求每块样品的尺寸为356mm×100mm。</w:t>
      </w:r>
    </w:p>
    <w:p w14:paraId="7F7E0AFE">
      <w:pPr>
        <w:snapToGrid w:val="0"/>
        <w:spacing w:line="440" w:lineRule="exact"/>
        <w:ind w:firstLine="560" w:firstLineChars="200"/>
        <w:rPr>
          <w:color w:val="000000"/>
          <w:szCs w:val="21"/>
        </w:rPr>
      </w:pPr>
    </w:p>
    <w:p w14:paraId="0113A1B8">
      <w:pPr>
        <w:rPr>
          <w:rFonts w:hint="eastAsia" w:ascii="黑体" w:hAnsi="宋体" w:eastAsia="黑体"/>
          <w:bCs/>
          <w:kern w:val="2"/>
          <w:sz w:val="28"/>
          <w:szCs w:val="28"/>
        </w:rPr>
      </w:pPr>
      <w:r>
        <w:rPr>
          <w:rFonts w:hint="eastAsia" w:ascii="黑体" w:hAnsi="宋体" w:eastAsia="黑体"/>
          <w:bCs/>
          <w:kern w:val="2"/>
          <w:sz w:val="28"/>
          <w:szCs w:val="28"/>
        </w:rPr>
        <w:br w:type="page"/>
      </w:r>
    </w:p>
    <w:p w14:paraId="1AC84AD6">
      <w:pPr>
        <w:rPr>
          <w:rFonts w:hint="eastAsia" w:ascii="黑体" w:hAnsi="宋体" w:eastAsia="黑体"/>
          <w:bCs/>
          <w:kern w:val="2"/>
          <w:sz w:val="28"/>
          <w:szCs w:val="28"/>
        </w:rPr>
      </w:pPr>
      <w:r>
        <w:rPr>
          <w:rFonts w:hint="eastAsia" w:ascii="黑体" w:hAnsi="宋体" w:eastAsia="黑体"/>
          <w:bCs/>
          <w:kern w:val="2"/>
          <w:sz w:val="28"/>
          <w:szCs w:val="28"/>
        </w:rPr>
        <w:t>4 检验项目要求</w:t>
      </w:r>
    </w:p>
    <w:p w14:paraId="5C6859CD">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w:t>
      </w:r>
      <w:r>
        <w:rPr>
          <w:rFonts w:hint="eastAsia" w:ascii="宋体" w:hAnsi="宋体" w:eastAsia="宋体" w:cs="宋体"/>
          <w:color w:val="000000"/>
          <w:sz w:val="28"/>
          <w:szCs w:val="28"/>
          <w:lang w:val="en-US" w:eastAsia="zh-CN" w:bidi="ar"/>
        </w:rPr>
        <w:t>GB 8410</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5"/>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14:paraId="6AE0701B">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14:paraId="3D5BB743">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14:paraId="7302C23E">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14:paraId="3B23624A">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14:paraId="26F77870">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BCE64D3">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重要程度分类</w:t>
            </w:r>
          </w:p>
        </w:tc>
      </w:tr>
      <w:tr w14:paraId="02710B0B">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14:paraId="208B0BC4">
            <w:pPr>
              <w:jc w:val="center"/>
              <w:textAlignment w:val="center"/>
              <w:rPr>
                <w:rFonts w:hint="eastAsia" w:ascii="宋体" w:hAnsi="宋体" w:eastAsia="宋体" w:cs="宋体"/>
                <w:b/>
                <w:color w:val="000000"/>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14:paraId="5892F613">
            <w:pPr>
              <w:jc w:val="center"/>
              <w:textAlignment w:val="center"/>
              <w:rPr>
                <w:rFonts w:hint="eastAsia" w:ascii="宋体" w:hAnsi="宋体" w:eastAsia="宋体" w:cs="宋体"/>
                <w:b/>
                <w:color w:val="000000"/>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14:paraId="5864A116">
            <w:pPr>
              <w:jc w:val="center"/>
              <w:textAlignment w:val="center"/>
              <w:rPr>
                <w:rFonts w:hint="eastAsia" w:ascii="宋体" w:hAnsi="宋体" w:eastAsia="宋体" w:cs="宋体"/>
                <w:b/>
                <w:color w:val="000000"/>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14:paraId="758CC93B">
            <w:pPr>
              <w:jc w:val="center"/>
              <w:textAlignment w:val="center"/>
              <w:rPr>
                <w:rFonts w:hint="eastAsia" w:ascii="宋体" w:hAnsi="宋体" w:eastAsia="宋体" w:cs="宋体"/>
                <w:b/>
                <w:color w:val="000000"/>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F0DFC8">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A3CDEE1">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2A9E2B">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C类</w:t>
            </w:r>
          </w:p>
        </w:tc>
      </w:tr>
      <w:tr w14:paraId="5AF5F161">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D05AAB">
            <w:pPr>
              <w:spacing w:line="360" w:lineRule="auto"/>
              <w:jc w:val="center"/>
              <w:rPr>
                <w:rFonts w:hint="eastAsia" w:ascii="宋体" w:hAnsi="宋体" w:eastAsia="宋体" w:cs="宋体"/>
                <w:sz w:val="21"/>
                <w:szCs w:val="21"/>
              </w:rPr>
            </w:pPr>
            <w:r>
              <w:rPr>
                <w:rFonts w:hint="eastAsia" w:ascii="宋体" w:hAnsi="宋体" w:eastAsia="宋体" w:cs="宋体"/>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73AD65">
            <w:pPr>
              <w:jc w:val="center"/>
              <w:rPr>
                <w:rFonts w:hint="eastAsia" w:ascii="宋体" w:hAnsi="宋体" w:eastAsia="宋体" w:cs="宋体"/>
                <w:sz w:val="21"/>
                <w:szCs w:val="21"/>
                <w:lang w:val="en-US" w:eastAsia="zh-CN"/>
              </w:rPr>
            </w:pPr>
            <w:r>
              <w:rPr>
                <w:rFonts w:hint="eastAsia" w:ascii="宋体" w:hAnsi="宋体" w:eastAsia="宋体" w:cs="宋体"/>
                <w:sz w:val="24"/>
                <w:lang w:val="en-US" w:eastAsia="zh-CN"/>
              </w:rPr>
              <w:t>燃烧特性（燃烧距离、燃烧时间、燃烧速度）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C31397">
            <w:pPr>
              <w:spacing w:line="36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4"/>
                <w:lang w:val="en-US" w:eastAsia="zh-CN"/>
              </w:rPr>
              <w:t>GB 8410-2006</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1A247D">
            <w:pPr>
              <w:adjustRightInd w:val="0"/>
              <w:snapToGrid w:val="0"/>
              <w:jc w:val="center"/>
              <w:rPr>
                <w:rFonts w:hint="eastAsia" w:ascii="宋体" w:hAnsi="宋体" w:eastAsia="宋体" w:cs="宋体"/>
                <w:sz w:val="21"/>
                <w:szCs w:val="21"/>
              </w:rPr>
            </w:pPr>
            <w:r>
              <w:rPr>
                <w:rFonts w:hint="eastAsia" w:ascii="宋体" w:hAnsi="宋体" w:eastAsia="宋体" w:cs="宋体"/>
                <w:color w:val="auto"/>
                <w:sz w:val="24"/>
                <w:lang w:val="en-US" w:eastAsia="zh-CN"/>
              </w:rPr>
              <w:t>GB 8410-2006</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A14073">
            <w:pPr>
              <w:jc w:val="center"/>
              <w:rPr>
                <w:rFonts w:hint="eastAsia" w:ascii="宋体" w:hAnsi="宋体" w:eastAsia="宋体" w:cs="宋体"/>
                <w:sz w:val="21"/>
                <w:szCs w:val="21"/>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637AF11">
            <w:pPr>
              <w:jc w:val="center"/>
              <w:rPr>
                <w:rFonts w:hint="eastAsia" w:ascii="宋体" w:hAnsi="宋体" w:eastAsia="宋体"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0C24A8">
            <w:pPr>
              <w:jc w:val="center"/>
              <w:rPr>
                <w:rFonts w:hint="eastAsia" w:ascii="宋体" w:hAnsi="宋体" w:eastAsia="宋体" w:cs="宋体"/>
                <w:sz w:val="21"/>
                <w:szCs w:val="21"/>
              </w:rPr>
            </w:pPr>
          </w:p>
        </w:tc>
      </w:tr>
      <w:tr w14:paraId="39E0CBB5">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DE3EDD9">
            <w:pPr>
              <w:jc w:val="both"/>
              <w:rPr>
                <w:rFonts w:hint="eastAsia" w:ascii="宋体" w:hAnsi="宋体" w:eastAsia="宋体" w:cs="宋体"/>
                <w:sz w:val="24"/>
              </w:rPr>
            </w:pPr>
            <w:r>
              <w:rPr>
                <w:rFonts w:hint="eastAsia" w:ascii="宋体" w:hAnsi="宋体" w:eastAsia="宋体" w:cs="宋体"/>
                <w:sz w:val="21"/>
                <w:szCs w:val="21"/>
              </w:rPr>
              <w:t>注：根据实际产品标准对应要求的项目进行检测。</w:t>
            </w:r>
          </w:p>
        </w:tc>
      </w:tr>
    </w:tbl>
    <w:p w14:paraId="28C5B768">
      <w:pPr>
        <w:widowControl w:val="0"/>
        <w:autoSpaceDE w:val="0"/>
        <w:autoSpaceDN w:val="0"/>
        <w:adjustRightInd w:val="0"/>
        <w:spacing w:line="360" w:lineRule="auto"/>
        <w:ind w:right="28"/>
        <w:jc w:val="both"/>
        <w:rPr>
          <w:rFonts w:hint="eastAsia" w:ascii="宋体" w:hAnsi="宋体" w:eastAsia="宋体" w:cs="宋体"/>
          <w:sz w:val="21"/>
          <w:szCs w:val="21"/>
          <w:lang w:bidi="ar"/>
        </w:rPr>
      </w:pPr>
      <w:r>
        <w:rPr>
          <w:rFonts w:hint="eastAsia" w:ascii="宋体" w:hAnsi="宋体" w:eastAsia="宋体"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14:paraId="11D08FA0">
      <w:pPr>
        <w:widowControl w:val="0"/>
        <w:autoSpaceDE w:val="0"/>
        <w:autoSpaceDN w:val="0"/>
        <w:adjustRightInd w:val="0"/>
        <w:spacing w:line="360" w:lineRule="auto"/>
        <w:ind w:right="28"/>
        <w:jc w:val="both"/>
        <w:rPr>
          <w:rFonts w:hint="eastAsia" w:ascii="仿宋" w:hAnsi="仿宋" w:eastAsia="仿宋" w:cs="宋体"/>
          <w:sz w:val="21"/>
          <w:szCs w:val="21"/>
          <w:lang w:bidi="ar"/>
        </w:rPr>
      </w:pPr>
      <w:bookmarkStart w:id="0" w:name="_GoBack"/>
      <w:bookmarkEnd w:id="0"/>
    </w:p>
    <w:p w14:paraId="4209AF08">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14:paraId="3498D916">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14:paraId="235BA7B9">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②若样品出现封样状态破坏或样品异常损坏的情况，影响检验结果，则停止对该样品的检验。</w:t>
      </w:r>
    </w:p>
    <w:p w14:paraId="2594BE21">
      <w:pPr>
        <w:rPr>
          <w:rFonts w:hint="eastAsia" w:ascii="仿宋" w:hAnsi="仿宋" w:cs="仿宋"/>
          <w:b/>
          <w:bCs/>
          <w:szCs w:val="28"/>
          <w:lang w:val="en-US" w:eastAsia="zh-CN"/>
        </w:rPr>
      </w:pPr>
      <w:r>
        <w:rPr>
          <w:rFonts w:hint="eastAsia" w:ascii="仿宋" w:hAnsi="仿宋" w:cs="仿宋"/>
          <w:b/>
          <w:bCs/>
          <w:szCs w:val="28"/>
          <w:lang w:val="en-US" w:eastAsia="zh-CN"/>
        </w:rPr>
        <w:br w:type="page"/>
      </w:r>
    </w:p>
    <w:p w14:paraId="0C1C68F9">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14:paraId="00E21565">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14:paraId="7EDA946A">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14:paraId="226D1077">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14:paraId="5D7F76FB">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14:paraId="456E6CD0">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14:paraId="3BEB96D8">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14:paraId="27B55664">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14:paraId="01307660">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①被检方提出复检时，产品在复检有效期内于正常贮存条件下已变质；</w:t>
      </w:r>
    </w:p>
    <w:p w14:paraId="1A6D2C33">
      <w:pPr>
        <w:autoSpaceDE w:val="0"/>
        <w:autoSpaceDN w:val="0"/>
        <w:spacing w:before="158"/>
        <w:ind w:firstLine="560" w:firstLineChars="200"/>
      </w:pPr>
      <w:r>
        <w:rPr>
          <w:rFonts w:hint="eastAsia" w:ascii="仿宋" w:hAnsi="仿宋" w:cs="仿宋"/>
          <w:bCs/>
          <w:color w:val="000000"/>
          <w:szCs w:val="28"/>
          <w:shd w:val="clear" w:color="auto" w:fill="FFFFFF"/>
          <w:lang w:eastAsia="zh-CN"/>
        </w:rPr>
        <w:t>②法律、法规规定不得复检的其他情况。</w:t>
      </w:r>
    </w:p>
    <w:p w14:paraId="72D39C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1BF7209C"/>
    <w:rsid w:val="0FAE084D"/>
    <w:rsid w:val="162A7DB9"/>
    <w:rsid w:val="1BF7209C"/>
    <w:rsid w:val="2F217C8B"/>
    <w:rsid w:val="46C8714E"/>
    <w:rsid w:val="54D1264A"/>
    <w:rsid w:val="5DC15346"/>
    <w:rsid w:val="6B1166CE"/>
    <w:rsid w:val="70E75157"/>
    <w:rsid w:val="73E21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unhideWhenUsed/>
    <w:qFormat/>
    <w:uiPriority w:val="99"/>
    <w:pPr>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1240</Words>
  <Characters>1320</Characters>
  <Lines>0</Lines>
  <Paragraphs>0</Paragraphs>
  <TotalTime>5</TotalTime>
  <ScaleCrop>false</ScaleCrop>
  <LinksUpToDate>false</LinksUpToDate>
  <CharactersWithSpaces>1348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2023-06-29T07:42:00Z</dcterms:created>
  <dc:creator>NARCOTIC'</dc:creator>
  <cp:lastModifiedBy>NARCOTIC'</cp:lastModifiedBy>
  <dcterms:modified xsi:type="dcterms:W3CDTF">2024-08-07T03:17:07Z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8D989BC84C46492C8B5D6F9943FA5786</vt:lpwstr>
  </property>
</Properties>
</file>