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2E2BF">
      <w:pPr>
        <w:spacing w:line="360" w:lineRule="auto"/>
        <w:jc w:val="center"/>
        <w:rPr>
          <w:rFonts w:hint="eastAsia" w:ascii="宋体" w:hAnsi="宋体" w:cs="宋体"/>
          <w:b/>
          <w:bCs/>
          <w:color w:val="000000"/>
          <w:sz w:val="48"/>
          <w:szCs w:val="48"/>
        </w:rPr>
      </w:pPr>
    </w:p>
    <w:p w14:paraId="0206E096">
      <w:pPr>
        <w:spacing w:line="360" w:lineRule="auto"/>
        <w:jc w:val="center"/>
        <w:rPr>
          <w:rFonts w:hint="eastAsia" w:ascii="宋体" w:hAnsi="宋体" w:cs="宋体"/>
          <w:b/>
          <w:bCs/>
          <w:color w:val="000000"/>
          <w:sz w:val="48"/>
          <w:szCs w:val="48"/>
        </w:rPr>
      </w:pPr>
      <w:r>
        <w:rPr>
          <w:rFonts w:hint="eastAsia" w:ascii="宋体" w:hAnsi="宋体" w:cs="宋体"/>
          <w:b/>
          <w:bCs/>
          <w:color w:val="000000"/>
          <w:sz w:val="48"/>
          <w:szCs w:val="48"/>
        </w:rPr>
        <w:t>202</w:t>
      </w:r>
      <w:r>
        <w:rPr>
          <w:rFonts w:hint="eastAsia" w:ascii="宋体" w:hAnsi="宋体" w:cs="宋体"/>
          <w:b/>
          <w:bCs/>
          <w:color w:val="000000"/>
          <w:sz w:val="48"/>
          <w:szCs w:val="48"/>
          <w:lang w:val="en-US" w:eastAsia="zh-CN"/>
        </w:rPr>
        <w:t>4</w:t>
      </w:r>
      <w:r>
        <w:rPr>
          <w:rFonts w:hint="eastAsia" w:ascii="宋体" w:hAnsi="宋体" w:cs="宋体"/>
          <w:b/>
          <w:bCs/>
          <w:color w:val="000000"/>
          <w:sz w:val="48"/>
          <w:szCs w:val="48"/>
        </w:rPr>
        <w:t>年海南省</w:t>
      </w:r>
      <w:r>
        <w:rPr>
          <w:rFonts w:hint="eastAsia" w:ascii="宋体" w:hAnsi="宋体" w:cs="宋体"/>
          <w:b/>
          <w:bCs/>
          <w:color w:val="000000"/>
          <w:sz w:val="48"/>
          <w:szCs w:val="48"/>
          <w:lang w:eastAsia="zh-CN"/>
        </w:rPr>
        <w:t>刹车片</w:t>
      </w:r>
      <w:r>
        <w:rPr>
          <w:rFonts w:hint="eastAsia" w:ascii="宋体" w:hAnsi="宋体" w:cs="宋体"/>
          <w:b/>
          <w:bCs/>
          <w:color w:val="000000"/>
          <w:sz w:val="48"/>
          <w:szCs w:val="48"/>
        </w:rPr>
        <w:t>产品省级监督抽查实施细则</w:t>
      </w:r>
    </w:p>
    <w:p w14:paraId="58D970C8">
      <w:pPr>
        <w:spacing w:line="360" w:lineRule="auto"/>
        <w:jc w:val="center"/>
        <w:rPr>
          <w:rFonts w:hint="eastAsia" w:ascii="宋体" w:hAnsi="宋体" w:cs="宋体"/>
          <w:b/>
          <w:bCs/>
          <w:color w:val="000000"/>
          <w:sz w:val="48"/>
          <w:szCs w:val="48"/>
        </w:rPr>
      </w:pPr>
    </w:p>
    <w:p w14:paraId="5CEA8401">
      <w:pPr>
        <w:spacing w:line="360" w:lineRule="auto"/>
        <w:jc w:val="center"/>
        <w:rPr>
          <w:rFonts w:hint="eastAsia" w:ascii="宋体" w:hAnsi="宋体" w:cs="宋体"/>
          <w:b/>
          <w:bCs/>
          <w:color w:val="000000"/>
          <w:sz w:val="48"/>
          <w:szCs w:val="48"/>
        </w:rPr>
      </w:pPr>
    </w:p>
    <w:p w14:paraId="747F58D0">
      <w:pPr>
        <w:spacing w:line="360" w:lineRule="auto"/>
        <w:jc w:val="center"/>
        <w:rPr>
          <w:rFonts w:hint="eastAsia" w:ascii="宋体" w:hAnsi="宋体" w:cs="宋体"/>
          <w:b/>
          <w:bCs/>
          <w:color w:val="000000"/>
          <w:sz w:val="48"/>
          <w:szCs w:val="48"/>
        </w:rPr>
      </w:pPr>
    </w:p>
    <w:p w14:paraId="68C01711">
      <w:pPr>
        <w:spacing w:line="360" w:lineRule="auto"/>
        <w:jc w:val="center"/>
        <w:rPr>
          <w:rFonts w:hint="eastAsia" w:ascii="宋体" w:hAnsi="宋体" w:cs="宋体"/>
          <w:b/>
          <w:bCs/>
          <w:color w:val="000000"/>
          <w:sz w:val="48"/>
          <w:szCs w:val="48"/>
        </w:rPr>
      </w:pPr>
    </w:p>
    <w:p w14:paraId="6E4EBA5A">
      <w:pPr>
        <w:spacing w:line="360" w:lineRule="auto"/>
        <w:jc w:val="center"/>
        <w:rPr>
          <w:rFonts w:hint="eastAsia" w:ascii="宋体" w:hAnsi="宋体" w:cs="宋体"/>
          <w:b/>
          <w:bCs/>
          <w:color w:val="000000"/>
          <w:sz w:val="48"/>
          <w:szCs w:val="48"/>
        </w:rPr>
      </w:pPr>
    </w:p>
    <w:p w14:paraId="626B4071">
      <w:pPr>
        <w:spacing w:line="360" w:lineRule="auto"/>
        <w:jc w:val="center"/>
        <w:rPr>
          <w:rFonts w:hint="eastAsia" w:ascii="宋体" w:hAnsi="宋体" w:cs="宋体"/>
          <w:b/>
          <w:bCs/>
          <w:color w:val="000000"/>
          <w:sz w:val="48"/>
          <w:szCs w:val="48"/>
        </w:rPr>
      </w:pPr>
    </w:p>
    <w:p w14:paraId="6BC41D9C">
      <w:pPr>
        <w:spacing w:line="360" w:lineRule="auto"/>
        <w:jc w:val="center"/>
        <w:rPr>
          <w:rFonts w:hint="eastAsia" w:ascii="宋体" w:hAnsi="宋体" w:cs="宋体"/>
          <w:b/>
          <w:bCs/>
          <w:color w:val="000000"/>
          <w:sz w:val="48"/>
          <w:szCs w:val="48"/>
        </w:rPr>
      </w:pPr>
    </w:p>
    <w:p w14:paraId="716AA4F4">
      <w:pPr>
        <w:spacing w:line="360" w:lineRule="auto"/>
        <w:jc w:val="center"/>
        <w:rPr>
          <w:rFonts w:hint="eastAsia" w:ascii="宋体" w:hAnsi="宋体" w:cs="宋体"/>
          <w:b/>
          <w:bCs/>
          <w:color w:val="000000"/>
          <w:sz w:val="48"/>
          <w:szCs w:val="48"/>
        </w:rPr>
      </w:pPr>
    </w:p>
    <w:p w14:paraId="6E2D2483">
      <w:pPr>
        <w:spacing w:line="360" w:lineRule="auto"/>
        <w:jc w:val="center"/>
        <w:rPr>
          <w:rFonts w:hint="eastAsia" w:ascii="宋体" w:hAnsi="宋体" w:cs="宋体"/>
          <w:b/>
          <w:bCs/>
          <w:color w:val="000000"/>
          <w:sz w:val="48"/>
          <w:szCs w:val="48"/>
        </w:rPr>
      </w:pPr>
    </w:p>
    <w:p w14:paraId="59DD58D0">
      <w:pPr>
        <w:spacing w:line="360" w:lineRule="auto"/>
        <w:jc w:val="center"/>
        <w:rPr>
          <w:rFonts w:hint="eastAsia" w:ascii="宋体" w:hAnsi="宋体" w:cs="宋体"/>
          <w:b/>
          <w:bCs/>
          <w:color w:val="000000"/>
          <w:sz w:val="48"/>
          <w:szCs w:val="48"/>
        </w:rPr>
      </w:pPr>
    </w:p>
    <w:p w14:paraId="0D020F36">
      <w:pPr>
        <w:spacing w:line="360" w:lineRule="auto"/>
        <w:jc w:val="center"/>
        <w:rPr>
          <w:rFonts w:hint="eastAsia" w:ascii="宋体" w:hAnsi="宋体" w:cs="宋体"/>
          <w:b/>
          <w:bCs/>
          <w:color w:val="000000"/>
          <w:sz w:val="48"/>
          <w:szCs w:val="48"/>
        </w:rPr>
      </w:pPr>
    </w:p>
    <w:p w14:paraId="1CCA0461">
      <w:pPr>
        <w:spacing w:line="360" w:lineRule="auto"/>
        <w:jc w:val="center"/>
        <w:rPr>
          <w:rFonts w:hint="eastAsia" w:ascii="宋体" w:hAnsi="宋体" w:cs="宋体"/>
          <w:b/>
          <w:bCs/>
          <w:color w:val="000000"/>
          <w:sz w:val="48"/>
          <w:szCs w:val="48"/>
        </w:rPr>
      </w:pPr>
    </w:p>
    <w:p w14:paraId="431CC9DA">
      <w:pPr>
        <w:spacing w:line="360" w:lineRule="auto"/>
        <w:jc w:val="center"/>
        <w:rPr>
          <w:rFonts w:hint="eastAsia" w:ascii="宋体" w:hAnsi="宋体" w:cs="宋体"/>
          <w:b/>
          <w:bCs/>
          <w:color w:val="000000"/>
          <w:sz w:val="48"/>
          <w:szCs w:val="48"/>
        </w:rPr>
      </w:pPr>
    </w:p>
    <w:p w14:paraId="2DB5ADAF">
      <w:pPr>
        <w:spacing w:line="360" w:lineRule="auto"/>
        <w:jc w:val="center"/>
        <w:rPr>
          <w:rFonts w:hint="eastAsia" w:ascii="宋体" w:hAnsi="宋体" w:cs="宋体"/>
          <w:b/>
          <w:bCs/>
          <w:color w:val="000000"/>
          <w:sz w:val="48"/>
          <w:szCs w:val="48"/>
        </w:rPr>
      </w:pPr>
    </w:p>
    <w:p w14:paraId="714855D1">
      <w:pPr>
        <w:spacing w:line="360" w:lineRule="auto"/>
        <w:jc w:val="center"/>
        <w:rPr>
          <w:rFonts w:hint="eastAsia" w:ascii="宋体" w:hAnsi="宋体" w:cs="宋体"/>
          <w:b/>
          <w:bCs/>
          <w:color w:val="000000"/>
          <w:sz w:val="48"/>
          <w:szCs w:val="48"/>
        </w:rPr>
      </w:pPr>
    </w:p>
    <w:p w14:paraId="19B2C6FE">
      <w:pPr>
        <w:spacing w:line="360" w:lineRule="auto"/>
        <w:jc w:val="center"/>
        <w:rPr>
          <w:rFonts w:hint="eastAsia" w:ascii="宋体" w:hAnsi="宋体" w:cs="宋体"/>
          <w:b/>
          <w:bCs/>
          <w:color w:val="000000"/>
          <w:sz w:val="48"/>
          <w:szCs w:val="48"/>
        </w:rPr>
      </w:pPr>
    </w:p>
    <w:p w14:paraId="4A436338">
      <w:pPr>
        <w:spacing w:line="360" w:lineRule="auto"/>
        <w:jc w:val="center"/>
        <w:rPr>
          <w:rFonts w:hint="eastAsia" w:ascii="宋体" w:hAnsi="宋体" w:cs="宋体"/>
          <w:b/>
          <w:bCs/>
          <w:sz w:val="32"/>
          <w:szCs w:val="32"/>
        </w:rPr>
      </w:pPr>
      <w:r>
        <w:rPr>
          <w:rFonts w:hint="eastAsia" w:ascii="宋体" w:hAnsi="宋体" w:cs="宋体"/>
          <w:b/>
          <w:bCs/>
          <w:sz w:val="32"/>
          <w:szCs w:val="32"/>
        </w:rPr>
        <w:t>海南省市场监督管理局</w:t>
      </w:r>
    </w:p>
    <w:p w14:paraId="19617D1A">
      <w:pPr>
        <w:spacing w:line="660" w:lineRule="exact"/>
        <w:jc w:val="center"/>
        <w:rPr>
          <w:rFonts w:hint="eastAsia" w:ascii="仿宋" w:hAnsi="仿宋" w:eastAsia="仿宋" w:cs="仿宋"/>
          <w:b/>
          <w:bCs/>
          <w:sz w:val="44"/>
          <w:szCs w:val="44"/>
        </w:rPr>
      </w:pPr>
      <w:r>
        <w:rPr>
          <w:rFonts w:ascii="宋体" w:hAnsi="宋体" w:cs="宋体"/>
          <w:b/>
          <w:bCs/>
          <w:sz w:val="32"/>
          <w:szCs w:val="32"/>
        </w:rPr>
        <w:t>202</w:t>
      </w:r>
      <w:r>
        <w:rPr>
          <w:rFonts w:hint="eastAsia" w:ascii="宋体" w:hAnsi="宋体" w:cs="宋体"/>
          <w:b/>
          <w:bCs/>
          <w:sz w:val="32"/>
          <w:szCs w:val="32"/>
          <w:lang w:val="en-US" w:eastAsia="zh-CN"/>
        </w:rPr>
        <w:t>4</w:t>
      </w:r>
      <w:r>
        <w:rPr>
          <w:rFonts w:ascii="宋体" w:hAnsi="宋体" w:cs="宋体"/>
          <w:b/>
          <w:bCs/>
          <w:sz w:val="32"/>
          <w:szCs w:val="32"/>
        </w:rPr>
        <w:t>年</w:t>
      </w:r>
      <w:r>
        <w:rPr>
          <w:rFonts w:hint="eastAsia" w:ascii="宋体" w:hAnsi="宋体" w:cs="宋体"/>
          <w:b/>
          <w:bCs/>
          <w:sz w:val="32"/>
          <w:szCs w:val="32"/>
          <w:lang w:val="en-US" w:eastAsia="zh-CN"/>
        </w:rPr>
        <w:t>8</w:t>
      </w:r>
      <w:r>
        <w:rPr>
          <w:rFonts w:ascii="宋体" w:hAnsi="宋体" w:cs="宋体"/>
          <w:b/>
          <w:bCs/>
          <w:sz w:val="32"/>
          <w:szCs w:val="32"/>
        </w:rPr>
        <w:t>月</w:t>
      </w:r>
    </w:p>
    <w:p w14:paraId="4C832CE1">
      <w:pPr>
        <w:spacing w:line="660" w:lineRule="exact"/>
        <w:rPr>
          <w:rFonts w:hint="eastAsia" w:ascii="仿宋" w:hAnsi="仿宋" w:eastAsia="仿宋" w:cs="仿宋"/>
          <w:b/>
          <w:bCs/>
          <w:sz w:val="44"/>
          <w:szCs w:val="44"/>
        </w:rPr>
      </w:pPr>
    </w:p>
    <w:p w14:paraId="0A796E3A">
      <w:pPr>
        <w:autoSpaceDE w:val="0"/>
        <w:autoSpaceDN w:val="0"/>
        <w:spacing w:line="360" w:lineRule="auto"/>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4</w:t>
      </w:r>
      <w:r>
        <w:rPr>
          <w:rFonts w:hint="eastAsia" w:ascii="宋体" w:hAnsi="宋体" w:cs="仿宋"/>
          <w:b/>
          <w:bCs/>
          <w:sz w:val="32"/>
          <w:szCs w:val="32"/>
        </w:rPr>
        <w:t>年海南省</w:t>
      </w:r>
      <w:r>
        <w:rPr>
          <w:rFonts w:hint="eastAsia" w:ascii="宋体" w:hAnsi="宋体" w:cs="仿宋"/>
          <w:b/>
          <w:bCs/>
          <w:sz w:val="32"/>
          <w:szCs w:val="32"/>
          <w:lang w:val="en-US" w:eastAsia="zh-CN"/>
        </w:rPr>
        <w:t>刹车片</w:t>
      </w:r>
      <w:r>
        <w:rPr>
          <w:rFonts w:hint="eastAsia" w:ascii="宋体" w:hAnsi="宋体" w:cs="仿宋"/>
          <w:b/>
          <w:bCs/>
          <w:sz w:val="32"/>
          <w:szCs w:val="32"/>
        </w:rPr>
        <w:t>产品省级监督抽查实施细则</w:t>
      </w:r>
    </w:p>
    <w:p w14:paraId="6DC1F784">
      <w:pPr>
        <w:autoSpaceDE w:val="0"/>
        <w:autoSpaceDN w:val="0"/>
        <w:spacing w:line="360" w:lineRule="auto"/>
        <w:rPr>
          <w:rFonts w:hint="eastAsia" w:ascii="仿宋" w:hAnsi="仿宋" w:cs="仿宋"/>
          <w:b/>
          <w:bCs/>
          <w:szCs w:val="28"/>
        </w:rPr>
      </w:pPr>
      <w:r>
        <w:rPr>
          <w:rFonts w:hint="eastAsia" w:ascii="仿宋" w:hAnsi="仿宋" w:cs="仿宋"/>
          <w:b/>
          <w:bCs/>
          <w:szCs w:val="28"/>
        </w:rPr>
        <w:t>1 适用范围</w:t>
      </w:r>
    </w:p>
    <w:p w14:paraId="0B696017">
      <w:pPr>
        <w:autoSpaceDE w:val="0"/>
        <w:autoSpaceDN w:val="0"/>
        <w:ind w:firstLine="560" w:firstLineChars="200"/>
        <w:rPr>
          <w:rFonts w:hint="eastAsia" w:ascii="仿宋" w:hAnsi="仿宋" w:cs="仿宋"/>
          <w:szCs w:val="28"/>
        </w:rPr>
      </w:pPr>
      <w:r>
        <w:rPr>
          <w:rFonts w:hint="eastAsia" w:ascii="仿宋" w:hAnsi="仿宋" w:cs="仿宋"/>
          <w:szCs w:val="28"/>
        </w:rPr>
        <w:t>本细则适用于海南省</w:t>
      </w:r>
      <w:r>
        <w:rPr>
          <w:rFonts w:hint="eastAsia" w:ascii="仿宋" w:hAnsi="仿宋" w:cs="仿宋"/>
          <w:szCs w:val="28"/>
          <w:lang w:val="en-US" w:eastAsia="zh-CN"/>
        </w:rPr>
        <w:t>刹车片</w:t>
      </w:r>
      <w:r>
        <w:rPr>
          <w:rFonts w:hint="eastAsia" w:ascii="仿宋" w:hAnsi="仿宋" w:cs="仿宋"/>
          <w:szCs w:val="28"/>
        </w:rPr>
        <w:t>产品监督抽查，监督抽查产品范围为海南省范围内市场领域的</w:t>
      </w:r>
      <w:r>
        <w:rPr>
          <w:rFonts w:hint="eastAsia" w:ascii="仿宋" w:hAnsi="仿宋" w:cs="仿宋"/>
          <w:szCs w:val="28"/>
          <w:lang w:val="en-US" w:eastAsia="zh-CN"/>
        </w:rPr>
        <w:t>刹车片</w:t>
      </w:r>
      <w:r>
        <w:rPr>
          <w:rFonts w:hint="eastAsia" w:ascii="仿宋" w:hAnsi="仿宋" w:cs="仿宋"/>
          <w:szCs w:val="28"/>
        </w:rPr>
        <w:t>产品。</w:t>
      </w:r>
    </w:p>
    <w:p w14:paraId="39E9B35D">
      <w:pPr>
        <w:rPr>
          <w:rFonts w:ascii="仿宋" w:hAnsi="仿宋" w:cs="仿宋"/>
          <w:b/>
          <w:bCs w:val="0"/>
          <w:sz w:val="24"/>
        </w:rPr>
      </w:pPr>
      <w:r>
        <w:rPr>
          <w:rFonts w:hint="eastAsia" w:ascii="仿宋" w:hAnsi="仿宋" w:cs="仿宋"/>
          <w:b/>
          <w:bCs w:val="0"/>
          <w:szCs w:val="28"/>
        </w:rPr>
        <w:t>2.  检验依据</w:t>
      </w:r>
    </w:p>
    <w:p w14:paraId="0B2D78B9">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凡是注明日期的文件，其随后所有的修改单（不包括勘误的内容）或修订版不适用于本细则。凡是不注明日期的引用文件，其最新版本适用于本细则。</w:t>
      </w:r>
    </w:p>
    <w:p w14:paraId="6D550261">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lang w:eastAsia="zh-CN"/>
        </w:rPr>
      </w:pPr>
      <w:r>
        <w:rPr>
          <w:rFonts w:hint="eastAsia" w:ascii="仿宋" w:hAnsi="仿宋" w:cs="仿宋"/>
          <w:color w:val="000000"/>
          <w:szCs w:val="28"/>
        </w:rPr>
        <w:t xml:space="preserve">GB 5763-2018 </w:t>
      </w:r>
      <w:r>
        <w:rPr>
          <w:rFonts w:hint="eastAsia" w:ascii="仿宋" w:hAnsi="仿宋" w:cs="仿宋"/>
          <w:color w:val="000000"/>
          <w:szCs w:val="28"/>
          <w:lang w:eastAsia="zh-CN"/>
        </w:rPr>
        <w:t>《</w:t>
      </w:r>
      <w:r>
        <w:rPr>
          <w:rFonts w:hint="eastAsia" w:ascii="仿宋" w:hAnsi="仿宋" w:cs="仿宋"/>
          <w:color w:val="000000"/>
          <w:szCs w:val="28"/>
        </w:rPr>
        <w:t>汽车用制动器</w:t>
      </w:r>
      <w:r>
        <w:rPr>
          <w:rFonts w:hint="eastAsia" w:ascii="仿宋" w:hAnsi="仿宋" w:cs="仿宋"/>
          <w:color w:val="000000"/>
          <w:szCs w:val="28"/>
          <w:lang w:val="en-US" w:eastAsia="zh-CN"/>
        </w:rPr>
        <w:t>衬</w:t>
      </w:r>
      <w:r>
        <w:rPr>
          <w:rFonts w:hint="eastAsia" w:ascii="仿宋" w:hAnsi="仿宋" w:cs="仿宋"/>
          <w:color w:val="000000"/>
          <w:szCs w:val="28"/>
          <w:lang w:eastAsia="zh-CN"/>
        </w:rPr>
        <w:t>片》</w:t>
      </w:r>
    </w:p>
    <w:p w14:paraId="719A9851">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其他现行有效的企业标准及产品明示质量要求</w:t>
      </w:r>
    </w:p>
    <w:p w14:paraId="3B827995">
      <w:pPr>
        <w:keepNext w:val="0"/>
        <w:keepLines w:val="0"/>
        <w:pageBreakBefore w:val="0"/>
        <w:widowControl w:val="0"/>
        <w:kinsoku/>
        <w:wordWrap/>
        <w:overflowPunct/>
        <w:topLinePunct w:val="0"/>
        <w:autoSpaceDE w:val="0"/>
        <w:autoSpaceDN w:val="0"/>
        <w:bidi w:val="0"/>
        <w:adjustRightInd w:val="0"/>
        <w:snapToGrid w:val="0"/>
        <w:spacing w:line="360" w:lineRule="auto"/>
        <w:ind w:left="280" w:leftChars="100" w:firstLine="560" w:firstLineChars="200"/>
        <w:textAlignment w:val="auto"/>
        <w:rPr>
          <w:rFonts w:hint="eastAsia" w:ascii="仿宋" w:hAnsi="仿宋" w:cs="仿宋"/>
          <w:color w:val="000000"/>
          <w:szCs w:val="28"/>
        </w:rPr>
      </w:pPr>
      <w:r>
        <w:rPr>
          <w:rFonts w:hint="eastAsia" w:ascii="仿宋" w:hAnsi="仿宋" w:cs="仿宋"/>
          <w:color w:val="000000"/>
          <w:szCs w:val="28"/>
        </w:rPr>
        <w:t>相关的法律法规、部门规章和细则</w:t>
      </w:r>
    </w:p>
    <w:p w14:paraId="18DCBD8B">
      <w:pPr>
        <w:autoSpaceDE w:val="0"/>
        <w:autoSpaceDN w:val="0"/>
        <w:spacing w:before="158"/>
        <w:rPr>
          <w:rFonts w:ascii="仿宋" w:hAnsi="仿宋" w:cs="仿宋"/>
          <w:b/>
          <w:bCs/>
          <w:szCs w:val="28"/>
        </w:rPr>
      </w:pPr>
      <w:r>
        <w:rPr>
          <w:rFonts w:hint="eastAsia" w:ascii="仿宋" w:hAnsi="仿宋" w:cs="仿宋"/>
          <w:b/>
          <w:bCs/>
          <w:szCs w:val="28"/>
          <w:lang w:val="en-US" w:eastAsia="zh-CN"/>
        </w:rPr>
        <w:t>3</w:t>
      </w:r>
      <w:r>
        <w:rPr>
          <w:rFonts w:hint="eastAsia" w:ascii="仿宋" w:hAnsi="仿宋" w:cs="仿宋"/>
          <w:b/>
          <w:bCs/>
          <w:szCs w:val="28"/>
        </w:rPr>
        <w:t>. 抽样</w:t>
      </w:r>
    </w:p>
    <w:p w14:paraId="6DD4E144">
      <w:pPr>
        <w:autoSpaceDE w:val="0"/>
        <w:autoSpaceDN w:val="0"/>
        <w:spacing w:before="158"/>
        <w:ind w:firstLine="560" w:firstLineChars="200"/>
        <w:rPr>
          <w:rFonts w:ascii="仿宋" w:hAnsi="仿宋" w:cs="仿宋"/>
          <w:szCs w:val="28"/>
        </w:rPr>
      </w:pPr>
      <w:r>
        <w:rPr>
          <w:rFonts w:hint="eastAsia" w:ascii="仿宋" w:hAnsi="仿宋" w:cs="仿宋"/>
          <w:szCs w:val="28"/>
          <w:lang w:val="en-US" w:eastAsia="zh-CN"/>
        </w:rPr>
        <w:t>以</w:t>
      </w:r>
      <w:r>
        <w:rPr>
          <w:rFonts w:hint="eastAsia" w:ascii="仿宋" w:hAnsi="仿宋" w:cs="仿宋"/>
          <w:szCs w:val="28"/>
        </w:rPr>
        <w:t>随机抽样的方式在</w:t>
      </w:r>
      <w:r>
        <w:rPr>
          <w:rFonts w:hint="eastAsia" w:ascii="仿宋" w:hAnsi="仿宋" w:cs="仿宋"/>
          <w:szCs w:val="28"/>
          <w:lang w:eastAsia="zh-CN"/>
        </w:rPr>
        <w:t>被抽样</w:t>
      </w:r>
      <w:r>
        <w:rPr>
          <w:rFonts w:hint="eastAsia" w:ascii="仿宋" w:hAnsi="仿宋" w:cs="仿宋"/>
          <w:szCs w:val="28"/>
        </w:rPr>
        <w:t>生产者、销售者的待销产品中抽取。</w:t>
      </w:r>
    </w:p>
    <w:p w14:paraId="3771DC4B">
      <w:pPr>
        <w:autoSpaceDE w:val="0"/>
        <w:autoSpaceDN w:val="0"/>
        <w:spacing w:before="158"/>
        <w:ind w:firstLine="560" w:firstLineChars="200"/>
        <w:rPr>
          <w:rFonts w:hint="eastAsia" w:ascii="仿宋" w:hAnsi="仿宋" w:cs="仿宋"/>
          <w:szCs w:val="28"/>
        </w:rPr>
      </w:pPr>
      <w:r>
        <w:rPr>
          <w:rFonts w:hint="eastAsia" w:ascii="仿宋" w:hAnsi="仿宋" w:cs="仿宋"/>
          <w:szCs w:val="28"/>
        </w:rPr>
        <w:t>随机数一般可使用随机数表等方法产生。</w:t>
      </w:r>
    </w:p>
    <w:p w14:paraId="3A1BB395">
      <w:pPr>
        <w:autoSpaceDE w:val="0"/>
        <w:autoSpaceDN w:val="0"/>
        <w:spacing w:before="158"/>
        <w:ind w:firstLine="560" w:firstLineChars="200"/>
        <w:rPr>
          <w:rFonts w:hint="default" w:ascii="仿宋" w:hAnsi="仿宋" w:eastAsia="宋体" w:cs="仿宋"/>
          <w:szCs w:val="28"/>
          <w:lang w:val="en-US" w:eastAsia="zh-CN"/>
        </w:rPr>
      </w:pPr>
      <w:r>
        <w:rPr>
          <w:rFonts w:hint="eastAsia" w:ascii="仿宋" w:hAnsi="仿宋" w:cs="仿宋"/>
          <w:szCs w:val="28"/>
          <w:lang w:eastAsia="zh-CN"/>
        </w:rPr>
        <w:t>被抽查生产企业</w:t>
      </w:r>
      <w:r>
        <w:rPr>
          <w:rFonts w:hint="eastAsia" w:ascii="仿宋" w:hAnsi="仿宋" w:cs="仿宋"/>
          <w:szCs w:val="28"/>
        </w:rPr>
        <w:t>M1、M2、N1、</w:t>
      </w:r>
      <w:r>
        <w:rPr>
          <w:rFonts w:hint="eastAsia" w:ascii="仿宋" w:hAnsi="仿宋" w:cs="仿宋"/>
          <w:szCs w:val="28"/>
          <w:lang w:val="en-US" w:eastAsia="zh-CN"/>
        </w:rPr>
        <w:t>O</w:t>
      </w:r>
      <w:r>
        <w:rPr>
          <w:rFonts w:hint="eastAsia" w:ascii="仿宋" w:hAnsi="仿宋" w:cs="仿宋"/>
          <w:szCs w:val="28"/>
        </w:rPr>
        <w:t>1、O2类车辆使用的盘式</w:t>
      </w:r>
      <w:r>
        <w:rPr>
          <w:rFonts w:hint="eastAsia" w:ascii="仿宋" w:hAnsi="仿宋" w:cs="仿宋"/>
          <w:szCs w:val="28"/>
          <w:lang w:eastAsia="zh-CN"/>
        </w:rPr>
        <w:t>刹车片</w:t>
      </w:r>
      <w:r>
        <w:rPr>
          <w:rFonts w:hint="eastAsia" w:ascii="仿宋" w:hAnsi="仿宋" w:cs="仿宋"/>
          <w:szCs w:val="28"/>
        </w:rPr>
        <w:t>、M1、M2、N1、O1、O2类车辆使用的鼓式</w:t>
      </w:r>
      <w:r>
        <w:rPr>
          <w:rFonts w:hint="eastAsia" w:ascii="仿宋" w:hAnsi="仿宋" w:cs="仿宋"/>
          <w:szCs w:val="28"/>
          <w:lang w:eastAsia="zh-CN"/>
        </w:rPr>
        <w:t>刹车片</w:t>
      </w:r>
      <w:r>
        <w:rPr>
          <w:rFonts w:hint="eastAsia" w:ascii="仿宋" w:hAnsi="仿宋" w:cs="仿宋"/>
          <w:szCs w:val="28"/>
        </w:rPr>
        <w:t>、M3、N2、N3、O3、O4类车辆使用的盘式</w:t>
      </w:r>
      <w:r>
        <w:rPr>
          <w:rFonts w:hint="eastAsia" w:ascii="仿宋" w:hAnsi="仿宋" w:cs="仿宋"/>
          <w:szCs w:val="28"/>
          <w:lang w:eastAsia="zh-CN"/>
        </w:rPr>
        <w:t>刹车片</w:t>
      </w:r>
      <w:r>
        <w:rPr>
          <w:rFonts w:hint="eastAsia" w:ascii="仿宋" w:hAnsi="仿宋" w:cs="仿宋"/>
          <w:szCs w:val="28"/>
        </w:rPr>
        <w:t>每批次产品抽取样品32片，其中16片作为检验样品，16片作为备用样品。M3、N2、N3、O3、O4类车辆使用的鼓式</w:t>
      </w:r>
      <w:r>
        <w:rPr>
          <w:rFonts w:hint="eastAsia" w:ascii="仿宋" w:hAnsi="仿宋" w:cs="仿宋"/>
          <w:szCs w:val="28"/>
          <w:lang w:eastAsia="zh-CN"/>
        </w:rPr>
        <w:t>刹车片</w:t>
      </w:r>
      <w:r>
        <w:rPr>
          <w:rFonts w:hint="eastAsia" w:ascii="仿宋" w:hAnsi="仿宋" w:cs="仿宋"/>
          <w:szCs w:val="28"/>
        </w:rPr>
        <w:t>每批次产品抽取样品16片，其中8片作为检验样品，8片作为备用样品。</w:t>
      </w:r>
      <w:r>
        <w:rPr>
          <w:rFonts w:hint="eastAsia" w:ascii="仿宋" w:hAnsi="仿宋" w:cs="仿宋"/>
          <w:color w:val="auto"/>
          <w:szCs w:val="28"/>
          <w:lang w:eastAsia="zh-CN"/>
        </w:rPr>
        <w:t>流通领域</w:t>
      </w:r>
      <w:r>
        <w:rPr>
          <w:rFonts w:hint="eastAsia" w:ascii="仿宋" w:hAnsi="仿宋" w:cs="仿宋"/>
          <w:color w:val="auto"/>
          <w:szCs w:val="28"/>
        </w:rPr>
        <w:t>抽查的</w:t>
      </w:r>
      <w:r>
        <w:rPr>
          <w:rFonts w:hint="eastAsia" w:ascii="仿宋" w:hAnsi="仿宋" w:cs="仿宋"/>
          <w:color w:val="auto"/>
          <w:szCs w:val="28"/>
          <w:lang w:eastAsia="zh-CN"/>
        </w:rPr>
        <w:t>销售企业</w:t>
      </w:r>
      <w:r>
        <w:rPr>
          <w:rFonts w:hint="eastAsia" w:ascii="仿宋" w:hAnsi="仿宋" w:cs="仿宋"/>
          <w:color w:val="auto"/>
          <w:szCs w:val="28"/>
        </w:rPr>
        <w:t>盘式</w:t>
      </w:r>
      <w:r>
        <w:rPr>
          <w:rFonts w:hint="eastAsia" w:ascii="仿宋" w:hAnsi="仿宋" w:cs="仿宋"/>
          <w:color w:val="auto"/>
          <w:szCs w:val="28"/>
          <w:lang w:eastAsia="zh-CN"/>
        </w:rPr>
        <w:t>刹车片</w:t>
      </w:r>
      <w:r>
        <w:rPr>
          <w:rFonts w:hint="eastAsia" w:ascii="仿宋" w:hAnsi="仿宋" w:cs="仿宋"/>
          <w:color w:val="auto"/>
          <w:szCs w:val="28"/>
        </w:rPr>
        <w:t>产品检验样品</w:t>
      </w:r>
      <w:r>
        <w:rPr>
          <w:rFonts w:hint="eastAsia" w:ascii="仿宋" w:hAnsi="仿宋" w:cs="仿宋"/>
          <w:color w:val="auto"/>
          <w:szCs w:val="28"/>
          <w:lang w:val="en-US" w:eastAsia="zh-CN"/>
        </w:rPr>
        <w:t>8片</w:t>
      </w:r>
      <w:r>
        <w:rPr>
          <w:rFonts w:hint="eastAsia" w:ascii="仿宋" w:hAnsi="仿宋" w:cs="仿宋"/>
          <w:color w:val="auto"/>
          <w:szCs w:val="28"/>
        </w:rPr>
        <w:t>，备用样品</w:t>
      </w:r>
      <w:r>
        <w:rPr>
          <w:rFonts w:hint="eastAsia" w:ascii="仿宋" w:hAnsi="仿宋" w:cs="仿宋"/>
          <w:color w:val="auto"/>
          <w:szCs w:val="28"/>
          <w:lang w:val="en-US" w:eastAsia="zh-CN"/>
        </w:rPr>
        <w:t>4片</w:t>
      </w:r>
      <w:r>
        <w:rPr>
          <w:rFonts w:hint="eastAsia" w:ascii="仿宋" w:hAnsi="仿宋" w:cs="仿宋"/>
          <w:color w:val="auto"/>
          <w:szCs w:val="28"/>
        </w:rPr>
        <w:t>。</w:t>
      </w:r>
      <w:r>
        <w:rPr>
          <w:rFonts w:hint="eastAsia" w:ascii="仿宋" w:hAnsi="仿宋" w:cs="仿宋"/>
          <w:color w:val="auto"/>
          <w:szCs w:val="28"/>
          <w:lang w:val="en-US" w:eastAsia="zh-CN"/>
        </w:rPr>
        <w:t>鼓式刹车片产品检验用样品4片，备用样品4片。</w:t>
      </w:r>
    </w:p>
    <w:p w14:paraId="5C5CB490">
      <w:pPr>
        <w:rPr>
          <w:rFonts w:hint="eastAsia" w:ascii="仿宋" w:hAnsi="仿宋" w:cs="仿宋"/>
          <w:b/>
          <w:bCs/>
          <w:szCs w:val="28"/>
          <w:lang w:val="en-US" w:eastAsia="zh-CN"/>
        </w:rPr>
      </w:pPr>
      <w:r>
        <w:rPr>
          <w:rFonts w:hint="eastAsia" w:ascii="仿宋" w:hAnsi="仿宋" w:cs="仿宋"/>
          <w:b/>
          <w:bCs/>
          <w:szCs w:val="28"/>
          <w:lang w:val="en-US" w:eastAsia="zh-CN"/>
        </w:rPr>
        <w:br w:type="page"/>
      </w:r>
    </w:p>
    <w:p w14:paraId="2EFAE5B1">
      <w:pPr>
        <w:autoSpaceDE w:val="0"/>
        <w:autoSpaceDN w:val="0"/>
        <w:spacing w:before="158"/>
        <w:rPr>
          <w:rFonts w:hint="eastAsia" w:ascii="宋体" w:hAnsi="宋体" w:eastAsia="宋体" w:cs="宋体"/>
          <w:b/>
          <w:bCs/>
          <w:szCs w:val="28"/>
        </w:rPr>
      </w:pPr>
      <w:r>
        <w:rPr>
          <w:rFonts w:hint="eastAsia" w:ascii="宋体" w:hAnsi="宋体" w:eastAsia="宋体" w:cs="宋体"/>
          <w:b/>
          <w:bCs/>
          <w:szCs w:val="28"/>
          <w:lang w:val="en-US" w:eastAsia="zh-CN"/>
        </w:rPr>
        <w:t>4</w:t>
      </w:r>
      <w:r>
        <w:rPr>
          <w:rFonts w:hint="eastAsia" w:ascii="宋体" w:hAnsi="宋体" w:eastAsia="宋体" w:cs="宋体"/>
          <w:b/>
          <w:bCs/>
          <w:szCs w:val="28"/>
        </w:rPr>
        <w:t xml:space="preserve">. </w:t>
      </w:r>
      <w:r>
        <w:rPr>
          <w:rFonts w:hint="eastAsia" w:ascii="宋体" w:hAnsi="宋体" w:eastAsia="宋体" w:cs="宋体"/>
          <w:bCs/>
          <w:kern w:val="2"/>
          <w:sz w:val="28"/>
          <w:szCs w:val="28"/>
        </w:rPr>
        <w:t>检验项目要求</w:t>
      </w:r>
    </w:p>
    <w:p w14:paraId="49E9D73D">
      <w:pPr>
        <w:widowControl w:val="0"/>
        <w:autoSpaceDE w:val="0"/>
        <w:autoSpaceDN w:val="0"/>
        <w:adjustRightInd w:val="0"/>
        <w:ind w:right="28"/>
        <w:jc w:val="center"/>
        <w:rPr>
          <w:rFonts w:hint="eastAsia" w:ascii="宋体" w:hAnsi="宋体" w:eastAsia="宋体" w:cs="宋体"/>
        </w:rPr>
      </w:pPr>
      <w:r>
        <w:rPr>
          <w:rFonts w:hint="eastAsia" w:ascii="宋体" w:hAnsi="宋体" w:eastAsia="宋体" w:cs="宋体"/>
          <w:color w:val="000000"/>
          <w:sz w:val="28"/>
          <w:szCs w:val="28"/>
          <w:lang w:val="zh-CN" w:bidi="ar"/>
        </w:rPr>
        <w:t>执行</w:t>
      </w:r>
      <w:r>
        <w:rPr>
          <w:rFonts w:hint="eastAsia" w:ascii="宋体" w:hAnsi="宋体" w:eastAsia="宋体" w:cs="宋体"/>
          <w:color w:val="000000"/>
          <w:sz w:val="28"/>
          <w:szCs w:val="28"/>
          <w:lang w:val="en-US" w:eastAsia="zh-CN" w:bidi="ar"/>
        </w:rPr>
        <w:t>GB 5673</w:t>
      </w:r>
      <w:r>
        <w:rPr>
          <w:rFonts w:hint="eastAsia" w:ascii="宋体" w:hAnsi="宋体" w:eastAsia="宋体" w:cs="宋体"/>
          <w:color w:val="000000"/>
          <w:sz w:val="28"/>
          <w:szCs w:val="28"/>
          <w:lang w:val="zh-CN" w:bidi="ar"/>
        </w:rPr>
        <w:t>标准产品</w:t>
      </w:r>
      <w:r>
        <w:rPr>
          <w:rFonts w:hint="eastAsia" w:ascii="宋体" w:hAnsi="宋体" w:eastAsia="宋体" w:cs="宋体"/>
          <w:color w:val="000000"/>
          <w:sz w:val="28"/>
          <w:szCs w:val="28"/>
          <w:lang w:bidi="ar"/>
        </w:rPr>
        <w:t>检验项目</w:t>
      </w:r>
    </w:p>
    <w:tbl>
      <w:tblPr>
        <w:tblStyle w:val="4"/>
        <w:tblW w:w="0" w:type="auto"/>
        <w:jc w:val="center"/>
        <w:tblLayout w:type="autofit"/>
        <w:tblCellMar>
          <w:top w:w="15" w:type="dxa"/>
          <w:left w:w="15" w:type="dxa"/>
          <w:bottom w:w="15" w:type="dxa"/>
          <w:right w:w="15" w:type="dxa"/>
        </w:tblCellMar>
      </w:tblPr>
      <w:tblGrid>
        <w:gridCol w:w="500"/>
        <w:gridCol w:w="1128"/>
        <w:gridCol w:w="1222"/>
        <w:gridCol w:w="2150"/>
        <w:gridCol w:w="1940"/>
        <w:gridCol w:w="500"/>
        <w:gridCol w:w="448"/>
        <w:gridCol w:w="448"/>
      </w:tblGrid>
      <w:tr w14:paraId="2827CD08">
        <w:tblPrEx>
          <w:tblCellMar>
            <w:top w:w="15" w:type="dxa"/>
            <w:left w:w="15" w:type="dxa"/>
            <w:bottom w:w="15" w:type="dxa"/>
            <w:right w:w="15" w:type="dxa"/>
          </w:tblCellMar>
        </w:tblPrEx>
        <w:trPr>
          <w:trHeight w:val="397" w:hRule="atLeast"/>
          <w:jc w:val="center"/>
        </w:trPr>
        <w:tc>
          <w:tcPr>
            <w:tcW w:w="0" w:type="auto"/>
            <w:vMerge w:val="restart"/>
            <w:tcBorders>
              <w:top w:val="single" w:color="000000" w:sz="4" w:space="0"/>
              <w:left w:val="single" w:color="000000" w:sz="4" w:space="0"/>
              <w:right w:val="single" w:color="000000" w:sz="4" w:space="0"/>
            </w:tcBorders>
            <w:shd w:val="clear" w:color="auto" w:fill="FFFFFF"/>
            <w:noWrap w:val="0"/>
            <w:vAlign w:val="center"/>
          </w:tcPr>
          <w:p w14:paraId="478228D5">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序号</w:t>
            </w:r>
          </w:p>
        </w:tc>
        <w:tc>
          <w:tcPr>
            <w:tcW w:w="0" w:type="auto"/>
            <w:gridSpan w:val="2"/>
            <w:vMerge w:val="restart"/>
            <w:tcBorders>
              <w:top w:val="single" w:color="000000" w:sz="4" w:space="0"/>
              <w:left w:val="single" w:color="000000" w:sz="4" w:space="0"/>
              <w:right w:val="single" w:color="000000" w:sz="4" w:space="0"/>
            </w:tcBorders>
            <w:shd w:val="clear" w:color="auto" w:fill="FFFFFF"/>
            <w:noWrap w:val="0"/>
            <w:vAlign w:val="center"/>
          </w:tcPr>
          <w:p w14:paraId="6BAB2F73">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检验项目</w:t>
            </w:r>
          </w:p>
        </w:tc>
        <w:tc>
          <w:tcPr>
            <w:tcW w:w="0" w:type="auto"/>
            <w:vMerge w:val="restart"/>
            <w:tcBorders>
              <w:top w:val="single" w:color="000000" w:sz="4" w:space="0"/>
              <w:left w:val="single" w:color="000000" w:sz="4" w:space="0"/>
              <w:right w:val="single" w:color="000000" w:sz="4" w:space="0"/>
            </w:tcBorders>
            <w:shd w:val="clear" w:color="auto" w:fill="FFFFFF"/>
            <w:noWrap w:val="0"/>
            <w:vAlign w:val="center"/>
          </w:tcPr>
          <w:p w14:paraId="2AB1C779">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依据法律法规或标准</w:t>
            </w:r>
          </w:p>
        </w:tc>
        <w:tc>
          <w:tcPr>
            <w:tcW w:w="1940" w:type="dxa"/>
            <w:vMerge w:val="restart"/>
            <w:tcBorders>
              <w:top w:val="single" w:color="000000" w:sz="4" w:space="0"/>
              <w:left w:val="single" w:color="000000" w:sz="4" w:space="0"/>
              <w:right w:val="single" w:color="000000" w:sz="4" w:space="0"/>
            </w:tcBorders>
            <w:shd w:val="clear" w:color="auto" w:fill="FFFFFF"/>
            <w:noWrap w:val="0"/>
            <w:vAlign w:val="center"/>
          </w:tcPr>
          <w:p w14:paraId="1058C2FB">
            <w:pPr>
              <w:jc w:val="center"/>
              <w:textAlignment w:val="center"/>
              <w:rPr>
                <w:rFonts w:hint="eastAsia" w:ascii="仿宋" w:hAnsi="仿宋" w:eastAsia="仿宋" w:cs="宋体"/>
                <w:b/>
                <w:color w:val="000000"/>
                <w:sz w:val="24"/>
                <w:szCs w:val="24"/>
              </w:rPr>
            </w:pPr>
            <w:r>
              <w:rPr>
                <w:rFonts w:hint="eastAsia" w:ascii="仿宋" w:hAnsi="仿宋" w:eastAsia="仿宋" w:cs="宋体"/>
                <w:b/>
                <w:color w:val="000000"/>
                <w:sz w:val="24"/>
                <w:szCs w:val="24"/>
                <w:lang w:bidi="ar"/>
              </w:rPr>
              <w:t>检验方法</w:t>
            </w:r>
          </w:p>
        </w:tc>
        <w:tc>
          <w:tcPr>
            <w:tcW w:w="1412" w:type="dxa"/>
            <w:gridSpan w:val="3"/>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0D7A969D">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重要程度分类</w:t>
            </w:r>
          </w:p>
        </w:tc>
      </w:tr>
      <w:tr w14:paraId="68B56E75">
        <w:tblPrEx>
          <w:tblCellMar>
            <w:top w:w="15" w:type="dxa"/>
            <w:left w:w="15" w:type="dxa"/>
            <w:bottom w:w="15" w:type="dxa"/>
            <w:right w:w="15" w:type="dxa"/>
          </w:tblCellMar>
        </w:tblPrEx>
        <w:trPr>
          <w:trHeight w:val="397" w:hRule="atLeast"/>
          <w:jc w:val="center"/>
        </w:trPr>
        <w:tc>
          <w:tcPr>
            <w:tcW w:w="0" w:type="auto"/>
            <w:vMerge w:val="continue"/>
            <w:tcBorders>
              <w:left w:val="single" w:color="000000" w:sz="4" w:space="0"/>
              <w:bottom w:val="single" w:color="000000" w:sz="4" w:space="0"/>
              <w:right w:val="single" w:color="000000" w:sz="4" w:space="0"/>
            </w:tcBorders>
            <w:shd w:val="clear" w:color="auto" w:fill="FFFFFF"/>
            <w:noWrap w:val="0"/>
            <w:vAlign w:val="center"/>
          </w:tcPr>
          <w:p w14:paraId="379F49DC">
            <w:pPr>
              <w:jc w:val="center"/>
              <w:textAlignment w:val="center"/>
              <w:rPr>
                <w:rFonts w:hint="eastAsia" w:ascii="仿宋" w:hAnsi="仿宋" w:eastAsia="仿宋" w:cs="宋体"/>
                <w:b/>
                <w:color w:val="000000"/>
                <w:sz w:val="24"/>
                <w:szCs w:val="24"/>
                <w:lang w:bidi="ar"/>
              </w:rPr>
            </w:pPr>
          </w:p>
        </w:tc>
        <w:tc>
          <w:tcPr>
            <w:tcW w:w="0" w:type="auto"/>
            <w:gridSpan w:val="2"/>
            <w:vMerge w:val="continue"/>
            <w:tcBorders>
              <w:left w:val="single" w:color="000000" w:sz="4" w:space="0"/>
              <w:bottom w:val="single" w:color="000000" w:sz="4" w:space="0"/>
              <w:right w:val="single" w:color="000000" w:sz="4" w:space="0"/>
            </w:tcBorders>
            <w:shd w:val="clear" w:color="auto" w:fill="FFFFFF"/>
            <w:noWrap w:val="0"/>
            <w:vAlign w:val="center"/>
          </w:tcPr>
          <w:p w14:paraId="088C3B58">
            <w:pPr>
              <w:jc w:val="center"/>
              <w:textAlignment w:val="center"/>
              <w:rPr>
                <w:rFonts w:hint="eastAsia" w:ascii="仿宋" w:hAnsi="仿宋" w:eastAsia="仿宋" w:cs="宋体"/>
                <w:b/>
                <w:color w:val="000000"/>
                <w:sz w:val="24"/>
                <w:szCs w:val="24"/>
                <w:lang w:bidi="ar"/>
              </w:rPr>
            </w:pPr>
          </w:p>
        </w:tc>
        <w:tc>
          <w:tcPr>
            <w:tcW w:w="0" w:type="auto"/>
            <w:vMerge w:val="continue"/>
            <w:tcBorders>
              <w:left w:val="single" w:color="000000" w:sz="4" w:space="0"/>
              <w:bottom w:val="single" w:color="000000" w:sz="4" w:space="0"/>
              <w:right w:val="single" w:color="000000" w:sz="4" w:space="0"/>
            </w:tcBorders>
            <w:shd w:val="clear" w:color="auto" w:fill="FFFFFF"/>
            <w:noWrap w:val="0"/>
            <w:vAlign w:val="center"/>
          </w:tcPr>
          <w:p w14:paraId="5AF08AD7">
            <w:pPr>
              <w:jc w:val="center"/>
              <w:textAlignment w:val="center"/>
              <w:rPr>
                <w:rFonts w:hint="eastAsia" w:ascii="仿宋" w:hAnsi="仿宋" w:eastAsia="仿宋" w:cs="宋体"/>
                <w:b/>
                <w:color w:val="000000"/>
                <w:sz w:val="24"/>
                <w:szCs w:val="24"/>
                <w:lang w:bidi="ar"/>
              </w:rPr>
            </w:pPr>
          </w:p>
        </w:tc>
        <w:tc>
          <w:tcPr>
            <w:tcW w:w="1940" w:type="dxa"/>
            <w:vMerge w:val="continue"/>
            <w:tcBorders>
              <w:left w:val="single" w:color="000000" w:sz="4" w:space="0"/>
              <w:bottom w:val="single" w:color="000000" w:sz="4" w:space="0"/>
              <w:right w:val="single" w:color="000000" w:sz="4" w:space="0"/>
            </w:tcBorders>
            <w:shd w:val="clear" w:color="auto" w:fill="FFFFFF"/>
            <w:noWrap w:val="0"/>
            <w:vAlign w:val="center"/>
          </w:tcPr>
          <w:p w14:paraId="5CE9B677">
            <w:pPr>
              <w:jc w:val="center"/>
              <w:textAlignment w:val="center"/>
              <w:rPr>
                <w:rFonts w:hint="eastAsia" w:ascii="仿宋" w:hAnsi="仿宋" w:eastAsia="仿宋" w:cs="宋体"/>
                <w:b/>
                <w:color w:val="000000"/>
                <w:sz w:val="24"/>
                <w:szCs w:val="24"/>
                <w:lang w:bidi="ar"/>
              </w:rPr>
            </w:pP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E700A1">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A类</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D78B802">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B类</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16B534">
            <w:pPr>
              <w:jc w:val="center"/>
              <w:textAlignment w:val="center"/>
              <w:rPr>
                <w:rFonts w:hint="eastAsia" w:ascii="仿宋" w:hAnsi="仿宋" w:eastAsia="仿宋" w:cs="宋体"/>
                <w:b/>
                <w:color w:val="000000"/>
                <w:sz w:val="24"/>
                <w:szCs w:val="24"/>
                <w:lang w:bidi="ar"/>
              </w:rPr>
            </w:pPr>
            <w:r>
              <w:rPr>
                <w:rFonts w:hint="eastAsia" w:ascii="仿宋" w:hAnsi="仿宋" w:eastAsia="仿宋" w:cs="宋体"/>
                <w:b/>
                <w:color w:val="000000"/>
                <w:sz w:val="24"/>
                <w:szCs w:val="24"/>
                <w:lang w:bidi="ar"/>
              </w:rPr>
              <w:t>C类</w:t>
            </w:r>
          </w:p>
        </w:tc>
      </w:tr>
      <w:tr w14:paraId="0FF91247">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9A8248">
            <w:pPr>
              <w:spacing w:line="360" w:lineRule="auto"/>
              <w:jc w:val="center"/>
              <w:rPr>
                <w:rFonts w:hint="eastAsia" w:ascii="仿宋" w:hAnsi="仿宋" w:eastAsia="仿宋" w:cs="宋体"/>
                <w:sz w:val="21"/>
                <w:szCs w:val="21"/>
              </w:rPr>
            </w:pPr>
            <w:r>
              <w:rPr>
                <w:rFonts w:hint="eastAsia" w:ascii="仿宋" w:hAnsi="仿宋" w:cs="仿宋"/>
                <w:sz w:val="24"/>
              </w:rPr>
              <w:t>1</w:t>
            </w:r>
          </w:p>
        </w:tc>
        <w:tc>
          <w:tcPr>
            <w:tcW w:w="112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054E5C">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color w:val="000000"/>
                <w:sz w:val="24"/>
                <w:lang w:val="en-US" w:eastAsia="zh-CN"/>
              </w:rPr>
              <w:t>有害成分限量</w:t>
            </w:r>
          </w:p>
        </w:tc>
        <w:tc>
          <w:tcPr>
            <w:tcW w:w="122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ED21EA">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石棉含量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4BC049">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default" w:ascii="仿宋" w:hAnsi="仿宋" w:cs="仿宋"/>
                <w:color w:val="000000"/>
                <w:sz w:val="24"/>
                <w:lang w:val="en-US" w:eastAsia="zh-CN"/>
              </w:rPr>
            </w:pPr>
            <w:r>
              <w:rPr>
                <w:rFonts w:hint="eastAsia" w:ascii="仿宋" w:hAnsi="仿宋" w:cs="仿宋"/>
                <w:color w:val="000000"/>
                <w:sz w:val="24"/>
                <w:lang w:val="en-US" w:eastAsia="zh-CN"/>
              </w:rPr>
              <w:t>GB 5763-2018</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19C93E">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color w:val="000000"/>
                <w:sz w:val="24"/>
                <w:lang w:val="en-US" w:eastAsia="zh-CN"/>
              </w:rPr>
              <w:t>GB/T 23263-2009</w:t>
            </w: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51896F">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1DDEE223">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224ACE">
            <w:pPr>
              <w:jc w:val="center"/>
              <w:rPr>
                <w:rFonts w:hint="eastAsia" w:ascii="仿宋" w:hAnsi="仿宋" w:eastAsia="仿宋" w:cs="宋体"/>
                <w:sz w:val="21"/>
                <w:szCs w:val="21"/>
              </w:rPr>
            </w:pPr>
          </w:p>
        </w:tc>
      </w:tr>
      <w:tr w14:paraId="4E06CCD6">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45ED42">
            <w:pPr>
              <w:spacing w:line="360" w:lineRule="auto"/>
              <w:jc w:val="center"/>
              <w:rPr>
                <w:rFonts w:hint="eastAsia" w:ascii="仿宋" w:hAnsi="仿宋" w:eastAsia="仿宋" w:cs="宋体"/>
                <w:sz w:val="21"/>
                <w:szCs w:val="21"/>
              </w:rPr>
            </w:pPr>
            <w:r>
              <w:rPr>
                <w:rFonts w:hint="eastAsia" w:ascii="仿宋" w:hAnsi="仿宋" w:cs="仿宋"/>
                <w:sz w:val="24"/>
              </w:rPr>
              <w:t>2</w:t>
            </w:r>
          </w:p>
        </w:tc>
        <w:tc>
          <w:tcPr>
            <w:tcW w:w="11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047CD">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p>
        </w:tc>
        <w:tc>
          <w:tcPr>
            <w:tcW w:w="122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3B9E71">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color w:val="000000"/>
                <w:sz w:val="24"/>
                <w:lang w:val="en-US" w:eastAsia="zh-CN"/>
              </w:rPr>
              <w:t>有害元素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3DA257">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GB 5763-2018</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5BF7AA">
            <w:pPr>
              <w:pStyle w:val="2"/>
              <w:jc w:val="both"/>
              <w:rPr>
                <w:rFonts w:hint="default"/>
                <w:lang w:val="en-US"/>
              </w:rPr>
            </w:pPr>
            <w:r>
              <w:rPr>
                <w:rFonts w:hint="eastAsia" w:ascii="仿宋" w:hAnsi="仿宋" w:cs="仿宋"/>
                <w:b w:val="0"/>
                <w:bCs/>
                <w:color w:val="auto"/>
                <w:sz w:val="24"/>
                <w:lang w:val="en-US" w:eastAsia="zh-CN"/>
              </w:rPr>
              <w:t>JC/T 2268-2023</w:t>
            </w: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FBA08">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2B9481DC">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04A57F">
            <w:pPr>
              <w:jc w:val="center"/>
              <w:rPr>
                <w:rFonts w:hint="eastAsia" w:ascii="仿宋" w:hAnsi="仿宋" w:eastAsia="仿宋" w:cs="宋体"/>
                <w:sz w:val="21"/>
                <w:szCs w:val="21"/>
              </w:rPr>
            </w:pPr>
          </w:p>
        </w:tc>
      </w:tr>
      <w:tr w14:paraId="5031A66F">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58B055">
            <w:pPr>
              <w:spacing w:line="360" w:lineRule="auto"/>
              <w:jc w:val="center"/>
              <w:rPr>
                <w:rFonts w:hint="eastAsia" w:ascii="仿宋" w:hAnsi="仿宋" w:eastAsia="仿宋" w:cs="宋体"/>
                <w:sz w:val="21"/>
                <w:szCs w:val="21"/>
              </w:rPr>
            </w:pPr>
            <w:r>
              <w:rPr>
                <w:rFonts w:hint="eastAsia" w:ascii="仿宋" w:hAnsi="仿宋" w:cs="仿宋"/>
                <w:sz w:val="24"/>
              </w:rPr>
              <w:t>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383A91">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color w:val="000000"/>
                <w:sz w:val="24"/>
                <w:lang w:val="en-US" w:eastAsia="zh-CN"/>
              </w:rPr>
              <w:t>摩擦性能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2F8045">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GB 5763-2018</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E7CB04">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color w:val="000000"/>
                <w:sz w:val="24"/>
                <w:lang w:val="en-US" w:eastAsia="zh-CN"/>
              </w:rPr>
              <w:t>GB/T 34007-2017</w:t>
            </w: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ED227A">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DA633BB">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4B33AB">
            <w:pPr>
              <w:jc w:val="center"/>
              <w:rPr>
                <w:rFonts w:hint="eastAsia" w:ascii="仿宋" w:hAnsi="仿宋" w:eastAsia="仿宋" w:cs="宋体"/>
                <w:sz w:val="21"/>
                <w:szCs w:val="21"/>
              </w:rPr>
            </w:pPr>
          </w:p>
        </w:tc>
      </w:tr>
      <w:tr w14:paraId="40270D17">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D71238">
            <w:pPr>
              <w:spacing w:line="360" w:lineRule="auto"/>
              <w:jc w:val="center"/>
              <w:rPr>
                <w:rFonts w:hint="eastAsia" w:ascii="仿宋" w:hAnsi="仿宋" w:eastAsia="仿宋" w:cs="宋体"/>
                <w:sz w:val="21"/>
                <w:szCs w:val="21"/>
              </w:rPr>
            </w:pPr>
            <w:r>
              <w:rPr>
                <w:rFonts w:hint="eastAsia" w:ascii="仿宋" w:hAnsi="仿宋" w:cs="仿宋"/>
                <w:sz w:val="24"/>
              </w:rPr>
              <w:t>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EE0B37">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剪切强度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86CF90">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GB 5763-2018</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9721FE">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FF0000"/>
                <w:sz w:val="24"/>
                <w:lang w:val="en-US" w:eastAsia="zh-CN"/>
              </w:rPr>
            </w:pPr>
            <w:bookmarkStart w:id="0" w:name="_GoBack"/>
            <w:r>
              <w:rPr>
                <w:rFonts w:hint="eastAsia" w:ascii="仿宋" w:hAnsi="仿宋" w:cs="仿宋"/>
                <w:color w:val="auto"/>
                <w:sz w:val="24"/>
                <w:lang w:val="en-US" w:eastAsia="zh-CN"/>
              </w:rPr>
              <w:t>GB/T 22309-2008</w:t>
            </w:r>
            <w:bookmarkEnd w:id="0"/>
          </w:p>
          <w:p w14:paraId="00C15CBF">
            <w:pPr>
              <w:pStyle w:val="2"/>
              <w:rPr>
                <w:rFonts w:hint="default"/>
                <w:lang w:val="en-US"/>
              </w:rPr>
            </w:pPr>
            <w:r>
              <w:rPr>
                <w:rFonts w:hint="eastAsia" w:ascii="仿宋" w:hAnsi="仿宋" w:cs="仿宋"/>
                <w:b w:val="0"/>
                <w:bCs/>
                <w:color w:val="auto"/>
                <w:sz w:val="24"/>
                <w:lang w:val="en-US" w:eastAsia="zh-CN"/>
              </w:rPr>
              <w:t>GB/T 22309-2023</w:t>
            </w: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A749BE">
            <w:pPr>
              <w:jc w:val="center"/>
              <w:rPr>
                <w:rFonts w:hint="eastAsia" w:ascii="仿宋" w:hAnsi="仿宋" w:eastAsia="仿宋" w:cs="宋体"/>
                <w:kern w:val="2"/>
                <w:sz w:val="21"/>
                <w:szCs w:val="21"/>
                <w:lang w:val="en-US" w:eastAsia="zh-CN" w:bidi="ar-SA"/>
              </w:rPr>
            </w:pPr>
            <w:r>
              <w:rPr>
                <w:rFonts w:hint="eastAsia" w:ascii="仿宋" w:hAnsi="仿宋" w:eastAsia="仿宋" w:cs="宋体"/>
                <w:sz w:val="21"/>
                <w:szCs w:val="21"/>
              </w:rPr>
              <w:t>●</w:t>
            </w: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4A120F11">
            <w:pPr>
              <w:jc w:val="center"/>
              <w:rPr>
                <w:rFonts w:hint="eastAsia" w:ascii="仿宋" w:hAnsi="仿宋" w:eastAsia="仿宋" w:cs="宋体"/>
                <w:kern w:val="2"/>
                <w:sz w:val="21"/>
                <w:szCs w:val="21"/>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780762">
            <w:pPr>
              <w:jc w:val="center"/>
              <w:rPr>
                <w:rFonts w:hint="eastAsia" w:ascii="仿宋" w:hAnsi="仿宋" w:eastAsia="仿宋" w:cs="宋体"/>
                <w:sz w:val="21"/>
                <w:szCs w:val="21"/>
              </w:rPr>
            </w:pPr>
          </w:p>
        </w:tc>
      </w:tr>
      <w:tr w14:paraId="0B74978D">
        <w:tblPrEx>
          <w:tblCellMar>
            <w:top w:w="15" w:type="dxa"/>
            <w:left w:w="15" w:type="dxa"/>
            <w:bottom w:w="15" w:type="dxa"/>
            <w:right w:w="15"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C1FAF7">
            <w:pPr>
              <w:spacing w:line="360" w:lineRule="auto"/>
              <w:jc w:val="center"/>
              <w:rPr>
                <w:rFonts w:hint="eastAsia" w:ascii="仿宋" w:hAnsi="仿宋" w:eastAsia="仿宋" w:cs="宋体"/>
                <w:sz w:val="21"/>
                <w:szCs w:val="21"/>
              </w:rPr>
            </w:pPr>
            <w:r>
              <w:rPr>
                <w:rFonts w:hint="eastAsia" w:ascii="仿宋" w:hAnsi="仿宋" w:cs="仿宋"/>
                <w:sz w:val="24"/>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CA8CE7">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sz w:val="24"/>
                <w:lang w:eastAsia="zh-CN"/>
              </w:rPr>
              <w:t>标志包装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9890CD">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hint="eastAsia" w:ascii="仿宋" w:hAnsi="仿宋" w:cs="仿宋"/>
                <w:color w:val="000000"/>
                <w:sz w:val="24"/>
                <w:lang w:val="en-US" w:eastAsia="zh-CN"/>
              </w:rPr>
            </w:pPr>
            <w:r>
              <w:rPr>
                <w:rFonts w:hint="eastAsia" w:ascii="仿宋" w:hAnsi="仿宋" w:cs="仿宋"/>
                <w:color w:val="000000"/>
                <w:sz w:val="24"/>
                <w:lang w:val="en-US" w:eastAsia="zh-CN"/>
              </w:rPr>
              <w:t>GB 5763-2018</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63A698">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仿宋" w:hAnsi="仿宋" w:eastAsia="仿宋" w:cs="宋体"/>
                <w:sz w:val="21"/>
                <w:szCs w:val="21"/>
              </w:rPr>
            </w:pPr>
            <w:r>
              <w:rPr>
                <w:rFonts w:hint="eastAsia" w:ascii="仿宋" w:hAnsi="仿宋" w:cs="仿宋"/>
                <w:sz w:val="24"/>
                <w:lang w:val="en-US" w:eastAsia="zh-CN"/>
              </w:rPr>
              <w:t>GB 5763-2018</w:t>
            </w:r>
          </w:p>
        </w:tc>
        <w:tc>
          <w:tcPr>
            <w:tcW w:w="49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0190B0">
            <w:pPr>
              <w:jc w:val="center"/>
              <w:rPr>
                <w:rFonts w:hint="eastAsia" w:ascii="仿宋" w:hAnsi="仿宋" w:eastAsia="仿宋" w:cs="宋体"/>
                <w:sz w:val="21"/>
                <w:szCs w:val="21"/>
              </w:rPr>
            </w:pPr>
          </w:p>
        </w:tc>
        <w:tc>
          <w:tcPr>
            <w:tcW w:w="0" w:type="auto"/>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78B614AB">
            <w:pPr>
              <w:jc w:val="center"/>
              <w:rPr>
                <w:rFonts w:hint="eastAsia" w:ascii="仿宋" w:hAnsi="仿宋" w:eastAsia="仿宋" w:cs="宋体"/>
                <w:sz w:val="21"/>
                <w:szCs w:val="21"/>
              </w:rPr>
            </w:pPr>
            <w:r>
              <w:rPr>
                <w:rFonts w:hint="eastAsia" w:ascii="仿宋" w:hAnsi="仿宋" w:eastAsia="仿宋" w:cs="宋体"/>
                <w:sz w:val="21"/>
                <w:szCs w:val="21"/>
              </w:rPr>
              <w:t>●</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233E05">
            <w:pPr>
              <w:jc w:val="center"/>
              <w:rPr>
                <w:rFonts w:hint="eastAsia" w:ascii="仿宋" w:hAnsi="仿宋" w:eastAsia="仿宋" w:cs="宋体"/>
                <w:sz w:val="21"/>
                <w:szCs w:val="21"/>
              </w:rPr>
            </w:pPr>
          </w:p>
        </w:tc>
      </w:tr>
      <w:tr w14:paraId="38C0CEA2">
        <w:tblPrEx>
          <w:tblCellMar>
            <w:top w:w="15" w:type="dxa"/>
            <w:left w:w="15" w:type="dxa"/>
            <w:bottom w:w="15" w:type="dxa"/>
            <w:right w:w="15" w:type="dxa"/>
          </w:tblCellMar>
        </w:tblPrEx>
        <w:trPr>
          <w:trHeight w:val="397" w:hRule="atLeast"/>
          <w:jc w:val="center"/>
        </w:trPr>
        <w:tc>
          <w:tcPr>
            <w:tcW w:w="0" w:type="auto"/>
            <w:gridSpan w:val="8"/>
            <w:tcBorders>
              <w:top w:val="single" w:color="000000" w:sz="4" w:space="0"/>
              <w:left w:val="single" w:color="000000" w:sz="4" w:space="0"/>
              <w:bottom w:val="single" w:color="000000" w:sz="4" w:space="0"/>
              <w:right w:val="single" w:color="auto" w:sz="4" w:space="0"/>
            </w:tcBorders>
            <w:shd w:val="clear" w:color="auto" w:fill="FFFFFF"/>
            <w:noWrap w:val="0"/>
            <w:vAlign w:val="center"/>
          </w:tcPr>
          <w:p w14:paraId="21318C84">
            <w:pPr>
              <w:jc w:val="both"/>
              <w:rPr>
                <w:rFonts w:hint="default" w:ascii="仿宋" w:hAnsi="仿宋" w:eastAsia="仿宋" w:cs="宋体"/>
                <w:sz w:val="21"/>
                <w:szCs w:val="21"/>
                <w:lang w:val="en-US" w:eastAsia="zh-CN"/>
              </w:rPr>
            </w:pPr>
            <w:r>
              <w:rPr>
                <w:rFonts w:hint="eastAsia" w:ascii="仿宋" w:hAnsi="仿宋" w:eastAsia="仿宋" w:cs="宋体"/>
                <w:sz w:val="21"/>
                <w:szCs w:val="21"/>
              </w:rPr>
              <w:t>注：根据实际产品标准对应要求的项目进行检测。</w:t>
            </w:r>
            <w:r>
              <w:rPr>
                <w:rFonts w:hint="eastAsia" w:ascii="仿宋" w:hAnsi="仿宋" w:eastAsia="仿宋" w:cs="宋体"/>
                <w:sz w:val="21"/>
                <w:szCs w:val="21"/>
                <w:lang w:val="en-US" w:eastAsia="zh-CN"/>
              </w:rPr>
              <w:t>鼓式刹车片不做剪切强度检测项目。</w:t>
            </w:r>
          </w:p>
        </w:tc>
      </w:tr>
    </w:tbl>
    <w:p w14:paraId="5B728538">
      <w:pPr>
        <w:widowControl w:val="0"/>
        <w:autoSpaceDE w:val="0"/>
        <w:autoSpaceDN w:val="0"/>
        <w:adjustRightInd w:val="0"/>
        <w:spacing w:line="360" w:lineRule="auto"/>
        <w:ind w:right="28"/>
        <w:jc w:val="both"/>
        <w:rPr>
          <w:rFonts w:hint="eastAsia" w:ascii="仿宋" w:hAnsi="仿宋" w:eastAsia="仿宋" w:cs="宋体"/>
          <w:sz w:val="21"/>
          <w:szCs w:val="21"/>
          <w:lang w:bidi="ar"/>
        </w:rPr>
      </w:pPr>
      <w:r>
        <w:rPr>
          <w:rFonts w:hint="eastAsia" w:ascii="仿宋" w:hAnsi="仿宋" w:eastAsia="仿宋" w:cs="宋体"/>
          <w:sz w:val="21"/>
          <w:szCs w:val="21"/>
          <w:lang w:bidi="ar"/>
        </w:rPr>
        <w:t>注：A类-极重要质量项目是指直接涉及人体健康、使用安全的指标；B类-重要质量项目是指产品涉及关键性能或特征值的指标。C类-标示标识或不影响人体健康、使用安全和产品使用关键性能的指标。</w:t>
      </w:r>
    </w:p>
    <w:p w14:paraId="30AEA31A">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检验应注意的问题：</w:t>
      </w:r>
    </w:p>
    <w:p w14:paraId="25875F9F">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强制性检验项目时，应按本细则中强制性检验项目依据的标准要求进行检验并判定；若被检产品明示的质量要求缺少本细则中检验项目依据的推荐性标准要求时，该项目不参与判定，但应在检验报告备注中进行说明。</w:t>
      </w:r>
    </w:p>
    <w:p w14:paraId="54F857F9">
      <w:pPr>
        <w:autoSpaceDE w:val="0"/>
        <w:autoSpaceDN w:val="0"/>
        <w:spacing w:line="360" w:lineRule="auto"/>
        <w:ind w:firstLine="560" w:firstLineChars="200"/>
        <w:rPr>
          <w:rFonts w:hint="eastAsia" w:ascii="仿宋_GB2312" w:hAnsi="仿宋_GB2312" w:eastAsia="仿宋_GB2312" w:cs="仿宋_GB2312"/>
          <w:kern w:val="2"/>
          <w:sz w:val="28"/>
          <w:szCs w:val="28"/>
        </w:rPr>
      </w:pPr>
      <w:r>
        <w:rPr>
          <w:rFonts w:hint="eastAsia" w:ascii="仿宋" w:hAnsi="仿宋" w:cs="仿宋"/>
          <w:bCs/>
          <w:color w:val="000000"/>
          <w:szCs w:val="28"/>
          <w:shd w:val="clear" w:color="auto" w:fill="FFFFFF"/>
          <w:lang w:eastAsia="zh-CN"/>
        </w:rPr>
        <w:t>②</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若样品出现封样状态破坏或样品异常损坏的情况，影响检验结果，则停止对该样品的检验。</w:t>
      </w:r>
    </w:p>
    <w:p w14:paraId="5891AAE5">
      <w:pPr>
        <w:autoSpaceDE w:val="0"/>
        <w:autoSpaceDN w:val="0"/>
        <w:rPr>
          <w:rFonts w:ascii="仿宋" w:hAnsi="仿宋" w:cs="仿宋"/>
          <w:b/>
          <w:bCs/>
          <w:szCs w:val="28"/>
        </w:rPr>
      </w:pPr>
      <w:r>
        <w:rPr>
          <w:rFonts w:hint="eastAsia" w:ascii="仿宋" w:hAnsi="仿宋" w:cs="仿宋"/>
          <w:b/>
          <w:bCs/>
          <w:szCs w:val="28"/>
          <w:lang w:val="en-US" w:eastAsia="zh-CN"/>
        </w:rPr>
        <w:t>5</w:t>
      </w:r>
      <w:r>
        <w:rPr>
          <w:rFonts w:hint="eastAsia" w:ascii="仿宋" w:hAnsi="仿宋" w:cs="仿宋"/>
          <w:b/>
          <w:bCs/>
          <w:szCs w:val="28"/>
        </w:rPr>
        <w:t>. 判定规则</w:t>
      </w:r>
    </w:p>
    <w:p w14:paraId="3F9C2AF4">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经检验，检验项目全部合格，判定为被抽查产品未发现不合格；检验项目中任一项或一项以上不合格，判定为被抽查产品不合格。其中，当产品存在A类项目不合格或3项及以上B类项目不合格时，属于严重不合格。</w:t>
      </w:r>
    </w:p>
    <w:p w14:paraId="6C3102E2">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统一结论用语：（使用以下三者之一）：</w:t>
      </w:r>
    </w:p>
    <w:p w14:paraId="09249C9C">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 经抽样检验， 所检项目符合xxx标准要求，依据xxx抽查细则，判定为未发现不合格；</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 </w:t>
      </w:r>
      <w:r>
        <w:rPr>
          <w:rFonts w:hint="eastAsia" w:ascii="仿宋" w:hAnsi="仿宋" w:cs="仿宋"/>
          <w:bCs/>
          <w:color w:val="000000"/>
          <w:szCs w:val="28"/>
          <w:shd w:val="clear" w:color="auto" w:fill="FFFFFF"/>
          <w:lang w:eastAsia="zh-CN"/>
        </w:rPr>
        <w:cr/>
      </w:r>
      <w:r>
        <w:rPr>
          <w:rFonts w:hint="eastAsia" w:ascii="仿宋" w:hAnsi="仿宋" w:cs="仿宋"/>
          <w:bCs/>
          <w:color w:val="000000"/>
          <w:szCs w:val="28"/>
          <w:shd w:val="clear" w:color="auto" w:fill="FFFFFF"/>
          <w:lang w:eastAsia="zh-CN"/>
        </w:rPr>
        <w:t xml:space="preserve">    ● 经抽样检验， xxx、xxx、xxx项目不符合xxx标准要求，依据xxx抽查细则，判定为不合格，属于严重不合格。</w:t>
      </w:r>
    </w:p>
    <w:p w14:paraId="381A572A">
      <w:pPr>
        <w:autoSpaceDE w:val="0"/>
        <w:autoSpaceDN w:val="0"/>
        <w:rPr>
          <w:rFonts w:hint="eastAsia" w:ascii="仿宋" w:hAnsi="仿宋" w:cs="仿宋"/>
          <w:b/>
          <w:bCs/>
          <w:szCs w:val="28"/>
          <w:lang w:val="en-US" w:eastAsia="zh-CN"/>
        </w:rPr>
      </w:pPr>
      <w:r>
        <w:rPr>
          <w:rFonts w:hint="eastAsia" w:ascii="仿宋" w:hAnsi="仿宋" w:cs="仿宋"/>
          <w:b/>
          <w:bCs/>
          <w:szCs w:val="28"/>
          <w:lang w:val="en-US" w:eastAsia="zh-CN"/>
        </w:rPr>
        <w:t>6 异议处理复检</w:t>
      </w:r>
    </w:p>
    <w:p w14:paraId="139627F3">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对判定不合格产品进行复检时，按以下方式进行：</w:t>
      </w:r>
    </w:p>
    <w:p w14:paraId="0CBD5D30">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6.1对不合格项目复检时，可以在原样上检验的在原样上复检，不可以在原样上检验的采用备用样复检。复检结论为最终检验结论。</w:t>
      </w:r>
    </w:p>
    <w:p w14:paraId="420EE23C">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6.2 不进行复检情况：</w:t>
      </w:r>
    </w:p>
    <w:p w14:paraId="10D71A83">
      <w:pPr>
        <w:autoSpaceDE w:val="0"/>
        <w:autoSpaceDN w:val="0"/>
        <w:spacing w:line="360" w:lineRule="auto"/>
        <w:ind w:firstLine="560" w:firstLineChars="200"/>
        <w:rPr>
          <w:rFonts w:hint="eastAsia" w:ascii="仿宋" w:hAnsi="仿宋" w:cs="仿宋"/>
          <w:bCs/>
          <w:color w:val="000000"/>
          <w:szCs w:val="28"/>
          <w:shd w:val="clear" w:color="auto" w:fill="FFFFFF"/>
          <w:lang w:eastAsia="zh-CN"/>
        </w:rPr>
      </w:pPr>
      <w:r>
        <w:rPr>
          <w:rFonts w:hint="eastAsia" w:ascii="仿宋" w:hAnsi="仿宋" w:cs="仿宋"/>
          <w:bCs/>
          <w:color w:val="000000"/>
          <w:szCs w:val="28"/>
          <w:shd w:val="clear" w:color="auto" w:fill="FFFFFF"/>
          <w:lang w:eastAsia="zh-CN"/>
        </w:rPr>
        <w:t>①</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被检方提出复检时，产品在复检有效期内于正常贮存条件下已变质；</w:t>
      </w:r>
    </w:p>
    <w:p w14:paraId="02A01F6D">
      <w:pPr>
        <w:autoSpaceDE w:val="0"/>
        <w:autoSpaceDN w:val="0"/>
        <w:spacing w:line="360" w:lineRule="auto"/>
        <w:ind w:firstLine="560" w:firstLineChars="200"/>
      </w:pPr>
      <w:r>
        <w:rPr>
          <w:rFonts w:hint="eastAsia" w:ascii="仿宋" w:hAnsi="仿宋" w:cs="仿宋"/>
          <w:bCs/>
          <w:color w:val="000000"/>
          <w:szCs w:val="28"/>
          <w:shd w:val="clear" w:color="auto" w:fill="FFFFFF"/>
          <w:lang w:eastAsia="zh-CN"/>
        </w:rPr>
        <w:t>②</w:t>
      </w:r>
      <w:r>
        <w:rPr>
          <w:rFonts w:hint="eastAsia" w:ascii="仿宋" w:hAnsi="仿宋" w:cs="仿宋"/>
          <w:bCs/>
          <w:color w:val="000000"/>
          <w:szCs w:val="28"/>
          <w:shd w:val="clear" w:color="auto" w:fill="FFFFFF"/>
          <w:lang w:val="en-US" w:eastAsia="zh-CN"/>
        </w:rPr>
        <w:t xml:space="preserve"> </w:t>
      </w:r>
      <w:r>
        <w:rPr>
          <w:rFonts w:hint="eastAsia" w:ascii="仿宋" w:hAnsi="仿宋" w:cs="仿宋"/>
          <w:bCs/>
          <w:color w:val="000000"/>
          <w:szCs w:val="28"/>
          <w:shd w:val="clear" w:color="auto" w:fill="FFFFFF"/>
          <w:lang w:eastAsia="zh-CN"/>
        </w:rPr>
        <w:t>法律、法规规定不得复检的其他情况。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ZGZkNDRkMGFjY2RhMWM2ODY2ODRkMGY5YjVjM2MifQ=="/>
  </w:docVars>
  <w:rsids>
    <w:rsidRoot w:val="0893415F"/>
    <w:rsid w:val="00816090"/>
    <w:rsid w:val="0893415F"/>
    <w:rsid w:val="0AEF339A"/>
    <w:rsid w:val="0FAE084D"/>
    <w:rsid w:val="125B7584"/>
    <w:rsid w:val="168A2650"/>
    <w:rsid w:val="1F1E4610"/>
    <w:rsid w:val="267C3BD5"/>
    <w:rsid w:val="289A0FDD"/>
    <w:rsid w:val="29687791"/>
    <w:rsid w:val="2F12656D"/>
    <w:rsid w:val="3B8761CB"/>
    <w:rsid w:val="3E9178ED"/>
    <w:rsid w:val="3EA90E93"/>
    <w:rsid w:val="408B7A8C"/>
    <w:rsid w:val="537E62A1"/>
    <w:rsid w:val="5CAB1813"/>
    <w:rsid w:val="6A3D3DB2"/>
    <w:rsid w:val="71300096"/>
    <w:rsid w:val="7A8C1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line="240" w:lineRule="auto"/>
      <w:outlineLvl w:val="4"/>
    </w:pPr>
    <w:rPr>
      <w:rFonts w:ascii="Calibri" w:hAnsi="Calibri" w:eastAsia="宋体"/>
      <w:b/>
      <w:bCs/>
      <w:sz w:val="24"/>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1365</Words>
  <Characters>1556</Characters>
  <Lines>0</Lines>
  <Paragraphs>0</Paragraphs>
  <TotalTime>36</TotalTime>
  <ScaleCrop>false</ScaleCrop>
  <LinksUpToDate>false</LinksUpToDate>
  <CharactersWithSpaces>1597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2023-06-29T07:37:00Z</dcterms:created>
  <dc:creator>NARCOTIC'</dc:creator>
  <cp:lastModifiedBy>NARCOTIC'</cp:lastModifiedBy>
  <dcterms:modified xsi:type="dcterms:W3CDTF">2024-08-08T01:21:46Z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7DF83F6BD17841AF9DB088F8F98514F9</vt:lpwstr>
  </property>
</Properties>
</file>