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color w:val="000000"/>
          <w:sz w:val="48"/>
          <w:szCs w:val="48"/>
        </w:rPr>
      </w:pPr>
      <w:bookmarkStart w:id="0" w:name="_GoBack"/>
      <w:bookmarkEnd w:id="0"/>
    </w:p>
    <w:p>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w:t>
      </w:r>
      <w:r>
        <w:rPr>
          <w:rFonts w:hint="eastAsia" w:ascii="宋体" w:hAnsi="宋体" w:cs="宋体"/>
          <w:b/>
          <w:bCs/>
          <w:color w:val="000000"/>
          <w:sz w:val="48"/>
          <w:szCs w:val="48"/>
          <w:lang w:eastAsia="zh-CN"/>
        </w:rPr>
        <w:t>摩托车轮胎</w:t>
      </w:r>
      <w:r>
        <w:rPr>
          <w:rFonts w:hint="eastAsia" w:ascii="宋体" w:hAnsi="宋体" w:cs="宋体"/>
          <w:b/>
          <w:bCs/>
          <w:color w:val="000000"/>
          <w:sz w:val="48"/>
          <w:szCs w:val="48"/>
        </w:rPr>
        <w:t>产品省级监督抽查实施细则</w:t>
      </w: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pPr>
        <w:spacing w:line="660" w:lineRule="exact"/>
        <w:rPr>
          <w:rFonts w:hint="eastAsia" w:ascii="仿宋" w:hAnsi="仿宋" w:eastAsia="仿宋" w:cs="仿宋"/>
          <w:b/>
          <w:bCs/>
          <w:sz w:val="44"/>
          <w:szCs w:val="44"/>
        </w:rPr>
      </w:pPr>
    </w:p>
    <w:p>
      <w:pPr>
        <w:autoSpaceDE w:val="0"/>
        <w:autoSpaceDN w:val="0"/>
        <w:spacing w:line="360" w:lineRule="auto"/>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摩托车轮胎</w:t>
      </w:r>
      <w:r>
        <w:rPr>
          <w:rFonts w:hint="eastAsia" w:ascii="宋体" w:hAnsi="宋体" w:cs="仿宋"/>
          <w:b/>
          <w:bCs/>
          <w:sz w:val="32"/>
          <w:szCs w:val="32"/>
        </w:rPr>
        <w:t>产品省级监督抽查实施细则</w:t>
      </w:r>
    </w:p>
    <w:p>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pPr>
        <w:autoSpaceDE w:val="0"/>
        <w:autoSpaceDN w:val="0"/>
        <w:ind w:firstLine="560" w:firstLineChars="200"/>
        <w:rPr>
          <w:rFonts w:hint="eastAsia" w:ascii="仿宋" w:hAnsi="仿宋" w:cs="仿宋"/>
          <w:szCs w:val="28"/>
        </w:rPr>
      </w:pPr>
      <w:r>
        <w:rPr>
          <w:rFonts w:hint="eastAsia" w:ascii="仿宋" w:hAnsi="仿宋" w:cs="仿宋"/>
          <w:szCs w:val="28"/>
        </w:rPr>
        <w:t>本细则适用于海南省</w:t>
      </w:r>
      <w:r>
        <w:rPr>
          <w:rFonts w:hint="eastAsia" w:ascii="仿宋" w:hAnsi="仿宋" w:cs="仿宋"/>
          <w:szCs w:val="28"/>
          <w:lang w:val="en-US" w:eastAsia="zh-CN"/>
        </w:rPr>
        <w:t>摩托车轮胎</w:t>
      </w:r>
      <w:r>
        <w:rPr>
          <w:rFonts w:hint="eastAsia" w:ascii="仿宋" w:hAnsi="仿宋" w:cs="仿宋"/>
          <w:szCs w:val="28"/>
        </w:rPr>
        <w:t>产品监督抽查，监督抽查产品范围为海南省范围内市场领域的</w:t>
      </w:r>
      <w:r>
        <w:rPr>
          <w:rFonts w:hint="eastAsia" w:ascii="仿宋" w:hAnsi="仿宋" w:cs="仿宋"/>
          <w:szCs w:val="28"/>
          <w:lang w:val="en-US" w:eastAsia="zh-CN"/>
        </w:rPr>
        <w:t>摩托车轮胎</w:t>
      </w:r>
      <w:r>
        <w:rPr>
          <w:rFonts w:hint="eastAsia" w:ascii="仿宋" w:hAnsi="仿宋" w:cs="仿宋"/>
          <w:szCs w:val="28"/>
        </w:rPr>
        <w:t>产品。</w:t>
      </w:r>
    </w:p>
    <w:p>
      <w:pPr>
        <w:rPr>
          <w:rFonts w:ascii="仿宋" w:hAnsi="仿宋" w:cs="仿宋"/>
          <w:b/>
          <w:bCs w:val="0"/>
          <w:sz w:val="24"/>
        </w:rPr>
      </w:pPr>
      <w:r>
        <w:rPr>
          <w:rFonts w:hint="eastAsia" w:ascii="仿宋" w:hAnsi="仿宋" w:cs="仿宋"/>
          <w:b/>
          <w:bCs w:val="0"/>
          <w:szCs w:val="28"/>
        </w:rPr>
        <w:t>2.  检验依据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凡是注明日期的文件，其随后所有的修改单（不包括勘误的内容）或修订版不适用于本细则。凡是不注明日期的引用文件，其最新版本适用于本细则。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GB 518-2020 《摩托车轮胎》</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其他现行有效的企业标准及产品明示质量要求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相关的法律法规、部门规章和细则</w:t>
      </w:r>
    </w:p>
    <w:p>
      <w:pPr>
        <w:autoSpaceDE w:val="0"/>
        <w:autoSpaceDN w:val="0"/>
        <w:rPr>
          <w:rFonts w:ascii="仿宋" w:hAnsi="仿宋" w:cs="仿宋"/>
          <w:b/>
          <w:bCs w:val="0"/>
          <w:i w:val="0"/>
          <w:iCs w:val="0"/>
          <w:szCs w:val="28"/>
        </w:rPr>
      </w:pPr>
      <w:r>
        <w:rPr>
          <w:rFonts w:hint="eastAsia" w:ascii="仿宋" w:hAnsi="仿宋" w:cs="仿宋"/>
          <w:b/>
          <w:bCs w:val="0"/>
          <w:i w:val="0"/>
          <w:iCs w:val="0"/>
          <w:szCs w:val="28"/>
          <w:lang w:val="en-US" w:eastAsia="zh-CN"/>
        </w:rPr>
        <w:t>3</w:t>
      </w:r>
      <w:r>
        <w:rPr>
          <w:rFonts w:hint="eastAsia" w:ascii="仿宋" w:hAnsi="仿宋" w:cs="仿宋"/>
          <w:b/>
          <w:bCs w:val="0"/>
          <w:i w:val="0"/>
          <w:iCs w:val="0"/>
          <w:szCs w:val="28"/>
        </w:rPr>
        <w:t>. 抽样</w:t>
      </w:r>
    </w:p>
    <w:p>
      <w:pPr>
        <w:autoSpaceDE w:val="0"/>
        <w:autoSpaceDN w:val="0"/>
        <w:ind w:firstLine="560" w:firstLineChars="200"/>
        <w:rPr>
          <w:rFonts w:hint="eastAsia" w:ascii="宋体" w:hAnsi="宋体" w:eastAsia="宋体" w:cs="宋体"/>
          <w:bCs/>
          <w:color w:val="000000"/>
          <w:szCs w:val="28"/>
          <w:shd w:val="clear" w:color="auto" w:fill="FFFFFF"/>
        </w:rPr>
      </w:pPr>
      <w:r>
        <w:rPr>
          <w:rFonts w:hint="eastAsia" w:ascii="宋体" w:hAnsi="宋体" w:eastAsia="宋体" w:cs="宋体"/>
          <w:color w:val="000000"/>
          <w:szCs w:val="28"/>
          <w:shd w:val="clear" w:color="auto" w:fill="FFFFFF"/>
        </w:rPr>
        <w:t>以随机抽样的方式在</w:t>
      </w:r>
      <w:r>
        <w:rPr>
          <w:rFonts w:hint="eastAsia" w:ascii="宋体" w:hAnsi="宋体" w:eastAsia="宋体" w:cs="宋体"/>
          <w:color w:val="000000"/>
          <w:szCs w:val="28"/>
          <w:shd w:val="clear" w:color="auto" w:fill="FFFFFF"/>
          <w:lang w:eastAsia="zh-CN"/>
        </w:rPr>
        <w:t>被抽样</w:t>
      </w:r>
      <w:r>
        <w:rPr>
          <w:rFonts w:hint="eastAsia" w:ascii="宋体" w:hAnsi="宋体" w:eastAsia="宋体" w:cs="宋体"/>
          <w:color w:val="000000"/>
          <w:szCs w:val="28"/>
          <w:shd w:val="clear" w:color="auto" w:fill="FFFFFF"/>
        </w:rPr>
        <w:t>生产者</w:t>
      </w:r>
      <w:r>
        <w:rPr>
          <w:rFonts w:hint="eastAsia" w:ascii="宋体" w:hAnsi="宋体" w:eastAsia="宋体" w:cs="宋体"/>
          <w:color w:val="000000"/>
          <w:szCs w:val="28"/>
          <w:shd w:val="clear" w:color="auto" w:fill="FFFFFF"/>
          <w:lang w:eastAsia="zh-CN"/>
        </w:rPr>
        <w:t>、销售者</w:t>
      </w:r>
      <w:r>
        <w:rPr>
          <w:rFonts w:hint="eastAsia" w:ascii="宋体" w:hAnsi="宋体" w:eastAsia="宋体" w:cs="宋体"/>
          <w:color w:val="000000"/>
          <w:szCs w:val="28"/>
          <w:shd w:val="clear" w:color="auto" w:fill="FFFFFF"/>
        </w:rPr>
        <w:t>的待销产品中抽取</w:t>
      </w:r>
      <w:r>
        <w:rPr>
          <w:rFonts w:hint="eastAsia" w:ascii="宋体" w:hAnsi="宋体" w:eastAsia="宋体" w:cs="宋体"/>
          <w:color w:val="000000"/>
          <w:szCs w:val="28"/>
          <w:shd w:val="clear" w:color="auto" w:fill="FFFFFF"/>
          <w:lang w:eastAsia="zh-CN"/>
        </w:rPr>
        <w:t>。</w:t>
      </w:r>
    </w:p>
    <w:p>
      <w:pPr>
        <w:numPr>
          <w:ilvl w:val="0"/>
          <w:numId w:val="0"/>
        </w:numPr>
        <w:autoSpaceDE w:val="0"/>
        <w:autoSpaceDN w:val="0"/>
        <w:ind w:leftChars="200"/>
        <w:rPr>
          <w:rFonts w:hint="eastAsia" w:ascii="宋体" w:hAnsi="宋体" w:eastAsia="宋体" w:cs="宋体"/>
          <w:color w:val="000000"/>
          <w:szCs w:val="28"/>
          <w:shd w:val="clear" w:color="auto" w:fill="FFFFFF"/>
        </w:rPr>
      </w:pPr>
      <w:r>
        <w:rPr>
          <w:rFonts w:hint="eastAsia" w:ascii="宋体" w:hAnsi="宋体" w:eastAsia="宋体" w:cs="宋体"/>
          <w:color w:val="000000"/>
          <w:szCs w:val="28"/>
          <w:shd w:val="clear" w:color="auto" w:fill="FFFFFF"/>
        </w:rPr>
        <w:t>随机数一般可使用随机数表等方法产生。</w:t>
      </w:r>
    </w:p>
    <w:p>
      <w:pPr>
        <w:autoSpaceDE w:val="0"/>
        <w:autoSpaceDN w:val="0"/>
        <w:ind w:firstLine="560" w:firstLineChars="200"/>
        <w:rPr>
          <w:rFonts w:hint="eastAsia" w:ascii="宋体" w:hAnsi="宋体" w:eastAsia="宋体" w:cs="宋体"/>
          <w:bCs/>
          <w:color w:val="000000"/>
          <w:szCs w:val="28"/>
          <w:shd w:val="clear" w:color="auto" w:fill="FFFFFF"/>
        </w:rPr>
      </w:pPr>
      <w:r>
        <w:rPr>
          <w:rFonts w:hint="eastAsia" w:ascii="宋体" w:hAnsi="宋体" w:eastAsia="宋体" w:cs="宋体"/>
          <w:b w:val="0"/>
          <w:bCs/>
          <w:color w:val="000000"/>
          <w:szCs w:val="28"/>
          <w:shd w:val="clear" w:color="auto" w:fill="FFFFFF"/>
        </w:rPr>
        <w:t>以随机抽样的方式在</w:t>
      </w:r>
      <w:r>
        <w:rPr>
          <w:rFonts w:hint="eastAsia" w:ascii="宋体" w:hAnsi="宋体" w:eastAsia="宋体" w:cs="宋体"/>
          <w:b w:val="0"/>
          <w:bCs/>
          <w:color w:val="000000"/>
          <w:szCs w:val="28"/>
          <w:shd w:val="clear" w:color="auto" w:fill="FFFFFF"/>
          <w:lang w:eastAsia="zh-CN"/>
        </w:rPr>
        <w:t>生产</w:t>
      </w:r>
      <w:r>
        <w:rPr>
          <w:rFonts w:hint="eastAsia" w:ascii="宋体" w:hAnsi="宋体" w:eastAsia="宋体" w:cs="宋体"/>
          <w:b w:val="0"/>
          <w:bCs/>
          <w:color w:val="000000"/>
          <w:szCs w:val="28"/>
          <w:shd w:val="clear" w:color="auto" w:fill="FFFFFF"/>
        </w:rPr>
        <w:t>者的待销产品中抽取</w:t>
      </w:r>
      <w:r>
        <w:rPr>
          <w:rFonts w:hint="eastAsia" w:ascii="宋体" w:hAnsi="宋体" w:eastAsia="宋体" w:cs="宋体"/>
          <w:b w:val="0"/>
          <w:bCs/>
          <w:color w:val="000000"/>
          <w:szCs w:val="28"/>
          <w:shd w:val="clear" w:color="auto" w:fill="FFFFFF"/>
          <w:lang w:eastAsia="zh-CN"/>
        </w:rPr>
        <w:t>样品</w:t>
      </w:r>
      <w:r>
        <w:rPr>
          <w:rFonts w:hint="eastAsia" w:ascii="宋体" w:hAnsi="宋体" w:eastAsia="宋体" w:cs="宋体"/>
          <w:b w:val="0"/>
          <w:bCs/>
          <w:color w:val="000000"/>
          <w:szCs w:val="28"/>
          <w:shd w:val="clear" w:color="auto" w:fill="FFFFFF"/>
        </w:rPr>
        <w:t>时</w:t>
      </w:r>
      <w:r>
        <w:rPr>
          <w:rFonts w:hint="eastAsia" w:ascii="宋体" w:hAnsi="宋体" w:eastAsia="宋体" w:cs="宋体"/>
          <w:b w:val="0"/>
          <w:bCs/>
          <w:color w:val="000000"/>
          <w:szCs w:val="28"/>
          <w:shd w:val="clear" w:color="auto" w:fill="FFFFFF"/>
          <w:lang w:eastAsia="zh-CN"/>
        </w:rPr>
        <w:t>，</w:t>
      </w:r>
      <w:r>
        <w:rPr>
          <w:rFonts w:hint="eastAsia" w:ascii="宋体" w:hAnsi="宋体" w:eastAsia="宋体" w:cs="宋体"/>
          <w:bCs/>
          <w:color w:val="000000"/>
          <w:szCs w:val="28"/>
          <w:shd w:val="clear" w:color="auto" w:fill="FFFFFF"/>
        </w:rPr>
        <w:t>每批次抽取样品8</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，其中4</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作为检验样品，4</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作为备用样品。</w:t>
      </w:r>
    </w:p>
    <w:p>
      <w:pPr>
        <w:ind w:firstLine="560" w:firstLineChars="200"/>
        <w:rPr>
          <w:rFonts w:hint="eastAsia" w:ascii="宋体" w:hAnsi="宋体" w:eastAsia="宋体" w:cs="宋体"/>
          <w:bCs/>
          <w:sz w:val="24"/>
          <w:lang w:eastAsia="zh-CN"/>
        </w:rPr>
      </w:pPr>
      <w:r>
        <w:rPr>
          <w:rFonts w:hint="eastAsia" w:ascii="宋体" w:hAnsi="宋体" w:eastAsia="宋体" w:cs="宋体"/>
          <w:color w:val="000000"/>
          <w:szCs w:val="28"/>
          <w:shd w:val="clear" w:color="auto" w:fill="FFFFFF"/>
        </w:rPr>
        <w:t>以随机抽样的方式在销售者的待销产品中抽取</w:t>
      </w:r>
      <w:r>
        <w:rPr>
          <w:rFonts w:hint="eastAsia" w:ascii="宋体" w:hAnsi="宋体" w:eastAsia="宋体" w:cs="宋体"/>
          <w:color w:val="000000"/>
          <w:szCs w:val="28"/>
          <w:shd w:val="clear" w:color="auto" w:fill="FFFFFF"/>
          <w:lang w:eastAsia="zh-CN"/>
        </w:rPr>
        <w:t>样品</w:t>
      </w:r>
      <w:r>
        <w:rPr>
          <w:rFonts w:hint="eastAsia" w:ascii="宋体" w:hAnsi="宋体" w:eastAsia="宋体" w:cs="宋体"/>
          <w:color w:val="000000"/>
          <w:szCs w:val="28"/>
          <w:shd w:val="clear" w:color="auto" w:fill="FFFFFF"/>
        </w:rPr>
        <w:t>时，</w:t>
      </w:r>
      <w:r>
        <w:rPr>
          <w:rFonts w:hint="eastAsia" w:ascii="宋体" w:hAnsi="宋体" w:eastAsia="宋体" w:cs="宋体"/>
          <w:bCs/>
          <w:color w:val="000000"/>
          <w:szCs w:val="28"/>
          <w:shd w:val="clear" w:color="auto" w:fill="FFFFFF"/>
        </w:rPr>
        <w:t>每批次抽取样品4</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，其中3</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作为检验样品，1</w:t>
      </w:r>
      <w:r>
        <w:rPr>
          <w:rFonts w:hint="eastAsia" w:ascii="宋体" w:hAnsi="宋体" w:eastAsia="宋体" w:cs="宋体"/>
          <w:bCs/>
          <w:color w:val="000000"/>
          <w:szCs w:val="28"/>
          <w:shd w:val="clear" w:color="auto" w:fill="FFFFFF"/>
          <w:lang w:eastAsia="zh-CN"/>
        </w:rPr>
        <w:t>条</w:t>
      </w:r>
      <w:r>
        <w:rPr>
          <w:rFonts w:hint="eastAsia" w:ascii="宋体" w:hAnsi="宋体" w:eastAsia="宋体" w:cs="宋体"/>
          <w:bCs/>
          <w:color w:val="000000"/>
          <w:szCs w:val="28"/>
          <w:shd w:val="clear" w:color="auto" w:fill="FFFFFF"/>
        </w:rPr>
        <w:t>作为备用样品</w:t>
      </w:r>
      <w:r>
        <w:rPr>
          <w:rFonts w:hint="eastAsia" w:ascii="宋体" w:hAnsi="宋体" w:eastAsia="宋体" w:cs="宋体"/>
          <w:bCs/>
          <w:color w:val="000000"/>
          <w:szCs w:val="28"/>
          <w:shd w:val="clear" w:color="auto" w:fill="FFFFFF"/>
          <w:lang w:eastAsia="zh-CN"/>
        </w:rPr>
        <w:t>。</w:t>
      </w:r>
    </w:p>
    <w:p>
      <w:pPr>
        <w:rPr>
          <w:rFonts w:hint="eastAsia" w:ascii="黑体" w:hAnsi="宋体" w:eastAsia="黑体"/>
          <w:bCs/>
          <w:kern w:val="2"/>
          <w:sz w:val="28"/>
          <w:szCs w:val="28"/>
        </w:rPr>
      </w:pPr>
      <w:r>
        <w:rPr>
          <w:rFonts w:hint="eastAsia" w:ascii="黑体" w:hAnsi="宋体" w:eastAsia="黑体"/>
          <w:bCs/>
          <w:kern w:val="2"/>
          <w:sz w:val="28"/>
          <w:szCs w:val="28"/>
        </w:rPr>
        <w:t>4 检验项目要求</w:t>
      </w:r>
    </w:p>
    <w:p>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w:t>
      </w:r>
      <w:r>
        <w:rPr>
          <w:rFonts w:hint="eastAsia" w:ascii="宋体" w:hAnsi="宋体" w:eastAsia="宋体" w:cs="宋体"/>
          <w:color w:val="000000"/>
          <w:sz w:val="28"/>
          <w:szCs w:val="28"/>
          <w:lang w:val="en-US" w:eastAsia="zh-CN" w:bidi="ar"/>
        </w:rPr>
        <w:t>GB 518</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5"/>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重要程度分类</w:t>
            </w:r>
          </w:p>
        </w:tc>
      </w:tr>
      <w:tr>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C类</w:t>
            </w: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仿宋" w:hAnsi="仿宋" w:eastAsia="仿宋" w:cs="宋体"/>
                <w:sz w:val="21"/>
                <w:szCs w:val="21"/>
              </w:rPr>
            </w:pPr>
            <w:r>
              <w:rPr>
                <w:rFonts w:hint="eastAsia" w:ascii="仿宋" w:hAnsi="仿宋" w:cs="仿宋"/>
                <w:color w:val="000000"/>
                <w:sz w:val="24"/>
                <w:lang w:val="en-US" w:eastAsia="zh-CN"/>
              </w:rPr>
              <w:t>断面宽度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仿宋" w:hAnsi="仿宋" w:eastAsia="仿宋" w:cs="宋体"/>
                <w:sz w:val="21"/>
                <w:szCs w:val="21"/>
                <w:lang w:val="en-US" w:eastAsia="zh-CN"/>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宋体"/>
                <w:sz w:val="21"/>
                <w:szCs w:val="21"/>
                <w:lang w:val="en-US" w:eastAsia="zh-CN"/>
              </w:rPr>
            </w:pPr>
            <w:r>
              <w:rPr>
                <w:rFonts w:hint="eastAsia" w:ascii="仿宋" w:hAnsi="仿宋" w:cs="仿宋"/>
                <w:sz w:val="24"/>
              </w:rPr>
              <w:t>GB/T 521-20</w:t>
            </w:r>
            <w:r>
              <w:rPr>
                <w:rFonts w:hint="eastAsia" w:ascii="仿宋" w:hAnsi="仿宋" w:cs="仿宋"/>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仿宋" w:hAnsi="仿宋" w:eastAsia="仿宋" w:cs="宋体"/>
                <w:sz w:val="21"/>
                <w:szCs w:val="21"/>
              </w:rPr>
            </w:pPr>
            <w:r>
              <w:rPr>
                <w:rFonts w:hint="eastAsia" w:ascii="仿宋" w:hAnsi="仿宋" w:cs="仿宋"/>
                <w:color w:val="000000"/>
                <w:sz w:val="24"/>
                <w:lang w:val="en-US" w:eastAsia="zh-CN"/>
              </w:rPr>
              <w:t>外直径</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宋体"/>
                <w:sz w:val="21"/>
                <w:szCs w:val="21"/>
                <w:lang w:val="en-US" w:eastAsia="zh-CN"/>
              </w:rPr>
            </w:pPr>
            <w:r>
              <w:rPr>
                <w:rFonts w:hint="eastAsia" w:ascii="仿宋" w:hAnsi="仿宋" w:cs="仿宋"/>
                <w:sz w:val="24"/>
              </w:rPr>
              <w:t>GB/T 521-20</w:t>
            </w:r>
            <w:r>
              <w:rPr>
                <w:rFonts w:hint="eastAsia" w:ascii="仿宋" w:hAnsi="仿宋" w:cs="仿宋"/>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仿宋" w:hAnsi="仿宋" w:eastAsia="仿宋" w:cs="宋体"/>
                <w:sz w:val="21"/>
                <w:szCs w:val="21"/>
              </w:rPr>
            </w:pPr>
            <w:r>
              <w:rPr>
                <w:rFonts w:hint="eastAsia" w:ascii="仿宋" w:hAnsi="仿宋" w:cs="仿宋"/>
                <w:color w:val="000000"/>
                <w:sz w:val="24"/>
              </w:rPr>
              <w:t>胎面磨耗标志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宋体"/>
                <w:sz w:val="21"/>
                <w:szCs w:val="21"/>
                <w:lang w:val="en-US" w:eastAsia="zh-CN"/>
              </w:rPr>
            </w:pPr>
            <w:r>
              <w:rPr>
                <w:rFonts w:hint="eastAsia" w:ascii="仿宋" w:hAnsi="仿宋" w:cs="仿宋"/>
                <w:sz w:val="24"/>
              </w:rPr>
              <w:t>GB/T 521-20</w:t>
            </w:r>
            <w:r>
              <w:rPr>
                <w:rFonts w:hint="eastAsia" w:ascii="仿宋" w:hAnsi="仿宋" w:cs="仿宋"/>
                <w:sz w:val="24"/>
                <w:lang w:val="en-US" w:eastAsia="zh-CN"/>
              </w:rPr>
              <w:t>23</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仿宋" w:hAnsi="仿宋" w:eastAsia="仿宋" w:cs="宋体"/>
                <w:sz w:val="21"/>
                <w:szCs w:val="21"/>
              </w:rPr>
            </w:pPr>
            <w:r>
              <w:rPr>
                <w:rFonts w:hint="eastAsia" w:ascii="仿宋" w:hAnsi="仿宋" w:cs="仿宋"/>
                <w:color w:val="000000"/>
                <w:sz w:val="24"/>
              </w:rPr>
              <w:t>强度性能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宋体"/>
                <w:sz w:val="21"/>
                <w:szCs w:val="21"/>
                <w:lang w:val="en-US" w:eastAsia="zh-CN"/>
              </w:rPr>
            </w:pPr>
            <w:r>
              <w:rPr>
                <w:rFonts w:hint="eastAsia" w:ascii="仿宋" w:hAnsi="仿宋" w:cs="仿宋"/>
                <w:sz w:val="24"/>
              </w:rPr>
              <w:t>GB/T 13203-20</w:t>
            </w:r>
            <w:r>
              <w:rPr>
                <w:rFonts w:hint="eastAsia" w:ascii="仿宋" w:hAnsi="仿宋" w:cs="仿宋"/>
                <w:sz w:val="24"/>
                <w:lang w:val="en-US" w:eastAsia="zh-CN"/>
              </w:rPr>
              <w:t>21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lang w:val="en-US" w:eastAsia="zh-CN"/>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cs="仿宋"/>
                <w:color w:val="000000"/>
                <w:sz w:val="24"/>
              </w:rPr>
              <w:t>外观质量</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仿宋" w:cs="宋体"/>
                <w:sz w:val="21"/>
                <w:szCs w:val="21"/>
                <w:lang w:val="en-US"/>
              </w:rPr>
            </w:pPr>
            <w:r>
              <w:rPr>
                <w:rFonts w:hint="eastAsia" w:ascii="仿宋" w:hAnsi="仿宋" w:cs="仿宋"/>
                <w:sz w:val="24"/>
                <w:lang w:val="en-US" w:eastAsia="zh-CN"/>
              </w:rPr>
              <w:t>HG/T 2177-2011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lang w:val="en-US" w:eastAsia="zh-CN"/>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cs="仿宋"/>
                <w:color w:val="000000"/>
                <w:sz w:val="24"/>
              </w:rPr>
              <w:t>标志</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仿宋" w:hAnsi="仿宋" w:eastAsia="仿宋" w:cs="宋体"/>
                <w:sz w:val="21"/>
                <w:szCs w:val="21"/>
              </w:rPr>
            </w:pPr>
            <w:r>
              <w:rPr>
                <w:rFonts w:hint="eastAsia" w:ascii="仿宋" w:hAnsi="仿宋" w:cs="仿宋"/>
                <w:sz w:val="24"/>
              </w:rPr>
              <w:t>GB 518-2020</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eastAsia="仿宋" w:cs="宋体"/>
                <w:sz w:val="21"/>
                <w:szCs w:val="21"/>
              </w:rPr>
            </w:pPr>
            <w:r>
              <w:rPr>
                <w:rFonts w:hint="eastAsia" w:ascii="仿宋" w:hAnsi="仿宋" w:cs="仿宋"/>
                <w:sz w:val="24"/>
                <w:lang w:val="en-US" w:eastAsia="zh-CN"/>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cs="仿宋"/>
                <w:color w:val="000000"/>
                <w:sz w:val="24"/>
              </w:rPr>
              <w:t>耐久性能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ascii="仿宋" w:hAnsi="仿宋" w:eastAsia="仿宋" w:cs="宋体"/>
                <w:sz w:val="21"/>
                <w:szCs w:val="21"/>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宋体"/>
                <w:sz w:val="21"/>
                <w:szCs w:val="21"/>
                <w:lang w:val="en-US" w:eastAsia="zh-CN"/>
              </w:rPr>
            </w:pPr>
            <w:r>
              <w:rPr>
                <w:rFonts w:hint="eastAsia" w:ascii="仿宋" w:hAnsi="仿宋" w:cs="仿宋"/>
                <w:sz w:val="24"/>
              </w:rPr>
              <w:t>GB/T 13203-20</w:t>
            </w:r>
            <w:r>
              <w:rPr>
                <w:rFonts w:hint="eastAsia" w:ascii="仿宋" w:hAnsi="仿宋" w:cs="仿宋"/>
                <w:sz w:val="24"/>
                <w:lang w:val="en-US" w:eastAsia="zh-CN"/>
              </w:rPr>
              <w:t>21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仿宋" w:hAnsi="仿宋" w:cs="仿宋"/>
                <w:sz w:val="24"/>
                <w:lang w:val="en-US" w:eastAsia="zh-CN"/>
              </w:rPr>
            </w:pPr>
            <w:r>
              <w:rPr>
                <w:rFonts w:hint="eastAsia" w:ascii="仿宋" w:hAnsi="仿宋" w:cs="仿宋"/>
                <w:sz w:val="24"/>
                <w:lang w:val="en-US" w:eastAsia="zh-CN"/>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cs="仿宋"/>
                <w:color w:val="000000"/>
                <w:sz w:val="24"/>
              </w:rPr>
            </w:pPr>
            <w:r>
              <w:rPr>
                <w:rFonts w:hint="eastAsia" w:ascii="仿宋" w:hAnsi="仿宋" w:cs="仿宋"/>
                <w:color w:val="000000"/>
                <w:sz w:val="24"/>
              </w:rPr>
              <w:t>高速性能</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eastAsia" w:ascii="仿宋" w:hAnsi="仿宋" w:cs="仿宋"/>
                <w:sz w:val="24"/>
              </w:rPr>
            </w:pPr>
            <w:r>
              <w:rPr>
                <w:rFonts w:hint="eastAsia" w:ascii="仿宋" w:hAnsi="仿宋" w:eastAsia="仿宋" w:cs="仿宋"/>
                <w:color w:val="auto"/>
                <w:sz w:val="24"/>
                <w:lang w:val="en-US" w:eastAsia="zh-CN"/>
              </w:rPr>
              <w:t>GB 518-2020</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仿宋" w:hAnsi="仿宋" w:eastAsia="宋体" w:cs="仿宋"/>
                <w:sz w:val="24"/>
                <w:lang w:val="en-US" w:eastAsia="zh-CN"/>
              </w:rPr>
            </w:pPr>
            <w:r>
              <w:rPr>
                <w:rFonts w:hint="eastAsia" w:ascii="仿宋" w:hAnsi="仿宋" w:cs="仿宋"/>
                <w:sz w:val="24"/>
              </w:rPr>
              <w:t>GB/T 13203-20</w:t>
            </w:r>
            <w:r>
              <w:rPr>
                <w:rFonts w:hint="eastAsia" w:ascii="仿宋" w:hAnsi="仿宋" w:cs="仿宋"/>
                <w:sz w:val="24"/>
                <w:lang w:val="en-US" w:eastAsia="zh-CN"/>
              </w:rPr>
              <w:t>21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仿宋" w:hAnsi="仿宋" w:eastAsia="仿宋" w:cs="宋体"/>
                <w:sz w:val="21"/>
                <w:szCs w:val="21"/>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both"/>
              <w:rPr>
                <w:rFonts w:hint="eastAsia" w:ascii="仿宋" w:hAnsi="仿宋" w:eastAsia="仿宋" w:cs="仿宋"/>
                <w:sz w:val="24"/>
              </w:rPr>
            </w:pPr>
            <w:r>
              <w:rPr>
                <w:rFonts w:hint="eastAsia" w:ascii="仿宋" w:hAnsi="仿宋" w:eastAsia="仿宋" w:cs="宋体"/>
                <w:sz w:val="21"/>
                <w:szCs w:val="21"/>
              </w:rPr>
              <w:t>注：根据实际产品标准对应要求的项目进行检测。</w:t>
            </w:r>
          </w:p>
        </w:tc>
      </w:tr>
    </w:tbl>
    <w:p>
      <w:pPr>
        <w:widowControl w:val="0"/>
        <w:autoSpaceDE w:val="0"/>
        <w:autoSpaceDN w:val="0"/>
        <w:adjustRightInd w:val="0"/>
        <w:spacing w:line="360" w:lineRule="auto"/>
        <w:ind w:right="28"/>
        <w:jc w:val="both"/>
        <w:rPr>
          <w:rFonts w:hint="eastAsia" w:ascii="仿宋" w:hAnsi="仿宋" w:eastAsia="仿宋" w:cs="宋体"/>
          <w:sz w:val="21"/>
          <w:szCs w:val="21"/>
          <w:lang w:bidi="ar"/>
        </w:rPr>
      </w:pPr>
      <w:r>
        <w:rPr>
          <w:rFonts w:hint="eastAsia" w:ascii="仿宋" w:hAnsi="仿宋" w:eastAsia="仿宋"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②若样品出现封样状态破坏或样品异常损坏的情况，影响检验结果，则停止对该样品的检验。</w:t>
      </w:r>
    </w:p>
    <w:p>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①被检方提出复检时，产品在复检有效期内于正常贮存条件下已变质；</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②法律、法规规定不得复检的其他情况。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1D41236F"/>
    <w:rsid w:val="04110EF0"/>
    <w:rsid w:val="06627356"/>
    <w:rsid w:val="0DF60C9A"/>
    <w:rsid w:val="0FAE084D"/>
    <w:rsid w:val="195F59C3"/>
    <w:rsid w:val="1D41236F"/>
    <w:rsid w:val="20AA11F6"/>
    <w:rsid w:val="2664469F"/>
    <w:rsid w:val="42C94518"/>
    <w:rsid w:val="43E94D99"/>
    <w:rsid w:val="46C55DD5"/>
    <w:rsid w:val="47BC63A1"/>
    <w:rsid w:val="4CE54D31"/>
    <w:rsid w:val="4D492CDC"/>
    <w:rsid w:val="516D1BBA"/>
    <w:rsid w:val="6AA86569"/>
    <w:rsid w:val="719D046F"/>
    <w:rsid w:val="77796567"/>
    <w:rsid w:val="7B58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unhideWhenUsed/>
    <w:qFormat/>
    <w:uiPriority w:val="99"/>
    <w:pPr>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1279</Words>
  <Characters>1482</Characters>
  <Lines>0</Lines>
  <Paragraphs>0</Paragraphs>
  <TotalTime>11</TotalTime>
  <ScaleCrop>false</ScaleCrop>
  <LinksUpToDate>false</LinksUpToDate>
  <CharactersWithSpaces>1525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2023-06-29T07:42:00Z</dcterms:created>
  <dc:creator>NARCOTIC'</dc:creator>
  <cp:lastModifiedBy>lenovo</cp:lastModifiedBy>
  <dcterms:modified xsi:type="dcterms:W3CDTF">2024-08-12T00:35:27Z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E67DD4A0F5D3489B97478CFF34302C23</vt:lpwstr>
  </property>
</Properties>
</file>