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DCF75">
      <w:pPr>
        <w:numPr>
          <w:ilvl w:val="0"/>
          <w:numId w:val="0"/>
        </w:numPr>
        <w:spacing w:line="480" w:lineRule="exact"/>
        <w:ind w:left="420"/>
        <w:rPr>
          <w:rFonts w:hint="eastAsia" w:ascii="宋体" w:hAnsi="宋体"/>
          <w:b/>
          <w:sz w:val="44"/>
        </w:rPr>
      </w:pPr>
    </w:p>
    <w:p w14:paraId="3B6BB5F7">
      <w:pPr>
        <w:spacing w:line="240" w:lineRule="auto"/>
        <w:ind w:firstLine="2891" w:firstLineChars="400"/>
        <w:jc w:val="left"/>
        <w:rPr>
          <w:rFonts w:ascii="宋体" w:hAnsi="宋体"/>
          <w:b/>
          <w:sz w:val="72"/>
          <w:szCs w:val="72"/>
        </w:rPr>
      </w:pPr>
      <w:r>
        <w:rPr>
          <w:rFonts w:hint="eastAsia" w:ascii="宋体" w:hAnsi="宋体"/>
          <w:b/>
          <w:sz w:val="72"/>
          <w:szCs w:val="72"/>
        </w:rPr>
        <w:t>采购文件</w:t>
      </w:r>
    </w:p>
    <w:p w14:paraId="46373653">
      <w:pPr>
        <w:spacing w:line="480" w:lineRule="exact"/>
        <w:jc w:val="center"/>
        <w:rPr>
          <w:rFonts w:ascii="宋体" w:hAnsi="宋体"/>
          <w:b/>
          <w:sz w:val="44"/>
        </w:rPr>
      </w:pPr>
    </w:p>
    <w:p w14:paraId="2234FBE0">
      <w:pPr>
        <w:spacing w:line="480" w:lineRule="exact"/>
        <w:jc w:val="center"/>
        <w:rPr>
          <w:rFonts w:ascii="宋体" w:hAnsi="宋体"/>
          <w:b/>
          <w:sz w:val="44"/>
        </w:rPr>
      </w:pPr>
    </w:p>
    <w:p w14:paraId="00BF6BDB">
      <w:pPr>
        <w:pStyle w:val="6"/>
        <w:ind w:firstLine="883"/>
        <w:rPr>
          <w:rFonts w:ascii="宋体" w:hAnsi="宋体"/>
          <w:b/>
          <w:sz w:val="44"/>
        </w:rPr>
      </w:pPr>
    </w:p>
    <w:p w14:paraId="04F6829F">
      <w:pPr>
        <w:pStyle w:val="6"/>
        <w:ind w:firstLine="883"/>
        <w:rPr>
          <w:rFonts w:ascii="宋体" w:hAnsi="宋体"/>
          <w:b/>
          <w:sz w:val="44"/>
        </w:rPr>
      </w:pPr>
    </w:p>
    <w:p w14:paraId="1BEEAA83">
      <w:pPr>
        <w:pStyle w:val="6"/>
        <w:ind w:firstLine="883"/>
        <w:rPr>
          <w:rFonts w:ascii="宋体" w:hAnsi="宋体"/>
          <w:b/>
          <w:sz w:val="44"/>
        </w:rPr>
      </w:pPr>
    </w:p>
    <w:p w14:paraId="03C670F5">
      <w:pPr>
        <w:pStyle w:val="6"/>
        <w:ind w:firstLine="883"/>
        <w:rPr>
          <w:rFonts w:ascii="宋体" w:hAnsi="宋体"/>
          <w:b/>
          <w:sz w:val="44"/>
        </w:rPr>
      </w:pPr>
    </w:p>
    <w:p w14:paraId="6BF47971">
      <w:pPr>
        <w:jc w:val="center"/>
        <w:rPr>
          <w:rFonts w:hint="default" w:ascii="宋体" w:hAnsi="宋体"/>
          <w:b/>
          <w:sz w:val="36"/>
          <w:szCs w:val="36"/>
          <w:lang w:val="en-US"/>
        </w:rPr>
      </w:pPr>
      <w:r>
        <w:rPr>
          <w:rFonts w:hint="eastAsia" w:ascii="宋体" w:hAnsi="宋体"/>
          <w:b/>
          <w:sz w:val="36"/>
          <w:szCs w:val="36"/>
        </w:rPr>
        <w:t>项目名称：</w:t>
      </w:r>
      <w:r>
        <w:rPr>
          <w:rFonts w:hint="eastAsia" w:ascii="宋体" w:hAnsi="宋体"/>
          <w:b/>
          <w:sz w:val="36"/>
          <w:szCs w:val="36"/>
          <w:lang w:val="en-US" w:eastAsia="zh-CN"/>
        </w:rPr>
        <w:t>2026年计算机及外围办公设备运维项目</w:t>
      </w:r>
    </w:p>
    <w:p w14:paraId="4A30B4BB">
      <w:pPr>
        <w:jc w:val="center"/>
        <w:rPr>
          <w:rFonts w:ascii="宋体" w:hAnsi="宋体"/>
          <w:b/>
          <w:sz w:val="36"/>
          <w:szCs w:val="36"/>
        </w:rPr>
      </w:pPr>
    </w:p>
    <w:p w14:paraId="427D86AE">
      <w:pPr>
        <w:spacing w:line="480" w:lineRule="exact"/>
        <w:jc w:val="center"/>
        <w:rPr>
          <w:rFonts w:ascii="宋体" w:hAnsi="宋体"/>
          <w:b/>
          <w:sz w:val="44"/>
        </w:rPr>
      </w:pPr>
    </w:p>
    <w:p w14:paraId="709166FE">
      <w:pPr>
        <w:spacing w:line="480" w:lineRule="exact"/>
        <w:jc w:val="center"/>
        <w:rPr>
          <w:rFonts w:ascii="宋体" w:hAnsi="宋体"/>
          <w:b/>
          <w:sz w:val="44"/>
        </w:rPr>
      </w:pPr>
    </w:p>
    <w:p w14:paraId="58B393C4">
      <w:pPr>
        <w:spacing w:line="480" w:lineRule="exact"/>
        <w:jc w:val="center"/>
        <w:rPr>
          <w:rFonts w:ascii="宋体" w:hAnsi="宋体"/>
          <w:b/>
          <w:sz w:val="44"/>
        </w:rPr>
      </w:pPr>
    </w:p>
    <w:p w14:paraId="6F235CF3">
      <w:pPr>
        <w:spacing w:line="480" w:lineRule="exact"/>
        <w:jc w:val="center"/>
        <w:rPr>
          <w:rFonts w:ascii="宋体" w:hAnsi="宋体"/>
          <w:b/>
          <w:sz w:val="44"/>
        </w:rPr>
      </w:pPr>
    </w:p>
    <w:p w14:paraId="7F62D6F5">
      <w:pPr>
        <w:spacing w:line="480" w:lineRule="exact"/>
        <w:jc w:val="center"/>
        <w:rPr>
          <w:rFonts w:ascii="宋体" w:hAnsi="宋体"/>
          <w:b/>
          <w:sz w:val="44"/>
        </w:rPr>
      </w:pPr>
    </w:p>
    <w:p w14:paraId="1CAF09D6">
      <w:pPr>
        <w:spacing w:line="480" w:lineRule="exact"/>
        <w:jc w:val="center"/>
        <w:rPr>
          <w:rFonts w:ascii="宋体" w:hAnsi="宋体"/>
          <w:b/>
          <w:sz w:val="44"/>
        </w:rPr>
      </w:pPr>
    </w:p>
    <w:p w14:paraId="03E7A646">
      <w:pPr>
        <w:spacing w:line="480" w:lineRule="exact"/>
        <w:jc w:val="center"/>
        <w:rPr>
          <w:rFonts w:ascii="宋体" w:hAnsi="宋体"/>
          <w:b/>
          <w:sz w:val="44"/>
        </w:rPr>
      </w:pPr>
    </w:p>
    <w:p w14:paraId="3873D17A">
      <w:pPr>
        <w:spacing w:line="480" w:lineRule="exact"/>
        <w:jc w:val="center"/>
        <w:rPr>
          <w:rFonts w:ascii="宋体" w:hAnsi="宋体"/>
          <w:b/>
          <w:sz w:val="44"/>
        </w:rPr>
      </w:pPr>
    </w:p>
    <w:p w14:paraId="6B6A4A07">
      <w:pPr>
        <w:spacing w:line="480" w:lineRule="exact"/>
        <w:jc w:val="center"/>
        <w:rPr>
          <w:rFonts w:ascii="宋体" w:hAnsi="宋体"/>
          <w:b/>
          <w:sz w:val="44"/>
        </w:rPr>
      </w:pPr>
    </w:p>
    <w:p w14:paraId="52F8254E">
      <w:pPr>
        <w:spacing w:line="480" w:lineRule="exact"/>
        <w:jc w:val="center"/>
        <w:rPr>
          <w:rFonts w:ascii="宋体" w:hAnsi="宋体"/>
          <w:b/>
          <w:sz w:val="44"/>
        </w:rPr>
      </w:pPr>
    </w:p>
    <w:p w14:paraId="246BF17E">
      <w:pPr>
        <w:spacing w:line="480" w:lineRule="exact"/>
        <w:jc w:val="center"/>
        <w:rPr>
          <w:rFonts w:ascii="宋体" w:hAnsi="宋体"/>
          <w:b/>
          <w:sz w:val="36"/>
          <w:szCs w:val="36"/>
        </w:rPr>
      </w:pPr>
      <w:r>
        <w:rPr>
          <w:rFonts w:hint="eastAsia" w:ascii="宋体" w:hAnsi="宋体"/>
          <w:b/>
          <w:sz w:val="36"/>
          <w:szCs w:val="36"/>
        </w:rPr>
        <w:t>海南省市场监督管理局</w:t>
      </w:r>
    </w:p>
    <w:p w14:paraId="2CACAA56">
      <w:pPr>
        <w:spacing w:line="480" w:lineRule="exact"/>
        <w:jc w:val="center"/>
        <w:rPr>
          <w:rFonts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6</w:t>
      </w:r>
      <w:r>
        <w:rPr>
          <w:rFonts w:hint="eastAsia" w:ascii="宋体" w:hAnsi="宋体"/>
          <w:b/>
          <w:sz w:val="36"/>
          <w:szCs w:val="36"/>
        </w:rPr>
        <w:t>月</w:t>
      </w:r>
    </w:p>
    <w:p w14:paraId="2075BB6B">
      <w:pPr>
        <w:pStyle w:val="6"/>
        <w:ind w:firstLine="723"/>
        <w:rPr>
          <w:rFonts w:ascii="宋体" w:hAnsi="宋体"/>
          <w:b/>
          <w:sz w:val="36"/>
          <w:szCs w:val="36"/>
        </w:rPr>
      </w:pPr>
    </w:p>
    <w:p w14:paraId="4BDEB260">
      <w:pPr>
        <w:keepNext/>
        <w:keepLines/>
        <w:pageBreakBefore/>
        <w:widowControl/>
        <w:spacing w:before="480" w:line="276" w:lineRule="auto"/>
        <w:jc w:val="center"/>
        <w:rPr>
          <w:rFonts w:ascii="Cambria" w:hAnsi="Cambria"/>
          <w:b/>
          <w:bCs/>
          <w:kern w:val="0"/>
          <w:sz w:val="44"/>
          <w:szCs w:val="44"/>
          <w:lang w:val="zh-CN"/>
        </w:rPr>
      </w:pPr>
      <w:r>
        <w:rPr>
          <w:rFonts w:ascii="Cambria" w:hAnsi="Cambria"/>
          <w:b/>
          <w:bCs/>
          <w:kern w:val="0"/>
          <w:sz w:val="44"/>
          <w:szCs w:val="44"/>
          <w:lang w:val="zh-CN"/>
        </w:rPr>
        <w:t>目录</w:t>
      </w:r>
    </w:p>
    <w:p w14:paraId="27DF41F3">
      <w:pPr>
        <w:rPr>
          <w:lang w:val="zh-CN"/>
        </w:rPr>
      </w:pPr>
    </w:p>
    <w:p w14:paraId="5E336D96">
      <w:pPr>
        <w:rPr>
          <w:lang w:val="zh-CN"/>
        </w:rPr>
      </w:pPr>
    </w:p>
    <w:p w14:paraId="3F35D7FE">
      <w:pPr>
        <w:pStyle w:val="10"/>
        <w:tabs>
          <w:tab w:val="right" w:leader="dot" w:pos="8845"/>
        </w:tabs>
      </w:pPr>
      <w:r>
        <w:rPr>
          <w:sz w:val="30"/>
          <w:szCs w:val="30"/>
        </w:rPr>
        <w:fldChar w:fldCharType="begin"/>
      </w:r>
      <w:r>
        <w:rPr>
          <w:sz w:val="30"/>
          <w:szCs w:val="30"/>
        </w:rPr>
        <w:instrText xml:space="preserve">TOC \o "1-3" \h \u </w:instrText>
      </w:r>
      <w:r>
        <w:rPr>
          <w:sz w:val="30"/>
          <w:szCs w:val="30"/>
        </w:rPr>
        <w:fldChar w:fldCharType="separate"/>
      </w:r>
      <w:r>
        <w:rPr>
          <w:szCs w:val="30"/>
        </w:rPr>
        <w:fldChar w:fldCharType="begin"/>
      </w:r>
      <w:r>
        <w:rPr>
          <w:szCs w:val="30"/>
        </w:rPr>
        <w:instrText xml:space="preserve"> HYPERLINK \l _Toc749250337 </w:instrText>
      </w:r>
      <w:r>
        <w:rPr>
          <w:szCs w:val="30"/>
        </w:rPr>
        <w:fldChar w:fldCharType="separate"/>
      </w:r>
      <w:r>
        <w:rPr>
          <w:rFonts w:hint="eastAsia" w:ascii="宋体" w:hAnsi="宋体"/>
        </w:rPr>
        <w:t xml:space="preserve">第一部分 </w:t>
      </w:r>
      <w:r>
        <w:rPr>
          <w:rFonts w:hint="eastAsia" w:ascii="宋体" w:hAnsi="宋体"/>
          <w:lang w:val="en-US" w:eastAsia="zh-CN"/>
        </w:rPr>
        <w:t>采购</w:t>
      </w:r>
      <w:r>
        <w:rPr>
          <w:rFonts w:hint="eastAsia" w:ascii="宋体" w:hAnsi="宋体"/>
        </w:rPr>
        <w:t>邀请函</w:t>
      </w:r>
      <w:r>
        <w:tab/>
      </w:r>
      <w:r>
        <w:fldChar w:fldCharType="begin"/>
      </w:r>
      <w:r>
        <w:instrText xml:space="preserve"> PAGEREF _Toc749250337 \h </w:instrText>
      </w:r>
      <w:r>
        <w:fldChar w:fldCharType="separate"/>
      </w:r>
      <w:r>
        <w:t>3</w:t>
      </w:r>
      <w:r>
        <w:fldChar w:fldCharType="end"/>
      </w:r>
      <w:r>
        <w:rPr>
          <w:szCs w:val="30"/>
        </w:rPr>
        <w:fldChar w:fldCharType="end"/>
      </w:r>
    </w:p>
    <w:p w14:paraId="7F7CB9BE">
      <w:pPr>
        <w:pStyle w:val="10"/>
        <w:tabs>
          <w:tab w:val="right" w:leader="dot" w:pos="8845"/>
        </w:tabs>
      </w:pPr>
      <w:r>
        <w:rPr>
          <w:szCs w:val="30"/>
        </w:rPr>
        <w:fldChar w:fldCharType="begin"/>
      </w:r>
      <w:r>
        <w:rPr>
          <w:szCs w:val="30"/>
        </w:rPr>
        <w:instrText xml:space="preserve"> HYPERLINK \l _Toc1307752481 </w:instrText>
      </w:r>
      <w:r>
        <w:rPr>
          <w:szCs w:val="30"/>
        </w:rPr>
        <w:fldChar w:fldCharType="separate"/>
      </w:r>
      <w:r>
        <w:rPr>
          <w:rFonts w:hint="eastAsia" w:ascii="宋体" w:hAnsi="宋体"/>
        </w:rPr>
        <w:t>第</w:t>
      </w:r>
      <w:r>
        <w:rPr>
          <w:rFonts w:hint="eastAsia"/>
        </w:rPr>
        <w:t xml:space="preserve">二部分 </w:t>
      </w:r>
      <w:r>
        <w:rPr>
          <w:rFonts w:hint="eastAsia"/>
          <w:lang w:val="en-US" w:eastAsia="zh-CN"/>
        </w:rPr>
        <w:t>投标人</w:t>
      </w:r>
      <w:r>
        <w:rPr>
          <w:rFonts w:hint="eastAsia"/>
        </w:rPr>
        <w:t>须知</w:t>
      </w:r>
      <w:r>
        <w:tab/>
      </w:r>
      <w:r>
        <w:fldChar w:fldCharType="begin"/>
      </w:r>
      <w:r>
        <w:instrText xml:space="preserve"> PAGEREF _Toc1307752481 \h </w:instrText>
      </w:r>
      <w:r>
        <w:fldChar w:fldCharType="separate"/>
      </w:r>
      <w:r>
        <w:t>6</w:t>
      </w:r>
      <w:r>
        <w:fldChar w:fldCharType="end"/>
      </w:r>
      <w:r>
        <w:rPr>
          <w:szCs w:val="30"/>
        </w:rPr>
        <w:fldChar w:fldCharType="end"/>
      </w:r>
    </w:p>
    <w:p w14:paraId="777CA115">
      <w:pPr>
        <w:pStyle w:val="10"/>
        <w:tabs>
          <w:tab w:val="right" w:leader="dot" w:pos="8845"/>
        </w:tabs>
      </w:pPr>
      <w:r>
        <w:rPr>
          <w:szCs w:val="30"/>
        </w:rPr>
        <w:fldChar w:fldCharType="begin"/>
      </w:r>
      <w:r>
        <w:rPr>
          <w:szCs w:val="30"/>
        </w:rPr>
        <w:instrText xml:space="preserve"> HYPERLINK \l _Toc1408713373 </w:instrText>
      </w:r>
      <w:r>
        <w:rPr>
          <w:szCs w:val="30"/>
        </w:rPr>
        <w:fldChar w:fldCharType="separate"/>
      </w:r>
      <w:r>
        <w:rPr>
          <w:rFonts w:hint="eastAsia"/>
        </w:rPr>
        <w:t xml:space="preserve">第三部分 </w:t>
      </w:r>
      <w:r>
        <w:rPr>
          <w:rFonts w:hint="eastAsia"/>
          <w:lang w:val="en-US" w:eastAsia="zh-CN"/>
        </w:rPr>
        <w:t>采购</w:t>
      </w:r>
      <w:r>
        <w:rPr>
          <w:rFonts w:hint="eastAsia"/>
        </w:rPr>
        <w:t>需求</w:t>
      </w:r>
      <w:r>
        <w:tab/>
      </w:r>
      <w:r>
        <w:fldChar w:fldCharType="begin"/>
      </w:r>
      <w:r>
        <w:instrText xml:space="preserve"> PAGEREF _Toc1408713373 \h </w:instrText>
      </w:r>
      <w:r>
        <w:fldChar w:fldCharType="separate"/>
      </w:r>
      <w:r>
        <w:t>10</w:t>
      </w:r>
      <w:r>
        <w:fldChar w:fldCharType="end"/>
      </w:r>
      <w:r>
        <w:rPr>
          <w:szCs w:val="30"/>
        </w:rPr>
        <w:fldChar w:fldCharType="end"/>
      </w:r>
    </w:p>
    <w:p w14:paraId="13E4A241">
      <w:pPr>
        <w:pStyle w:val="10"/>
        <w:tabs>
          <w:tab w:val="right" w:leader="dot" w:pos="8845"/>
        </w:tabs>
      </w:pPr>
      <w:r>
        <w:rPr>
          <w:szCs w:val="30"/>
        </w:rPr>
        <w:fldChar w:fldCharType="begin"/>
      </w:r>
      <w:r>
        <w:rPr>
          <w:szCs w:val="30"/>
        </w:rPr>
        <w:instrText xml:space="preserve"> HYPERLINK \l _Toc338399068 </w:instrText>
      </w:r>
      <w:r>
        <w:rPr>
          <w:szCs w:val="30"/>
        </w:rPr>
        <w:fldChar w:fldCharType="separate"/>
      </w:r>
      <w:r>
        <w:rPr>
          <w:rFonts w:hint="eastAsia" w:eastAsia="宋体"/>
          <w:lang w:val="en-US" w:eastAsia="zh-CN"/>
        </w:rPr>
        <w:t xml:space="preserve">第四部分 </w:t>
      </w:r>
      <w:r>
        <w:rPr>
          <w:rFonts w:hint="eastAsia"/>
          <w:lang w:val="en-US" w:eastAsia="zh-CN"/>
        </w:rPr>
        <w:t>评标办法</w:t>
      </w:r>
      <w:r>
        <w:tab/>
      </w:r>
      <w:r>
        <w:fldChar w:fldCharType="begin"/>
      </w:r>
      <w:r>
        <w:instrText xml:space="preserve"> PAGEREF _Toc338399068 \h </w:instrText>
      </w:r>
      <w:r>
        <w:fldChar w:fldCharType="separate"/>
      </w:r>
      <w:r>
        <w:t>17</w:t>
      </w:r>
      <w:r>
        <w:fldChar w:fldCharType="end"/>
      </w:r>
      <w:r>
        <w:rPr>
          <w:szCs w:val="30"/>
        </w:rPr>
        <w:fldChar w:fldCharType="end"/>
      </w:r>
    </w:p>
    <w:p w14:paraId="32623525">
      <w:pPr>
        <w:pStyle w:val="10"/>
        <w:tabs>
          <w:tab w:val="right" w:leader="dot" w:pos="8845"/>
        </w:tabs>
      </w:pPr>
      <w:r>
        <w:rPr>
          <w:szCs w:val="30"/>
        </w:rPr>
        <w:fldChar w:fldCharType="begin"/>
      </w:r>
      <w:r>
        <w:rPr>
          <w:szCs w:val="30"/>
        </w:rPr>
        <w:instrText xml:space="preserve"> HYPERLINK \l _Toc42598220 </w:instrText>
      </w:r>
      <w:r>
        <w:rPr>
          <w:szCs w:val="30"/>
        </w:rPr>
        <w:fldChar w:fldCharType="separate"/>
      </w:r>
      <w:r>
        <w:rPr>
          <w:rFonts w:hint="eastAsia"/>
        </w:rPr>
        <w:t>第</w:t>
      </w:r>
      <w:r>
        <w:rPr>
          <w:rFonts w:hint="eastAsia"/>
          <w:lang w:eastAsia="zh-CN"/>
        </w:rPr>
        <w:t>五</w:t>
      </w:r>
      <w:r>
        <w:rPr>
          <w:rFonts w:hint="eastAsia"/>
        </w:rPr>
        <w:t>部分 投标文件格式</w:t>
      </w:r>
      <w:r>
        <w:tab/>
      </w:r>
      <w:r>
        <w:fldChar w:fldCharType="begin"/>
      </w:r>
      <w:r>
        <w:instrText xml:space="preserve"> PAGEREF _Toc42598220 \h </w:instrText>
      </w:r>
      <w:r>
        <w:fldChar w:fldCharType="separate"/>
      </w:r>
      <w:r>
        <w:t>24</w:t>
      </w:r>
      <w:r>
        <w:fldChar w:fldCharType="end"/>
      </w:r>
      <w:r>
        <w:rPr>
          <w:szCs w:val="30"/>
        </w:rPr>
        <w:fldChar w:fldCharType="end"/>
      </w:r>
    </w:p>
    <w:p w14:paraId="7666A9B5">
      <w:pPr>
        <w:pStyle w:val="11"/>
        <w:tabs>
          <w:tab w:val="right" w:leader="dot" w:pos="8845"/>
        </w:tabs>
      </w:pPr>
      <w:r>
        <w:rPr>
          <w:szCs w:val="30"/>
        </w:rPr>
        <w:fldChar w:fldCharType="begin"/>
      </w:r>
      <w:r>
        <w:rPr>
          <w:szCs w:val="30"/>
        </w:rPr>
        <w:instrText xml:space="preserve"> HYPERLINK \l _Toc1077107066 </w:instrText>
      </w:r>
      <w:r>
        <w:rPr>
          <w:szCs w:val="30"/>
        </w:rPr>
        <w:fldChar w:fldCharType="separate"/>
      </w:r>
      <w:r>
        <w:rPr>
          <w:rFonts w:hint="eastAsia"/>
        </w:rPr>
        <w:t>一</w:t>
      </w:r>
      <w:r>
        <w:rPr>
          <w:rFonts w:hint="eastAsia"/>
          <w:lang w:eastAsia="zh-CN"/>
        </w:rPr>
        <w:t>、</w:t>
      </w:r>
      <w:r>
        <w:rPr>
          <w:rFonts w:hint="eastAsia"/>
        </w:rPr>
        <w:t>资格证明文件</w:t>
      </w:r>
      <w:r>
        <w:tab/>
      </w:r>
      <w:r>
        <w:fldChar w:fldCharType="begin"/>
      </w:r>
      <w:r>
        <w:instrText xml:space="preserve"> PAGEREF _Toc1077107066 \h </w:instrText>
      </w:r>
      <w:r>
        <w:fldChar w:fldCharType="separate"/>
      </w:r>
      <w:r>
        <w:t>24</w:t>
      </w:r>
      <w:r>
        <w:fldChar w:fldCharType="end"/>
      </w:r>
      <w:r>
        <w:rPr>
          <w:szCs w:val="30"/>
        </w:rPr>
        <w:fldChar w:fldCharType="end"/>
      </w:r>
    </w:p>
    <w:p w14:paraId="35A3482A">
      <w:pPr>
        <w:pStyle w:val="11"/>
        <w:tabs>
          <w:tab w:val="right" w:leader="dot" w:pos="8845"/>
        </w:tabs>
      </w:pPr>
      <w:r>
        <w:rPr>
          <w:szCs w:val="30"/>
        </w:rPr>
        <w:fldChar w:fldCharType="begin"/>
      </w:r>
      <w:r>
        <w:rPr>
          <w:szCs w:val="30"/>
        </w:rPr>
        <w:instrText xml:space="preserve"> HYPERLINK \l _Toc996661191 </w:instrText>
      </w:r>
      <w:r>
        <w:rPr>
          <w:szCs w:val="30"/>
        </w:rPr>
        <w:fldChar w:fldCharType="separate"/>
      </w:r>
      <w:r>
        <w:rPr>
          <w:rFonts w:hint="eastAsia"/>
        </w:rPr>
        <w:t>二</w:t>
      </w:r>
      <w:r>
        <w:rPr>
          <w:rFonts w:hint="eastAsia"/>
          <w:lang w:eastAsia="zh-CN"/>
        </w:rPr>
        <w:t>、</w:t>
      </w:r>
      <w:r>
        <w:rPr>
          <w:rFonts w:hint="eastAsia"/>
        </w:rPr>
        <w:t>法人授权委托书(法人参加应邀时，只须提供法人身份证复印件加盖公章，原件备查)</w:t>
      </w:r>
      <w:r>
        <w:tab/>
      </w:r>
      <w:r>
        <w:fldChar w:fldCharType="begin"/>
      </w:r>
      <w:r>
        <w:instrText xml:space="preserve"> PAGEREF _Toc996661191 \h </w:instrText>
      </w:r>
      <w:r>
        <w:fldChar w:fldCharType="separate"/>
      </w:r>
      <w:r>
        <w:t>25</w:t>
      </w:r>
      <w:r>
        <w:fldChar w:fldCharType="end"/>
      </w:r>
      <w:r>
        <w:rPr>
          <w:szCs w:val="30"/>
        </w:rPr>
        <w:fldChar w:fldCharType="end"/>
      </w:r>
    </w:p>
    <w:p w14:paraId="6C8D36C6">
      <w:pPr>
        <w:pStyle w:val="11"/>
        <w:tabs>
          <w:tab w:val="right" w:leader="dot" w:pos="8845"/>
        </w:tabs>
      </w:pPr>
      <w:r>
        <w:rPr>
          <w:szCs w:val="30"/>
        </w:rPr>
        <w:fldChar w:fldCharType="begin"/>
      </w:r>
      <w:r>
        <w:rPr>
          <w:szCs w:val="30"/>
        </w:rPr>
        <w:instrText xml:space="preserve"> HYPERLINK \l _Toc535179328 </w:instrText>
      </w:r>
      <w:r>
        <w:rPr>
          <w:szCs w:val="30"/>
        </w:rPr>
        <w:fldChar w:fldCharType="separate"/>
      </w:r>
      <w:r>
        <w:rPr>
          <w:rFonts w:hint="eastAsia"/>
        </w:rPr>
        <w:t>三</w:t>
      </w:r>
      <w:r>
        <w:rPr>
          <w:rFonts w:hint="eastAsia"/>
          <w:lang w:eastAsia="zh-CN"/>
        </w:rPr>
        <w:t>、</w:t>
      </w:r>
      <w:r>
        <w:rPr>
          <w:rFonts w:hint="eastAsia"/>
        </w:rPr>
        <w:t>投标人概况</w:t>
      </w:r>
      <w:r>
        <w:tab/>
      </w:r>
      <w:r>
        <w:fldChar w:fldCharType="begin"/>
      </w:r>
      <w:r>
        <w:instrText xml:space="preserve"> PAGEREF _Toc535179328 \h </w:instrText>
      </w:r>
      <w:r>
        <w:fldChar w:fldCharType="separate"/>
      </w:r>
      <w:r>
        <w:t>26</w:t>
      </w:r>
      <w:r>
        <w:fldChar w:fldCharType="end"/>
      </w:r>
      <w:r>
        <w:rPr>
          <w:szCs w:val="30"/>
        </w:rPr>
        <w:fldChar w:fldCharType="end"/>
      </w:r>
    </w:p>
    <w:p w14:paraId="231B1776">
      <w:pPr>
        <w:pStyle w:val="11"/>
        <w:tabs>
          <w:tab w:val="right" w:leader="dot" w:pos="8845"/>
        </w:tabs>
      </w:pPr>
      <w:r>
        <w:rPr>
          <w:szCs w:val="30"/>
        </w:rPr>
        <w:fldChar w:fldCharType="begin"/>
      </w:r>
      <w:r>
        <w:rPr>
          <w:szCs w:val="30"/>
        </w:rPr>
        <w:instrText xml:space="preserve"> HYPERLINK \l _Toc814879229 </w:instrText>
      </w:r>
      <w:r>
        <w:rPr>
          <w:szCs w:val="30"/>
        </w:rPr>
        <w:fldChar w:fldCharType="separate"/>
      </w:r>
      <w:r>
        <w:rPr>
          <w:rFonts w:hint="eastAsia"/>
        </w:rPr>
        <w:t>四</w:t>
      </w:r>
      <w:r>
        <w:rPr>
          <w:rFonts w:hint="eastAsia"/>
          <w:lang w:eastAsia="zh-CN"/>
        </w:rPr>
        <w:t>、</w:t>
      </w:r>
      <w:r>
        <w:rPr>
          <w:rFonts w:hint="eastAsia"/>
        </w:rPr>
        <w:t>采购需求响应情况</w:t>
      </w:r>
      <w:r>
        <w:tab/>
      </w:r>
      <w:r>
        <w:fldChar w:fldCharType="begin"/>
      </w:r>
      <w:r>
        <w:instrText xml:space="preserve"> PAGEREF _Toc814879229 \h </w:instrText>
      </w:r>
      <w:r>
        <w:fldChar w:fldCharType="separate"/>
      </w:r>
      <w:r>
        <w:t>26</w:t>
      </w:r>
      <w:r>
        <w:fldChar w:fldCharType="end"/>
      </w:r>
      <w:r>
        <w:rPr>
          <w:szCs w:val="30"/>
        </w:rPr>
        <w:fldChar w:fldCharType="end"/>
      </w:r>
    </w:p>
    <w:p w14:paraId="51C6ED87">
      <w:pPr>
        <w:pStyle w:val="11"/>
        <w:tabs>
          <w:tab w:val="right" w:leader="dot" w:pos="8845"/>
        </w:tabs>
      </w:pPr>
      <w:r>
        <w:rPr>
          <w:szCs w:val="30"/>
        </w:rPr>
        <w:fldChar w:fldCharType="begin"/>
      </w:r>
      <w:r>
        <w:rPr>
          <w:szCs w:val="30"/>
        </w:rPr>
        <w:instrText xml:space="preserve"> HYPERLINK \l _Toc1757379744 </w:instrText>
      </w:r>
      <w:r>
        <w:rPr>
          <w:szCs w:val="30"/>
        </w:rPr>
        <w:fldChar w:fldCharType="separate"/>
      </w:r>
      <w:r>
        <w:rPr>
          <w:rFonts w:hint="eastAsia"/>
        </w:rPr>
        <w:t>五</w:t>
      </w:r>
      <w:r>
        <w:rPr>
          <w:rFonts w:hint="eastAsia"/>
          <w:lang w:eastAsia="zh-CN"/>
        </w:rPr>
        <w:t>、</w:t>
      </w:r>
      <w:r>
        <w:rPr>
          <w:rFonts w:hint="eastAsia"/>
        </w:rPr>
        <w:t>投标人报价文件</w:t>
      </w:r>
      <w:r>
        <w:tab/>
      </w:r>
      <w:r>
        <w:fldChar w:fldCharType="begin"/>
      </w:r>
      <w:r>
        <w:instrText xml:space="preserve"> PAGEREF _Toc1757379744 \h </w:instrText>
      </w:r>
      <w:r>
        <w:fldChar w:fldCharType="separate"/>
      </w:r>
      <w:r>
        <w:t>26</w:t>
      </w:r>
      <w:r>
        <w:fldChar w:fldCharType="end"/>
      </w:r>
      <w:r>
        <w:rPr>
          <w:szCs w:val="30"/>
        </w:rPr>
        <w:fldChar w:fldCharType="end"/>
      </w:r>
    </w:p>
    <w:p w14:paraId="09A650CA">
      <w:pPr>
        <w:pStyle w:val="11"/>
        <w:tabs>
          <w:tab w:val="right" w:leader="dot" w:pos="8845"/>
        </w:tabs>
      </w:pPr>
      <w:r>
        <w:rPr>
          <w:szCs w:val="30"/>
        </w:rPr>
        <w:fldChar w:fldCharType="begin"/>
      </w:r>
      <w:r>
        <w:rPr>
          <w:szCs w:val="30"/>
        </w:rPr>
        <w:instrText xml:space="preserve"> HYPERLINK \l _Toc1795829821 </w:instrText>
      </w:r>
      <w:r>
        <w:rPr>
          <w:szCs w:val="30"/>
        </w:rPr>
        <w:fldChar w:fldCharType="separate"/>
      </w:r>
      <w:r>
        <w:rPr>
          <w:rFonts w:hint="eastAsia"/>
        </w:rPr>
        <w:t>六</w:t>
      </w:r>
      <w:r>
        <w:rPr>
          <w:rFonts w:hint="eastAsia"/>
          <w:lang w:eastAsia="zh-CN"/>
        </w:rPr>
        <w:t>、</w:t>
      </w:r>
      <w:r>
        <w:t>技术部分（包括</w:t>
      </w:r>
      <w:r>
        <w:rPr>
          <w:rFonts w:hint="eastAsia"/>
          <w:lang w:eastAsia="zh-CN"/>
        </w:rPr>
        <w:t>服务</w:t>
      </w:r>
      <w:r>
        <w:t>方案</w:t>
      </w:r>
      <w:r>
        <w:rPr>
          <w:rFonts w:hint="eastAsia"/>
          <w:lang w:eastAsia="zh-CN"/>
        </w:rPr>
        <w:t>、</w:t>
      </w:r>
      <w:r>
        <w:t>服务承诺等）</w:t>
      </w:r>
      <w:r>
        <w:tab/>
      </w:r>
      <w:r>
        <w:fldChar w:fldCharType="begin"/>
      </w:r>
      <w:r>
        <w:instrText xml:space="preserve"> PAGEREF _Toc1795829821 \h </w:instrText>
      </w:r>
      <w:r>
        <w:fldChar w:fldCharType="separate"/>
      </w:r>
      <w:r>
        <w:t>26</w:t>
      </w:r>
      <w:r>
        <w:fldChar w:fldCharType="end"/>
      </w:r>
      <w:r>
        <w:rPr>
          <w:szCs w:val="30"/>
        </w:rPr>
        <w:fldChar w:fldCharType="end"/>
      </w:r>
    </w:p>
    <w:p w14:paraId="0E7FED94">
      <w:pPr>
        <w:pStyle w:val="11"/>
        <w:tabs>
          <w:tab w:val="right" w:leader="dot" w:pos="8845"/>
        </w:tabs>
      </w:pPr>
      <w:r>
        <w:rPr>
          <w:szCs w:val="30"/>
        </w:rPr>
        <w:fldChar w:fldCharType="begin"/>
      </w:r>
      <w:r>
        <w:rPr>
          <w:szCs w:val="30"/>
        </w:rPr>
        <w:instrText xml:space="preserve"> HYPERLINK \l _Toc1666545030 </w:instrText>
      </w:r>
      <w:r>
        <w:rPr>
          <w:szCs w:val="30"/>
        </w:rPr>
        <w:fldChar w:fldCharType="separate"/>
      </w:r>
      <w:r>
        <w:rPr>
          <w:rFonts w:hint="eastAsia"/>
        </w:rPr>
        <w:t>七</w:t>
      </w:r>
      <w:r>
        <w:rPr>
          <w:rFonts w:hint="eastAsia"/>
          <w:lang w:eastAsia="zh-CN"/>
        </w:rPr>
        <w:t>、</w:t>
      </w:r>
      <w:r>
        <w:t>投标人认为需要的其它证明材料</w:t>
      </w:r>
      <w:r>
        <w:tab/>
      </w:r>
      <w:r>
        <w:fldChar w:fldCharType="begin"/>
      </w:r>
      <w:r>
        <w:instrText xml:space="preserve"> PAGEREF _Toc1666545030 \h </w:instrText>
      </w:r>
      <w:r>
        <w:fldChar w:fldCharType="separate"/>
      </w:r>
      <w:r>
        <w:t>27</w:t>
      </w:r>
      <w:r>
        <w:fldChar w:fldCharType="end"/>
      </w:r>
      <w:r>
        <w:rPr>
          <w:szCs w:val="30"/>
        </w:rPr>
        <w:fldChar w:fldCharType="end"/>
      </w:r>
    </w:p>
    <w:p w14:paraId="36106E12">
      <w:pPr>
        <w:rPr>
          <w:sz w:val="30"/>
          <w:szCs w:val="30"/>
        </w:rPr>
      </w:pPr>
      <w:r>
        <w:rPr>
          <w:szCs w:val="30"/>
        </w:rPr>
        <w:fldChar w:fldCharType="end"/>
      </w:r>
    </w:p>
    <w:p w14:paraId="027FF494">
      <w:pPr>
        <w:spacing w:line="360" w:lineRule="auto"/>
        <w:jc w:val="center"/>
        <w:rPr>
          <w:rFonts w:ascii="宋体" w:hAnsi="宋体"/>
          <w:b/>
          <w:sz w:val="44"/>
        </w:rPr>
      </w:pPr>
    </w:p>
    <w:p w14:paraId="046768D7">
      <w:pPr>
        <w:spacing w:line="360" w:lineRule="auto"/>
        <w:jc w:val="center"/>
        <w:rPr>
          <w:rFonts w:ascii="宋体" w:hAnsi="宋体"/>
          <w:b/>
          <w:sz w:val="44"/>
        </w:rPr>
      </w:pPr>
    </w:p>
    <w:p w14:paraId="5859363C">
      <w:pPr>
        <w:spacing w:line="480" w:lineRule="exact"/>
        <w:rPr>
          <w:rFonts w:ascii="宋体" w:hAnsi="宋体"/>
          <w:b/>
          <w:sz w:val="44"/>
        </w:rPr>
      </w:pPr>
    </w:p>
    <w:p w14:paraId="667AED7E">
      <w:bookmarkStart w:id="0" w:name="_Toc58404942"/>
    </w:p>
    <w:p w14:paraId="164A3004">
      <w:pPr>
        <w:pStyle w:val="2"/>
        <w:spacing w:line="560" w:lineRule="exact"/>
        <w:rPr>
          <w:rFonts w:ascii="宋体" w:hAnsi="宋体"/>
        </w:rPr>
      </w:pPr>
      <w:bookmarkStart w:id="1" w:name="_Toc1059096408"/>
      <w:bookmarkStart w:id="2" w:name="_Toc426749628"/>
      <w:bookmarkStart w:id="3" w:name="_Toc1313014072"/>
      <w:bookmarkStart w:id="4" w:name="_Toc769227669"/>
      <w:bookmarkStart w:id="5" w:name="_Toc915701803"/>
      <w:bookmarkStart w:id="6" w:name="_Toc2101523214"/>
      <w:bookmarkStart w:id="7" w:name="_Toc749250337"/>
      <w:bookmarkStart w:id="8" w:name="_Toc1075327588"/>
      <w:bookmarkStart w:id="9" w:name="_Toc226351797"/>
      <w:bookmarkStart w:id="10" w:name="_Toc770839264"/>
      <w:bookmarkStart w:id="11" w:name="_Toc370680144"/>
      <w:bookmarkStart w:id="12" w:name="_Toc71990377"/>
      <w:bookmarkStart w:id="13" w:name="_Toc474515710"/>
      <w:r>
        <w:rPr>
          <w:rFonts w:hint="eastAsia" w:ascii="宋体" w:hAnsi="宋体"/>
        </w:rPr>
        <w:t xml:space="preserve">第一部分 </w:t>
      </w:r>
      <w:r>
        <w:rPr>
          <w:rFonts w:hint="eastAsia" w:ascii="宋体" w:hAnsi="宋体"/>
          <w:lang w:val="en-US" w:eastAsia="zh-CN"/>
        </w:rPr>
        <w:t>采购</w:t>
      </w:r>
      <w:r>
        <w:rPr>
          <w:rFonts w:hint="eastAsia" w:ascii="宋体" w:hAnsi="宋体"/>
        </w:rPr>
        <w:t>邀请函</w:t>
      </w:r>
      <w:bookmarkEnd w:id="0"/>
      <w:bookmarkEnd w:id="1"/>
      <w:bookmarkEnd w:id="2"/>
      <w:bookmarkEnd w:id="3"/>
      <w:bookmarkEnd w:id="4"/>
      <w:bookmarkEnd w:id="5"/>
      <w:bookmarkEnd w:id="6"/>
      <w:bookmarkEnd w:id="7"/>
      <w:bookmarkEnd w:id="8"/>
      <w:bookmarkEnd w:id="9"/>
      <w:bookmarkEnd w:id="10"/>
      <w:bookmarkEnd w:id="11"/>
      <w:bookmarkEnd w:id="12"/>
      <w:bookmarkEnd w:id="13"/>
    </w:p>
    <w:p w14:paraId="2CA3EE62">
      <w:pPr>
        <w:spacing w:line="420" w:lineRule="exact"/>
      </w:pPr>
    </w:p>
    <w:p w14:paraId="548029A9">
      <w:pPr>
        <w:spacing w:line="560" w:lineRule="exact"/>
        <w:rPr>
          <w:rFonts w:hint="eastAsia" w:ascii="仿宋_GB2312" w:hAnsi="仿宋_GB2312" w:eastAsia="仿宋_GB2312" w:cs="仿宋_GB2312"/>
          <w:sz w:val="32"/>
          <w:szCs w:val="32"/>
        </w:rPr>
      </w:pPr>
      <w:bookmarkStart w:id="14" w:name="_Toc537836849"/>
      <w:bookmarkStart w:id="15" w:name="_Toc1031825225"/>
      <w:bookmarkStart w:id="16" w:name="_Toc2141510313"/>
      <w:bookmarkStart w:id="17" w:name="_Toc1634120299"/>
      <w:bookmarkStart w:id="18" w:name="_Toc1192664558"/>
      <w:bookmarkStart w:id="19" w:name="_Toc816165279"/>
      <w:bookmarkStart w:id="20" w:name="_Toc778566378"/>
      <w:bookmarkStart w:id="21" w:name="_Toc18854236"/>
      <w:bookmarkStart w:id="22" w:name="_Toc389106887"/>
      <w:bookmarkStart w:id="23" w:name="_Toc1933309497"/>
      <w:bookmarkStart w:id="24" w:name="_Toc1837638228"/>
      <w:bookmarkStart w:id="25" w:name="_Toc1289392538"/>
      <w:bookmarkStart w:id="26" w:name="_Toc1136303461"/>
      <w:r>
        <w:rPr>
          <w:rFonts w:hint="eastAsia" w:ascii="仿宋_GB2312" w:hAnsi="仿宋_GB2312" w:eastAsia="仿宋_GB2312" w:cs="仿宋_GB2312"/>
          <w:sz w:val="32"/>
          <w:szCs w:val="32"/>
          <w:lang w:val="en-US" w:eastAsia="zh-CN"/>
        </w:rPr>
        <w:t>各相关单位</w:t>
      </w:r>
      <w:r>
        <w:rPr>
          <w:rFonts w:hint="eastAsia" w:ascii="仿宋_GB2312" w:hAnsi="仿宋_GB2312" w:eastAsia="仿宋_GB2312" w:cs="仿宋_GB2312"/>
          <w:sz w:val="32"/>
          <w:szCs w:val="32"/>
        </w:rPr>
        <w:t>：</w:t>
      </w:r>
    </w:p>
    <w:p w14:paraId="6357B4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我局就2026年计算机及外围办公设备运维项目组织竞争性磋商采购，现邀请符合资格条件的供应商参加本次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活动，有关事项说明如下：</w:t>
      </w:r>
    </w:p>
    <w:bookmarkEnd w:id="14"/>
    <w:bookmarkEnd w:id="15"/>
    <w:bookmarkEnd w:id="16"/>
    <w:bookmarkEnd w:id="17"/>
    <w:bookmarkEnd w:id="18"/>
    <w:bookmarkEnd w:id="19"/>
    <w:bookmarkEnd w:id="20"/>
    <w:bookmarkEnd w:id="21"/>
    <w:bookmarkEnd w:id="22"/>
    <w:bookmarkEnd w:id="23"/>
    <w:bookmarkEnd w:id="24"/>
    <w:bookmarkEnd w:id="25"/>
    <w:bookmarkEnd w:id="26"/>
    <w:p w14:paraId="1301CC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outlineLvl w:val="9"/>
        <w:rPr>
          <w:rFonts w:hint="eastAsia" w:ascii="黑体" w:hAnsi="黑体" w:eastAsia="黑体" w:cs="黑体"/>
          <w:b w:val="0"/>
          <w:bCs/>
          <w:sz w:val="32"/>
          <w:szCs w:val="32"/>
        </w:rPr>
      </w:pPr>
      <w:bookmarkStart w:id="27" w:name="_Toc1501214900"/>
      <w:bookmarkStart w:id="28" w:name="_Toc1124318012"/>
      <w:bookmarkStart w:id="29" w:name="_Toc968856269"/>
      <w:bookmarkStart w:id="30" w:name="_Toc1072383301"/>
      <w:bookmarkStart w:id="31" w:name="_Toc1159905334"/>
      <w:bookmarkStart w:id="32" w:name="_Toc1996296565"/>
      <w:bookmarkStart w:id="33" w:name="_Toc316635830"/>
      <w:bookmarkStart w:id="34" w:name="_Toc23184232"/>
      <w:bookmarkStart w:id="35" w:name="_Toc1967670128"/>
      <w:bookmarkStart w:id="36" w:name="_Toc1662860234"/>
      <w:bookmarkStart w:id="37" w:name="_Toc1566282616"/>
      <w:bookmarkStart w:id="38" w:name="_Toc721156192"/>
      <w:bookmarkStart w:id="39" w:name="_Toc637638684"/>
      <w:r>
        <w:rPr>
          <w:rFonts w:hint="eastAsia" w:ascii="黑体" w:hAnsi="黑体" w:eastAsia="黑体" w:cs="黑体"/>
          <w:b w:val="0"/>
          <w:bCs/>
          <w:sz w:val="32"/>
          <w:szCs w:val="32"/>
        </w:rPr>
        <w:t>项目</w:t>
      </w:r>
      <w:r>
        <w:rPr>
          <w:rFonts w:hint="eastAsia" w:ascii="黑体" w:hAnsi="黑体" w:eastAsia="黑体" w:cs="黑体"/>
          <w:b w:val="0"/>
          <w:bCs/>
          <w:sz w:val="32"/>
          <w:szCs w:val="32"/>
          <w:lang w:eastAsia="zh-CN"/>
        </w:rPr>
        <w:t>基本情况</w:t>
      </w:r>
    </w:p>
    <w:p w14:paraId="67526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仿宋_GB2312" w:hAnsi="仿宋_GB2312" w:eastAsia="仿宋_GB2312" w:cs="仿宋_GB2312"/>
          <w:sz w:val="32"/>
          <w:szCs w:val="32"/>
        </w:rPr>
        <w:t>2026年计算机及外围办公设备运维项目</w:t>
      </w:r>
      <w:r>
        <w:rPr>
          <w:rFonts w:hint="eastAsia" w:ascii="仿宋_GB2312" w:hAnsi="仿宋_GB2312" w:eastAsia="仿宋_GB2312" w:cs="仿宋_GB2312"/>
          <w:b w:val="0"/>
          <w:bCs w:val="0"/>
          <w:sz w:val="32"/>
          <w:szCs w:val="32"/>
          <w:lang w:val="en-US" w:eastAsia="zh-CN"/>
        </w:rPr>
        <w:t>。</w:t>
      </w:r>
    </w:p>
    <w:p w14:paraId="0D1C7CB1">
      <w:pPr>
        <w:spacing w:line="560" w:lineRule="exact"/>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eastAsia="zh-CN"/>
        </w:rPr>
        <w:t>服务内容：</w:t>
      </w:r>
      <w:r>
        <w:rPr>
          <w:rFonts w:hint="eastAsia" w:ascii="仿宋_GB2312" w:hAnsi="仿宋_GB2312" w:eastAsia="仿宋_GB2312" w:cs="仿宋_GB2312"/>
          <w:b w:val="0"/>
          <w:bCs w:val="0"/>
          <w:kern w:val="2"/>
          <w:sz w:val="32"/>
          <w:szCs w:val="32"/>
          <w:lang w:val="en-US" w:eastAsia="zh-CN" w:bidi="ar-SA"/>
        </w:rPr>
        <w:t>为我局海府路、蓝天路两个办公区所有计算机及外围设备提供3名技术人员为期1年驻点维护维修服务，主要服务内容为办公室设备日常巡检、故障处理、软硬件维护、安装调试、耗材与备件协助更换、视频会议保障及重大活动支撑。</w:t>
      </w:r>
    </w:p>
    <w:p w14:paraId="747A2E29">
      <w:pPr>
        <w:spacing w:line="56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lang w:eastAsia="zh-CN"/>
        </w:rPr>
        <w:t>预算金额：</w:t>
      </w:r>
      <w:r>
        <w:rPr>
          <w:rFonts w:hint="eastAsia" w:ascii="仿宋_GB2312" w:hAnsi="仿宋_GB2312" w:eastAsia="仿宋_GB2312" w:cs="仿宋_GB2312"/>
          <w:b w:val="0"/>
          <w:bCs w:val="0"/>
          <w:sz w:val="32"/>
          <w:szCs w:val="32"/>
          <w:highlight w:val="none"/>
          <w:lang w:val="en-US" w:eastAsia="zh-CN"/>
        </w:rPr>
        <w:t>29.9</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lang w:eastAsia="zh-CN"/>
        </w:rPr>
        <w:t>元</w:t>
      </w:r>
    </w:p>
    <w:p w14:paraId="45288CCB">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highlight w:val="none"/>
          <w:lang w:eastAsia="zh-CN"/>
        </w:rPr>
        <w:t>最高限价：</w:t>
      </w:r>
      <w:r>
        <w:rPr>
          <w:rFonts w:hint="eastAsia" w:ascii="仿宋_GB2312" w:hAnsi="仿宋_GB2312" w:eastAsia="仿宋_GB2312" w:cs="仿宋_GB2312"/>
          <w:sz w:val="32"/>
          <w:szCs w:val="32"/>
          <w:highlight w:val="none"/>
          <w:lang w:val="en-US" w:eastAsia="zh-CN"/>
        </w:rPr>
        <w:t>29.9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lang w:eastAsia="zh-CN"/>
        </w:rPr>
        <w:t>元</w:t>
      </w:r>
    </w:p>
    <w:p w14:paraId="281BA9FF">
      <w:pPr>
        <w:spacing w:line="56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采购方式：</w:t>
      </w:r>
      <w:r>
        <w:rPr>
          <w:rFonts w:hint="eastAsia" w:ascii="仿宋_GB2312" w:hAnsi="仿宋_GB2312" w:eastAsia="仿宋_GB2312" w:cs="仿宋_GB2312"/>
          <w:b w:val="0"/>
          <w:bCs w:val="0"/>
          <w:sz w:val="32"/>
          <w:szCs w:val="32"/>
          <w:lang w:val="en-US" w:eastAsia="zh-CN"/>
        </w:rPr>
        <w:t>竞争性磋商</w:t>
      </w:r>
    </w:p>
    <w:p w14:paraId="4802C774">
      <w:pPr>
        <w:spacing w:line="560" w:lineRule="exact"/>
        <w:ind w:left="638" w:leftChars="266"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服务期限：</w:t>
      </w:r>
      <w:r>
        <w:rPr>
          <w:rFonts w:hint="eastAsia" w:ascii="仿宋_GB2312" w:hAnsi="仿宋_GB2312" w:eastAsia="仿宋_GB2312" w:cs="仿宋_GB2312"/>
          <w:b w:val="0"/>
          <w:bCs w:val="0"/>
          <w:sz w:val="32"/>
          <w:szCs w:val="32"/>
          <w:lang w:val="en-US" w:eastAsia="zh-CN"/>
        </w:rPr>
        <w:t>2026年4月21日至2027年4月20日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b/>
          <w:bCs/>
          <w:sz w:val="32"/>
          <w:szCs w:val="32"/>
          <w:lang w:val="en-US" w:eastAsia="zh-CN"/>
        </w:rPr>
        <w:t>项目所属行业：</w:t>
      </w:r>
      <w:r>
        <w:rPr>
          <w:rFonts w:hint="eastAsia" w:ascii="仿宋_GB2312" w:hAnsi="仿宋_GB2312" w:eastAsia="仿宋_GB2312" w:cs="仿宋_GB2312"/>
          <w:sz w:val="32"/>
          <w:szCs w:val="32"/>
          <w:lang w:val="en-US" w:eastAsia="zh-CN"/>
        </w:rPr>
        <w:t>软件和信息技术服务业。</w:t>
      </w:r>
    </w:p>
    <w:p w14:paraId="2CD149B0">
      <w:pPr>
        <w:keepNext/>
        <w:keepLines w:val="0"/>
        <w:pageBreakBefore w:val="0"/>
        <w:widowControl/>
        <w:kinsoku/>
        <w:wordWrap/>
        <w:overflowPunct/>
        <w:topLinePunct w:val="0"/>
        <w:autoSpaceDE/>
        <w:autoSpaceDN/>
        <w:bidi w:val="0"/>
        <w:adjustRightInd/>
        <w:snapToGrid/>
        <w:spacing w:beforeLines="0" w:afterLines="0" w:line="42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二、投标人资格要求</w:t>
      </w:r>
      <w:bookmarkEnd w:id="27"/>
      <w:bookmarkEnd w:id="28"/>
      <w:bookmarkEnd w:id="29"/>
      <w:bookmarkEnd w:id="30"/>
      <w:bookmarkEnd w:id="31"/>
      <w:bookmarkEnd w:id="32"/>
      <w:bookmarkEnd w:id="33"/>
      <w:bookmarkEnd w:id="34"/>
      <w:bookmarkEnd w:id="35"/>
      <w:bookmarkEnd w:id="36"/>
      <w:bookmarkEnd w:id="37"/>
      <w:bookmarkEnd w:id="38"/>
      <w:bookmarkEnd w:id="39"/>
    </w:p>
    <w:p w14:paraId="587761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1.具有独立承担民事责任的能力。</w:t>
      </w:r>
    </w:p>
    <w:p w14:paraId="6BC607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投标人是企业（包括合伙企业）的，提供在市场监管部门注册的有效的“企业法人营业执照”或“营业执照”；投标人是事业单位的，提供有效的“事业单位法人证书”；投标人是非企业专业服务机构的，提供执业许可证等证明文件；投标人是个体工商户的，提供有效的“个体工商户营业执照”；投标人是自然人的，提供有效的自然人身份证明。提供的资料须是复印件加盖公章。</w:t>
      </w:r>
    </w:p>
    <w:p w14:paraId="226B2391">
      <w:pPr>
        <w:pStyle w:val="18"/>
        <w:rPr>
          <w:rFonts w:hint="eastAsia" w:ascii="仿宋_GB2312" w:hAnsi="仿宋_GB2312" w:eastAsia="仿宋_GB2312" w:cs="仿宋_GB2312"/>
          <w:kern w:val="28"/>
          <w:sz w:val="32"/>
          <w:szCs w:val="32"/>
          <w:lang w:val="en-US" w:eastAsia="zh-CN"/>
        </w:rPr>
      </w:pPr>
      <w:r>
        <w:rPr>
          <w:rFonts w:hint="eastAsia" w:ascii="仿宋_GB2312" w:hAnsi="仿宋_GB2312" w:eastAsia="仿宋_GB2312" w:cs="仿宋_GB2312"/>
          <w:kern w:val="28"/>
          <w:sz w:val="32"/>
          <w:szCs w:val="32"/>
          <w:lang w:val="en-US" w:eastAsia="zh-CN"/>
        </w:rPr>
        <w:t>2.具有履行政府采购合同所必需的设备和专业技术能力。</w:t>
      </w:r>
    </w:p>
    <w:p w14:paraId="43CB35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提供承诺函加盖公章，格式自拟</w:t>
      </w:r>
      <w:r>
        <w:rPr>
          <w:rFonts w:hint="eastAsia" w:ascii="仿宋_GB2312" w:hAnsi="仿宋_GB2312" w:eastAsia="仿宋_GB2312" w:cs="仿宋_GB2312"/>
          <w:kern w:val="28"/>
          <w:sz w:val="32"/>
          <w:szCs w:val="32"/>
          <w:lang w:val="en-US" w:eastAsia="zh-CN" w:bidi="ar-SA"/>
        </w:rPr>
        <w:t>。</w:t>
      </w:r>
    </w:p>
    <w:p w14:paraId="358523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lang w:val="en-US" w:eastAsia="zh-CN"/>
        </w:rPr>
        <w:t>3</w:t>
      </w:r>
      <w:r>
        <w:rPr>
          <w:rFonts w:hint="eastAsia" w:ascii="仿宋_GB2312" w:hAnsi="仿宋_GB2312" w:eastAsia="仿宋_GB2312" w:cs="仿宋_GB2312"/>
          <w:kern w:val="28"/>
          <w:sz w:val="32"/>
          <w:szCs w:val="32"/>
        </w:rPr>
        <w:t>.具有良好的商业信誉和健全的财务会计制度</w:t>
      </w:r>
      <w:r>
        <w:rPr>
          <w:rFonts w:hint="eastAsia" w:ascii="仿宋_GB2312" w:hAnsi="仿宋_GB2312" w:eastAsia="仿宋_GB2312" w:cs="仿宋_GB2312"/>
          <w:kern w:val="28"/>
          <w:sz w:val="32"/>
          <w:szCs w:val="32"/>
          <w:lang w:eastAsia="zh-CN"/>
        </w:rPr>
        <w:t>；有依法缴纳税收和社会保障资金的良好记录</w:t>
      </w:r>
      <w:r>
        <w:rPr>
          <w:rFonts w:hint="eastAsia" w:ascii="仿宋_GB2312" w:hAnsi="仿宋_GB2312" w:eastAsia="仿宋_GB2312" w:cs="仿宋_GB2312"/>
          <w:kern w:val="28"/>
          <w:sz w:val="32"/>
          <w:szCs w:val="32"/>
        </w:rPr>
        <w:t>。</w:t>
      </w:r>
    </w:p>
    <w:p w14:paraId="4F24BB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提供商业信誉</w:t>
      </w:r>
      <w:r>
        <w:rPr>
          <w:rFonts w:hint="eastAsia" w:ascii="仿宋_GB2312" w:hAnsi="仿宋_GB2312" w:eastAsia="仿宋_GB2312" w:cs="仿宋_GB2312"/>
          <w:kern w:val="28"/>
          <w:sz w:val="32"/>
          <w:szCs w:val="32"/>
          <w:lang w:eastAsia="zh-CN"/>
        </w:rPr>
        <w:t>、</w:t>
      </w:r>
      <w:r>
        <w:rPr>
          <w:rFonts w:hint="eastAsia" w:ascii="仿宋_GB2312" w:hAnsi="仿宋_GB2312" w:eastAsia="仿宋_GB2312" w:cs="仿宋_GB2312"/>
          <w:kern w:val="28"/>
          <w:sz w:val="32"/>
          <w:szCs w:val="32"/>
        </w:rPr>
        <w:t>财务会计制度</w:t>
      </w:r>
      <w:r>
        <w:rPr>
          <w:rFonts w:hint="eastAsia" w:ascii="仿宋_GB2312" w:hAnsi="仿宋_GB2312" w:eastAsia="仿宋_GB2312" w:cs="仿宋_GB2312"/>
          <w:kern w:val="28"/>
          <w:sz w:val="32"/>
          <w:szCs w:val="32"/>
          <w:lang w:eastAsia="zh-CN"/>
        </w:rPr>
        <w:t>、缴纳税收和社保的承诺函，</w:t>
      </w:r>
      <w:r>
        <w:rPr>
          <w:rFonts w:hint="eastAsia" w:ascii="仿宋_GB2312" w:hAnsi="仿宋_GB2312" w:eastAsia="仿宋_GB2312" w:cs="仿宋_GB2312"/>
          <w:kern w:val="28"/>
          <w:sz w:val="32"/>
          <w:szCs w:val="32"/>
        </w:rPr>
        <w:t>加盖公章</w:t>
      </w:r>
      <w:r>
        <w:rPr>
          <w:rFonts w:hint="eastAsia" w:ascii="仿宋_GB2312" w:hAnsi="仿宋_GB2312" w:eastAsia="仿宋_GB2312" w:cs="仿宋_GB2312"/>
          <w:kern w:val="28"/>
          <w:sz w:val="32"/>
          <w:szCs w:val="32"/>
          <w:lang w:val="en-US" w:eastAsia="zh-CN"/>
        </w:rPr>
        <w:t>，格式自拟</w:t>
      </w:r>
      <w:r>
        <w:rPr>
          <w:rFonts w:hint="eastAsia" w:ascii="仿宋_GB2312" w:hAnsi="仿宋_GB2312" w:eastAsia="仿宋_GB2312" w:cs="仿宋_GB2312"/>
          <w:kern w:val="28"/>
          <w:sz w:val="32"/>
          <w:szCs w:val="32"/>
        </w:rPr>
        <w:t>。</w:t>
      </w:r>
    </w:p>
    <w:p w14:paraId="1FC76D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4.参加政府采购活动前三年内，在经营活动中没有重大违法记录。</w:t>
      </w:r>
    </w:p>
    <w:p w14:paraId="3987ED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提供无重大违法记录声明函，加盖公章</w:t>
      </w:r>
      <w:r>
        <w:rPr>
          <w:rFonts w:hint="eastAsia" w:ascii="仿宋_GB2312" w:hAnsi="仿宋_GB2312" w:eastAsia="仿宋_GB2312" w:cs="仿宋_GB2312"/>
          <w:kern w:val="28"/>
          <w:sz w:val="32"/>
          <w:szCs w:val="32"/>
          <w:lang w:val="en-US" w:eastAsia="zh-CN"/>
        </w:rPr>
        <w:t>，格式自拟</w:t>
      </w:r>
      <w:r>
        <w:rPr>
          <w:rFonts w:hint="eastAsia" w:ascii="仿宋_GB2312" w:hAnsi="仿宋_GB2312" w:eastAsia="仿宋_GB2312" w:cs="仿宋_GB2312"/>
          <w:kern w:val="28"/>
          <w:sz w:val="32"/>
          <w:szCs w:val="32"/>
        </w:rPr>
        <w:t>。</w:t>
      </w:r>
    </w:p>
    <w:p w14:paraId="107D32F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5.服务商无不良信用记录。</w:t>
      </w:r>
    </w:p>
    <w:p w14:paraId="59E425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服务商在“信用中国”网站（www.creditchina.gov.cn）未被列入失信被执行人、重大税收违法失信主体，在中国政府采购网（www.ccgp.gov.cn）未被列入政府采购严重违法失信行为记录名单。提供网站查询记录加盖公章。</w:t>
      </w:r>
    </w:p>
    <w:p w14:paraId="188C8D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kern w:val="28"/>
          <w:sz w:val="32"/>
          <w:szCs w:val="32"/>
          <w:lang w:val="en-US" w:eastAsia="zh-CN"/>
        </w:rPr>
        <w:t>6</w:t>
      </w:r>
      <w:r>
        <w:rPr>
          <w:rFonts w:hint="eastAsia" w:ascii="仿宋_GB2312" w:hAnsi="仿宋_GB2312" w:eastAsia="仿宋_GB2312" w:cs="仿宋_GB2312"/>
          <w:kern w:val="28"/>
          <w:sz w:val="32"/>
          <w:szCs w:val="32"/>
        </w:rPr>
        <w:t>.法律、行政法规规定的其他条件。提供承诺函，加盖公章</w:t>
      </w:r>
      <w:r>
        <w:rPr>
          <w:rFonts w:hint="eastAsia" w:ascii="仿宋_GB2312" w:hAnsi="仿宋_GB2312" w:eastAsia="仿宋_GB2312" w:cs="仿宋_GB2312"/>
          <w:kern w:val="28"/>
          <w:sz w:val="32"/>
          <w:szCs w:val="32"/>
          <w:lang w:val="en-US" w:eastAsia="zh-CN"/>
        </w:rPr>
        <w:t>，格式自拟</w:t>
      </w:r>
      <w:r>
        <w:rPr>
          <w:rFonts w:hint="eastAsia" w:ascii="仿宋_GB2312" w:hAnsi="仿宋_GB2312" w:eastAsia="仿宋_GB2312" w:cs="仿宋_GB2312"/>
          <w:kern w:val="28"/>
          <w:sz w:val="32"/>
          <w:szCs w:val="32"/>
        </w:rPr>
        <w:t>。</w:t>
      </w:r>
    </w:p>
    <w:p w14:paraId="31B7130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28"/>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kern w:val="28"/>
          <w:sz w:val="32"/>
          <w:szCs w:val="32"/>
        </w:rPr>
        <w:t>本项目专门面向中小企业，需提供相应中小企业声明函</w:t>
      </w:r>
      <w:r>
        <w:rPr>
          <w:rFonts w:hint="eastAsia" w:ascii="仿宋_GB2312" w:hAnsi="仿宋_GB2312" w:eastAsia="仿宋_GB2312" w:cs="仿宋_GB2312"/>
          <w:kern w:val="28"/>
          <w:sz w:val="32"/>
          <w:szCs w:val="32"/>
          <w:lang w:eastAsia="zh-CN"/>
        </w:rPr>
        <w:t>，格式自拟</w:t>
      </w:r>
      <w:r>
        <w:rPr>
          <w:rFonts w:hint="eastAsia" w:ascii="仿宋_GB2312" w:hAnsi="仿宋_GB2312" w:eastAsia="仿宋_GB2312" w:cs="仿宋_GB2312"/>
          <w:kern w:val="28"/>
          <w:sz w:val="32"/>
          <w:szCs w:val="32"/>
        </w:rPr>
        <w:t>。</w:t>
      </w:r>
    </w:p>
    <w:p w14:paraId="0BFD1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bookmarkStart w:id="40" w:name="_Toc1844708120"/>
      <w:bookmarkStart w:id="41" w:name="_Toc759213184"/>
      <w:bookmarkStart w:id="42" w:name="_Toc1240726733"/>
      <w:bookmarkStart w:id="43" w:name="_Toc1232299405"/>
      <w:bookmarkStart w:id="44" w:name="_Toc458778233"/>
      <w:bookmarkStart w:id="45" w:name="_Toc169389570"/>
      <w:bookmarkStart w:id="46" w:name="_Toc798471375"/>
      <w:bookmarkStart w:id="47" w:name="_Toc871421556"/>
      <w:bookmarkStart w:id="48" w:name="_Toc175161902"/>
      <w:bookmarkStart w:id="49" w:name="_Toc604066848"/>
      <w:bookmarkStart w:id="50" w:name="_Toc1029863662"/>
      <w:bookmarkStart w:id="51" w:name="_Toc917198692"/>
      <w:bookmarkStart w:id="52" w:name="_Toc1353200329"/>
      <w:r>
        <w:rPr>
          <w:rFonts w:hint="eastAsia" w:ascii="黑体" w:hAnsi="黑体" w:eastAsia="黑体" w:cs="黑体"/>
          <w:b w:val="0"/>
          <w:bCs w:val="0"/>
          <w:sz w:val="32"/>
        </w:rPr>
        <w:t>三、</w:t>
      </w:r>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黑体" w:hAnsi="黑体" w:eastAsia="黑体" w:cs="黑体"/>
          <w:b w:val="0"/>
          <w:bCs w:val="0"/>
          <w:kern w:val="2"/>
          <w:sz w:val="32"/>
          <w:szCs w:val="32"/>
          <w:lang w:val="en-US" w:eastAsia="zh-CN" w:bidi="ar-SA"/>
        </w:rPr>
        <w:t>获取采购文件</w:t>
      </w:r>
    </w:p>
    <w:p w14:paraId="61326773">
      <w:pPr>
        <w:pStyle w:val="18"/>
        <w:kinsoku/>
        <w:wordWrap/>
        <w:overflowPunct/>
        <w:topLinePunct w:val="0"/>
        <w:bidi w:val="0"/>
        <w:spacing w:line="560" w:lineRule="exact"/>
        <w:textAlignment w:val="auto"/>
        <w:rPr>
          <w:rFonts w:hint="default" w:ascii="仿宋_GB2312" w:hAnsi="仿宋_GB2312" w:eastAsia="仿宋_GB2312" w:cs="仿宋_GB2312"/>
          <w:kern w:val="28"/>
          <w:sz w:val="32"/>
          <w:szCs w:val="32"/>
          <w:lang w:val="en-US" w:eastAsia="zh-CN" w:bidi="ar-SA"/>
        </w:rPr>
      </w:pPr>
      <w:r>
        <w:rPr>
          <w:rFonts w:hint="default" w:ascii="仿宋_GB2312" w:hAnsi="仿宋_GB2312" w:eastAsia="仿宋_GB2312" w:cs="仿宋_GB2312"/>
          <w:kern w:val="28"/>
          <w:sz w:val="32"/>
          <w:szCs w:val="32"/>
          <w:lang w:val="en-US" w:eastAsia="zh-CN" w:bidi="ar-SA"/>
        </w:rPr>
        <w:t>1.时间：2026年</w:t>
      </w:r>
      <w:r>
        <w:rPr>
          <w:rFonts w:hint="eastAsia" w:ascii="仿宋_GB2312" w:hAnsi="仿宋_GB2312" w:eastAsia="仿宋_GB2312" w:cs="仿宋_GB2312"/>
          <w:kern w:val="28"/>
          <w:sz w:val="32"/>
          <w:szCs w:val="32"/>
          <w:lang w:val="en-US" w:eastAsia="zh-CN" w:bidi="ar-SA"/>
        </w:rPr>
        <w:t>6</w:t>
      </w:r>
      <w:r>
        <w:rPr>
          <w:rFonts w:hint="default" w:ascii="仿宋_GB2312" w:hAnsi="仿宋_GB2312" w:eastAsia="仿宋_GB2312" w:cs="仿宋_GB2312"/>
          <w:kern w:val="28"/>
          <w:sz w:val="32"/>
          <w:szCs w:val="32"/>
          <w:lang w:val="en-US" w:eastAsia="zh-CN" w:bidi="ar-SA"/>
        </w:rPr>
        <w:t>月</w:t>
      </w:r>
      <w:r>
        <w:rPr>
          <w:rFonts w:hint="eastAsia" w:ascii="仿宋_GB2312" w:hAnsi="仿宋_GB2312" w:eastAsia="仿宋_GB2312" w:cs="仿宋_GB2312"/>
          <w:kern w:val="28"/>
          <w:sz w:val="32"/>
          <w:szCs w:val="32"/>
          <w:lang w:val="en-US" w:eastAsia="zh-CN" w:bidi="ar-SA"/>
        </w:rPr>
        <w:t>9</w:t>
      </w:r>
      <w:r>
        <w:rPr>
          <w:rFonts w:hint="default" w:ascii="仿宋_GB2312" w:hAnsi="仿宋_GB2312" w:eastAsia="仿宋_GB2312" w:cs="仿宋_GB2312"/>
          <w:kern w:val="28"/>
          <w:sz w:val="32"/>
          <w:szCs w:val="32"/>
          <w:lang w:val="en-US" w:eastAsia="zh-CN" w:bidi="ar-SA"/>
        </w:rPr>
        <w:t>日至2026年</w:t>
      </w:r>
      <w:r>
        <w:rPr>
          <w:rFonts w:hint="eastAsia" w:ascii="仿宋_GB2312" w:hAnsi="仿宋_GB2312" w:eastAsia="仿宋_GB2312" w:cs="仿宋_GB2312"/>
          <w:kern w:val="28"/>
          <w:sz w:val="32"/>
          <w:szCs w:val="32"/>
          <w:lang w:val="en-US" w:eastAsia="zh-CN" w:bidi="ar-SA"/>
        </w:rPr>
        <w:t>6</w:t>
      </w:r>
      <w:r>
        <w:rPr>
          <w:rFonts w:hint="default" w:ascii="仿宋_GB2312" w:hAnsi="仿宋_GB2312" w:eastAsia="仿宋_GB2312" w:cs="仿宋_GB2312"/>
          <w:kern w:val="28"/>
          <w:sz w:val="32"/>
          <w:szCs w:val="32"/>
          <w:lang w:val="en-US" w:eastAsia="zh-CN" w:bidi="ar-SA"/>
        </w:rPr>
        <w:t>月</w:t>
      </w:r>
      <w:r>
        <w:rPr>
          <w:rFonts w:hint="eastAsia" w:ascii="仿宋_GB2312" w:hAnsi="仿宋_GB2312" w:eastAsia="仿宋_GB2312" w:cs="仿宋_GB2312"/>
          <w:kern w:val="28"/>
          <w:sz w:val="32"/>
          <w:szCs w:val="32"/>
          <w:lang w:val="en-US" w:eastAsia="zh-CN" w:bidi="ar-SA"/>
        </w:rPr>
        <w:t>12</w:t>
      </w:r>
      <w:r>
        <w:rPr>
          <w:rFonts w:hint="default" w:ascii="仿宋_GB2312" w:hAnsi="仿宋_GB2312" w:eastAsia="仿宋_GB2312" w:cs="仿宋_GB2312"/>
          <w:kern w:val="28"/>
          <w:sz w:val="32"/>
          <w:szCs w:val="32"/>
          <w:lang w:val="en-US" w:eastAsia="zh-CN" w:bidi="ar-SA"/>
        </w:rPr>
        <w:t>日</w:t>
      </w:r>
      <w:r>
        <w:rPr>
          <w:rFonts w:hint="eastAsia" w:ascii="仿宋_GB2312" w:hAnsi="仿宋_GB2312" w:eastAsia="仿宋_GB2312" w:cs="仿宋_GB2312"/>
          <w:kern w:val="28"/>
          <w:sz w:val="32"/>
          <w:szCs w:val="32"/>
          <w:lang w:val="en-US" w:eastAsia="zh" w:bidi="ar-SA"/>
        </w:rPr>
        <w:t>。</w:t>
      </w:r>
    </w:p>
    <w:p w14:paraId="5D322787">
      <w:pPr>
        <w:pStyle w:val="18"/>
        <w:kinsoku/>
        <w:wordWrap/>
        <w:overflowPunct/>
        <w:topLinePunct w:val="0"/>
        <w:bidi w:val="0"/>
        <w:spacing w:line="560" w:lineRule="exact"/>
        <w:textAlignment w:val="auto"/>
        <w:rPr>
          <w:rFonts w:hint="eastAsia" w:eastAsia="仿宋_GB2312"/>
          <w:lang w:val="en-US" w:eastAsia="zh"/>
        </w:rPr>
      </w:pPr>
      <w:r>
        <w:rPr>
          <w:rFonts w:hint="default" w:ascii="仿宋_GB2312" w:hAnsi="仿宋_GB2312" w:eastAsia="仿宋_GB2312" w:cs="仿宋_GB2312"/>
          <w:kern w:val="28"/>
          <w:sz w:val="32"/>
          <w:szCs w:val="32"/>
          <w:lang w:val="en-US" w:eastAsia="zh-CN" w:bidi="ar-SA"/>
        </w:rPr>
        <w:t>2.</w:t>
      </w:r>
      <w:r>
        <w:rPr>
          <w:rFonts w:hint="eastAsia" w:ascii="仿宋_GB2312" w:hAnsi="仿宋_GB2312" w:eastAsia="仿宋_GB2312" w:cs="仿宋_GB2312"/>
          <w:kern w:val="28"/>
          <w:sz w:val="32"/>
          <w:szCs w:val="32"/>
          <w:lang w:val="en-US" w:eastAsia="zh" w:bidi="ar-SA"/>
        </w:rPr>
        <w:t>方式：海南省市场监督管理局、知识产权局官网通知公告下载</w:t>
      </w:r>
    </w:p>
    <w:p w14:paraId="023757B3">
      <w:pPr>
        <w:keepNext/>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黑体" w:hAnsi="黑体" w:eastAsia="黑体" w:cs="黑体"/>
          <w:b w:val="0"/>
          <w:bCs w:val="0"/>
          <w:sz w:val="32"/>
        </w:rPr>
      </w:pPr>
      <w:r>
        <w:rPr>
          <w:rFonts w:hint="eastAsia" w:ascii="黑体" w:hAnsi="黑体" w:eastAsia="黑体" w:cs="黑体"/>
          <w:b w:val="0"/>
          <w:bCs w:val="0"/>
          <w:sz w:val="32"/>
          <w:lang w:val="en-US" w:eastAsia="zh-CN"/>
        </w:rPr>
        <w:t>四</w:t>
      </w:r>
      <w:r>
        <w:rPr>
          <w:rFonts w:hint="eastAsia" w:ascii="黑体" w:hAnsi="黑体" w:eastAsia="黑体" w:cs="黑体"/>
          <w:b w:val="0"/>
          <w:bCs w:val="0"/>
          <w:sz w:val="32"/>
        </w:rPr>
        <w:t>、</w:t>
      </w:r>
      <w:r>
        <w:rPr>
          <w:rFonts w:hint="eastAsia" w:ascii="黑体" w:hAnsi="黑体" w:eastAsia="黑体" w:cs="黑体"/>
          <w:b w:val="0"/>
          <w:bCs w:val="0"/>
          <w:sz w:val="32"/>
          <w:lang w:val="en-US" w:eastAsia="zh-CN"/>
        </w:rPr>
        <w:t>提交响应</w:t>
      </w:r>
      <w:r>
        <w:rPr>
          <w:rFonts w:hint="eastAsia" w:ascii="黑体" w:hAnsi="黑体" w:eastAsia="黑体" w:cs="黑体"/>
          <w:b w:val="0"/>
          <w:bCs w:val="0"/>
          <w:sz w:val="32"/>
        </w:rPr>
        <w:t>文件截止时间、地址、联系人及联系电话</w:t>
      </w:r>
    </w:p>
    <w:p w14:paraId="2DDA1BD9">
      <w:pPr>
        <w:keepLines w:val="0"/>
        <w:pageBreakBefore w:val="0"/>
        <w:tabs>
          <w:tab w:val="left" w:pos="4680"/>
        </w:tabs>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北京时间）</w:t>
      </w:r>
    </w:p>
    <w:p w14:paraId="1677FC13">
      <w:pPr>
        <w:keepLines w:val="0"/>
        <w:pageBreakBefore w:val="0"/>
        <w:tabs>
          <w:tab w:val="left" w:pos="4680"/>
        </w:tabs>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2.地址：海口市海府路59号8</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房</w:t>
      </w:r>
    </w:p>
    <w:p w14:paraId="7BC0A114">
      <w:pPr>
        <w:keepLines w:val="0"/>
        <w:pageBreakBefore w:val="0"/>
        <w:tabs>
          <w:tab w:val="left" w:pos="4680"/>
        </w:tabs>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3.联系人：梁工      </w:t>
      </w:r>
    </w:p>
    <w:p w14:paraId="58DCC92B">
      <w:pPr>
        <w:keepLines w:val="0"/>
        <w:pageBreakBefore w:val="0"/>
        <w:tabs>
          <w:tab w:val="left" w:pos="468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rPr>
        <w:t>4.联系电话：0898-66832501</w:t>
      </w:r>
      <w:r>
        <w:rPr>
          <w:rFonts w:hint="eastAsia" w:ascii="仿宋_GB2312" w:hAnsi="仿宋_GB2312" w:eastAsia="仿宋_GB2312" w:cs="仿宋_GB2312"/>
          <w:sz w:val="32"/>
          <w:szCs w:val="32"/>
          <w:lang w:eastAsia="zh"/>
        </w:rPr>
        <w:t xml:space="preserve">   </w:t>
      </w:r>
    </w:p>
    <w:p w14:paraId="4C337516">
      <w:pPr>
        <w:keepLines w:val="0"/>
        <w:pageBreakBefore w:val="0"/>
        <w:tabs>
          <w:tab w:val="left" w:pos="468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lang w:eastAsia="zh"/>
        </w:rPr>
        <w:t>备注：省外供应商可通过邮寄方式递交响应文件</w:t>
      </w:r>
    </w:p>
    <w:p w14:paraId="4DDCF57B">
      <w:pPr>
        <w:keepLines w:val="0"/>
        <w:pageBreakBefore w:val="0"/>
        <w:numPr>
          <w:ilvl w:val="0"/>
          <w:numId w:val="2"/>
        </w:numPr>
        <w:tabs>
          <w:tab w:val="left" w:pos="468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开启时间和地点</w:t>
      </w:r>
    </w:p>
    <w:p w14:paraId="38D01D39">
      <w:pPr>
        <w:keepNext w:val="0"/>
        <w:keepLines w:val="0"/>
        <w:pageBreakBefore w:val="0"/>
        <w:widowControl w:val="0"/>
        <w:numPr>
          <w:ilvl w:val="0"/>
          <w:numId w:val="0"/>
        </w:numPr>
        <w:tabs>
          <w:tab w:val="left" w:pos="468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1.时间：2026年6月22日9:00前（北京时间）</w:t>
      </w:r>
    </w:p>
    <w:p w14:paraId="52A5000E">
      <w:pPr>
        <w:pStyle w:val="18"/>
        <w:kinsoku/>
        <w:wordWrap/>
        <w:overflowPunct/>
        <w:topLinePunct w:val="0"/>
        <w:bidi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2.地址：海口市海府路59号807房</w:t>
      </w:r>
    </w:p>
    <w:p w14:paraId="17132B8C">
      <w:pPr>
        <w:keepLines w:val="0"/>
        <w:pageBreakBefore w:val="0"/>
        <w:numPr>
          <w:ilvl w:val="0"/>
          <w:numId w:val="2"/>
        </w:numPr>
        <w:tabs>
          <w:tab w:val="left" w:pos="468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公告期限</w:t>
      </w:r>
    </w:p>
    <w:p w14:paraId="53A807C1">
      <w:pPr>
        <w:pStyle w:val="18"/>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自本公告发布之日起3个工作日</w:t>
      </w:r>
      <w:r>
        <w:rPr>
          <w:rFonts w:hint="eastAsia" w:ascii="仿宋_GB2312" w:hAnsi="仿宋_GB2312" w:eastAsia="仿宋_GB2312" w:cs="仿宋_GB2312"/>
          <w:sz w:val="32"/>
          <w:szCs w:val="32"/>
        </w:rPr>
        <w:tab/>
      </w:r>
    </w:p>
    <w:p w14:paraId="6C36F745">
      <w:pPr>
        <w:keepLines w:val="0"/>
        <w:pageBreakBefore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rPr>
      </w:pPr>
    </w:p>
    <w:p w14:paraId="2EA33C8F">
      <w:pPr>
        <w:keepLines w:val="0"/>
        <w:pageBreakBefore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rPr>
      </w:pPr>
    </w:p>
    <w:p w14:paraId="42B50849">
      <w:pPr>
        <w:keepLines w:val="0"/>
        <w:pageBreakBefore w:val="0"/>
        <w:kinsoku/>
        <w:wordWrap/>
        <w:overflowPunct/>
        <w:topLinePunct w:val="0"/>
        <w:autoSpaceDE/>
        <w:autoSpaceDN/>
        <w:bidi w:val="0"/>
        <w:adjustRightIn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海南省市场监督管理</w:t>
      </w:r>
    </w:p>
    <w:p w14:paraId="209E37C0">
      <w:pPr>
        <w:keepLines w:val="0"/>
        <w:pageBreakBefore w:val="0"/>
        <w:kinsoku/>
        <w:wordWrap/>
        <w:overflowPunct/>
        <w:topLinePunct w:val="0"/>
        <w:autoSpaceDE/>
        <w:autoSpaceDN/>
        <w:bidi w:val="0"/>
        <w:adjustRightIn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3400D6AB">
      <w:pPr>
        <w:pStyle w:val="2"/>
        <w:spacing w:line="560" w:lineRule="exact"/>
      </w:pPr>
      <w:bookmarkStart w:id="53" w:name="_Toc1915685699"/>
      <w:bookmarkStart w:id="54" w:name="_Toc166262500"/>
      <w:bookmarkStart w:id="55" w:name="_Toc803166288"/>
      <w:bookmarkStart w:id="56" w:name="_Toc885323282"/>
      <w:bookmarkStart w:id="57" w:name="_Toc668081970"/>
      <w:bookmarkStart w:id="58" w:name="_Toc1944848878"/>
      <w:bookmarkStart w:id="59" w:name="_Toc425816448"/>
      <w:bookmarkStart w:id="60" w:name="_Toc1307752481"/>
      <w:bookmarkStart w:id="61" w:name="_Toc1463336884"/>
      <w:bookmarkStart w:id="62" w:name="_Toc58404943"/>
      <w:bookmarkStart w:id="63" w:name="_Toc1175916971"/>
      <w:bookmarkStart w:id="64" w:name="_Toc372622053"/>
      <w:bookmarkStart w:id="65" w:name="_Toc1936195421"/>
      <w:bookmarkStart w:id="66" w:name="_Toc2027319922"/>
      <w:r>
        <w:rPr>
          <w:rFonts w:hint="eastAsia" w:ascii="宋体" w:hAnsi="宋体"/>
        </w:rPr>
        <w:t>第</w:t>
      </w:r>
      <w:r>
        <w:rPr>
          <w:rFonts w:hint="eastAsia"/>
        </w:rPr>
        <w:t>二部分</w:t>
      </w:r>
      <w:bookmarkStart w:id="67" w:name="_Toc402690951"/>
      <w:r>
        <w:rPr>
          <w:rFonts w:hint="eastAsia"/>
        </w:rPr>
        <w:t xml:space="preserve"> </w:t>
      </w:r>
      <w:r>
        <w:rPr>
          <w:rFonts w:hint="eastAsia"/>
          <w:lang w:val="en-US" w:eastAsia="zh-CN"/>
        </w:rPr>
        <w:t>投标人</w:t>
      </w:r>
      <w:r>
        <w:rPr>
          <w:rFonts w:hint="eastAsia"/>
        </w:rPr>
        <w:t>须知</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_Toc402690957"/>
    </w:p>
    <w:bookmarkEnd w:id="68"/>
    <w:p w14:paraId="5212CD00">
      <w:pPr>
        <w:spacing w:line="420" w:lineRule="exact"/>
        <w:ind w:firstLine="480" w:firstLineChars="200"/>
      </w:pPr>
      <w:bookmarkStart w:id="69" w:name="_Toc402690961"/>
    </w:p>
    <w:p w14:paraId="4FB08FB4">
      <w:pPr>
        <w:keepNext/>
        <w:keepLines w:val="0"/>
        <w:pageBreakBefore w:val="0"/>
        <w:widowControl/>
        <w:kinsoku/>
        <w:wordWrap/>
        <w:overflowPunct/>
        <w:topLinePunct w:val="0"/>
        <w:autoSpaceDE/>
        <w:autoSpaceDN/>
        <w:bidi w:val="0"/>
        <w:adjustRightInd/>
        <w:snapToGrid/>
        <w:spacing w:beforeLines="0" w:afterLines="0"/>
        <w:ind w:firstLine="640" w:firstLineChars="200"/>
        <w:textAlignment w:val="auto"/>
        <w:outlineLvl w:val="9"/>
        <w:rPr>
          <w:rFonts w:hint="eastAsia" w:ascii="黑体" w:hAnsi="黑体" w:eastAsia="黑体" w:cs="黑体"/>
          <w:sz w:val="32"/>
        </w:rPr>
      </w:pPr>
      <w:bookmarkStart w:id="70" w:name="_Toc651128721"/>
      <w:bookmarkStart w:id="71" w:name="_Toc1312633465"/>
      <w:bookmarkStart w:id="72" w:name="_Toc914111619"/>
      <w:bookmarkStart w:id="73" w:name="_Toc58404945"/>
      <w:bookmarkStart w:id="74" w:name="_Toc1354831300"/>
      <w:bookmarkStart w:id="75" w:name="_Toc1203219733"/>
      <w:bookmarkStart w:id="76" w:name="_Toc42097494"/>
      <w:bookmarkStart w:id="77" w:name="_Toc1853552248"/>
      <w:bookmarkStart w:id="78" w:name="_Toc1551806286"/>
      <w:bookmarkStart w:id="79" w:name="_Toc2041275011"/>
      <w:bookmarkStart w:id="80" w:name="_Toc1855753375"/>
      <w:bookmarkStart w:id="81" w:name="_Toc1065481259"/>
      <w:bookmarkStart w:id="82" w:name="_Toc1841395054"/>
      <w:bookmarkStart w:id="83" w:name="_Toc202460614"/>
      <w:bookmarkStart w:id="84" w:name="_Toc1327721765"/>
      <w:r>
        <w:rPr>
          <w:rFonts w:hint="eastAsia" w:ascii="黑体" w:hAnsi="黑体" w:eastAsia="黑体" w:cs="黑体"/>
          <w:sz w:val="32"/>
        </w:rPr>
        <w:t>一、</w:t>
      </w:r>
      <w:r>
        <w:rPr>
          <w:rFonts w:hint="eastAsia" w:ascii="黑体" w:hAnsi="黑体" w:eastAsia="黑体" w:cs="黑体"/>
          <w:sz w:val="32"/>
          <w:lang w:val="en-US" w:eastAsia="zh-CN"/>
        </w:rPr>
        <w:t>采购</w:t>
      </w:r>
      <w:r>
        <w:rPr>
          <w:rFonts w:hint="eastAsia" w:ascii="黑体" w:hAnsi="黑体" w:eastAsia="黑体" w:cs="黑体"/>
          <w:sz w:val="32"/>
        </w:rPr>
        <w:t>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C3B7DC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采购文件由六部分组成，包括</w:t>
      </w:r>
    </w:p>
    <w:p w14:paraId="4E93E491">
      <w:pPr>
        <w:numPr>
          <w:ilvl w:val="0"/>
          <w:numId w:val="3"/>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采购邀请函 </w:t>
      </w:r>
    </w:p>
    <w:p w14:paraId="48A85847">
      <w:pPr>
        <w:numPr>
          <w:ilvl w:val="0"/>
          <w:numId w:val="3"/>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投标人须知 </w:t>
      </w:r>
    </w:p>
    <w:p w14:paraId="2B0B588F">
      <w:pPr>
        <w:numPr>
          <w:ilvl w:val="0"/>
          <w:numId w:val="3"/>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采购需求</w:t>
      </w:r>
    </w:p>
    <w:p w14:paraId="77B8A47E">
      <w:pPr>
        <w:numPr>
          <w:ilvl w:val="0"/>
          <w:numId w:val="3"/>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评标办法</w:t>
      </w:r>
    </w:p>
    <w:p w14:paraId="5FABBA82">
      <w:pPr>
        <w:pStyle w:val="18"/>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第五部分 投标文件格式要求</w:t>
      </w:r>
      <w:bookmarkStart w:id="85" w:name="_Toc743530863"/>
      <w:bookmarkStart w:id="86" w:name="_Toc42097498"/>
      <w:bookmarkStart w:id="87" w:name="_Toc704444820"/>
      <w:bookmarkStart w:id="88" w:name="_Toc364163603"/>
      <w:bookmarkStart w:id="89" w:name="_Toc281521854"/>
      <w:bookmarkStart w:id="90" w:name="_Toc197755178"/>
      <w:bookmarkStart w:id="91" w:name="_Toc389082438"/>
      <w:bookmarkStart w:id="92" w:name="_Toc1676792655"/>
      <w:bookmarkStart w:id="93" w:name="_Toc1387223765"/>
      <w:bookmarkStart w:id="94" w:name="_Toc402690969"/>
      <w:bookmarkStart w:id="95" w:name="_Toc566961692"/>
      <w:bookmarkStart w:id="96" w:name="_Toc705919995"/>
      <w:bookmarkStart w:id="97" w:name="_Toc58404946"/>
      <w:bookmarkStart w:id="98" w:name="_Toc656052394"/>
      <w:bookmarkStart w:id="99" w:name="_Toc681769399"/>
      <w:bookmarkStart w:id="100" w:name="_Toc138198182"/>
    </w:p>
    <w:p w14:paraId="166A4D6D">
      <w:pPr>
        <w:rPr>
          <w:rFonts w:hint="eastAsia"/>
          <w:lang w:val="en-US" w:eastAsia="zh-CN"/>
        </w:rPr>
      </w:pPr>
    </w:p>
    <w:p w14:paraId="6003A106">
      <w:pPr>
        <w:keepNext/>
        <w:keepLines w:val="0"/>
        <w:pageBreakBefore w:val="0"/>
        <w:widowControl/>
        <w:kinsoku/>
        <w:wordWrap/>
        <w:overflowPunct/>
        <w:topLinePunct w:val="0"/>
        <w:autoSpaceDE/>
        <w:autoSpaceDN/>
        <w:bidi w:val="0"/>
        <w:adjustRightInd/>
        <w:snapToGrid/>
        <w:spacing w:beforeLines="0" w:afterLines="0"/>
        <w:ind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rPr>
        <w:t>二、</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黑体" w:hAnsi="黑体" w:eastAsia="黑体" w:cs="黑体"/>
          <w:sz w:val="32"/>
          <w:lang w:val="en-US" w:eastAsia="zh-CN"/>
        </w:rPr>
        <w:t>投标文件</w:t>
      </w:r>
    </w:p>
    <w:p w14:paraId="2FDEA097">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center"/>
        <w:textAlignment w:val="auto"/>
        <w:outlineLvl w:val="9"/>
        <w:rPr>
          <w:rFonts w:hint="eastAsia" w:ascii="仿宋_GB2312" w:hAnsi="仿宋_GB2312" w:eastAsia="仿宋_GB2312" w:cs="仿宋_GB2312"/>
          <w:sz w:val="32"/>
          <w:szCs w:val="32"/>
        </w:rPr>
      </w:pPr>
      <w:bookmarkStart w:id="101" w:name="_Toc42097495"/>
      <w:bookmarkStart w:id="102" w:name="_Toc58404947"/>
      <w:bookmarkStart w:id="103" w:name="_Toc324951374"/>
      <w:bookmarkStart w:id="104" w:name="_Toc402690974"/>
      <w:bookmarkStart w:id="105" w:name="_Toc1497551052"/>
      <w:bookmarkStart w:id="106" w:name="_Toc2070259369"/>
      <w:bookmarkStart w:id="107" w:name="_Toc596525360"/>
      <w:bookmarkStart w:id="108" w:name="_Toc1020989174"/>
      <w:bookmarkStart w:id="109" w:name="_Toc1840532916"/>
      <w:bookmarkStart w:id="110" w:name="_Toc1076310183"/>
      <w:bookmarkStart w:id="111" w:name="_Toc484008272"/>
      <w:bookmarkStart w:id="112" w:name="_Toc500190719"/>
      <w:bookmarkStart w:id="113" w:name="_Toc1256003426"/>
      <w:bookmarkStart w:id="114" w:name="_Toc42097500"/>
      <w:bookmarkStart w:id="115" w:name="_Toc631849753"/>
      <w:bookmarkStart w:id="116" w:name="_Toc1714064342"/>
      <w:bookmarkStart w:id="117" w:name="_Toc848729362"/>
      <w:r>
        <w:rPr>
          <w:rFonts w:hint="eastAsia" w:ascii="仿宋_GB2312" w:hAnsi="仿宋_GB2312" w:eastAsia="仿宋_GB2312" w:cs="仿宋_GB2312"/>
          <w:sz w:val="32"/>
          <w:szCs w:val="32"/>
          <w:lang w:val="en-US" w:eastAsia="zh-CN"/>
        </w:rPr>
        <w:t>投标文件的组成</w:t>
      </w:r>
      <w:bookmarkEnd w:id="101"/>
    </w:p>
    <w:p w14:paraId="4C128DE3">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1.投标文件应按采购文件第四部分“投标文件格式”要求响应。</w:t>
      </w:r>
    </w:p>
    <w:p w14:paraId="1A27D647">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2.若投标人未按采购文件格式的要求提供资料，或未对采购文件做出实质性响应，将导致投标文件被视为无效。</w:t>
      </w:r>
    </w:p>
    <w:p w14:paraId="36A4F472">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center"/>
        <w:textAlignment w:val="auto"/>
        <w:outlineLvl w:val="9"/>
        <w:rPr>
          <w:rFonts w:hint="eastAsia" w:ascii="仿宋_GB2312" w:hAnsi="仿宋_GB2312" w:eastAsia="仿宋_GB2312" w:cs="仿宋_GB2312"/>
          <w:sz w:val="32"/>
          <w:szCs w:val="32"/>
        </w:rPr>
      </w:pPr>
      <w:bookmarkStart w:id="118" w:name="_Toc42097496"/>
      <w:r>
        <w:rPr>
          <w:rFonts w:hint="eastAsia" w:ascii="仿宋_GB2312" w:hAnsi="仿宋_GB2312" w:eastAsia="仿宋_GB2312" w:cs="仿宋_GB2312"/>
          <w:sz w:val="32"/>
          <w:szCs w:val="32"/>
          <w:lang w:val="en-US" w:eastAsia="zh-CN"/>
        </w:rPr>
        <w:t>投标报价</w:t>
      </w:r>
      <w:bookmarkEnd w:id="118"/>
    </w:p>
    <w:p w14:paraId="62DC2366">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1.本次采购报价包括全部服务的价格，有必要的税费等其他有关的所有费用。</w:t>
      </w:r>
    </w:p>
    <w:p w14:paraId="2616C866">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2.报价均须以人民币为计算单位。只能有一个报价，不接受任何有选择的报价。</w:t>
      </w:r>
    </w:p>
    <w:p w14:paraId="741CD25D">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center"/>
        <w:textAlignment w:val="auto"/>
        <w:outlineLvl w:val="9"/>
        <w:rPr>
          <w:rFonts w:hint="eastAsia" w:ascii="仿宋_GB2312" w:hAnsi="仿宋_GB2312" w:eastAsia="仿宋_GB2312" w:cs="仿宋_GB2312"/>
          <w:sz w:val="32"/>
          <w:szCs w:val="32"/>
        </w:rPr>
      </w:pPr>
      <w:bookmarkStart w:id="119" w:name="_Toc402690968"/>
      <w:r>
        <w:rPr>
          <w:rFonts w:hint="eastAsia" w:ascii="仿宋_GB2312" w:hAnsi="仿宋_GB2312" w:eastAsia="仿宋_GB2312" w:cs="仿宋_GB2312"/>
          <w:sz w:val="32"/>
          <w:szCs w:val="32"/>
          <w:lang w:val="en-US" w:eastAsia="zh-CN"/>
        </w:rPr>
        <w:t>投标文件的数量</w:t>
      </w:r>
      <w:bookmarkEnd w:id="119"/>
    </w:p>
    <w:p w14:paraId="6DC920E4">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本次投标需提交投标文件一式伍份，其中正本壹份（具法律效力），副本肆份（内容与正本一致）。另须提供包含全部投标内容的电子版本一份（建议格式为PDF）。当正本与副本出现差异时，以正本为准。</w:t>
      </w: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385AA48E">
      <w:pPr>
        <w:keepLines w:val="0"/>
        <w:pageBreakBefore w:val="0"/>
        <w:numPr>
          <w:ilvl w:val="0"/>
          <w:numId w:val="4"/>
        </w:numPr>
        <w:kinsoku/>
        <w:wordWrap/>
        <w:overflowPunct/>
        <w:topLinePunct w:val="0"/>
        <w:bidi w:val="0"/>
        <w:adjustRightInd/>
        <w:snapToGrid/>
        <w:spacing w:beforeLines="0" w:afterLines="0"/>
        <w:ind w:firstLine="640" w:firstLineChars="200"/>
        <w:textAlignment w:val="auto"/>
        <w:outlineLvl w:val="9"/>
        <w:rPr>
          <w:rFonts w:hint="eastAsia" w:ascii="黑体" w:hAnsi="黑体" w:eastAsia="黑体" w:cs="黑体"/>
          <w:sz w:val="32"/>
        </w:rPr>
      </w:pPr>
      <w:bookmarkStart w:id="120" w:name="_Toc42097501"/>
      <w:bookmarkStart w:id="121" w:name="_Toc402690975"/>
      <w:r>
        <w:rPr>
          <w:rFonts w:hint="eastAsia" w:ascii="黑体" w:hAnsi="黑体" w:eastAsia="黑体" w:cs="黑体"/>
          <w:sz w:val="32"/>
        </w:rPr>
        <w:t>投标文件的递交</w:t>
      </w:r>
    </w:p>
    <w:p w14:paraId="32523C6E">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投标文件递交时间地点</w:t>
      </w:r>
    </w:p>
    <w:p w14:paraId="7CDAD1E9">
      <w:pPr>
        <w:pStyle w:val="18"/>
        <w:keepLines w:val="0"/>
        <w:pageBreakBefore w:val="0"/>
        <w:kinsoku/>
        <w:wordWrap/>
        <w:overflowPunct/>
        <w:topLinePunct w:val="0"/>
        <w:bidi w:val="0"/>
        <w:adjustRightInd/>
        <w:snapToGrid/>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详见“第一部分 采购邀请函”。</w:t>
      </w:r>
    </w:p>
    <w:p w14:paraId="21705DC6">
      <w:pPr>
        <w:keepLines w:val="0"/>
        <w:pageBreakBefore w:val="0"/>
        <w:kinsoku/>
        <w:wordWrap/>
        <w:overflowPunct/>
        <w:topLinePunct w:val="0"/>
        <w:bidi w:val="0"/>
        <w:adjustRightInd/>
        <w:snapToGrid/>
        <w:textAlignment w:val="auto"/>
        <w:outlineLvl w:val="9"/>
        <w:rPr>
          <w:rFonts w:hint="eastAsia"/>
          <w:lang w:val="en-US" w:eastAsia="zh-CN"/>
        </w:rPr>
      </w:pPr>
    </w:p>
    <w:p w14:paraId="70B13E64">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jc w:val="center"/>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投标文件电子版文件</w:t>
      </w:r>
    </w:p>
    <w:p w14:paraId="4B6153B9">
      <w:pPr>
        <w:pStyle w:val="18"/>
        <w:keepLines w:val="0"/>
        <w:pageBreakBefore w:val="0"/>
        <w:kinsoku/>
        <w:wordWrap/>
        <w:overflowPunct/>
        <w:topLinePunct w:val="0"/>
        <w:bidi w:val="0"/>
        <w:adjustRightInd/>
        <w:snapToGrid/>
        <w:textAlignment w:val="auto"/>
        <w:outlineLvl w:val="9"/>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电子版投标文件壹份（U盘或光盘形式存储）</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随纸质投标文件一并密封递交，递交截止时间及地点同纸质投标文件。电子版文件应包含与纸质正本一致的PDF格式全套投标文件，并确保文件可读、无病毒。</w:t>
      </w:r>
    </w:p>
    <w:p w14:paraId="047D0AD0">
      <w:pPr>
        <w:keepLines w:val="0"/>
        <w:pageBreakBefore w:val="0"/>
        <w:kinsoku/>
        <w:wordWrap/>
        <w:overflowPunct/>
        <w:topLinePunct w:val="0"/>
        <w:bidi w:val="0"/>
        <w:adjustRightInd/>
        <w:snapToGrid/>
        <w:textAlignment w:val="auto"/>
        <w:outlineLvl w:val="9"/>
        <w:rPr>
          <w:rFonts w:hint="default"/>
          <w:lang w:val="en-US" w:eastAsia="zh-CN"/>
        </w:rPr>
      </w:pPr>
    </w:p>
    <w:p w14:paraId="04C8D0F4">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jc w:val="center"/>
        <w:textAlignment w:val="auto"/>
        <w:outlineLvl w:val="9"/>
        <w:rPr>
          <w:rFonts w:hint="eastAsia" w:ascii="仿宋_GB2312" w:hAnsi="仿宋_GB2312" w:eastAsia="仿宋_GB2312" w:cs="仿宋_GB2312"/>
          <w:b/>
          <w:bCs/>
          <w:kern w:val="2"/>
          <w:sz w:val="32"/>
          <w:szCs w:val="32"/>
          <w:lang w:val="en-US" w:eastAsia="zh-CN" w:bidi="ar-SA"/>
        </w:rPr>
      </w:pPr>
      <w:bookmarkStart w:id="122" w:name="_Toc402690970"/>
      <w:r>
        <w:rPr>
          <w:rFonts w:hint="eastAsia" w:ascii="仿宋_GB2312" w:hAnsi="仿宋_GB2312" w:eastAsia="仿宋_GB2312" w:cs="仿宋_GB2312"/>
          <w:b/>
          <w:bCs/>
          <w:kern w:val="2"/>
          <w:sz w:val="32"/>
          <w:szCs w:val="32"/>
          <w:lang w:val="en-US" w:eastAsia="zh-CN" w:bidi="ar-SA"/>
        </w:rPr>
        <w:t>投标文件的密封</w:t>
      </w:r>
      <w:bookmarkEnd w:id="122"/>
    </w:p>
    <w:p w14:paraId="6190D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投标人应将投标文件正本和所有副本用单独的封袋密封，封口处应加盖骑缝章。若投标文件未密封，采购人将拒绝接收该投标人的投标文件。</w:t>
      </w:r>
    </w:p>
    <w:p w14:paraId="6778DF67">
      <w:pPr>
        <w:rPr>
          <w:rFonts w:hint="default"/>
          <w:lang w:val="en-US" w:eastAsia="zh-CN"/>
        </w:rPr>
      </w:pPr>
    </w:p>
    <w:p w14:paraId="6BD6735A">
      <w:pPr>
        <w:keepNext w:val="0"/>
        <w:keepLines w:val="0"/>
        <w:widowControl w:val="0"/>
        <w:suppressLineNumbers w:val="0"/>
        <w:spacing w:before="0" w:beforeLines="100" w:beforeAutospacing="0" w:after="0" w:afterLines="100" w:afterAutospacing="0" w:line="480" w:lineRule="exact"/>
        <w:ind w:left="0" w:right="0"/>
        <w:jc w:val="center"/>
        <w:rPr>
          <w:rFonts w:hint="eastAsia" w:ascii="宋体" w:hAnsi="宋体" w:eastAsia="宋体" w:cs="Lucida Sans Unicode"/>
          <w:b/>
          <w:bCs w:val="0"/>
          <w:kern w:val="2"/>
          <w:sz w:val="44"/>
          <w:szCs w:val="44"/>
        </w:rPr>
      </w:pPr>
      <w:r>
        <w:rPr>
          <w:rFonts w:hint="eastAsia" w:ascii="宋体" w:hAnsi="宋体" w:eastAsia="宋体" w:cs="宋体"/>
          <w:b/>
          <w:bCs w:val="0"/>
          <w:kern w:val="2"/>
          <w:sz w:val="44"/>
          <w:szCs w:val="44"/>
          <w:lang w:val="en-US" w:eastAsia="zh-CN" w:bidi="ar"/>
        </w:rPr>
        <w:t>投标文件外封面、封口格式</w:t>
      </w:r>
    </w:p>
    <w:p w14:paraId="619C05F2">
      <w:pPr>
        <w:keepNext w:val="0"/>
        <w:keepLines w:val="0"/>
        <w:widowControl/>
        <w:suppressLineNumbers w:val="0"/>
        <w:snapToGrid w:val="0"/>
        <w:spacing w:before="0" w:beforeAutospacing="0" w:after="0" w:afterAutospacing="0"/>
        <w:ind w:left="0" w:right="0"/>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封面格式：</w:t>
      </w: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04"/>
        <w:gridCol w:w="4505"/>
      </w:tblGrid>
      <w:tr w14:paraId="3ED7F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7" w:hRule="atLeast"/>
        </w:trPr>
        <w:tc>
          <w:tcPr>
            <w:tcW w:w="4504" w:type="dxa"/>
            <w:tcBorders>
              <w:top w:val="single" w:color="auto" w:sz="12" w:space="0"/>
              <w:left w:val="single" w:color="auto" w:sz="12" w:space="0"/>
              <w:bottom w:val="single" w:color="auto" w:sz="12" w:space="0"/>
              <w:right w:val="single" w:color="auto" w:sz="4" w:space="0"/>
            </w:tcBorders>
            <w:shd w:val="clear" w:color="auto" w:fill="auto"/>
            <w:vAlign w:val="top"/>
          </w:tcPr>
          <w:p w14:paraId="3BFD5763">
            <w:pPr>
              <w:keepNext w:val="0"/>
              <w:keepLines w:val="0"/>
              <w:widowControl w:val="0"/>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收件人：海南省市场监督管理局</w:t>
            </w:r>
          </w:p>
          <w:p w14:paraId="2B36C5B2">
            <w:pPr>
              <w:keepNext w:val="0"/>
              <w:keepLines w:val="0"/>
              <w:widowControl/>
              <w:suppressLineNumbers w:val="0"/>
              <w:spacing w:before="0" w:beforeAutospacing="1" w:after="0" w:afterAutospacing="1" w:line="360" w:lineRule="auto"/>
              <w:ind w:left="0" w:right="-324" w:rightChars="-135"/>
              <w:jc w:val="center"/>
              <w:rPr>
                <w:rFonts w:hint="eastAsia" w:ascii="宋体" w:hAnsi="宋体" w:eastAsia="宋体" w:cs="宋体"/>
                <w:b/>
                <w:bCs/>
                <w:kern w:val="0"/>
                <w:sz w:val="30"/>
                <w:szCs w:val="30"/>
              </w:rPr>
            </w:pPr>
            <w:r>
              <w:rPr>
                <w:rFonts w:hint="eastAsia" w:ascii="宋体" w:hAnsi="宋体" w:eastAsia="宋体" w:cs="宋体"/>
                <w:b/>
                <w:bCs/>
                <w:kern w:val="0"/>
                <w:sz w:val="30"/>
                <w:szCs w:val="30"/>
                <w:lang w:val="en-US" w:eastAsia="zh-CN" w:bidi="ar"/>
              </w:rPr>
              <w:t>投标文件（正本）</w:t>
            </w:r>
          </w:p>
          <w:p w14:paraId="010F1663">
            <w:pPr>
              <w:keepNext w:val="0"/>
              <w:keepLines w:val="0"/>
              <w:widowControl/>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p>
          <w:p w14:paraId="02991EB3">
            <w:pPr>
              <w:keepNext w:val="0"/>
              <w:keepLines w:val="0"/>
              <w:widowControl/>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项目名称： </w:t>
            </w:r>
          </w:p>
          <w:p w14:paraId="47ABDF2F">
            <w:pPr>
              <w:keepNext w:val="0"/>
              <w:keepLines w:val="0"/>
              <w:widowControl/>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文件编号：</w:t>
            </w:r>
          </w:p>
          <w:p w14:paraId="71C242B3">
            <w:pPr>
              <w:keepNext w:val="0"/>
              <w:keepLines w:val="0"/>
              <w:widowControl/>
              <w:suppressLineNumbers w:val="0"/>
              <w:spacing w:before="0" w:beforeAutospacing="1" w:after="0" w:afterAutospacing="1" w:line="360" w:lineRule="auto"/>
              <w:ind w:left="0" w:right="-324" w:rightChars="-135"/>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投标人名称（公章）：</w:t>
            </w:r>
          </w:p>
        </w:tc>
        <w:tc>
          <w:tcPr>
            <w:tcW w:w="4505" w:type="dxa"/>
            <w:tcBorders>
              <w:top w:val="single" w:color="auto" w:sz="12" w:space="0"/>
              <w:left w:val="single" w:color="auto" w:sz="4" w:space="0"/>
              <w:bottom w:val="single" w:color="auto" w:sz="12" w:space="0"/>
              <w:right w:val="single" w:color="auto" w:sz="12" w:space="0"/>
            </w:tcBorders>
            <w:shd w:val="clear" w:color="auto" w:fill="auto"/>
            <w:vAlign w:val="top"/>
          </w:tcPr>
          <w:p w14:paraId="54A2F836">
            <w:pPr>
              <w:keepNext w:val="0"/>
              <w:keepLines w:val="0"/>
              <w:widowControl w:val="0"/>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收件人：海南省市场监督管理局</w:t>
            </w:r>
          </w:p>
          <w:p w14:paraId="719F282C">
            <w:pPr>
              <w:keepNext w:val="0"/>
              <w:keepLines w:val="0"/>
              <w:widowControl/>
              <w:suppressLineNumbers w:val="0"/>
              <w:spacing w:before="0" w:beforeAutospacing="1" w:after="0" w:afterAutospacing="1" w:line="360" w:lineRule="auto"/>
              <w:ind w:left="0" w:right="-324" w:rightChars="-135"/>
              <w:jc w:val="center"/>
              <w:rPr>
                <w:rFonts w:hint="eastAsia" w:ascii="宋体" w:hAnsi="宋体" w:eastAsia="宋体" w:cs="宋体"/>
                <w:b/>
                <w:bCs/>
                <w:kern w:val="0"/>
                <w:sz w:val="30"/>
                <w:szCs w:val="30"/>
              </w:rPr>
            </w:pPr>
            <w:r>
              <w:rPr>
                <w:rFonts w:hint="eastAsia" w:ascii="宋体" w:hAnsi="宋体" w:eastAsia="宋体" w:cs="宋体"/>
                <w:b/>
                <w:bCs/>
                <w:kern w:val="0"/>
                <w:sz w:val="30"/>
                <w:szCs w:val="30"/>
                <w:lang w:val="en-US" w:eastAsia="zh-CN" w:bidi="ar"/>
              </w:rPr>
              <w:t>投标文件（副本）</w:t>
            </w:r>
          </w:p>
          <w:p w14:paraId="5FCD3345">
            <w:pPr>
              <w:keepNext w:val="0"/>
              <w:keepLines w:val="0"/>
              <w:widowControl/>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p>
          <w:p w14:paraId="2C75CFA5">
            <w:pPr>
              <w:keepNext w:val="0"/>
              <w:keepLines w:val="0"/>
              <w:widowControl/>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项目名称： </w:t>
            </w:r>
          </w:p>
          <w:p w14:paraId="1331D989">
            <w:pPr>
              <w:keepNext w:val="0"/>
              <w:keepLines w:val="0"/>
              <w:widowControl/>
              <w:suppressLineNumbers w:val="0"/>
              <w:spacing w:before="0" w:beforeAutospacing="1" w:after="0" w:afterAutospacing="1" w:line="360" w:lineRule="auto"/>
              <w:ind w:left="0" w:right="-324" w:rightChars="-13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文件编号： </w:t>
            </w:r>
          </w:p>
          <w:p w14:paraId="19162722">
            <w:pPr>
              <w:keepNext w:val="0"/>
              <w:keepLines w:val="0"/>
              <w:widowControl/>
              <w:suppressLineNumbers w:val="0"/>
              <w:spacing w:before="0" w:beforeAutospacing="1" w:after="0" w:afterAutospacing="1" w:line="360" w:lineRule="auto"/>
              <w:ind w:left="0" w:right="-324" w:rightChars="-135"/>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投标人名称（公章）：</w:t>
            </w:r>
          </w:p>
        </w:tc>
      </w:tr>
    </w:tbl>
    <w:p w14:paraId="5427D66B">
      <w:pPr>
        <w:keepNext w:val="0"/>
        <w:keepLines w:val="0"/>
        <w:widowControl/>
        <w:suppressLineNumbers w:val="0"/>
        <w:snapToGrid w:val="0"/>
        <w:spacing w:before="0" w:beforeAutospacing="0" w:after="0" w:afterAutospacing="0"/>
        <w:ind w:left="0" w:right="0"/>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 xml:space="preserve"> </w:t>
      </w:r>
    </w:p>
    <w:p w14:paraId="4BB61E2D">
      <w:pPr>
        <w:keepNext w:val="0"/>
        <w:keepLines w:val="0"/>
        <w:widowControl/>
        <w:suppressLineNumbers w:val="0"/>
        <w:snapToGrid w:val="0"/>
        <w:spacing w:before="0" w:beforeAutospacing="0" w:after="0" w:afterAutospacing="0"/>
        <w:ind w:left="0" w:right="0"/>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 xml:space="preserve"> </w:t>
      </w:r>
    </w:p>
    <w:p w14:paraId="2A9A4994">
      <w:pPr>
        <w:keepNext w:val="0"/>
        <w:keepLines w:val="0"/>
        <w:widowControl/>
        <w:suppressLineNumbers w:val="0"/>
        <w:snapToGrid w:val="0"/>
        <w:spacing w:before="0" w:beforeAutospacing="0" w:after="0" w:afterAutospacing="0"/>
        <w:ind w:left="0" w:right="0"/>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 xml:space="preserve"> </w:t>
      </w:r>
    </w:p>
    <w:p w14:paraId="74B172E4">
      <w:pPr>
        <w:keepNext w:val="0"/>
        <w:keepLines w:val="0"/>
        <w:widowControl/>
        <w:suppressLineNumbers w:val="0"/>
        <w:snapToGrid w:val="0"/>
        <w:spacing w:before="0" w:beforeAutospacing="0" w:after="0" w:afterAutospacing="0"/>
        <w:ind w:left="0" w:right="0"/>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封口格式：</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0"/>
      </w:tblGrid>
      <w:tr w14:paraId="5D4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8" w:hRule="atLeast"/>
        </w:trPr>
        <w:tc>
          <w:tcPr>
            <w:tcW w:w="9000" w:type="dxa"/>
            <w:tcBorders>
              <w:top w:val="single" w:color="auto" w:sz="4" w:space="0"/>
              <w:left w:val="single" w:color="auto" w:sz="4" w:space="0"/>
              <w:bottom w:val="single" w:color="auto" w:sz="4" w:space="0"/>
              <w:right w:val="single" w:color="auto" w:sz="4" w:space="0"/>
            </w:tcBorders>
            <w:shd w:val="clear" w:color="auto" w:fill="auto"/>
            <w:vAlign w:val="center"/>
          </w:tcPr>
          <w:p w14:paraId="0F3F4938">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bidi="ar"/>
              </w:rPr>
              <w:t>——于   年  月  日封（公章）——</w:t>
            </w:r>
          </w:p>
        </w:tc>
      </w:tr>
    </w:tbl>
    <w:p w14:paraId="2EABD7E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Times New Roman"/>
          <w:kern w:val="2"/>
          <w:sz w:val="24"/>
          <w:szCs w:val="24"/>
        </w:rPr>
      </w:pPr>
    </w:p>
    <w:p w14:paraId="29CE8946">
      <w:pPr>
        <w:keepNext/>
        <w:keepLines w:val="0"/>
        <w:pageBreakBefore w:val="0"/>
        <w:widowControl/>
        <w:numPr>
          <w:ilvl w:val="0"/>
          <w:numId w:val="4"/>
        </w:numPr>
        <w:kinsoku/>
        <w:wordWrap/>
        <w:overflowPunct/>
        <w:topLinePunct w:val="0"/>
        <w:autoSpaceDE/>
        <w:autoSpaceDN/>
        <w:bidi w:val="0"/>
        <w:adjustRightInd/>
        <w:snapToGrid/>
        <w:spacing w:beforeLines="0" w:afterLines="0"/>
        <w:ind w:firstLine="640" w:firstLineChars="200"/>
        <w:textAlignment w:val="auto"/>
        <w:outlineLvl w:val="9"/>
        <w:rPr>
          <w:rFonts w:hint="eastAsia" w:ascii="黑体" w:hAnsi="黑体" w:eastAsia="黑体" w:cs="黑体"/>
          <w:sz w:val="32"/>
        </w:rPr>
      </w:pPr>
      <w:r>
        <w:rPr>
          <w:rFonts w:hint="eastAsia" w:ascii="黑体" w:hAnsi="黑体" w:eastAsia="黑体" w:cs="黑体"/>
          <w:sz w:val="32"/>
          <w:lang w:val="en-US" w:eastAsia="zh-CN"/>
        </w:rPr>
        <w:t>开标及评标</w:t>
      </w:r>
    </w:p>
    <w:p w14:paraId="1712B3F4">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开标</w:t>
      </w:r>
    </w:p>
    <w:p w14:paraId="6A248DC6">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l.</w:t>
      </w:r>
      <w:r>
        <w:rPr>
          <w:rFonts w:hint="eastAsia" w:ascii="仿宋_GB2312" w:hAnsi="仿宋_GB2312" w:eastAsia="仿宋_GB2312" w:cs="仿宋_GB2312"/>
          <w:sz w:val="32"/>
          <w:szCs w:val="28"/>
          <w:lang w:val="en-US" w:eastAsia="zh-CN"/>
        </w:rPr>
        <w:t>见详见“第一部分 采购邀请函”。</w:t>
      </w:r>
    </w:p>
    <w:p w14:paraId="07EE0316">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2.投标人授权的委托代表应保持电话或视频等联系方式畅通。联系不上投标人授权代表或不能证明其授权代表身份的，采购人对投标文件的处理不承担责任。</w:t>
      </w:r>
    </w:p>
    <w:p w14:paraId="6403730A">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3.开标时，采购人将查验投标文件密封情况，确认无误后拆封唱标，</w:t>
      </w:r>
      <w:r>
        <w:rPr>
          <w:rFonts w:hint="eastAsia" w:ascii="仿宋_GB2312" w:hAnsi="仿宋_GB2312" w:eastAsia="仿宋_GB2312" w:cs="仿宋_GB2312"/>
          <w:sz w:val="32"/>
          <w:szCs w:val="28"/>
          <w:lang w:val="en-US" w:eastAsia="zh-CN"/>
        </w:rPr>
        <w:t>评标。</w:t>
      </w:r>
    </w:p>
    <w:p w14:paraId="6944C1B4">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jc w:val="center"/>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 xml:space="preserve"> </w:t>
      </w:r>
    </w:p>
    <w:p w14:paraId="3AD9EC5D">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560" w:lineRule="exact"/>
        <w:ind w:left="0" w:right="0"/>
        <w:jc w:val="center"/>
        <w:textAlignment w:val="auto"/>
        <w:rPr>
          <w:rFonts w:hint="default" w:ascii="仿宋_GB2312" w:hAnsi="仿宋_GB2312" w:eastAsia="仿宋_GB2312" w:cs="仿宋_GB2312"/>
          <w:b/>
          <w:bCs/>
          <w:sz w:val="32"/>
          <w:szCs w:val="32"/>
          <w:lang w:val="en-US" w:eastAsia="zh-CN"/>
        </w:rPr>
      </w:pPr>
      <w:bookmarkStart w:id="123" w:name="_Toc402690976"/>
      <w:r>
        <w:rPr>
          <w:rFonts w:hint="default" w:ascii="仿宋_GB2312" w:hAnsi="仿宋_GB2312" w:eastAsia="仿宋_GB2312" w:cs="仿宋_GB2312"/>
          <w:b/>
          <w:bCs/>
          <w:sz w:val="32"/>
          <w:szCs w:val="32"/>
          <w:lang w:val="en-US" w:eastAsia="zh-CN"/>
        </w:rPr>
        <w:t>评标委员会</w:t>
      </w:r>
      <w:bookmarkEnd w:id="123"/>
    </w:p>
    <w:p w14:paraId="0853B97A">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海南省市场监督管理局5名代表组成评标委员会，该委员会独立工作，负责评审所有投标文件并确定投标人。</w:t>
      </w:r>
    </w:p>
    <w:p w14:paraId="193DD5FE">
      <w:pPr>
        <w:pStyle w:val="18"/>
        <w:rPr>
          <w:rFonts w:hint="default" w:ascii="仿宋_GB2312" w:hAnsi="仿宋_GB2312" w:eastAsia="仿宋_GB2312" w:cs="仿宋_GB2312"/>
          <w:b/>
          <w:bCs/>
          <w:sz w:val="32"/>
          <w:szCs w:val="28"/>
          <w:lang w:val="en-US" w:eastAsia="zh-CN"/>
        </w:rPr>
      </w:pPr>
      <w:bookmarkStart w:id="124" w:name="_Toc402690977"/>
      <w:r>
        <w:rPr>
          <w:rFonts w:hint="default" w:ascii="仿宋_GB2312" w:hAnsi="仿宋_GB2312" w:eastAsia="仿宋_GB2312" w:cs="仿宋_GB2312"/>
          <w:b/>
          <w:bCs/>
          <w:sz w:val="32"/>
          <w:szCs w:val="28"/>
          <w:lang w:val="en-US" w:eastAsia="zh-CN"/>
        </w:rPr>
        <w:t>对投标文件的资格性审查和符合性审查</w:t>
      </w:r>
      <w:bookmarkEnd w:id="124"/>
    </w:p>
    <w:p w14:paraId="40047E3C">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1. 资格性审查的内容包括：</w:t>
      </w:r>
    </w:p>
    <w:p w14:paraId="529138F5">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投标人资格是否符合采购文件规定的条件</w:t>
      </w:r>
    </w:p>
    <w:p w14:paraId="512B7D4C">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2. 符合性审查的内容包括：</w:t>
      </w:r>
    </w:p>
    <w:p w14:paraId="30BFF5CD">
      <w:pPr>
        <w:pStyle w:val="18"/>
        <w:rPr>
          <w:rFonts w:hint="default" w:ascii="仿宋_GB2312" w:hAnsi="仿宋_GB2312" w:eastAsia="仿宋_GB2312" w:cs="仿宋_GB2312"/>
          <w:sz w:val="32"/>
          <w:szCs w:val="28"/>
          <w:lang w:val="en-US" w:eastAsia="zh-CN"/>
        </w:rPr>
      </w:pPr>
      <w:r>
        <w:rPr>
          <w:rFonts w:hint="default" w:ascii="仿宋_GB2312" w:hAnsi="仿宋_GB2312" w:eastAsia="仿宋_GB2312" w:cs="仿宋_GB2312"/>
          <w:sz w:val="32"/>
          <w:szCs w:val="28"/>
          <w:lang w:val="en-US" w:eastAsia="zh-CN"/>
        </w:rPr>
        <w:t>投标文件内容是否齐全</w:t>
      </w:r>
    </w:p>
    <w:p w14:paraId="3998280A">
      <w:pPr>
        <w:pStyle w:val="18"/>
        <w:rPr>
          <w:rFonts w:hint="default" w:ascii="仿宋_GB2312" w:hAnsi="仿宋_GB2312" w:eastAsia="仿宋_GB2312" w:cs="仿宋_GB2312"/>
          <w:b/>
          <w:bCs/>
          <w:sz w:val="32"/>
          <w:szCs w:val="28"/>
          <w:lang w:val="en-US" w:eastAsia="zh-CN"/>
        </w:rPr>
      </w:pPr>
      <w:r>
        <w:rPr>
          <w:rFonts w:hint="default" w:ascii="仿宋_GB2312" w:hAnsi="仿宋_GB2312" w:eastAsia="仿宋_GB2312" w:cs="仿宋_GB2312"/>
          <w:b/>
          <w:bCs/>
          <w:sz w:val="32"/>
          <w:szCs w:val="28"/>
          <w:lang w:val="en-US" w:eastAsia="zh-CN"/>
        </w:rPr>
        <w:t>以上资格性审查和符合性审查的内容只要有一条不满足，则投标文件无效。</w:t>
      </w:r>
    </w:p>
    <w:p w14:paraId="67C597BE">
      <w:pPr>
        <w:pStyle w:val="18"/>
        <w:rPr>
          <w:rFonts w:hint="default"/>
          <w:lang w:val="en-US" w:eastAsia="zh-CN"/>
        </w:rPr>
      </w:pPr>
    </w:p>
    <w:bookmarkEnd w:id="120"/>
    <w:bookmarkEnd w:id="121"/>
    <w:p w14:paraId="20C46462">
      <w:pPr>
        <w:pStyle w:val="2"/>
        <w:numPr>
          <w:ilvl w:val="0"/>
          <w:numId w:val="5"/>
        </w:numPr>
      </w:pPr>
      <w:bookmarkStart w:id="125" w:name="_Toc808459704"/>
      <w:bookmarkStart w:id="126" w:name="_Toc2090660054"/>
      <w:bookmarkStart w:id="127" w:name="_Toc925283291"/>
      <w:bookmarkStart w:id="128" w:name="_Toc431662491"/>
      <w:bookmarkStart w:id="129" w:name="_Toc1882093290"/>
      <w:bookmarkStart w:id="130" w:name="_Toc540705572"/>
      <w:bookmarkStart w:id="131" w:name="_Toc458805665"/>
      <w:bookmarkStart w:id="132" w:name="_Toc1408713373"/>
      <w:bookmarkStart w:id="133" w:name="_Toc1084335495"/>
      <w:bookmarkStart w:id="134" w:name="_Toc2128787111"/>
      <w:bookmarkStart w:id="135" w:name="_Toc58404948"/>
      <w:bookmarkStart w:id="136" w:name="_Toc2135364169"/>
      <w:bookmarkStart w:id="137" w:name="_Toc480890491"/>
      <w:bookmarkStart w:id="138" w:name="_Toc647846664"/>
      <w:r>
        <w:rPr>
          <w:rFonts w:hint="eastAsia"/>
          <w:lang w:val="en-US" w:eastAsia="zh-CN"/>
        </w:rPr>
        <w:t>采购</w:t>
      </w:r>
      <w:r>
        <w:rPr>
          <w:rFonts w:hint="eastAsia"/>
        </w:rPr>
        <w:t>需求</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11F3536"/>
    <w:p w14:paraId="65D1405B">
      <w:pPr>
        <w:adjustRightInd w:val="0"/>
        <w:snapToGrid w:val="0"/>
        <w:spacing w:line="480" w:lineRule="exact"/>
        <w:ind w:firstLine="640" w:firstLineChars="200"/>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、服务范围</w:t>
      </w:r>
    </w:p>
    <w:p w14:paraId="58B149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(一)采购人办公场所所有计算机设备(包含电脑、显示器和一体机)及办公网络。</w:t>
      </w:r>
    </w:p>
    <w:p w14:paraId="2CFB2F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(二)采购人办公场所所有打印机和复印机。</w:t>
      </w:r>
    </w:p>
    <w:p w14:paraId="07748A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(三)采购人其他办公设备，包含扫描仪、传真机等。</w:t>
      </w:r>
    </w:p>
    <w:p w14:paraId="2F7FA406">
      <w:pPr>
        <w:adjustRightInd w:val="0"/>
        <w:snapToGrid w:val="0"/>
        <w:spacing w:line="480" w:lineRule="exact"/>
        <w:ind w:firstLine="640" w:firstLineChars="200"/>
        <w:jc w:val="left"/>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二、服务方式</w:t>
      </w:r>
    </w:p>
    <w:p w14:paraId="548FB3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以驻场服务方式进行，在采购人两个办公区域驻场，派驻人员为3名，海府路办公区和蓝天路办公区各安排运维工程师。驻场工作时间与采购人工作时间一致，特殊情况双方商定，服务供应商驻场人员为专业有驻场经验的工程师，服务供应商应依法为派驻的工程师签署劳动合同、保障其社会保险福利，若因此产生纠纷均由服务供应商负责。</w:t>
      </w:r>
    </w:p>
    <w:p w14:paraId="54E37C0A">
      <w:pPr>
        <w:adjustRightInd w:val="0"/>
        <w:snapToGrid w:val="0"/>
        <w:spacing w:line="480" w:lineRule="exact"/>
        <w:ind w:firstLine="640" w:firstLineChars="200"/>
        <w:jc w:val="left"/>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三、服务内容</w:t>
      </w:r>
    </w:p>
    <w:p w14:paraId="2292CF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(一)硬件服务</w:t>
      </w:r>
    </w:p>
    <w:p w14:paraId="7E9571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1.服务流程</w:t>
      </w:r>
    </w:p>
    <w:p w14:paraId="3A1660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(1)一般性故障服务流程</w:t>
      </w:r>
    </w:p>
    <w:p w14:paraId="7FB630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制定一般性故障服务流程，该流程包括:使用者报障，驻场工程师现场研判，一般性故障，现场维修，结束服务，填写服务单。</w:t>
      </w:r>
    </w:p>
    <w:p w14:paraId="669386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(2)保内服务流程</w:t>
      </w:r>
    </w:p>
    <w:p w14:paraId="2A9C59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制定保内服务流程，该流程包括:使用者报障，驻场工程师现场研判，硬件故障，联系厂商送修，送回设备，结束服务填写服务单。</w:t>
      </w:r>
    </w:p>
    <w:p w14:paraId="738295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(3)保外服务流程</w:t>
      </w:r>
    </w:p>
    <w:p w14:paraId="0163AB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制定保外服务流程，该流程包括:使用者报障，驻场工程师现场研判，硬件故障，请示审核部门审核部门意见，维修不修，结束服务，填写服务单。</w:t>
      </w:r>
    </w:p>
    <w:p w14:paraId="61BA38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2.计算机及外围硬件故障服务</w:t>
      </w:r>
    </w:p>
    <w:p w14:paraId="2E9EFA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服务供应商为采购人办公场所的计算机硬件（如台式机、笔记本等）、外围设备硬件（如打印机、复印件、扫描仪、传真机）提供硬件故障紧急处理，本着“尽最大能力解决问题减少更换配件”的原则，驻场工程师根据故障情况做合理化的维修，保持设备寿命和减少费用开支。</w:t>
      </w:r>
    </w:p>
    <w:p w14:paraId="369738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3.巡检服务</w:t>
      </w:r>
    </w:p>
    <w:p w14:paraId="7B927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驻场工程师按照服务供应商操作规范和驻场要求，对采购人所有硬件设备定期巡检，并制作巡检结果反馈方案，针对多发故障设备给予特别关注，并给予使用者合理化的使用方案</w:t>
      </w:r>
    </w:p>
    <w:p w14:paraId="0432D5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4.保内服务</w:t>
      </w:r>
    </w:p>
    <w:p w14:paraId="5375A3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驻场工程师根据服务供应商制定的《海南省市场监督管理局设备名录》，对保内设备故障时，第一时间联系相关厂商.积极对接，时刻了解维修节点，尽力提高维修服务效率。设备送回时，并告知使用者使用注意事项，以便提高设备使用寿命</w:t>
      </w:r>
    </w:p>
    <w:p w14:paraId="2C0CD4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5.保外换件服务</w:t>
      </w:r>
    </w:p>
    <w:p w14:paraId="6A517B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驻场工程师经过研判确认更换配件的，向采购人提出采取更换或报废处理建议，由采购人决定。</w:t>
      </w:r>
    </w:p>
    <w:p w14:paraId="143E02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(二)应用软件及系统服务</w:t>
      </w:r>
    </w:p>
    <w:p w14:paraId="650D8F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1.应用软件及系统服务流程</w:t>
      </w:r>
    </w:p>
    <w:p w14:paraId="23879F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(1)驻场工程师自行解决流程</w:t>
      </w:r>
    </w:p>
    <w:p w14:paraId="320A52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该流程包括:使用者报障，驻场工程师现场研判，一般性故障，现场处理，结束服务，填写服务单。</w:t>
      </w:r>
    </w:p>
    <w:p w14:paraId="76EFA9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(2)场外服务支流程</w:t>
      </w:r>
    </w:p>
    <w:p w14:paraId="43AAD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该流程包括:使用者报障，驻场工程师现场研判，需场外支持，合力处理，结束服务，填写服务单。</w:t>
      </w:r>
    </w:p>
    <w:p w14:paraId="4358DF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1.应用软件备份服务</w:t>
      </w:r>
    </w:p>
    <w:p w14:paraId="62A84A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驻场工程师根据系统瘫痪、蓝屏、无法开机等操作系统的各种常见问题，对采购人常用软件系统和驱动程序进行合理化备份，为计算机系统出现瘫痪时使用。</w:t>
      </w:r>
    </w:p>
    <w:p w14:paraId="730F9E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2.应急系统服务</w:t>
      </w:r>
    </w:p>
    <w:p w14:paraId="3D4259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结合采购人故障实际情况，驻场工程师立即响应故障部门利用各种手段快速处理，确保数据不丢失，为使用者提供办公服务保障。</w:t>
      </w:r>
    </w:p>
    <w:p w14:paraId="79AE2C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(三)安全保障服务</w:t>
      </w:r>
    </w:p>
    <w:p w14:paraId="492D36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根据自有的杀毒软件，对使用者设备进行合理防护，保障设备有效运行。</w:t>
      </w:r>
    </w:p>
    <w:p w14:paraId="104E75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(四)即时培训服务</w:t>
      </w:r>
    </w:p>
    <w:p w14:paraId="485CF8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1.统信</w:t>
      </w:r>
      <w:r>
        <w:rPr>
          <w:rFonts w:hint="eastAsia" w:ascii="仿宋_GB2312" w:hAnsi="仿宋_GB2312" w:eastAsia="仿宋_GB2312" w:cs="仿宋_GB2312"/>
          <w:bCs/>
          <w:color w:val="000000"/>
          <w:sz w:val="32"/>
          <w:szCs w:val="32"/>
          <w:lang w:val="en-US" w:eastAsia="zh-CN"/>
        </w:rPr>
        <w:t>uos</w:t>
      </w:r>
      <w:r>
        <w:rPr>
          <w:rFonts w:hint="eastAsia" w:ascii="仿宋_GB2312" w:hAnsi="仿宋_GB2312" w:eastAsia="仿宋_GB2312" w:cs="仿宋_GB2312"/>
          <w:bCs/>
          <w:color w:val="000000"/>
          <w:sz w:val="32"/>
          <w:szCs w:val="32"/>
          <w:lang w:val="zh-CN"/>
        </w:rPr>
        <w:t xml:space="preserve"> 系统和 </w:t>
      </w:r>
      <w:r>
        <w:rPr>
          <w:rFonts w:hint="eastAsia" w:ascii="仿宋_GB2312" w:hAnsi="仿宋_GB2312" w:eastAsia="仿宋_GB2312" w:cs="仿宋_GB2312"/>
          <w:bCs/>
          <w:color w:val="000000"/>
          <w:sz w:val="32"/>
          <w:szCs w:val="32"/>
          <w:lang w:val="en-US" w:eastAsia="zh-CN"/>
        </w:rPr>
        <w:t>wps</w:t>
      </w:r>
      <w:r>
        <w:rPr>
          <w:rFonts w:hint="eastAsia" w:ascii="仿宋_GB2312" w:hAnsi="仿宋_GB2312" w:eastAsia="仿宋_GB2312" w:cs="仿宋_GB2312"/>
          <w:bCs/>
          <w:color w:val="000000"/>
          <w:sz w:val="32"/>
          <w:szCs w:val="32"/>
          <w:lang w:val="zh-CN"/>
        </w:rPr>
        <w:t>办公软件培训</w:t>
      </w:r>
    </w:p>
    <w:p w14:paraId="47B625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驻场工程师根据使用者实际情况，在日常维护中，传授常用的维护方式和使用技巧，必要时根据采购人的要求进行集中培训。</w:t>
      </w:r>
    </w:p>
    <w:p w14:paraId="60434E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2.日常硬件维护</w:t>
      </w:r>
    </w:p>
    <w:p w14:paraId="4B917A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结合常用的日常硬件常出问题，驻场工程师在维护中培训简单的日常维护知识</w:t>
      </w:r>
    </w:p>
    <w:p w14:paraId="7CB4DF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3.基本网络知识培训</w:t>
      </w:r>
    </w:p>
    <w:p w14:paraId="3F9671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宋体" w:hAnsi="宋体"/>
          <w:bCs/>
          <w:color w:val="000000"/>
          <w:sz w:val="24"/>
          <w:lang w:val="zh-CN"/>
        </w:rPr>
      </w:pPr>
      <w:r>
        <w:rPr>
          <w:rFonts w:hint="eastAsia" w:ascii="仿宋_GB2312" w:hAnsi="仿宋_GB2312" w:eastAsia="仿宋_GB2312" w:cs="仿宋_GB2312"/>
          <w:bCs/>
          <w:color w:val="000000"/>
          <w:sz w:val="32"/>
          <w:szCs w:val="32"/>
          <w:lang w:val="zh-CN"/>
        </w:rPr>
        <w:t>结合使用者实际情况，给予一对一的基本网络知识培训。</w:t>
      </w:r>
    </w:p>
    <w:p w14:paraId="7DF6E770">
      <w:pPr>
        <w:adjustRightInd w:val="0"/>
        <w:snapToGrid w:val="0"/>
        <w:spacing w:line="480" w:lineRule="exact"/>
        <w:ind w:firstLine="640" w:firstLineChars="200"/>
        <w:jc w:val="left"/>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eastAsia="zh-CN"/>
        </w:rPr>
        <w:t>四、服务要求</w:t>
      </w:r>
    </w:p>
    <w:p w14:paraId="2531FC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(一)到达现场时间要求接到报障后，驻场工程师须在10分钟内到达现场，如遇到特殊情况须告知报障人实际情况，并同时告知达到现场预计时间。</w:t>
      </w:r>
    </w:p>
    <w:p w14:paraId="3B571B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(二)运维完成时间要求</w:t>
      </w:r>
    </w:p>
    <w:p w14:paraId="7248B3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本着“快速解决”的原则，一般故障10分钟内解决，遇到系统重装或特别疑难问题，须在1个小时候内解决或提出新的解决方案。</w:t>
      </w:r>
    </w:p>
    <w:p w14:paraId="596A58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三</w:t>
      </w:r>
      <w:r>
        <w:rPr>
          <w:rFonts w:hint="eastAsia" w:ascii="仿宋_GB2312" w:hAnsi="仿宋_GB2312" w:eastAsia="仿宋_GB2312" w:cs="仿宋_GB2312"/>
          <w:bCs/>
          <w:color w:val="000000"/>
          <w:sz w:val="32"/>
          <w:szCs w:val="32"/>
        </w:rPr>
        <w:t>)系统运维时间要求</w:t>
      </w:r>
    </w:p>
    <w:p w14:paraId="24649B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采购人系统发生故障时，驻场工程师立即响应，现场无法解决的，服务供应商会委派技术人员给予支持，确保最短时间内解决故障。</w:t>
      </w:r>
    </w:p>
    <w:p w14:paraId="3EEBA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四</w:t>
      </w:r>
      <w:r>
        <w:rPr>
          <w:rFonts w:hint="eastAsia" w:ascii="仿宋_GB2312" w:hAnsi="仿宋_GB2312" w:eastAsia="仿宋_GB2312" w:cs="仿宋_GB2312"/>
          <w:bCs/>
          <w:color w:val="000000"/>
          <w:sz w:val="32"/>
          <w:szCs w:val="32"/>
        </w:rPr>
        <w:t>)应急和响应服务要求</w:t>
      </w:r>
    </w:p>
    <w:p w14:paraId="4CCF1B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1.应急服务</w:t>
      </w:r>
    </w:p>
    <w:p w14:paraId="2B736D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(1)成立应急专业团队</w:t>
      </w:r>
    </w:p>
    <w:p w14:paraId="021E6F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服务供应商成立专业应急团队，结合采购人实际情况，做出充分的应急预案机制，包括备件、备机等应急手段。</w:t>
      </w:r>
    </w:p>
    <w:p w14:paraId="04F1C1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(2)建立应急沟通渠道</w:t>
      </w:r>
    </w:p>
    <w:p w14:paraId="625AEB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为采购人设定应急服务电话，</w:t>
      </w:r>
    </w:p>
    <w:p w14:paraId="0E2336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(3)应急处理原则</w:t>
      </w:r>
    </w:p>
    <w:p w14:paraId="4B8971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当出现应急事件发生时，根据当时紧急情况，双方采取“先完成维修后核定成本”的原则，支持采购人顺畅工作</w:t>
      </w:r>
    </w:p>
    <w:p w14:paraId="149AF2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2.响应等级服务</w:t>
      </w:r>
    </w:p>
    <w:p w14:paraId="160144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(1)一级响应</w:t>
      </w:r>
    </w:p>
    <w:p w14:paraId="6B3692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最优先级的响应级别，如网络瘫痪、服务器出现故障等驻场工程师须在接到报障后，以最优先的方式达到现场(要求5分钟到达现场)，协助采购人专业人士处理。</w:t>
      </w:r>
    </w:p>
    <w:p w14:paraId="09C780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(2)二级响应</w:t>
      </w:r>
    </w:p>
    <w:p w14:paraId="2A3C10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优先响应级别，如网络或系统故障，影响到整个部门无法工作，驻场工程师接到保障后，须10分钟内到达现场:</w:t>
      </w:r>
    </w:p>
    <w:p w14:paraId="7E051E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五</w:t>
      </w:r>
      <w:r>
        <w:rPr>
          <w:rFonts w:hint="eastAsia" w:ascii="仿宋_GB2312" w:hAnsi="仿宋_GB2312" w:eastAsia="仿宋_GB2312" w:cs="仿宋_GB2312"/>
          <w:bCs/>
          <w:color w:val="000000"/>
          <w:sz w:val="32"/>
          <w:szCs w:val="32"/>
        </w:rPr>
        <w:t>)其他要求</w:t>
      </w:r>
    </w:p>
    <w:p w14:paraId="575A06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服务供应商应按月足额发放驻场工程师当月工资福利待遇，办理社会保险缴费等相关事宜。如驻场工程师出现变动供应商应派选新的驻场人员及时补足。</w:t>
      </w:r>
    </w:p>
    <w:p w14:paraId="1780D01E">
      <w:pPr>
        <w:adjustRightInd w:val="0"/>
        <w:snapToGrid w:val="0"/>
        <w:spacing w:line="480" w:lineRule="exact"/>
        <w:ind w:firstLine="640" w:firstLineChars="200"/>
        <w:jc w:val="left"/>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lang w:val="zh-CN" w:eastAsia="zh-CN"/>
        </w:rPr>
        <w:t>其他要求</w:t>
      </w:r>
    </w:p>
    <w:p w14:paraId="604A66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(一)合同签订期：自中标/成交通知书发出之日起15个工作日内。</w:t>
      </w:r>
    </w:p>
    <w:p w14:paraId="554339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eastAsia="zh-CN"/>
        </w:rPr>
        <w:t>合同</w:t>
      </w:r>
      <w:r>
        <w:rPr>
          <w:rFonts w:hint="eastAsia" w:ascii="仿宋_GB2312" w:hAnsi="仿宋_GB2312" w:eastAsia="仿宋_GB2312" w:cs="仿宋_GB2312"/>
          <w:color w:val="000000"/>
          <w:sz w:val="32"/>
          <w:szCs w:val="32"/>
        </w:rPr>
        <w:t>服务时间：自</w:t>
      </w:r>
      <w:r>
        <w:rPr>
          <w:rFonts w:hint="eastAsia" w:ascii="仿宋_GB2312" w:hAnsi="仿宋_GB2312" w:eastAsia="仿宋_GB2312" w:cs="仿宋_GB2312"/>
          <w:color w:val="000000"/>
          <w:sz w:val="32"/>
          <w:szCs w:val="32"/>
          <w:lang w:val="en-US" w:eastAsia="zh-CN"/>
        </w:rPr>
        <w:t>2026年4月21日</w:t>
      </w:r>
      <w:r>
        <w:rPr>
          <w:rFonts w:hint="eastAsia" w:ascii="仿宋_GB2312" w:hAnsi="仿宋_GB2312" w:eastAsia="仿宋_GB2312" w:cs="仿宋_GB2312"/>
          <w:color w:val="000000"/>
          <w:sz w:val="32"/>
          <w:szCs w:val="32"/>
        </w:rPr>
        <w:t>起至202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年4月2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w:t>
      </w:r>
    </w:p>
    <w:p w14:paraId="14671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w:t>
      </w:r>
    </w:p>
    <w:p w14:paraId="116E8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1、报价包括：派驻人员服务费用(包含基本工资、五险一金、管理费用等)。</w:t>
      </w:r>
    </w:p>
    <w:p w14:paraId="61047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2、本项目实行费用包干制，如提供服务过程中产生额外费用，由成交供应商自行负责。</w:t>
      </w:r>
    </w:p>
    <w:p w14:paraId="120AB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3、成交供应商不得以任何形式向与本项目无关的其他单位或人员提供本项目相关资料，如违反,必须赔偿采购人的所有损失，且采购人保留追究法律责任的权力。</w:t>
      </w:r>
    </w:p>
    <w:p w14:paraId="03517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4、本项目不接受转包和分包。</w:t>
      </w:r>
    </w:p>
    <w:p w14:paraId="11A387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5、付款：采购人将中标合同金额分二笔支付给新供应商。新供应商支付 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年4月 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日起至合同签订生效之日的前1天的运维费给原供应商，支付金额为合同总金额除以365天乘以运维天数。（暂定条款，以实际签订合同为准）</w:t>
      </w:r>
    </w:p>
    <w:p w14:paraId="6DFA6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6、验收：</w:t>
      </w:r>
    </w:p>
    <w:p w14:paraId="24CCB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(1)验收形式:提交运维服务、整改服务等完成内容报告。</w:t>
      </w:r>
    </w:p>
    <w:p w14:paraId="62527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(2)验收标准:完成所有服务内容。</w:t>
      </w:r>
    </w:p>
    <w:p w14:paraId="33FAB3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(3)验收方法:签署运维及整改服务完成报告。</w:t>
      </w:r>
    </w:p>
    <w:p w14:paraId="00294313">
      <w:pPr>
        <w:adjustRightInd w:val="0"/>
        <w:snapToGrid w:val="0"/>
        <w:spacing w:line="480" w:lineRule="exact"/>
        <w:ind w:firstLine="640" w:firstLineChars="200"/>
        <w:jc w:val="left"/>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六、其他说明</w:t>
      </w:r>
    </w:p>
    <w:p w14:paraId="5F2A7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由于前一期项目服务合同已于202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年4月</w:t>
      </w:r>
      <w:r>
        <w:rPr>
          <w:rFonts w:hint="eastAsia" w:ascii="仿宋_GB2312" w:hAnsi="仿宋_GB2312" w:eastAsia="仿宋_GB2312" w:cs="仿宋_GB2312"/>
          <w:color w:val="000000"/>
          <w:sz w:val="32"/>
          <w:szCs w:val="32"/>
          <w:highlight w:val="none"/>
          <w:lang w:val="en-US" w:eastAsia="zh-CN"/>
        </w:rPr>
        <w:t>21</w:t>
      </w:r>
      <w:r>
        <w:rPr>
          <w:rFonts w:hint="eastAsia" w:ascii="仿宋_GB2312" w:hAnsi="仿宋_GB2312" w:eastAsia="仿宋_GB2312" w:cs="仿宋_GB2312"/>
          <w:color w:val="000000"/>
          <w:sz w:val="32"/>
          <w:szCs w:val="32"/>
          <w:highlight w:val="none"/>
        </w:rPr>
        <w:t>日期限届满，本年度采购工作开始前，仍由原供应商继续提供合同项下的服务，若供应商获得本项目</w:t>
      </w:r>
      <w:bookmarkStart w:id="182" w:name="_GoBack"/>
      <w:bookmarkEnd w:id="182"/>
      <w:r>
        <w:rPr>
          <w:rFonts w:hint="eastAsia" w:ascii="仿宋_GB2312" w:hAnsi="仿宋_GB2312" w:eastAsia="仿宋_GB2312" w:cs="仿宋_GB2312"/>
          <w:color w:val="000000"/>
          <w:sz w:val="32"/>
          <w:szCs w:val="32"/>
          <w:highlight w:val="none"/>
        </w:rPr>
        <w:t>成交的，则应向原供应商支付自202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年4月2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日起至本年度服务合同签订之日前，该期间段的服务费用。</w:t>
      </w:r>
      <w:r>
        <w:rPr>
          <w:rFonts w:hint="eastAsia" w:ascii="仿宋_GB2312" w:hAnsi="仿宋_GB2312" w:eastAsia="仿宋_GB2312" w:cs="仿宋_GB2312"/>
          <w:color w:val="000000"/>
          <w:sz w:val="32"/>
          <w:szCs w:val="32"/>
        </w:rPr>
        <w:t>支付金额为合同总金额除以 365 天乘以运维天数。</w:t>
      </w:r>
    </w:p>
    <w:p w14:paraId="1BD28FC0"/>
    <w:p w14:paraId="6FB07AFA">
      <w:pPr>
        <w:pStyle w:val="2"/>
        <w:numPr>
          <w:ilvl w:val="0"/>
          <w:numId w:val="5"/>
        </w:numPr>
        <w:rPr>
          <w:rFonts w:hint="default" w:eastAsia="宋体"/>
          <w:lang w:val="en-US" w:eastAsia="zh-CN"/>
        </w:rPr>
      </w:pPr>
      <w:bookmarkStart w:id="139" w:name="_Toc338399068"/>
      <w:bookmarkStart w:id="140" w:name="_Toc1587504307"/>
      <w:bookmarkStart w:id="141" w:name="_Toc1673301090"/>
      <w:bookmarkStart w:id="142" w:name="_Toc58404950"/>
      <w:bookmarkStart w:id="143" w:name="_Toc133200580"/>
      <w:bookmarkStart w:id="144" w:name="_Toc1844155109"/>
      <w:bookmarkStart w:id="145" w:name="_Toc1099497433"/>
      <w:bookmarkStart w:id="146" w:name="_Toc1695139428"/>
      <w:r>
        <w:rPr>
          <w:rFonts w:hint="eastAsia"/>
          <w:lang w:val="en-US" w:eastAsia="zh-CN"/>
        </w:rPr>
        <w:t>评标办法</w:t>
      </w:r>
      <w:bookmarkEnd w:id="139"/>
      <w:bookmarkEnd w:id="140"/>
      <w:bookmarkEnd w:id="141"/>
      <w:bookmarkEnd w:id="142"/>
      <w:bookmarkEnd w:id="143"/>
      <w:bookmarkEnd w:id="144"/>
      <w:bookmarkEnd w:id="145"/>
      <w:bookmarkEnd w:id="146"/>
    </w:p>
    <w:p w14:paraId="725CFDA7">
      <w:pPr>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color w:val="auto"/>
          <w:sz w:val="32"/>
          <w:szCs w:val="32"/>
        </w:rPr>
      </w:pPr>
      <w:bookmarkStart w:id="147" w:name="_Toc58404951"/>
      <w:r>
        <w:rPr>
          <w:rFonts w:hint="eastAsia" w:ascii="黑体" w:hAnsi="黑体" w:eastAsia="黑体" w:cs="黑体"/>
          <w:b w:val="0"/>
          <w:bCs w:val="0"/>
          <w:color w:val="auto"/>
          <w:sz w:val="32"/>
          <w:szCs w:val="32"/>
        </w:rPr>
        <w:t>（一）评审规则</w:t>
      </w:r>
      <w:bookmarkEnd w:id="147"/>
    </w:p>
    <w:p w14:paraId="3C816382">
      <w:pPr>
        <w:tabs>
          <w:tab w:val="left" w:pos="1030"/>
        </w:tabs>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评标办法采用综合评分法。</w:t>
      </w:r>
    </w:p>
    <w:p w14:paraId="263DCA7F">
      <w:pPr>
        <w:tabs>
          <w:tab w:val="left" w:pos="1030"/>
        </w:tabs>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小组根据资格性审查表（附表1）对投标文件的资格性进行审查，根据符合性审查表（附表2）对投标文件的符合性进行审查。只有资格性审查和符合性审查都通过的前提下，评审小组根据综合评分表（附表3）进行评审，综合得分最高的投标人为</w:t>
      </w:r>
      <w:r>
        <w:rPr>
          <w:rFonts w:hint="eastAsia" w:ascii="仿宋_GB2312" w:hAnsi="仿宋_GB2312" w:eastAsia="仿宋_GB2312" w:cs="仿宋_GB2312"/>
          <w:strike w:val="0"/>
          <w:dstrike w:val="0"/>
          <w:color w:val="auto"/>
          <w:sz w:val="28"/>
          <w:szCs w:val="28"/>
        </w:rPr>
        <w:t>中标人</w:t>
      </w:r>
      <w:r>
        <w:rPr>
          <w:rFonts w:hint="eastAsia" w:ascii="仿宋_GB2312" w:hAnsi="仿宋_GB2312" w:eastAsia="仿宋_GB2312" w:cs="仿宋_GB2312"/>
          <w:color w:val="auto"/>
          <w:sz w:val="28"/>
          <w:szCs w:val="28"/>
        </w:rPr>
        <w:t>。</w:t>
      </w:r>
    </w:p>
    <w:p w14:paraId="3936BF27">
      <w:pPr>
        <w:tabs>
          <w:tab w:val="left" w:pos="1030"/>
        </w:tabs>
        <w:spacing w:line="48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注：</w:t>
      </w:r>
      <w:r>
        <w:rPr>
          <w:rFonts w:hint="eastAsia" w:ascii="仿宋_GB2312" w:hAnsi="仿宋_GB2312" w:eastAsia="仿宋_GB2312" w:cs="仿宋_GB2312"/>
          <w:color w:val="auto"/>
          <w:sz w:val="28"/>
          <w:szCs w:val="28"/>
        </w:rPr>
        <w:t xml:space="preserve">政府采购评审中出现下列情形之一的，评审委员会应当启动异常低价投标（响应）审查程序。 </w:t>
      </w:r>
    </w:p>
    <w:p w14:paraId="5FB98BBC">
      <w:pPr>
        <w:tabs>
          <w:tab w:val="left" w:pos="1030"/>
        </w:tabs>
        <w:spacing w:line="48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1.投标（响应）报价低于全部通过符合性审查供应商投标（响应）报价平均值50%的，即投标（响应）报价&lt;全部通过符合性审查供应商投标（响应）报价平均值×50%；</w:t>
      </w:r>
    </w:p>
    <w:p w14:paraId="77A92293">
      <w:pPr>
        <w:tabs>
          <w:tab w:val="left" w:pos="1030"/>
        </w:tabs>
        <w:spacing w:line="48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2.投标（响应）报价低于通过符合性审查的次低报价供应商投标（响应）报价50%的，即投标（响应）报价&lt;通过符合性审查的次低报价供应商投标（响应）报价×50%；</w:t>
      </w:r>
    </w:p>
    <w:p w14:paraId="54A857F3">
      <w:pPr>
        <w:tabs>
          <w:tab w:val="left" w:pos="1030"/>
        </w:tabs>
        <w:spacing w:line="48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3.投标（响应）报价低于采购项目最高限价45%的，即投标（响应）报价&lt;采购项目最高限价×45%；</w:t>
      </w:r>
    </w:p>
    <w:p w14:paraId="3339F9E7">
      <w:pPr>
        <w:tabs>
          <w:tab w:val="left" w:pos="1030"/>
        </w:tabs>
        <w:spacing w:line="48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4.评审委员会基于专业判断，认为供应商报价过低，有可能影响产品质量或者不能诚信履约的其他情形。</w:t>
      </w:r>
    </w:p>
    <w:p w14:paraId="1566FF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宋体"/>
          <w:lang w:val="en-US" w:eastAsia="zh-CN"/>
        </w:rPr>
        <w:sectPr>
          <w:footerReference r:id="rId5" w:type="default"/>
          <w:pgSz w:w="11906" w:h="16838"/>
          <w:pgMar w:top="2098" w:right="1474" w:bottom="1984" w:left="1587" w:header="397" w:footer="0" w:gutter="0"/>
          <w:pgBorders>
            <w:top w:val="none" w:sz="0" w:space="0"/>
            <w:left w:val="none" w:sz="0" w:space="0"/>
            <w:bottom w:val="none" w:sz="0" w:space="0"/>
            <w:right w:val="none" w:sz="0" w:space="0"/>
          </w:pgBorders>
          <w:cols w:space="0" w:num="1"/>
          <w:rtlGutter w:val="0"/>
          <w:docGrid w:type="lines" w:linePitch="327" w:charSpace="0"/>
        </w:sectPr>
      </w:pPr>
      <w:r>
        <w:rPr>
          <w:rFonts w:hint="eastAsia" w:ascii="仿宋_GB2312" w:hAnsi="仿宋_GB2312" w:eastAsia="仿宋_GB2312" w:cs="仿宋_GB2312"/>
          <w:color w:val="auto"/>
          <w:sz w:val="28"/>
          <w:szCs w:val="28"/>
        </w:rPr>
        <w:t>采购人可以结合具体项目实际情况，提高上述第1项至第3项中启动异常低价投标（响应）审查的数值标准，但是最高不得超过65%。</w:t>
      </w:r>
    </w:p>
    <w:p w14:paraId="2D043F3A">
      <w:pPr>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b w:val="0"/>
          <w:bCs w:val="0"/>
          <w:color w:val="auto"/>
          <w:sz w:val="32"/>
          <w:szCs w:val="32"/>
        </w:rPr>
      </w:pPr>
      <w:bookmarkStart w:id="148" w:name="_Toc58404952"/>
      <w:r>
        <w:rPr>
          <w:rFonts w:hint="eastAsia" w:ascii="黑体" w:hAnsi="黑体" w:eastAsia="黑体" w:cs="黑体"/>
          <w:b w:val="0"/>
          <w:bCs w:val="0"/>
          <w:color w:val="auto"/>
          <w:sz w:val="32"/>
          <w:szCs w:val="32"/>
        </w:rPr>
        <w:t>（二）评审表格</w:t>
      </w:r>
      <w:bookmarkEnd w:id="148"/>
    </w:p>
    <w:p w14:paraId="5CDF6710">
      <w:pPr>
        <w:pStyle w:val="5"/>
        <w:jc w:val="center"/>
        <w:rPr>
          <w:rFonts w:ascii="宋体" w:hAnsi="宋体" w:eastAsia="宋体"/>
          <w:color w:val="auto"/>
        </w:rPr>
      </w:pPr>
      <w:r>
        <w:rPr>
          <w:rFonts w:hint="eastAsia" w:ascii="宋体" w:hAnsi="宋体" w:eastAsia="宋体"/>
          <w:color w:val="auto"/>
        </w:rPr>
        <w:t>附表1资格性审查表</w:t>
      </w:r>
    </w:p>
    <w:tbl>
      <w:tblPr>
        <w:tblStyle w:val="13"/>
        <w:tblW w:w="10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4032"/>
        <w:gridCol w:w="1701"/>
        <w:gridCol w:w="1701"/>
        <w:gridCol w:w="1701"/>
      </w:tblGrid>
      <w:tr w14:paraId="0CAA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464C1A90">
            <w:pPr>
              <w:keepNext w:val="0"/>
              <w:keepLines w:val="0"/>
              <w:suppressLineNumbers w:val="0"/>
              <w:spacing w:before="0" w:beforeAutospacing="0" w:after="0" w:afterAutospacing="0" w:line="420" w:lineRule="atLeast"/>
              <w:ind w:left="0" w:right="0"/>
              <w:jc w:val="center"/>
              <w:rPr>
                <w:rFonts w:hint="default" w:ascii="宋体" w:hAnsi="宋体"/>
                <w:b/>
                <w:color w:val="auto"/>
                <w:sz w:val="24"/>
              </w:rPr>
            </w:pPr>
            <w:r>
              <w:rPr>
                <w:rFonts w:hint="eastAsia" w:ascii="宋体" w:hAnsi="宋体"/>
                <w:b/>
                <w:color w:val="auto"/>
                <w:sz w:val="24"/>
              </w:rPr>
              <w:t>序号</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183E0FC0">
            <w:pPr>
              <w:keepNext w:val="0"/>
              <w:keepLines w:val="0"/>
              <w:suppressLineNumbers w:val="0"/>
              <w:spacing w:before="0" w:beforeAutospacing="0" w:after="0" w:afterAutospacing="0" w:line="420" w:lineRule="atLeast"/>
              <w:ind w:left="0" w:right="0"/>
              <w:jc w:val="center"/>
              <w:rPr>
                <w:rFonts w:hint="default" w:ascii="宋体" w:hAnsi="宋体"/>
                <w:b/>
                <w:color w:val="auto"/>
                <w:sz w:val="24"/>
              </w:rPr>
            </w:pPr>
            <w:r>
              <w:rPr>
                <w:rFonts w:hint="eastAsia" w:ascii="宋体" w:hAnsi="宋体"/>
                <w:b/>
                <w:color w:val="auto"/>
                <w:sz w:val="24"/>
              </w:rPr>
              <w:t>资格审查评议内容</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6E6D5BA">
            <w:pPr>
              <w:keepNext w:val="0"/>
              <w:keepLines w:val="0"/>
              <w:widowControl/>
              <w:suppressLineNumbers w:val="0"/>
              <w:snapToGrid w:val="0"/>
              <w:spacing w:before="0" w:beforeAutospacing="0" w:after="0" w:afterAutospacing="0" w:line="480" w:lineRule="exact"/>
              <w:ind w:left="0" w:right="0"/>
              <w:jc w:val="center"/>
              <w:rPr>
                <w:rFonts w:hint="default"/>
                <w:b/>
                <w:color w:val="auto"/>
              </w:rPr>
            </w:pPr>
            <w:r>
              <w:rPr>
                <w:rFonts w:hint="eastAsia"/>
                <w:b/>
                <w:color w:val="auto"/>
              </w:rPr>
              <w:t>投标</w:t>
            </w:r>
            <w:r>
              <w:rPr>
                <w:rFonts w:hint="default"/>
                <w:b/>
                <w:color w:val="auto"/>
              </w:rPr>
              <w:t>人1</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7262B52F">
            <w:pPr>
              <w:keepNext w:val="0"/>
              <w:keepLines w:val="0"/>
              <w:widowControl/>
              <w:suppressLineNumbers w:val="0"/>
              <w:snapToGrid w:val="0"/>
              <w:spacing w:before="0" w:beforeAutospacing="0" w:after="0" w:afterAutospacing="0" w:line="480" w:lineRule="exact"/>
              <w:ind w:left="0" w:right="0"/>
              <w:jc w:val="center"/>
              <w:rPr>
                <w:rFonts w:hint="default"/>
                <w:b/>
                <w:color w:val="auto"/>
              </w:rPr>
            </w:pPr>
            <w:r>
              <w:rPr>
                <w:rFonts w:hint="eastAsia"/>
                <w:b/>
                <w:color w:val="auto"/>
              </w:rPr>
              <w:t>投标</w:t>
            </w:r>
            <w:r>
              <w:rPr>
                <w:rFonts w:hint="default"/>
                <w:b/>
                <w:color w:val="auto"/>
              </w:rPr>
              <w:t>人2</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3AF2D0BF">
            <w:pPr>
              <w:keepNext w:val="0"/>
              <w:keepLines w:val="0"/>
              <w:widowControl/>
              <w:suppressLineNumbers w:val="0"/>
              <w:snapToGrid w:val="0"/>
              <w:spacing w:before="0" w:beforeAutospacing="0" w:after="0" w:afterAutospacing="0" w:line="480" w:lineRule="exact"/>
              <w:ind w:left="0" w:right="0"/>
              <w:jc w:val="center"/>
              <w:rPr>
                <w:rFonts w:hint="default"/>
                <w:b/>
                <w:color w:val="auto"/>
              </w:rPr>
            </w:pPr>
            <w:r>
              <w:rPr>
                <w:rFonts w:hint="eastAsia"/>
                <w:b/>
                <w:color w:val="auto"/>
              </w:rPr>
              <w:t>投标</w:t>
            </w:r>
            <w:r>
              <w:rPr>
                <w:rFonts w:hint="default"/>
                <w:b/>
                <w:color w:val="auto"/>
              </w:rPr>
              <w:t>人3</w:t>
            </w:r>
          </w:p>
        </w:tc>
      </w:tr>
      <w:tr w14:paraId="6FBE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072A4C40">
            <w:pPr>
              <w:keepNext w:val="0"/>
              <w:keepLines w:val="0"/>
              <w:suppressLineNumbers w:val="0"/>
              <w:spacing w:before="0" w:beforeAutospacing="0" w:after="0" w:afterAutospacing="0"/>
              <w:ind w:left="0" w:right="0"/>
              <w:jc w:val="center"/>
              <w:textAlignment w:val="center"/>
              <w:rPr>
                <w:rFonts w:hint="default" w:ascii="宋体" w:hAnsi="宋体" w:cs="宋体"/>
                <w:color w:val="auto"/>
                <w:sz w:val="18"/>
                <w:szCs w:val="18"/>
              </w:rPr>
            </w:pPr>
            <w:r>
              <w:rPr>
                <w:rFonts w:hint="eastAsia" w:ascii="宋体" w:hAnsi="宋体" w:cs="宋体"/>
                <w:color w:val="auto"/>
                <w:sz w:val="18"/>
                <w:szCs w:val="18"/>
              </w:rPr>
              <w:t>1</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05609F52">
            <w:pPr>
              <w:keepNext w:val="0"/>
              <w:keepLines w:val="0"/>
              <w:suppressLineNumbers w:val="0"/>
              <w:snapToGrid w:val="0"/>
              <w:spacing w:before="0" w:beforeAutospacing="0" w:after="0" w:afterAutospacing="0" w:line="320" w:lineRule="exact"/>
              <w:ind w:left="0" w:right="0"/>
              <w:rPr>
                <w:rFonts w:hint="default" w:ascii="宋体" w:hAnsi="宋体"/>
                <w:b/>
                <w:bCs/>
                <w:color w:val="auto"/>
                <w:kern w:val="28"/>
                <w:sz w:val="24"/>
              </w:rPr>
            </w:pPr>
            <w:r>
              <w:rPr>
                <w:rFonts w:hint="eastAsia" w:ascii="宋体" w:hAnsi="宋体"/>
                <w:b/>
                <w:bCs/>
                <w:color w:val="auto"/>
                <w:kern w:val="28"/>
                <w:sz w:val="24"/>
                <w:lang w:val="en-US" w:eastAsia="zh-CN"/>
              </w:rPr>
              <w:t>1.</w:t>
            </w:r>
            <w:r>
              <w:rPr>
                <w:rFonts w:hint="default" w:ascii="宋体" w:hAnsi="宋体"/>
                <w:b/>
                <w:bCs/>
                <w:color w:val="auto"/>
                <w:kern w:val="28"/>
                <w:sz w:val="24"/>
              </w:rPr>
              <w:t>具有独立承担民事责任的能力。</w:t>
            </w:r>
          </w:p>
          <w:p w14:paraId="61AC86DB">
            <w:pPr>
              <w:keepNext w:val="0"/>
              <w:keepLines w:val="0"/>
              <w:suppressLineNumbers w:val="0"/>
              <w:snapToGrid w:val="0"/>
              <w:spacing w:before="0" w:beforeAutospacing="0" w:after="0" w:afterAutospacing="0" w:line="320" w:lineRule="exact"/>
              <w:ind w:left="0" w:right="0"/>
              <w:rPr>
                <w:rFonts w:hint="default" w:ascii="宋体" w:hAnsi="宋体"/>
                <w:color w:val="auto"/>
                <w:kern w:val="28"/>
                <w:sz w:val="24"/>
              </w:rPr>
            </w:pPr>
            <w:r>
              <w:rPr>
                <w:rFonts w:hint="default" w:ascii="宋体" w:hAnsi="宋体"/>
                <w:color w:val="auto"/>
                <w:kern w:val="28"/>
                <w:sz w:val="24"/>
              </w:rPr>
              <w:t>投标人是企业（包括合伙企业）的，提供在市场监管部门注册的有效的“企业法人营业执照”或“营业执照”；投标人是事业单位的，提供有效的“事业单位法人证书”；投标人是非企业专业服务机构的，提供执业许可证等证明文件；投标人是个体工商户的，提供有效的“个体工商户营业执照”；投标人是自然人的，提供有效的自然人身份证明。提供的资料须是复印件加盖公章。</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D5C1F5">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3AD8F0A">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E888302">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41E4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061C112D">
            <w:pPr>
              <w:keepNext w:val="0"/>
              <w:keepLines w:val="0"/>
              <w:suppressLineNumbers w:val="0"/>
              <w:spacing w:before="0" w:beforeAutospacing="0" w:after="0" w:afterAutospacing="0"/>
              <w:ind w:left="0" w:right="0"/>
              <w:jc w:val="center"/>
              <w:textAlignment w:val="center"/>
              <w:rPr>
                <w:rFonts w:hint="default" w:ascii="宋体" w:hAnsi="宋体" w:cs="宋体"/>
                <w:color w:val="auto"/>
                <w:sz w:val="18"/>
                <w:szCs w:val="18"/>
              </w:rPr>
            </w:pPr>
            <w:r>
              <w:rPr>
                <w:rFonts w:hint="eastAsia" w:ascii="宋体" w:hAnsi="宋体" w:cs="宋体"/>
                <w:color w:val="auto"/>
                <w:sz w:val="18"/>
                <w:szCs w:val="18"/>
              </w:rPr>
              <w:t>2</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12362A2D">
            <w:pPr>
              <w:keepNext w:val="0"/>
              <w:keepLines w:val="0"/>
              <w:suppressLineNumbers w:val="0"/>
              <w:snapToGrid w:val="0"/>
              <w:spacing w:before="0" w:beforeAutospacing="0" w:after="0" w:afterAutospacing="0" w:line="320" w:lineRule="exact"/>
              <w:ind w:left="0" w:right="0"/>
              <w:rPr>
                <w:rFonts w:hint="default" w:ascii="宋体" w:hAnsi="宋体"/>
                <w:b/>
                <w:bCs/>
                <w:color w:val="auto"/>
                <w:sz w:val="24"/>
              </w:rPr>
            </w:pPr>
            <w:r>
              <w:rPr>
                <w:rFonts w:hint="default" w:ascii="宋体" w:hAnsi="宋体"/>
                <w:b/>
                <w:bCs/>
                <w:color w:val="auto"/>
                <w:sz w:val="24"/>
              </w:rPr>
              <w:t>2.具有履行政府采购合同所必需的设备和专业技术能力。</w:t>
            </w:r>
          </w:p>
          <w:p w14:paraId="21FB6E4C">
            <w:pPr>
              <w:keepNext w:val="0"/>
              <w:keepLines w:val="0"/>
              <w:suppressLineNumbers w:val="0"/>
              <w:snapToGrid w:val="0"/>
              <w:spacing w:before="0" w:beforeAutospacing="0" w:after="0" w:afterAutospacing="0" w:line="320" w:lineRule="exact"/>
              <w:ind w:left="0" w:right="0"/>
              <w:rPr>
                <w:rFonts w:hint="default" w:ascii="宋体" w:hAnsi="宋体"/>
                <w:color w:val="auto"/>
                <w:sz w:val="24"/>
              </w:rPr>
            </w:pPr>
            <w:r>
              <w:rPr>
                <w:rFonts w:hint="default" w:ascii="宋体" w:hAnsi="宋体"/>
                <w:color w:val="auto"/>
                <w:sz w:val="24"/>
              </w:rPr>
              <w:t>提供承诺函加盖公章，格式自拟。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7769D5">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B6F524D">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95EDE29">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11BF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1FB02B61">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3</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711FC636">
            <w:pPr>
              <w:keepNext w:val="0"/>
              <w:keepLines w:val="0"/>
              <w:suppressLineNumbers w:val="0"/>
              <w:snapToGrid w:val="0"/>
              <w:spacing w:before="0" w:beforeAutospacing="0" w:after="0" w:afterAutospacing="0" w:line="320" w:lineRule="exact"/>
              <w:ind w:left="0" w:right="0"/>
              <w:rPr>
                <w:rFonts w:hint="default" w:ascii="宋体" w:hAnsi="宋体"/>
                <w:b/>
                <w:bCs/>
                <w:color w:val="auto"/>
                <w:sz w:val="24"/>
              </w:rPr>
            </w:pPr>
            <w:r>
              <w:rPr>
                <w:rFonts w:hint="default" w:ascii="宋体" w:hAnsi="宋体"/>
                <w:b/>
                <w:bCs/>
                <w:color w:val="auto"/>
                <w:sz w:val="24"/>
              </w:rPr>
              <w:t>3.具有良好的商业信誉和健全的财务会计制度；有依法缴纳税收和社会保障资金的良好记录。</w:t>
            </w:r>
          </w:p>
          <w:p w14:paraId="7003A4B1">
            <w:pPr>
              <w:keepNext w:val="0"/>
              <w:keepLines w:val="0"/>
              <w:suppressLineNumbers w:val="0"/>
              <w:snapToGrid w:val="0"/>
              <w:spacing w:before="0" w:beforeAutospacing="0" w:after="0" w:afterAutospacing="0" w:line="320" w:lineRule="exact"/>
              <w:ind w:left="0" w:right="0"/>
              <w:rPr>
                <w:rFonts w:hint="default" w:ascii="宋体" w:hAnsi="宋体"/>
                <w:color w:val="auto"/>
                <w:sz w:val="24"/>
              </w:rPr>
            </w:pPr>
            <w:r>
              <w:rPr>
                <w:rFonts w:hint="default" w:ascii="宋体" w:hAnsi="宋体"/>
                <w:color w:val="auto"/>
                <w:sz w:val="24"/>
              </w:rPr>
              <w:t>提供商业信誉、财务会计制度、缴纳税收和社保的承诺函，加盖公章，格式自拟。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E2F254">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650B6BF">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3CD4DF7">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2013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158DCE5F">
            <w:pPr>
              <w:keepNext w:val="0"/>
              <w:keepLines w:val="0"/>
              <w:suppressLineNumbers w:val="0"/>
              <w:spacing w:before="0" w:beforeAutospacing="0" w:after="0" w:afterAutospacing="0"/>
              <w:ind w:left="0" w:right="0"/>
              <w:jc w:val="center"/>
              <w:textAlignment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4</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11A1905C">
            <w:pPr>
              <w:keepNext w:val="0"/>
              <w:keepLines w:val="0"/>
              <w:suppressLineNumbers w:val="0"/>
              <w:snapToGrid w:val="0"/>
              <w:spacing w:before="0" w:beforeAutospacing="0" w:after="0" w:afterAutospacing="0" w:line="320" w:lineRule="exact"/>
              <w:ind w:left="0" w:right="0"/>
              <w:rPr>
                <w:rFonts w:hint="default" w:ascii="宋体" w:hAnsi="宋体"/>
                <w:b/>
                <w:bCs/>
                <w:color w:val="auto"/>
                <w:sz w:val="24"/>
              </w:rPr>
            </w:pPr>
            <w:r>
              <w:rPr>
                <w:rFonts w:hint="default" w:ascii="宋体" w:hAnsi="宋体"/>
                <w:b/>
                <w:bCs/>
                <w:color w:val="auto"/>
                <w:sz w:val="24"/>
              </w:rPr>
              <w:t>4.参加政府采购活动前三年内，在经营活动中没有重大违法记录。</w:t>
            </w:r>
          </w:p>
          <w:p w14:paraId="63C845DD">
            <w:pPr>
              <w:keepNext w:val="0"/>
              <w:keepLines w:val="0"/>
              <w:suppressLineNumbers w:val="0"/>
              <w:snapToGrid w:val="0"/>
              <w:spacing w:before="0" w:beforeAutospacing="0" w:after="0" w:afterAutospacing="0" w:line="320" w:lineRule="exact"/>
              <w:ind w:left="0" w:right="0"/>
              <w:rPr>
                <w:rFonts w:hint="default" w:ascii="宋体" w:hAnsi="宋体"/>
                <w:color w:val="auto"/>
                <w:sz w:val="24"/>
              </w:rPr>
            </w:pPr>
            <w:r>
              <w:rPr>
                <w:rFonts w:hint="default" w:ascii="宋体" w:hAnsi="宋体"/>
                <w:color w:val="auto"/>
                <w:sz w:val="24"/>
              </w:rPr>
              <w:t>提供无重大违法记录声明函，加盖公章，格式自拟。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171AA8">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17DDCCD">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08A3059">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6B71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6BC306B6">
            <w:pPr>
              <w:keepNext w:val="0"/>
              <w:keepLines w:val="0"/>
              <w:suppressLineNumbers w:val="0"/>
              <w:spacing w:before="0" w:beforeAutospacing="0" w:after="0" w:afterAutospacing="0"/>
              <w:ind w:left="0" w:right="0"/>
              <w:jc w:val="center"/>
              <w:textAlignment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3138FC72">
            <w:pPr>
              <w:keepNext w:val="0"/>
              <w:keepLines w:val="0"/>
              <w:suppressLineNumbers w:val="0"/>
              <w:snapToGrid w:val="0"/>
              <w:spacing w:before="0" w:beforeAutospacing="0" w:after="0" w:afterAutospacing="0" w:line="320" w:lineRule="exact"/>
              <w:ind w:left="0" w:right="0"/>
              <w:rPr>
                <w:rFonts w:hint="default" w:ascii="宋体" w:hAnsi="宋体"/>
                <w:b/>
                <w:bCs/>
                <w:color w:val="auto"/>
                <w:sz w:val="24"/>
              </w:rPr>
            </w:pPr>
            <w:r>
              <w:rPr>
                <w:rFonts w:hint="default" w:ascii="宋体" w:hAnsi="宋体"/>
                <w:b/>
                <w:bCs/>
                <w:color w:val="auto"/>
                <w:sz w:val="24"/>
              </w:rPr>
              <w:t>5.服务商无不良信用记录。</w:t>
            </w:r>
          </w:p>
          <w:p w14:paraId="3C1472A6">
            <w:pPr>
              <w:keepNext w:val="0"/>
              <w:keepLines w:val="0"/>
              <w:suppressLineNumbers w:val="0"/>
              <w:snapToGrid w:val="0"/>
              <w:spacing w:before="0" w:beforeAutospacing="0" w:after="0" w:afterAutospacing="0" w:line="320" w:lineRule="exact"/>
              <w:ind w:left="0" w:right="0"/>
              <w:rPr>
                <w:rFonts w:hint="default" w:ascii="宋体" w:hAnsi="宋体"/>
                <w:color w:val="auto"/>
                <w:sz w:val="24"/>
              </w:rPr>
            </w:pPr>
            <w:r>
              <w:rPr>
                <w:rFonts w:hint="default" w:ascii="宋体" w:hAnsi="宋体"/>
                <w:b/>
                <w:bCs/>
                <w:color w:val="auto"/>
                <w:sz w:val="24"/>
              </w:rPr>
              <w:t>服务商在“信用中国”网站（www.creditchina.gov.cn）未被列入失信被执行人、重大税收违法失信主体，在中国政府采购网（www.ccgp.gov.cn）未被列入政府采购严重违法失信行为记录名单。</w:t>
            </w:r>
            <w:r>
              <w:rPr>
                <w:rFonts w:hint="default" w:ascii="宋体" w:hAnsi="宋体"/>
                <w:color w:val="auto"/>
                <w:sz w:val="24"/>
              </w:rPr>
              <w:t>提供网站查询记录加盖公章。</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2B2A4C">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D5190FE">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FEA05C9">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51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0092E812">
            <w:pPr>
              <w:keepNext w:val="0"/>
              <w:keepLines w:val="0"/>
              <w:suppressLineNumbers w:val="0"/>
              <w:spacing w:before="0" w:beforeAutospacing="0" w:after="0" w:afterAutospacing="0"/>
              <w:ind w:left="0" w:right="0"/>
              <w:jc w:val="center"/>
              <w:textAlignment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6</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49EBFE91">
            <w:pPr>
              <w:keepNext w:val="0"/>
              <w:keepLines w:val="0"/>
              <w:suppressLineNumbers w:val="0"/>
              <w:snapToGrid w:val="0"/>
              <w:spacing w:before="0" w:beforeAutospacing="0" w:after="0" w:afterAutospacing="0" w:line="320" w:lineRule="exact"/>
              <w:ind w:left="0" w:right="0"/>
              <w:rPr>
                <w:rFonts w:hint="default" w:ascii="宋体" w:hAnsi="宋体"/>
                <w:color w:val="auto"/>
                <w:sz w:val="24"/>
              </w:rPr>
            </w:pPr>
            <w:r>
              <w:rPr>
                <w:rFonts w:hint="eastAsia" w:ascii="宋体" w:hAnsi="宋体"/>
                <w:b/>
                <w:bCs/>
                <w:color w:val="auto"/>
                <w:sz w:val="24"/>
                <w:lang w:val="en-US" w:eastAsia="zh-CN"/>
              </w:rPr>
              <w:t>6</w:t>
            </w:r>
            <w:r>
              <w:rPr>
                <w:rFonts w:hint="default" w:ascii="宋体" w:hAnsi="宋体"/>
                <w:b/>
                <w:bCs/>
                <w:color w:val="auto"/>
                <w:sz w:val="24"/>
              </w:rPr>
              <w:t>.法律、行政法规规定的其他条件。</w:t>
            </w:r>
            <w:r>
              <w:rPr>
                <w:rFonts w:hint="default" w:ascii="宋体" w:hAnsi="宋体"/>
                <w:color w:val="auto"/>
                <w:sz w:val="24"/>
              </w:rPr>
              <w:t>提供承诺函，加盖公章，格式自拟。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D00695">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BCC8DA7">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5A03EB9">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35AB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7574057C">
            <w:pPr>
              <w:keepNext w:val="0"/>
              <w:keepLines w:val="0"/>
              <w:suppressLineNumbers w:val="0"/>
              <w:spacing w:before="0" w:beforeAutospacing="0" w:after="0" w:afterAutospacing="0"/>
              <w:ind w:left="0" w:right="0"/>
              <w:jc w:val="center"/>
              <w:textAlignment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2AF57B3E">
            <w:pPr>
              <w:keepNext w:val="0"/>
              <w:keepLines w:val="0"/>
              <w:suppressLineNumbers w:val="0"/>
              <w:snapToGrid w:val="0"/>
              <w:spacing w:before="0" w:beforeAutospacing="0" w:after="0" w:afterAutospacing="0" w:line="320" w:lineRule="exact"/>
              <w:ind w:left="0" w:right="0"/>
              <w:rPr>
                <w:rFonts w:hint="default" w:ascii="宋体" w:hAnsi="宋体"/>
                <w:b/>
                <w:bCs/>
                <w:color w:val="auto"/>
                <w:sz w:val="24"/>
              </w:rPr>
            </w:pPr>
            <w:r>
              <w:rPr>
                <w:rFonts w:hint="eastAsia" w:ascii="宋体" w:hAnsi="宋体"/>
                <w:b/>
                <w:bCs/>
                <w:color w:val="auto"/>
                <w:sz w:val="24"/>
                <w:lang w:val="en-US" w:eastAsia="zh-CN"/>
              </w:rPr>
              <w:t>7</w:t>
            </w:r>
            <w:r>
              <w:rPr>
                <w:rFonts w:hint="default" w:ascii="宋体" w:hAnsi="宋体"/>
                <w:b/>
                <w:bCs/>
                <w:color w:val="auto"/>
                <w:sz w:val="24"/>
              </w:rPr>
              <w:t>.本项目专门面向中小企业，需提供相应中小企业声明函</w:t>
            </w:r>
            <w:r>
              <w:rPr>
                <w:rFonts w:hint="eastAsia" w:ascii="宋体" w:hAnsi="宋体"/>
                <w:b/>
                <w:bCs/>
                <w:color w:val="auto"/>
                <w:sz w:val="24"/>
                <w:lang w:eastAsia="zh-CN"/>
              </w:rPr>
              <w:t>，格式自拟</w:t>
            </w:r>
            <w:r>
              <w:rPr>
                <w:rFonts w:hint="default" w:ascii="宋体" w:hAnsi="宋体"/>
                <w:b/>
                <w:bCs/>
                <w:color w:val="auto"/>
                <w:sz w:val="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FD5A9A">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7F4DB80">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500D99F">
            <w:pPr>
              <w:keepNext w:val="0"/>
              <w:keepLines w:val="0"/>
              <w:suppressLineNumbers w:val="0"/>
              <w:spacing w:before="0" w:beforeAutospacing="0" w:after="0" w:afterAutospacing="0" w:line="420" w:lineRule="atLeast"/>
              <w:ind w:left="0" w:right="0"/>
              <w:rPr>
                <w:rFonts w:hint="default" w:ascii="宋体" w:hAnsi="宋体"/>
                <w:color w:val="auto"/>
                <w:sz w:val="24"/>
              </w:rPr>
            </w:pPr>
          </w:p>
        </w:tc>
      </w:tr>
      <w:tr w14:paraId="30FA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578AD517">
            <w:pPr>
              <w:keepNext w:val="0"/>
              <w:keepLines w:val="0"/>
              <w:suppressLineNumbers w:val="0"/>
              <w:spacing w:before="0" w:beforeAutospacing="0" w:after="0" w:afterAutospacing="0" w:line="420" w:lineRule="atLeast"/>
              <w:ind w:left="0" w:right="0"/>
              <w:jc w:val="center"/>
              <w:rPr>
                <w:rFonts w:hint="default" w:ascii="宋体" w:hAnsi="宋体" w:eastAsia="宋体"/>
                <w:color w:val="auto"/>
                <w:sz w:val="24"/>
                <w:lang w:val="en-US" w:eastAsia="zh-CN"/>
              </w:rPr>
            </w:pPr>
            <w:r>
              <w:rPr>
                <w:rFonts w:hint="eastAsia" w:ascii="宋体" w:hAnsi="宋体"/>
                <w:color w:val="auto"/>
                <w:sz w:val="24"/>
                <w:lang w:val="en-US" w:eastAsia="zh-CN"/>
              </w:rPr>
              <w:t>8</w:t>
            </w:r>
          </w:p>
        </w:tc>
        <w:tc>
          <w:tcPr>
            <w:tcW w:w="4032" w:type="dxa"/>
            <w:tcBorders>
              <w:top w:val="single" w:color="auto" w:sz="4" w:space="0"/>
              <w:left w:val="single" w:color="auto" w:sz="4" w:space="0"/>
              <w:bottom w:val="single" w:color="auto" w:sz="4" w:space="0"/>
              <w:right w:val="single" w:color="auto" w:sz="4" w:space="0"/>
            </w:tcBorders>
            <w:noWrap w:val="0"/>
            <w:vAlign w:val="center"/>
          </w:tcPr>
          <w:p w14:paraId="7F0EF809">
            <w:pPr>
              <w:keepNext w:val="0"/>
              <w:keepLines w:val="0"/>
              <w:suppressLineNumbers w:val="0"/>
              <w:snapToGrid w:val="0"/>
              <w:spacing w:before="0" w:beforeAutospacing="0" w:after="0" w:afterAutospacing="0" w:line="320" w:lineRule="exact"/>
              <w:ind w:left="0" w:right="0"/>
              <w:rPr>
                <w:rFonts w:hint="default" w:ascii="宋体" w:hAnsi="宋体"/>
                <w:color w:val="auto"/>
                <w:sz w:val="24"/>
              </w:rPr>
            </w:pPr>
            <w:r>
              <w:rPr>
                <w:rFonts w:hint="eastAsia" w:ascii="宋体" w:hAnsi="宋体"/>
                <w:color w:val="auto"/>
                <w:sz w:val="24"/>
              </w:rPr>
              <w:t>结论</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72F44389">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441E54B">
            <w:pPr>
              <w:keepNext w:val="0"/>
              <w:keepLines w:val="0"/>
              <w:suppressLineNumbers w:val="0"/>
              <w:spacing w:before="0" w:beforeAutospacing="0" w:after="0" w:afterAutospacing="0" w:line="420" w:lineRule="atLeast"/>
              <w:ind w:left="0" w:right="0"/>
              <w:rPr>
                <w:rFonts w:hint="default" w:ascii="宋体" w:hAnsi="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9F59CC3">
            <w:pPr>
              <w:keepNext w:val="0"/>
              <w:keepLines w:val="0"/>
              <w:suppressLineNumbers w:val="0"/>
              <w:spacing w:before="0" w:beforeAutospacing="0" w:after="0" w:afterAutospacing="0" w:line="420" w:lineRule="atLeast"/>
              <w:ind w:left="0" w:right="0"/>
              <w:rPr>
                <w:rFonts w:hint="default" w:ascii="宋体" w:hAnsi="宋体"/>
                <w:color w:val="auto"/>
                <w:sz w:val="24"/>
              </w:rPr>
            </w:pPr>
          </w:p>
        </w:tc>
      </w:tr>
    </w:tbl>
    <w:p w14:paraId="3DA0107D">
      <w:pPr>
        <w:spacing w:line="360" w:lineRule="exact"/>
        <w:rPr>
          <w:rFonts w:ascii="宋体" w:hAnsi="宋体"/>
          <w:b/>
          <w:color w:val="auto"/>
          <w:sz w:val="24"/>
        </w:rPr>
      </w:pPr>
    </w:p>
    <w:p w14:paraId="6FAC0CF3">
      <w:pPr>
        <w:spacing w:line="360" w:lineRule="exact"/>
        <w:rPr>
          <w:rFonts w:ascii="宋体" w:hAnsi="宋体"/>
          <w:b/>
          <w:color w:val="auto"/>
          <w:sz w:val="24"/>
        </w:rPr>
      </w:pPr>
    </w:p>
    <w:p w14:paraId="6EDCD495">
      <w:pPr>
        <w:spacing w:line="360" w:lineRule="exact"/>
        <w:rPr>
          <w:rFonts w:ascii="宋体" w:hAnsi="宋体"/>
          <w:color w:val="auto"/>
          <w:sz w:val="24"/>
        </w:rPr>
      </w:pPr>
      <w:r>
        <w:rPr>
          <w:rFonts w:hint="eastAsia" w:ascii="宋体" w:hAnsi="宋体"/>
          <w:b/>
          <w:color w:val="auto"/>
          <w:sz w:val="24"/>
        </w:rPr>
        <w:t xml:space="preserve">评委：                                                 日期：   </w:t>
      </w:r>
    </w:p>
    <w:p w14:paraId="4207A81E">
      <w:pPr>
        <w:spacing w:line="360" w:lineRule="exact"/>
        <w:rPr>
          <w:rFonts w:ascii="宋体" w:hAnsi="宋体"/>
          <w:color w:val="auto"/>
          <w:sz w:val="24"/>
        </w:rPr>
      </w:pPr>
    </w:p>
    <w:p w14:paraId="448E1254">
      <w:pPr>
        <w:spacing w:line="360" w:lineRule="exact"/>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表中只须填写“√/符合”或“×/不符合”。</w:t>
      </w:r>
    </w:p>
    <w:p w14:paraId="7D8AE72A">
      <w:pPr>
        <w:spacing w:line="480" w:lineRule="exact"/>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在结论中按“一项否决”的原则，只有全部是√/通过的，填写“合格”；只要其中有一项是×/不通过的，填写“不合格”。</w:t>
      </w:r>
    </w:p>
    <w:p w14:paraId="06BAB090">
      <w:pPr>
        <w:pStyle w:val="5"/>
        <w:jc w:val="center"/>
        <w:rPr>
          <w:rFonts w:ascii="宋体" w:hAnsi="宋体"/>
          <w:color w:val="auto"/>
        </w:rPr>
      </w:pPr>
      <w:r>
        <w:rPr>
          <w:rFonts w:ascii="宋体" w:hAnsi="宋体"/>
          <w:color w:val="auto"/>
          <w:sz w:val="32"/>
          <w:szCs w:val="32"/>
        </w:rPr>
        <w:br w:type="page"/>
      </w:r>
      <w:r>
        <w:rPr>
          <w:rFonts w:hint="eastAsia" w:ascii="宋体" w:hAnsi="宋体" w:eastAsia="宋体"/>
          <w:color w:val="auto"/>
        </w:rPr>
        <w:t>附表2 符合性审查表</w:t>
      </w:r>
    </w:p>
    <w:tbl>
      <w:tblPr>
        <w:tblStyle w:val="13"/>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7"/>
        <w:gridCol w:w="3164"/>
        <w:gridCol w:w="1417"/>
        <w:gridCol w:w="1417"/>
        <w:gridCol w:w="1417"/>
      </w:tblGrid>
      <w:tr w14:paraId="08D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C631F31">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r>
              <w:rPr>
                <w:rFonts w:hint="eastAsia" w:ascii="宋体" w:hAnsi="宋体"/>
                <w:b/>
                <w:color w:val="auto"/>
                <w:szCs w:val="21"/>
              </w:rPr>
              <w:t>序号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07EA50F">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r>
              <w:rPr>
                <w:rFonts w:hint="eastAsia" w:ascii="宋体" w:hAnsi="宋体"/>
                <w:b/>
                <w:color w:val="auto"/>
                <w:szCs w:val="21"/>
              </w:rPr>
              <w:t>审查项目</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4D35627">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r>
              <w:rPr>
                <w:rFonts w:hint="eastAsia" w:ascii="宋体" w:hAnsi="宋体"/>
                <w:b/>
                <w:color w:val="auto"/>
                <w:szCs w:val="21"/>
              </w:rPr>
              <w:t>评议内容</w:t>
            </w:r>
            <w:r>
              <w:rPr>
                <w:rFonts w:hint="eastAsia" w:ascii="宋体" w:hAnsi="宋体"/>
                <w:color w:val="auto"/>
                <w:szCs w:val="21"/>
              </w:rPr>
              <w:t>（无效投标认定条件）</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1722300C">
            <w:pPr>
              <w:keepNext w:val="0"/>
              <w:keepLines w:val="0"/>
              <w:widowControl/>
              <w:suppressLineNumbers w:val="0"/>
              <w:snapToGrid w:val="0"/>
              <w:spacing w:before="0" w:beforeAutospacing="0" w:after="0" w:afterAutospacing="0" w:line="480" w:lineRule="exact"/>
              <w:ind w:left="0" w:right="0"/>
              <w:jc w:val="center"/>
              <w:rPr>
                <w:rFonts w:hint="default"/>
                <w:b/>
                <w:color w:val="auto"/>
              </w:rPr>
            </w:pPr>
            <w:r>
              <w:rPr>
                <w:rFonts w:hint="eastAsia"/>
                <w:b/>
                <w:color w:val="auto"/>
              </w:rPr>
              <w:t>投标</w:t>
            </w:r>
            <w:r>
              <w:rPr>
                <w:rFonts w:hint="default"/>
                <w:b/>
                <w:color w:val="auto"/>
              </w:rPr>
              <w:t>人1</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679CFE84">
            <w:pPr>
              <w:keepNext w:val="0"/>
              <w:keepLines w:val="0"/>
              <w:widowControl/>
              <w:suppressLineNumbers w:val="0"/>
              <w:snapToGrid w:val="0"/>
              <w:spacing w:before="0" w:beforeAutospacing="0" w:after="0" w:afterAutospacing="0" w:line="480" w:lineRule="exact"/>
              <w:ind w:left="0" w:right="0"/>
              <w:jc w:val="center"/>
              <w:rPr>
                <w:rFonts w:hint="default"/>
                <w:b/>
                <w:color w:val="auto"/>
              </w:rPr>
            </w:pPr>
            <w:r>
              <w:rPr>
                <w:rFonts w:hint="eastAsia"/>
                <w:b/>
                <w:color w:val="auto"/>
              </w:rPr>
              <w:t>投标</w:t>
            </w:r>
            <w:r>
              <w:rPr>
                <w:rFonts w:hint="default"/>
                <w:b/>
                <w:color w:val="auto"/>
              </w:rPr>
              <w:t>人2</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109BD531">
            <w:pPr>
              <w:keepNext w:val="0"/>
              <w:keepLines w:val="0"/>
              <w:widowControl/>
              <w:suppressLineNumbers w:val="0"/>
              <w:snapToGrid w:val="0"/>
              <w:spacing w:before="0" w:beforeAutospacing="0" w:after="0" w:afterAutospacing="0" w:line="480" w:lineRule="exact"/>
              <w:ind w:left="0" w:right="0"/>
              <w:jc w:val="center"/>
              <w:rPr>
                <w:rFonts w:hint="default"/>
                <w:b/>
                <w:color w:val="auto"/>
              </w:rPr>
            </w:pPr>
            <w:r>
              <w:rPr>
                <w:rFonts w:hint="eastAsia"/>
                <w:b/>
                <w:color w:val="auto"/>
              </w:rPr>
              <w:t>投标</w:t>
            </w:r>
            <w:r>
              <w:rPr>
                <w:rFonts w:hint="default"/>
                <w:b/>
                <w:color w:val="auto"/>
              </w:rPr>
              <w:t>人3</w:t>
            </w:r>
          </w:p>
        </w:tc>
      </w:tr>
      <w:tr w14:paraId="393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348FFE6D">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r>
              <w:rPr>
                <w:rFonts w:hint="eastAsia" w:ascii="宋体" w:hAnsi="宋体"/>
                <w:color w:val="auto"/>
                <w:szCs w:val="21"/>
              </w:rPr>
              <w:t>1</w:t>
            </w:r>
          </w:p>
        </w:tc>
        <w:tc>
          <w:tcPr>
            <w:tcW w:w="1477" w:type="dxa"/>
            <w:vMerge w:val="restart"/>
            <w:tcBorders>
              <w:top w:val="single" w:color="auto" w:sz="4" w:space="0"/>
              <w:left w:val="single" w:color="auto" w:sz="4" w:space="0"/>
              <w:right w:val="single" w:color="auto" w:sz="4" w:space="0"/>
            </w:tcBorders>
            <w:noWrap w:val="0"/>
            <w:vAlign w:val="center"/>
          </w:tcPr>
          <w:p w14:paraId="10B36CCA">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r>
              <w:rPr>
                <w:rFonts w:hint="eastAsia" w:ascii="宋体" w:hAnsi="宋体"/>
                <w:color w:val="auto"/>
                <w:szCs w:val="21"/>
              </w:rPr>
              <w:t>投标文件的有效性</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092C0D03">
            <w:pPr>
              <w:keepNext w:val="0"/>
              <w:keepLines w:val="0"/>
              <w:suppressLineNumbers w:val="0"/>
              <w:spacing w:before="0" w:beforeAutospacing="0" w:after="0" w:afterAutospacing="0" w:line="480" w:lineRule="exact"/>
              <w:ind w:left="0" w:right="0"/>
              <w:rPr>
                <w:rFonts w:hint="default" w:ascii="宋体" w:hAnsi="宋体"/>
                <w:color w:val="auto"/>
                <w:szCs w:val="21"/>
              </w:rPr>
            </w:pPr>
            <w:r>
              <w:rPr>
                <w:rFonts w:hint="eastAsia" w:ascii="宋体" w:hAnsi="宋体"/>
                <w:color w:val="auto"/>
                <w:szCs w:val="21"/>
              </w:rPr>
              <w:t>是否符合投标文件格式要求且内容完整无缺漏</w:t>
            </w:r>
          </w:p>
        </w:tc>
        <w:tc>
          <w:tcPr>
            <w:tcW w:w="1417" w:type="dxa"/>
            <w:tcBorders>
              <w:top w:val="single" w:color="auto" w:sz="4" w:space="0"/>
              <w:left w:val="single" w:color="auto" w:sz="4" w:space="0"/>
              <w:right w:val="single" w:color="auto" w:sz="4" w:space="0"/>
            </w:tcBorders>
            <w:noWrap w:val="0"/>
            <w:vAlign w:val="center"/>
          </w:tcPr>
          <w:p w14:paraId="1D908093">
            <w:pPr>
              <w:keepNext w:val="0"/>
              <w:keepLines w:val="0"/>
              <w:suppressLineNumbers w:val="0"/>
              <w:spacing w:before="0" w:beforeAutospacing="0" w:after="0" w:afterAutospacing="0" w:line="480" w:lineRule="exact"/>
              <w:ind w:left="0" w:right="0"/>
              <w:rPr>
                <w:rFonts w:hint="default" w:ascii="宋体" w:hAnsi="宋体"/>
                <w:b/>
                <w:color w:val="auto"/>
                <w:szCs w:val="21"/>
              </w:rPr>
            </w:pPr>
          </w:p>
        </w:tc>
        <w:tc>
          <w:tcPr>
            <w:tcW w:w="1417" w:type="dxa"/>
            <w:tcBorders>
              <w:top w:val="single" w:color="auto" w:sz="4" w:space="0"/>
              <w:left w:val="single" w:color="auto" w:sz="4" w:space="0"/>
              <w:right w:val="single" w:color="auto" w:sz="4" w:space="0"/>
            </w:tcBorders>
            <w:noWrap w:val="0"/>
            <w:vAlign w:val="center"/>
          </w:tcPr>
          <w:p w14:paraId="721111F7">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top w:val="single" w:color="auto" w:sz="4" w:space="0"/>
              <w:left w:val="single" w:color="auto" w:sz="4" w:space="0"/>
              <w:right w:val="single" w:color="auto" w:sz="4" w:space="0"/>
            </w:tcBorders>
            <w:noWrap w:val="0"/>
            <w:vAlign w:val="center"/>
          </w:tcPr>
          <w:p w14:paraId="5E27136A">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r>
      <w:tr w14:paraId="04A4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8" w:type="dxa"/>
            <w:vMerge w:val="continue"/>
            <w:tcBorders>
              <w:left w:val="single" w:color="auto" w:sz="4" w:space="0"/>
              <w:bottom w:val="single" w:color="auto" w:sz="4" w:space="0"/>
              <w:right w:val="single" w:color="auto" w:sz="4" w:space="0"/>
            </w:tcBorders>
            <w:noWrap w:val="0"/>
            <w:vAlign w:val="center"/>
          </w:tcPr>
          <w:p w14:paraId="765437EB">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p>
        </w:tc>
        <w:tc>
          <w:tcPr>
            <w:tcW w:w="1477" w:type="dxa"/>
            <w:vMerge w:val="continue"/>
            <w:tcBorders>
              <w:left w:val="single" w:color="auto" w:sz="4" w:space="0"/>
              <w:bottom w:val="single" w:color="auto" w:sz="4" w:space="0"/>
              <w:right w:val="single" w:color="auto" w:sz="4" w:space="0"/>
            </w:tcBorders>
            <w:noWrap w:val="0"/>
            <w:vAlign w:val="center"/>
          </w:tcPr>
          <w:p w14:paraId="0462AFD4">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B78B76D">
            <w:pPr>
              <w:keepNext w:val="0"/>
              <w:keepLines w:val="0"/>
              <w:suppressLineNumbers w:val="0"/>
              <w:spacing w:before="0" w:beforeAutospacing="0" w:after="0" w:afterAutospacing="0" w:line="480" w:lineRule="exact"/>
              <w:ind w:left="0" w:right="0"/>
              <w:rPr>
                <w:rFonts w:hint="default" w:ascii="宋体" w:hAnsi="宋体"/>
                <w:color w:val="auto"/>
                <w:szCs w:val="21"/>
              </w:rPr>
            </w:pPr>
            <w:r>
              <w:rPr>
                <w:rFonts w:hint="eastAsia" w:ascii="宋体" w:hAnsi="宋体" w:cs="宋体"/>
                <w:color w:val="auto"/>
                <w:szCs w:val="21"/>
              </w:rPr>
              <w:t>是否按要求提供资格证明文件</w:t>
            </w:r>
            <w:r>
              <w:rPr>
                <w:rFonts w:hint="eastAsia" w:ascii="宋体" w:hAnsi="宋体"/>
                <w:color w:val="auto"/>
                <w:szCs w:val="21"/>
                <w:lang w:eastAsia="zh-CN"/>
              </w:rPr>
              <w:t>、</w:t>
            </w:r>
            <w:r>
              <w:rPr>
                <w:rFonts w:hint="eastAsia" w:ascii="宋体" w:hAnsi="宋体" w:cs="宋体"/>
                <w:color w:val="auto"/>
                <w:szCs w:val="21"/>
              </w:rPr>
              <w:t>法人授权委托书</w:t>
            </w:r>
            <w:r>
              <w:rPr>
                <w:rFonts w:hint="eastAsia" w:ascii="宋体" w:hAnsi="宋体" w:cs="宋体"/>
                <w:color w:val="auto"/>
                <w:szCs w:val="21"/>
                <w:lang w:eastAsia="zh-CN"/>
              </w:rPr>
              <w:t>、</w:t>
            </w:r>
            <w:r>
              <w:rPr>
                <w:rFonts w:hint="eastAsia" w:ascii="宋体" w:hAnsi="宋体"/>
                <w:color w:val="auto"/>
                <w:szCs w:val="21"/>
              </w:rPr>
              <w:t xml:space="preserve"> 投标人报价文件</w:t>
            </w:r>
          </w:p>
        </w:tc>
        <w:tc>
          <w:tcPr>
            <w:tcW w:w="1417" w:type="dxa"/>
            <w:tcBorders>
              <w:left w:val="single" w:color="auto" w:sz="4" w:space="0"/>
              <w:bottom w:val="single" w:color="auto" w:sz="4" w:space="0"/>
              <w:right w:val="single" w:color="auto" w:sz="4" w:space="0"/>
            </w:tcBorders>
            <w:noWrap w:val="0"/>
            <w:vAlign w:val="center"/>
          </w:tcPr>
          <w:p w14:paraId="12711A8F">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left w:val="single" w:color="auto" w:sz="4" w:space="0"/>
              <w:bottom w:val="single" w:color="auto" w:sz="4" w:space="0"/>
              <w:right w:val="single" w:color="auto" w:sz="4" w:space="0"/>
            </w:tcBorders>
            <w:noWrap w:val="0"/>
            <w:vAlign w:val="center"/>
          </w:tcPr>
          <w:p w14:paraId="682E55AB">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left w:val="single" w:color="auto" w:sz="4" w:space="0"/>
              <w:bottom w:val="single" w:color="auto" w:sz="4" w:space="0"/>
              <w:right w:val="single" w:color="auto" w:sz="4" w:space="0"/>
            </w:tcBorders>
            <w:noWrap w:val="0"/>
            <w:vAlign w:val="center"/>
          </w:tcPr>
          <w:p w14:paraId="0B1BB857">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r>
      <w:tr w14:paraId="6C6A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E26F24C">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r>
              <w:rPr>
                <w:rFonts w:hint="eastAsia" w:ascii="宋体" w:hAnsi="宋体"/>
                <w:color w:val="auto"/>
                <w:szCs w:val="21"/>
              </w:rPr>
              <w:t>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2D4CDB4">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r>
              <w:rPr>
                <w:rFonts w:hint="eastAsia" w:ascii="宋体" w:hAnsi="宋体"/>
                <w:color w:val="auto"/>
                <w:szCs w:val="21"/>
              </w:rPr>
              <w:t>投标价</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0D7D627">
            <w:pPr>
              <w:keepNext w:val="0"/>
              <w:keepLines w:val="0"/>
              <w:suppressLineNumbers w:val="0"/>
              <w:spacing w:before="0" w:beforeAutospacing="0" w:after="0" w:afterAutospacing="0"/>
              <w:ind w:left="0" w:right="0"/>
              <w:jc w:val="center"/>
              <w:textAlignment w:val="top"/>
              <w:rPr>
                <w:rFonts w:hint="default" w:ascii="宋体" w:hAnsi="宋体" w:cs="宋体"/>
                <w:color w:val="auto"/>
                <w:sz w:val="18"/>
                <w:szCs w:val="18"/>
              </w:rPr>
            </w:pPr>
            <w:r>
              <w:rPr>
                <w:rFonts w:hint="eastAsia" w:ascii="宋体" w:hAnsi="宋体"/>
                <w:color w:val="auto"/>
                <w:szCs w:val="21"/>
              </w:rPr>
              <w:t>投标价是否唯一；是否未超出预算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BA2A092">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F32DAAF">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C5E4629">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r>
      <w:tr w14:paraId="3E46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8D64706">
            <w:pPr>
              <w:keepNext w:val="0"/>
              <w:keepLines w:val="0"/>
              <w:suppressLineNumbers w:val="0"/>
              <w:spacing w:before="0" w:beforeAutospacing="0" w:after="0" w:afterAutospacing="0" w:line="480" w:lineRule="exact"/>
              <w:ind w:left="0" w:right="0"/>
              <w:jc w:val="center"/>
              <w:rPr>
                <w:rFonts w:hint="eastAsia" w:ascii="宋体" w:hAnsi="宋体" w:eastAsia="宋体"/>
                <w:color w:val="auto"/>
                <w:szCs w:val="21"/>
                <w:lang w:eastAsia="zh-CN"/>
              </w:rPr>
            </w:pPr>
            <w:r>
              <w:rPr>
                <w:rFonts w:hint="eastAsia" w:ascii="宋体" w:hAnsi="宋体"/>
                <w:color w:val="auto"/>
                <w:szCs w:val="21"/>
                <w:lang w:val="en-US" w:eastAsia="zh-CN"/>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FFEB091">
            <w:pPr>
              <w:keepNext w:val="0"/>
              <w:keepLines w:val="0"/>
              <w:suppressLineNumbers w:val="0"/>
              <w:spacing w:before="0" w:beforeAutospacing="0" w:after="0" w:afterAutospacing="0" w:line="400" w:lineRule="exact"/>
              <w:ind w:left="0" w:right="0"/>
              <w:jc w:val="center"/>
              <w:rPr>
                <w:rFonts w:hint="default" w:ascii="宋体" w:hAnsi="宋体"/>
                <w:color w:val="auto"/>
                <w:szCs w:val="21"/>
              </w:rPr>
            </w:pP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7B515D8">
            <w:pPr>
              <w:keepNext w:val="0"/>
              <w:keepLines w:val="0"/>
              <w:suppressLineNumbers w:val="0"/>
              <w:spacing w:before="0" w:beforeAutospacing="0" w:after="0" w:afterAutospacing="0" w:line="480" w:lineRule="exact"/>
              <w:ind w:left="0" w:right="0"/>
              <w:jc w:val="center"/>
              <w:rPr>
                <w:rFonts w:hint="default" w:ascii="宋体" w:hAnsi="宋体"/>
                <w:color w:val="auto"/>
                <w:szCs w:val="21"/>
              </w:rPr>
            </w:pPr>
            <w:r>
              <w:rPr>
                <w:rFonts w:hint="eastAsia" w:ascii="宋体" w:hAnsi="宋体"/>
                <w:b/>
                <w:color w:val="auto"/>
                <w:szCs w:val="21"/>
              </w:rPr>
              <w:t>结论</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24217B3">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6E5DF6">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C9606B4">
            <w:pPr>
              <w:keepNext w:val="0"/>
              <w:keepLines w:val="0"/>
              <w:suppressLineNumbers w:val="0"/>
              <w:spacing w:before="0" w:beforeAutospacing="0" w:after="0" w:afterAutospacing="0" w:line="480" w:lineRule="exact"/>
              <w:ind w:left="0" w:right="0"/>
              <w:jc w:val="center"/>
              <w:rPr>
                <w:rFonts w:hint="default" w:ascii="宋体" w:hAnsi="宋体"/>
                <w:b/>
                <w:color w:val="auto"/>
                <w:szCs w:val="21"/>
              </w:rPr>
            </w:pPr>
          </w:p>
        </w:tc>
      </w:tr>
    </w:tbl>
    <w:p w14:paraId="15C496DD">
      <w:pPr>
        <w:rPr>
          <w:rFonts w:ascii="宋体" w:hAnsi="宋体"/>
          <w:color w:val="auto"/>
          <w:sz w:val="24"/>
        </w:rPr>
      </w:pPr>
    </w:p>
    <w:p w14:paraId="2DC22C47">
      <w:pPr>
        <w:rPr>
          <w:rFonts w:ascii="宋体" w:hAnsi="宋体"/>
          <w:color w:val="auto"/>
          <w:sz w:val="24"/>
        </w:rPr>
      </w:pPr>
    </w:p>
    <w:p w14:paraId="1D4CA3C2">
      <w:pPr>
        <w:rPr>
          <w:rFonts w:ascii="宋体" w:hAnsi="宋体"/>
          <w:color w:val="auto"/>
          <w:sz w:val="24"/>
        </w:rPr>
      </w:pPr>
    </w:p>
    <w:p w14:paraId="049BFF63">
      <w:pPr>
        <w:rPr>
          <w:rFonts w:ascii="宋体" w:hAnsi="宋体"/>
          <w:b/>
          <w:color w:val="auto"/>
        </w:rPr>
      </w:pPr>
      <w:r>
        <w:rPr>
          <w:rFonts w:hint="eastAsia" w:ascii="宋体" w:hAnsi="宋体"/>
          <w:b/>
          <w:color w:val="auto"/>
          <w:sz w:val="24"/>
        </w:rPr>
        <w:t>评委：                                                  日期</w:t>
      </w:r>
    </w:p>
    <w:p w14:paraId="78A0AF2B">
      <w:pPr>
        <w:rPr>
          <w:rFonts w:ascii="宋体" w:hAnsi="宋体"/>
          <w:color w:val="auto"/>
        </w:rPr>
      </w:pPr>
    </w:p>
    <w:p w14:paraId="1192FB6B">
      <w:pPr>
        <w:spacing w:line="360" w:lineRule="exact"/>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表中只须填写“√/符合”或“×/不符合”。</w:t>
      </w:r>
    </w:p>
    <w:p w14:paraId="4CF448ED">
      <w:pPr>
        <w:spacing w:line="480" w:lineRule="exact"/>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在结论中按“一项否决”的原则，只有全部是√/通过的，填写“合格”；只要其中有一项是×/不通过的，填写“不合格”。</w:t>
      </w:r>
    </w:p>
    <w:p w14:paraId="4A1C073F">
      <w:pPr>
        <w:rPr>
          <w:rFonts w:hint="default" w:eastAsia="宋体"/>
          <w:lang w:val="en-US" w:eastAsia="zh-CN"/>
        </w:rPr>
      </w:pPr>
    </w:p>
    <w:p w14:paraId="48579BA9">
      <w:pPr>
        <w:rPr>
          <w:rFonts w:hint="eastAsia" w:ascii="宋体" w:hAnsi="宋体" w:eastAsia="宋体"/>
          <w:color w:val="auto"/>
        </w:rPr>
      </w:pPr>
      <w:r>
        <w:rPr>
          <w:rFonts w:hint="eastAsia" w:ascii="宋体" w:hAnsi="宋体" w:eastAsia="宋体"/>
          <w:color w:val="auto"/>
        </w:rPr>
        <w:br w:type="page"/>
      </w:r>
    </w:p>
    <w:p w14:paraId="02A7C51D">
      <w:pPr>
        <w:pStyle w:val="5"/>
        <w:keepNext/>
        <w:keepLines/>
        <w:pageBreakBefore w:val="0"/>
        <w:widowControl w:val="0"/>
        <w:kinsoku/>
        <w:wordWrap/>
        <w:overflowPunct/>
        <w:topLinePunct w:val="0"/>
        <w:autoSpaceDE/>
        <w:autoSpaceDN/>
        <w:bidi w:val="0"/>
        <w:adjustRightInd/>
        <w:snapToGrid/>
        <w:spacing w:before="0" w:after="0" w:line="240" w:lineRule="atLeast"/>
        <w:jc w:val="center"/>
        <w:textAlignment w:val="auto"/>
        <w:rPr>
          <w:rFonts w:ascii="宋体" w:hAnsi="宋体"/>
          <w:b w:val="0"/>
          <w:bCs w:val="0"/>
          <w:color w:val="auto"/>
        </w:rPr>
      </w:pPr>
      <w:r>
        <w:rPr>
          <w:rFonts w:hint="eastAsia" w:ascii="宋体" w:hAnsi="宋体" w:eastAsia="宋体"/>
          <w:color w:val="auto"/>
        </w:rPr>
        <w:t>附表3 综合评分表</w:t>
      </w:r>
    </w:p>
    <w:tbl>
      <w:tblPr>
        <w:tblStyle w:val="13"/>
        <w:tblW w:w="4998" w:type="pct"/>
        <w:jc w:val="center"/>
        <w:tblLayout w:type="autofit"/>
        <w:tblCellMar>
          <w:top w:w="0" w:type="dxa"/>
          <w:left w:w="108" w:type="dxa"/>
          <w:bottom w:w="0" w:type="dxa"/>
          <w:right w:w="108" w:type="dxa"/>
        </w:tblCellMar>
      </w:tblPr>
      <w:tblGrid>
        <w:gridCol w:w="501"/>
        <w:gridCol w:w="897"/>
        <w:gridCol w:w="5319"/>
        <w:gridCol w:w="683"/>
        <w:gridCol w:w="569"/>
        <w:gridCol w:w="544"/>
        <w:gridCol w:w="544"/>
      </w:tblGrid>
      <w:tr w14:paraId="05518454">
        <w:tblPrEx>
          <w:tblCellMar>
            <w:top w:w="0" w:type="dxa"/>
            <w:left w:w="108" w:type="dxa"/>
            <w:bottom w:w="0" w:type="dxa"/>
            <w:right w:w="108" w:type="dxa"/>
          </w:tblCellMar>
        </w:tblPrEx>
        <w:trPr>
          <w:trHeight w:val="504" w:hRule="atLeast"/>
          <w:tblHeader/>
          <w:jc w:val="center"/>
        </w:trPr>
        <w:tc>
          <w:tcPr>
            <w:tcW w:w="277" w:type="pct"/>
            <w:tcBorders>
              <w:top w:val="single" w:color="auto" w:sz="4" w:space="0"/>
              <w:left w:val="single" w:color="auto" w:sz="4" w:space="0"/>
              <w:bottom w:val="single" w:color="auto" w:sz="4" w:space="0"/>
              <w:right w:val="single" w:color="auto" w:sz="4" w:space="0"/>
            </w:tcBorders>
            <w:shd w:val="clear" w:color="auto" w:fill="FABF8F"/>
            <w:noWrap w:val="0"/>
            <w:vAlign w:val="center"/>
          </w:tcPr>
          <w:p w14:paraId="29B13640">
            <w:pPr>
              <w:keepNext w:val="0"/>
              <w:keepLines w:val="0"/>
              <w:widowControl/>
              <w:suppressLineNumbers w:val="0"/>
              <w:spacing w:before="0" w:beforeAutospacing="0" w:after="0" w:afterAutospacing="0" w:line="360" w:lineRule="exact"/>
              <w:ind w:left="-79" w:leftChars="-33" w:right="-58" w:rightChars="-24"/>
              <w:jc w:val="center"/>
              <w:rPr>
                <w:rFonts w:hint="default" w:ascii="宋体" w:hAnsi="宋体" w:cs="宋体"/>
                <w:b/>
                <w:bCs/>
                <w:color w:val="auto"/>
                <w:kern w:val="0"/>
                <w:szCs w:val="21"/>
              </w:rPr>
            </w:pPr>
            <w:r>
              <w:rPr>
                <w:rFonts w:hint="eastAsia" w:ascii="宋体" w:hAnsi="宋体" w:cs="宋体"/>
                <w:b/>
                <w:bCs/>
                <w:color w:val="auto"/>
                <w:kern w:val="0"/>
                <w:szCs w:val="21"/>
              </w:rPr>
              <w:t>序号</w:t>
            </w:r>
          </w:p>
        </w:tc>
        <w:tc>
          <w:tcPr>
            <w:tcW w:w="495" w:type="pct"/>
            <w:tcBorders>
              <w:top w:val="single" w:color="auto" w:sz="4" w:space="0"/>
              <w:left w:val="nil"/>
              <w:bottom w:val="single" w:color="auto" w:sz="4" w:space="0"/>
              <w:right w:val="single" w:color="auto" w:sz="4" w:space="0"/>
            </w:tcBorders>
            <w:shd w:val="clear" w:color="auto" w:fill="FABF8F"/>
            <w:noWrap w:val="0"/>
            <w:vAlign w:val="center"/>
          </w:tcPr>
          <w:p w14:paraId="73644093">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rPr>
              <w:t>评分项目</w:t>
            </w:r>
          </w:p>
        </w:tc>
        <w:tc>
          <w:tcPr>
            <w:tcW w:w="2934" w:type="pct"/>
            <w:tcBorders>
              <w:top w:val="single" w:color="auto" w:sz="4" w:space="0"/>
              <w:left w:val="nil"/>
              <w:bottom w:val="single" w:color="auto" w:sz="4" w:space="0"/>
              <w:right w:val="single" w:color="auto" w:sz="4" w:space="0"/>
            </w:tcBorders>
            <w:shd w:val="clear" w:color="auto" w:fill="FABF8F"/>
            <w:noWrap w:val="0"/>
            <w:vAlign w:val="center"/>
          </w:tcPr>
          <w:p w14:paraId="220C22ED">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rPr>
              <w:t>评分标准</w:t>
            </w:r>
          </w:p>
        </w:tc>
        <w:tc>
          <w:tcPr>
            <w:tcW w:w="377" w:type="pct"/>
            <w:tcBorders>
              <w:top w:val="single" w:color="auto" w:sz="4" w:space="0"/>
              <w:left w:val="nil"/>
              <w:bottom w:val="single" w:color="auto" w:sz="4" w:space="0"/>
              <w:right w:val="single" w:color="auto" w:sz="4" w:space="0"/>
            </w:tcBorders>
            <w:shd w:val="clear" w:color="auto" w:fill="FABF8F"/>
            <w:noWrap w:val="0"/>
            <w:vAlign w:val="center"/>
          </w:tcPr>
          <w:p w14:paraId="3C2DD00E">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rPr>
              <w:t>满分</w:t>
            </w:r>
          </w:p>
        </w:tc>
        <w:tc>
          <w:tcPr>
            <w:tcW w:w="314" w:type="pct"/>
            <w:tcBorders>
              <w:top w:val="single" w:color="auto" w:sz="4" w:space="0"/>
              <w:left w:val="nil"/>
              <w:bottom w:val="single" w:color="auto" w:sz="4" w:space="0"/>
              <w:right w:val="single" w:color="auto" w:sz="4" w:space="0"/>
            </w:tcBorders>
            <w:shd w:val="clear" w:color="auto" w:fill="FABF8F"/>
            <w:noWrap w:val="0"/>
            <w:vAlign w:val="top"/>
          </w:tcPr>
          <w:p w14:paraId="536A5323">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rPr>
              <w:t>投标人</w:t>
            </w:r>
          </w:p>
        </w:tc>
        <w:tc>
          <w:tcPr>
            <w:tcW w:w="300" w:type="pct"/>
            <w:tcBorders>
              <w:top w:val="single" w:color="auto" w:sz="4" w:space="0"/>
              <w:left w:val="nil"/>
              <w:bottom w:val="single" w:color="auto" w:sz="4" w:space="0"/>
              <w:right w:val="single" w:color="auto" w:sz="4" w:space="0"/>
            </w:tcBorders>
            <w:shd w:val="clear" w:color="auto" w:fill="FABF8F"/>
            <w:noWrap w:val="0"/>
            <w:vAlign w:val="top"/>
          </w:tcPr>
          <w:p w14:paraId="23F86CD2">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rPr>
              <w:t>投标人</w:t>
            </w:r>
          </w:p>
        </w:tc>
        <w:tc>
          <w:tcPr>
            <w:tcW w:w="300" w:type="pct"/>
            <w:tcBorders>
              <w:top w:val="single" w:color="auto" w:sz="4" w:space="0"/>
              <w:left w:val="nil"/>
              <w:bottom w:val="single" w:color="auto" w:sz="4" w:space="0"/>
              <w:right w:val="single" w:color="auto" w:sz="4" w:space="0"/>
            </w:tcBorders>
            <w:shd w:val="clear" w:color="auto" w:fill="FABF8F"/>
            <w:noWrap w:val="0"/>
            <w:vAlign w:val="top"/>
          </w:tcPr>
          <w:p w14:paraId="690DEA76">
            <w:pPr>
              <w:keepNext w:val="0"/>
              <w:keepLines w:val="0"/>
              <w:widowControl/>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rPr>
              <w:t>投标人</w:t>
            </w:r>
          </w:p>
        </w:tc>
      </w:tr>
      <w:tr w14:paraId="714C868C">
        <w:tblPrEx>
          <w:tblCellMar>
            <w:top w:w="0" w:type="dxa"/>
            <w:left w:w="108" w:type="dxa"/>
            <w:bottom w:w="0" w:type="dxa"/>
            <w:right w:w="108" w:type="dxa"/>
          </w:tblCellMar>
        </w:tblPrEx>
        <w:trPr>
          <w:trHeight w:val="484" w:hRule="atLeast"/>
          <w:jc w:val="center"/>
        </w:trPr>
        <w:tc>
          <w:tcPr>
            <w:tcW w:w="3707" w:type="pct"/>
            <w:gridSpan w:val="3"/>
            <w:tcBorders>
              <w:top w:val="nil"/>
              <w:left w:val="single" w:color="auto" w:sz="4" w:space="0"/>
              <w:bottom w:val="single" w:color="auto" w:sz="4" w:space="0"/>
              <w:right w:val="single" w:color="auto" w:sz="4" w:space="0"/>
            </w:tcBorders>
            <w:shd w:val="clear" w:color="auto" w:fill="DBEEF3"/>
            <w:noWrap w:val="0"/>
            <w:vAlign w:val="center"/>
          </w:tcPr>
          <w:p w14:paraId="4297A65C">
            <w:pPr>
              <w:keepNext w:val="0"/>
              <w:keepLines w:val="0"/>
              <w:suppressLineNumbers w:val="0"/>
              <w:spacing w:before="0" w:beforeAutospacing="0" w:after="0" w:afterAutospacing="0" w:line="360" w:lineRule="exact"/>
              <w:ind w:left="0" w:right="0"/>
              <w:rPr>
                <w:rFonts w:hint="default" w:ascii="宋体" w:hAnsi="宋体" w:cs="宋体"/>
                <w:color w:val="auto"/>
                <w:kern w:val="0"/>
                <w:szCs w:val="21"/>
              </w:rPr>
            </w:pPr>
            <w:r>
              <w:rPr>
                <w:rFonts w:hint="eastAsia" w:ascii="宋体" w:hAnsi="宋体" w:cs="宋体"/>
                <w:b/>
                <w:bCs/>
                <w:color w:val="auto"/>
                <w:kern w:val="0"/>
                <w:szCs w:val="21"/>
              </w:rPr>
              <w:t>一</w:t>
            </w:r>
            <w:r>
              <w:rPr>
                <w:rFonts w:hint="eastAsia" w:ascii="宋体" w:hAnsi="宋体" w:cs="宋体"/>
                <w:b/>
                <w:bCs/>
                <w:color w:val="auto"/>
                <w:kern w:val="0"/>
                <w:szCs w:val="21"/>
                <w:lang w:eastAsia="zh-CN"/>
              </w:rPr>
              <w:t>、</w:t>
            </w:r>
            <w:r>
              <w:rPr>
                <w:rFonts w:hint="eastAsia" w:ascii="宋体" w:hAnsi="宋体" w:cs="宋体"/>
                <w:b/>
                <w:bCs/>
                <w:color w:val="auto"/>
                <w:kern w:val="0"/>
                <w:szCs w:val="21"/>
              </w:rPr>
              <w:t>技术部分</w:t>
            </w:r>
          </w:p>
        </w:tc>
        <w:tc>
          <w:tcPr>
            <w:tcW w:w="377" w:type="pct"/>
            <w:tcBorders>
              <w:top w:val="nil"/>
              <w:left w:val="single" w:color="auto" w:sz="4" w:space="0"/>
              <w:bottom w:val="single" w:color="auto" w:sz="4" w:space="0"/>
              <w:right w:val="single" w:color="auto" w:sz="4" w:space="0"/>
            </w:tcBorders>
            <w:shd w:val="clear" w:color="auto" w:fill="DBEEF3"/>
            <w:noWrap w:val="0"/>
            <w:vAlign w:val="center"/>
          </w:tcPr>
          <w:p w14:paraId="5DE11B21">
            <w:pPr>
              <w:keepNext w:val="0"/>
              <w:keepLines w:val="0"/>
              <w:suppressLineNumbers w:val="0"/>
              <w:spacing w:before="0" w:beforeAutospacing="0" w:after="0" w:afterAutospacing="0" w:line="36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lang w:val="en-US" w:eastAsia="zh-CN"/>
              </w:rPr>
              <w:t>50</w:t>
            </w:r>
            <w:r>
              <w:rPr>
                <w:rFonts w:hint="eastAsia" w:ascii="宋体" w:hAnsi="宋体" w:cs="宋体"/>
                <w:color w:val="auto"/>
                <w:szCs w:val="21"/>
              </w:rPr>
              <w:t>分</w:t>
            </w:r>
          </w:p>
        </w:tc>
        <w:tc>
          <w:tcPr>
            <w:tcW w:w="314" w:type="pct"/>
            <w:tcBorders>
              <w:top w:val="nil"/>
              <w:left w:val="single" w:color="auto" w:sz="4" w:space="0"/>
              <w:bottom w:val="single" w:color="auto" w:sz="4" w:space="0"/>
              <w:right w:val="single" w:color="auto" w:sz="4" w:space="0"/>
            </w:tcBorders>
            <w:shd w:val="clear" w:color="auto" w:fill="DBEEF3"/>
            <w:noWrap w:val="0"/>
            <w:vAlign w:val="top"/>
          </w:tcPr>
          <w:p w14:paraId="020C90A0">
            <w:pPr>
              <w:keepNext w:val="0"/>
              <w:keepLines w:val="0"/>
              <w:suppressLineNumbers w:val="0"/>
              <w:spacing w:before="0" w:beforeAutospacing="0" w:after="0" w:afterAutospacing="0" w:line="360" w:lineRule="exact"/>
              <w:ind w:left="0" w:right="0"/>
              <w:jc w:val="center"/>
              <w:rPr>
                <w:rFonts w:hint="default" w:ascii="宋体" w:hAnsi="宋体" w:cs="宋体"/>
                <w:b/>
                <w:bCs/>
                <w:color w:val="auto"/>
                <w:kern w:val="0"/>
                <w:szCs w:val="21"/>
              </w:rPr>
            </w:pPr>
          </w:p>
        </w:tc>
        <w:tc>
          <w:tcPr>
            <w:tcW w:w="300" w:type="pct"/>
            <w:tcBorders>
              <w:top w:val="nil"/>
              <w:left w:val="single" w:color="auto" w:sz="4" w:space="0"/>
              <w:bottom w:val="single" w:color="auto" w:sz="4" w:space="0"/>
              <w:right w:val="single" w:color="auto" w:sz="4" w:space="0"/>
            </w:tcBorders>
            <w:shd w:val="clear" w:color="auto" w:fill="DBEEF3"/>
            <w:noWrap w:val="0"/>
            <w:vAlign w:val="top"/>
          </w:tcPr>
          <w:p w14:paraId="18918B5E">
            <w:pPr>
              <w:keepNext w:val="0"/>
              <w:keepLines w:val="0"/>
              <w:suppressLineNumbers w:val="0"/>
              <w:spacing w:before="0" w:beforeAutospacing="0" w:after="0" w:afterAutospacing="0" w:line="360" w:lineRule="exact"/>
              <w:ind w:left="0" w:right="0"/>
              <w:jc w:val="center"/>
              <w:rPr>
                <w:rFonts w:hint="default" w:ascii="宋体" w:hAnsi="宋体" w:cs="宋体"/>
                <w:b/>
                <w:bCs/>
                <w:color w:val="auto"/>
                <w:kern w:val="0"/>
                <w:szCs w:val="21"/>
              </w:rPr>
            </w:pPr>
          </w:p>
        </w:tc>
        <w:tc>
          <w:tcPr>
            <w:tcW w:w="300" w:type="pct"/>
            <w:tcBorders>
              <w:top w:val="nil"/>
              <w:left w:val="single" w:color="auto" w:sz="4" w:space="0"/>
              <w:bottom w:val="single" w:color="auto" w:sz="4" w:space="0"/>
              <w:right w:val="single" w:color="auto" w:sz="4" w:space="0"/>
            </w:tcBorders>
            <w:shd w:val="clear" w:color="auto" w:fill="DBEEF3"/>
            <w:noWrap w:val="0"/>
            <w:vAlign w:val="top"/>
          </w:tcPr>
          <w:p w14:paraId="11B2FBC9">
            <w:pPr>
              <w:keepNext w:val="0"/>
              <w:keepLines w:val="0"/>
              <w:suppressLineNumbers w:val="0"/>
              <w:spacing w:before="0" w:beforeAutospacing="0" w:after="0" w:afterAutospacing="0" w:line="360" w:lineRule="exact"/>
              <w:ind w:left="0" w:right="0"/>
              <w:jc w:val="center"/>
              <w:rPr>
                <w:rFonts w:hint="default" w:ascii="宋体" w:hAnsi="宋体" w:cs="宋体"/>
                <w:b/>
                <w:bCs/>
                <w:color w:val="auto"/>
                <w:kern w:val="0"/>
                <w:szCs w:val="21"/>
              </w:rPr>
            </w:pPr>
          </w:p>
        </w:tc>
      </w:tr>
      <w:tr w14:paraId="557D6016">
        <w:tblPrEx>
          <w:tblCellMar>
            <w:top w:w="0" w:type="dxa"/>
            <w:left w:w="108" w:type="dxa"/>
            <w:bottom w:w="0" w:type="dxa"/>
            <w:right w:w="108" w:type="dxa"/>
          </w:tblCellMar>
        </w:tblPrEx>
        <w:trPr>
          <w:trHeight w:val="1131" w:hRule="atLeast"/>
          <w:jc w:val="center"/>
        </w:trPr>
        <w:tc>
          <w:tcPr>
            <w:tcW w:w="277" w:type="pct"/>
            <w:tcBorders>
              <w:top w:val="nil"/>
              <w:left w:val="single" w:color="auto" w:sz="4" w:space="0"/>
              <w:bottom w:val="single" w:color="auto" w:sz="4" w:space="0"/>
              <w:right w:val="single" w:color="auto" w:sz="4" w:space="0"/>
            </w:tcBorders>
            <w:noWrap w:val="0"/>
            <w:vAlign w:val="center"/>
          </w:tcPr>
          <w:p w14:paraId="466DF149">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r>
              <w:rPr>
                <w:rFonts w:hint="eastAsia" w:ascii="宋体" w:hAnsi="宋体" w:cs="宋体"/>
                <w:color w:val="auto"/>
                <w:szCs w:val="21"/>
              </w:rPr>
              <w:t>1</w:t>
            </w:r>
          </w:p>
        </w:tc>
        <w:tc>
          <w:tcPr>
            <w:tcW w:w="495" w:type="pct"/>
            <w:tcBorders>
              <w:top w:val="nil"/>
              <w:left w:val="single" w:color="auto" w:sz="4" w:space="0"/>
              <w:bottom w:val="single" w:color="auto" w:sz="4" w:space="0"/>
              <w:right w:val="single" w:color="auto" w:sz="4" w:space="0"/>
            </w:tcBorders>
            <w:noWrap w:val="0"/>
            <w:vAlign w:val="center"/>
          </w:tcPr>
          <w:p w14:paraId="16F29CDD">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r>
              <w:rPr>
                <w:rFonts w:hint="eastAsia" w:ascii="宋体" w:hAnsi="宋体" w:cs="宋体"/>
                <w:b/>
                <w:kern w:val="0"/>
                <w:sz w:val="24"/>
              </w:rPr>
              <w:t>运维实施技术方案</w:t>
            </w:r>
          </w:p>
        </w:tc>
        <w:tc>
          <w:tcPr>
            <w:tcW w:w="2934" w:type="pct"/>
            <w:tcBorders>
              <w:top w:val="nil"/>
              <w:left w:val="nil"/>
              <w:bottom w:val="single" w:color="auto" w:sz="4" w:space="0"/>
              <w:right w:val="single" w:color="auto" w:sz="4" w:space="0"/>
            </w:tcBorders>
            <w:noWrap w:val="0"/>
            <w:vAlign w:val="center"/>
          </w:tcPr>
          <w:p w14:paraId="4C96DDFD">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供应商根据对项目的采购需求提供运维实施技术方案，内容包含但不限于：档案管理制度，维修流程管理制度，相关模板，设备情况勘察，故障排除等，根据方案的完整性及符合实际情况进行综合评分。</w:t>
            </w:r>
          </w:p>
          <w:p w14:paraId="0DAE4F76">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1、根据方案的完整性进行评分，每具备上述列明的一项要素得</w:t>
            </w:r>
            <w:r>
              <w:rPr>
                <w:rFonts w:hint="eastAsia" w:ascii="宋体" w:hAnsi="宋体"/>
                <w:sz w:val="24"/>
                <w:lang w:val="en-US" w:eastAsia="zh-CN"/>
              </w:rPr>
              <w:t>2</w:t>
            </w:r>
            <w:r>
              <w:rPr>
                <w:rFonts w:hint="eastAsia" w:ascii="宋体" w:hAnsi="宋体"/>
                <w:sz w:val="24"/>
              </w:rPr>
              <w:t>分，最多得</w:t>
            </w:r>
            <w:r>
              <w:rPr>
                <w:rFonts w:hint="eastAsia" w:ascii="宋体" w:hAnsi="宋体"/>
                <w:sz w:val="24"/>
                <w:lang w:val="en-US" w:eastAsia="zh-CN"/>
              </w:rPr>
              <w:t>10</w:t>
            </w:r>
            <w:r>
              <w:rPr>
                <w:rFonts w:hint="eastAsia" w:ascii="宋体" w:hAnsi="宋体"/>
                <w:sz w:val="24"/>
              </w:rPr>
              <w:t xml:space="preserve">分。 </w:t>
            </w:r>
          </w:p>
          <w:p w14:paraId="5C33D5AC">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2、根据供应商提供的方案进行综合赋分：A.方案中的各项要素详细全面、完整、针对性强的得</w:t>
            </w:r>
            <w:r>
              <w:rPr>
                <w:rFonts w:hint="eastAsia" w:ascii="宋体" w:hAnsi="宋体"/>
                <w:sz w:val="24"/>
                <w:lang w:val="en-US" w:eastAsia="zh-CN"/>
              </w:rPr>
              <w:t xml:space="preserve"> 8</w:t>
            </w:r>
            <w:r>
              <w:rPr>
                <w:rFonts w:hint="eastAsia" w:ascii="宋体" w:hAnsi="宋体"/>
                <w:sz w:val="24"/>
              </w:rPr>
              <w:t>分；B.方案中的各项要素安排较为合理、具有一定针对性的得</w:t>
            </w:r>
            <w:r>
              <w:rPr>
                <w:rFonts w:hint="eastAsia" w:ascii="宋体" w:hAnsi="宋体"/>
                <w:sz w:val="24"/>
                <w:lang w:val="en-US" w:eastAsia="zh-CN"/>
              </w:rPr>
              <w:t xml:space="preserve"> 5</w:t>
            </w:r>
            <w:r>
              <w:rPr>
                <w:rFonts w:hint="eastAsia" w:ascii="宋体" w:hAnsi="宋体"/>
                <w:sz w:val="24"/>
              </w:rPr>
              <w:t>分； C.方案中的各项要素不完整，出现文字描述含糊不清、内容空洞、分析内容不全面等情况的得</w:t>
            </w:r>
            <w:r>
              <w:rPr>
                <w:rFonts w:hint="eastAsia" w:ascii="宋体" w:hAnsi="宋体"/>
                <w:sz w:val="24"/>
                <w:lang w:val="en-US" w:eastAsia="zh-CN"/>
              </w:rPr>
              <w:t>3</w:t>
            </w:r>
            <w:r>
              <w:rPr>
                <w:rFonts w:hint="eastAsia" w:ascii="宋体" w:hAnsi="宋体"/>
                <w:sz w:val="24"/>
              </w:rPr>
              <w:t>分；</w:t>
            </w:r>
          </w:p>
          <w:p w14:paraId="0BA032F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szCs w:val="21"/>
              </w:rPr>
            </w:pPr>
            <w:r>
              <w:rPr>
                <w:rFonts w:hint="eastAsia" w:ascii="宋体" w:hAnsi="宋体"/>
                <w:sz w:val="24"/>
              </w:rPr>
              <w:t>3、不提供方案得0分。</w:t>
            </w:r>
          </w:p>
        </w:tc>
        <w:tc>
          <w:tcPr>
            <w:tcW w:w="377" w:type="pct"/>
            <w:tcBorders>
              <w:top w:val="nil"/>
              <w:left w:val="nil"/>
              <w:bottom w:val="single" w:color="auto" w:sz="4" w:space="0"/>
              <w:right w:val="single" w:color="auto" w:sz="4" w:space="0"/>
            </w:tcBorders>
            <w:noWrap w:val="0"/>
            <w:vAlign w:val="center"/>
          </w:tcPr>
          <w:p w14:paraId="09F50EFD">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314" w:type="pct"/>
            <w:tcBorders>
              <w:top w:val="nil"/>
              <w:left w:val="nil"/>
              <w:bottom w:val="single" w:color="auto" w:sz="4" w:space="0"/>
              <w:right w:val="single" w:color="auto" w:sz="4" w:space="0"/>
            </w:tcBorders>
            <w:noWrap w:val="0"/>
            <w:vAlign w:val="top"/>
          </w:tcPr>
          <w:p w14:paraId="78E7237C">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nil"/>
              <w:left w:val="nil"/>
              <w:bottom w:val="single" w:color="auto" w:sz="4" w:space="0"/>
              <w:right w:val="single" w:color="auto" w:sz="4" w:space="0"/>
            </w:tcBorders>
            <w:noWrap w:val="0"/>
            <w:vAlign w:val="top"/>
          </w:tcPr>
          <w:p w14:paraId="57AD733E">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nil"/>
              <w:left w:val="nil"/>
              <w:bottom w:val="single" w:color="auto" w:sz="4" w:space="0"/>
              <w:right w:val="single" w:color="auto" w:sz="4" w:space="0"/>
            </w:tcBorders>
            <w:noWrap w:val="0"/>
            <w:vAlign w:val="top"/>
          </w:tcPr>
          <w:p w14:paraId="539AAAC7">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r>
      <w:tr w14:paraId="42882E7F">
        <w:tblPrEx>
          <w:tblCellMar>
            <w:top w:w="0" w:type="dxa"/>
            <w:left w:w="108" w:type="dxa"/>
            <w:bottom w:w="0" w:type="dxa"/>
            <w:right w:w="108" w:type="dxa"/>
          </w:tblCellMar>
        </w:tblPrEx>
        <w:trPr>
          <w:trHeight w:val="1283" w:hRule="atLeast"/>
          <w:jc w:val="center"/>
        </w:trPr>
        <w:tc>
          <w:tcPr>
            <w:tcW w:w="277" w:type="pct"/>
            <w:tcBorders>
              <w:top w:val="nil"/>
              <w:left w:val="single" w:color="auto" w:sz="4" w:space="0"/>
              <w:bottom w:val="single" w:color="auto" w:sz="4" w:space="0"/>
              <w:right w:val="single" w:color="auto" w:sz="4" w:space="0"/>
            </w:tcBorders>
            <w:noWrap w:val="0"/>
            <w:vAlign w:val="center"/>
          </w:tcPr>
          <w:p w14:paraId="256797C4">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r>
              <w:rPr>
                <w:rFonts w:hint="eastAsia" w:ascii="宋体" w:hAnsi="宋体" w:cs="宋体"/>
                <w:color w:val="auto"/>
                <w:szCs w:val="21"/>
              </w:rPr>
              <w:t>2</w:t>
            </w:r>
          </w:p>
        </w:tc>
        <w:tc>
          <w:tcPr>
            <w:tcW w:w="495" w:type="pct"/>
            <w:tcBorders>
              <w:top w:val="nil"/>
              <w:left w:val="single" w:color="auto" w:sz="4" w:space="0"/>
              <w:bottom w:val="single" w:color="auto" w:sz="4" w:space="0"/>
              <w:right w:val="single" w:color="auto" w:sz="4" w:space="0"/>
            </w:tcBorders>
            <w:noWrap w:val="0"/>
            <w:vAlign w:val="center"/>
          </w:tcPr>
          <w:p w14:paraId="3508E827">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lang w:val="zh-CN"/>
              </w:rPr>
            </w:pPr>
            <w:r>
              <w:rPr>
                <w:rFonts w:hint="eastAsia" w:ascii="宋体" w:hAnsi="宋体"/>
                <w:b/>
                <w:sz w:val="24"/>
              </w:rPr>
              <w:t>应急保障方案</w:t>
            </w:r>
          </w:p>
        </w:tc>
        <w:tc>
          <w:tcPr>
            <w:tcW w:w="2934" w:type="pct"/>
            <w:tcBorders>
              <w:top w:val="nil"/>
              <w:left w:val="nil"/>
              <w:bottom w:val="single" w:color="auto" w:sz="4" w:space="0"/>
              <w:right w:val="single" w:color="auto" w:sz="4" w:space="0"/>
            </w:tcBorders>
            <w:noWrap w:val="0"/>
            <w:vAlign w:val="center"/>
          </w:tcPr>
          <w:p w14:paraId="48F704CB">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供应商根据对项目的采购需求提供信息安全方案，内容包含但不限于：通用设备备份，安全保密等，根据方案的完整性及符合实际情况进行综合评分。</w:t>
            </w:r>
          </w:p>
          <w:p w14:paraId="1E86EAC4">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1、根据方案的完整性进行评分，每具备上述列明的一项要素得</w:t>
            </w:r>
            <w:r>
              <w:rPr>
                <w:rFonts w:hint="eastAsia" w:ascii="宋体" w:hAnsi="宋体"/>
                <w:sz w:val="24"/>
                <w:lang w:val="en-US" w:eastAsia="zh-CN"/>
              </w:rPr>
              <w:t xml:space="preserve">1 </w:t>
            </w:r>
            <w:r>
              <w:rPr>
                <w:rFonts w:hint="eastAsia" w:ascii="宋体" w:hAnsi="宋体"/>
                <w:sz w:val="24"/>
              </w:rPr>
              <w:t>分，最多得</w:t>
            </w:r>
            <w:r>
              <w:rPr>
                <w:rFonts w:hint="eastAsia" w:ascii="宋体" w:hAnsi="宋体"/>
                <w:sz w:val="24"/>
                <w:lang w:val="en-US" w:eastAsia="zh-CN"/>
              </w:rPr>
              <w:t xml:space="preserve"> 2</w:t>
            </w:r>
            <w:r>
              <w:rPr>
                <w:rFonts w:hint="eastAsia" w:ascii="宋体" w:hAnsi="宋体"/>
                <w:sz w:val="24"/>
              </w:rPr>
              <w:t xml:space="preserve">分。 </w:t>
            </w:r>
          </w:p>
          <w:p w14:paraId="659645B6">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2、根据供应商提供的方案进行综合赋分：A.方案中的各项要素详细全面、完整、针对性强的得</w:t>
            </w:r>
            <w:r>
              <w:rPr>
                <w:rFonts w:hint="eastAsia" w:ascii="宋体" w:hAnsi="宋体"/>
                <w:sz w:val="24"/>
                <w:lang w:val="en-US" w:eastAsia="zh-CN"/>
              </w:rPr>
              <w:t xml:space="preserve"> 8 </w:t>
            </w:r>
            <w:r>
              <w:rPr>
                <w:rFonts w:hint="eastAsia" w:ascii="宋体" w:hAnsi="宋体"/>
                <w:sz w:val="24"/>
              </w:rPr>
              <w:t>分；B.方案中的各项要素安排较为合理、具有一定针对性的得</w:t>
            </w:r>
            <w:r>
              <w:rPr>
                <w:rFonts w:hint="eastAsia" w:ascii="宋体" w:hAnsi="宋体"/>
                <w:sz w:val="24"/>
                <w:lang w:val="en-US" w:eastAsia="zh-CN"/>
              </w:rPr>
              <w:t>5</w:t>
            </w:r>
            <w:r>
              <w:rPr>
                <w:rFonts w:hint="eastAsia" w:ascii="宋体" w:hAnsi="宋体"/>
                <w:sz w:val="24"/>
              </w:rPr>
              <w:t>分； C.方案中的各项要素不完整，出现文字描述含糊不清、内容空洞、分析内容不全面等情况的得</w:t>
            </w:r>
            <w:r>
              <w:rPr>
                <w:rFonts w:hint="eastAsia" w:ascii="宋体" w:hAnsi="宋体"/>
                <w:sz w:val="24"/>
                <w:lang w:val="en-US" w:eastAsia="zh-CN"/>
              </w:rPr>
              <w:t>2</w:t>
            </w:r>
            <w:r>
              <w:rPr>
                <w:rFonts w:hint="eastAsia" w:ascii="宋体" w:hAnsi="宋体"/>
                <w:sz w:val="24"/>
              </w:rPr>
              <w:t>分；</w:t>
            </w:r>
          </w:p>
          <w:p w14:paraId="43C21C32">
            <w:pPr>
              <w:pStyle w:val="23"/>
              <w:keepNext w:val="0"/>
              <w:keepLines w:val="0"/>
              <w:widowControl/>
              <w:numPr>
                <w:ilvl w:val="0"/>
                <w:numId w:val="0"/>
              </w:numPr>
              <w:suppressLineNumbers w:val="0"/>
              <w:spacing w:before="0" w:beforeAutospacing="0" w:after="0" w:afterAutospacing="0" w:line="320" w:lineRule="exact"/>
              <w:ind w:left="0" w:leftChars="0" w:right="0" w:rightChars="0"/>
              <w:rPr>
                <w:rFonts w:hint="default" w:ascii="宋体" w:hAnsi="宋体" w:cs="宋体"/>
                <w:color w:val="auto"/>
                <w:szCs w:val="21"/>
              </w:rPr>
            </w:pPr>
            <w:r>
              <w:rPr>
                <w:rFonts w:hint="eastAsia" w:ascii="宋体" w:hAnsi="宋体"/>
                <w:sz w:val="24"/>
              </w:rPr>
              <w:t>3、不提供方案得0分。</w:t>
            </w:r>
          </w:p>
        </w:tc>
        <w:tc>
          <w:tcPr>
            <w:tcW w:w="377" w:type="pct"/>
            <w:tcBorders>
              <w:top w:val="nil"/>
              <w:left w:val="nil"/>
              <w:bottom w:val="single" w:color="auto" w:sz="4" w:space="0"/>
              <w:right w:val="single" w:color="auto" w:sz="4" w:space="0"/>
            </w:tcBorders>
            <w:noWrap w:val="0"/>
            <w:vAlign w:val="center"/>
          </w:tcPr>
          <w:p w14:paraId="5413421D">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314" w:type="pct"/>
            <w:tcBorders>
              <w:top w:val="nil"/>
              <w:left w:val="nil"/>
              <w:bottom w:val="single" w:color="auto" w:sz="4" w:space="0"/>
              <w:right w:val="single" w:color="auto" w:sz="4" w:space="0"/>
            </w:tcBorders>
            <w:noWrap w:val="0"/>
            <w:vAlign w:val="top"/>
          </w:tcPr>
          <w:p w14:paraId="2177A4E7">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c>
          <w:tcPr>
            <w:tcW w:w="300" w:type="pct"/>
            <w:tcBorders>
              <w:top w:val="nil"/>
              <w:left w:val="nil"/>
              <w:bottom w:val="single" w:color="auto" w:sz="4" w:space="0"/>
              <w:right w:val="single" w:color="auto" w:sz="4" w:space="0"/>
            </w:tcBorders>
            <w:noWrap w:val="0"/>
            <w:vAlign w:val="top"/>
          </w:tcPr>
          <w:p w14:paraId="4B4F9DE0">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c>
          <w:tcPr>
            <w:tcW w:w="300" w:type="pct"/>
            <w:tcBorders>
              <w:top w:val="nil"/>
              <w:left w:val="nil"/>
              <w:bottom w:val="single" w:color="auto" w:sz="4" w:space="0"/>
              <w:right w:val="single" w:color="auto" w:sz="4" w:space="0"/>
            </w:tcBorders>
            <w:noWrap w:val="0"/>
            <w:vAlign w:val="top"/>
          </w:tcPr>
          <w:p w14:paraId="29519B06">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r>
      <w:tr w14:paraId="70CE9C14">
        <w:tblPrEx>
          <w:tblCellMar>
            <w:top w:w="0" w:type="dxa"/>
            <w:left w:w="108" w:type="dxa"/>
            <w:bottom w:w="0" w:type="dxa"/>
            <w:right w:w="108" w:type="dxa"/>
          </w:tblCellMar>
        </w:tblPrEx>
        <w:trPr>
          <w:trHeight w:val="1634" w:hRule="atLeast"/>
          <w:jc w:val="center"/>
        </w:trPr>
        <w:tc>
          <w:tcPr>
            <w:tcW w:w="277" w:type="pct"/>
            <w:tcBorders>
              <w:top w:val="nil"/>
              <w:left w:val="single" w:color="auto" w:sz="4" w:space="0"/>
              <w:bottom w:val="single" w:color="auto" w:sz="4" w:space="0"/>
              <w:right w:val="single" w:color="auto" w:sz="4" w:space="0"/>
            </w:tcBorders>
            <w:noWrap w:val="0"/>
            <w:vAlign w:val="center"/>
          </w:tcPr>
          <w:p w14:paraId="069C4A9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495" w:type="pct"/>
            <w:tcBorders>
              <w:top w:val="nil"/>
              <w:left w:val="single" w:color="auto" w:sz="4" w:space="0"/>
              <w:bottom w:val="single" w:color="auto" w:sz="4" w:space="0"/>
              <w:right w:val="single" w:color="auto" w:sz="4" w:space="0"/>
            </w:tcBorders>
            <w:noWrap w:val="0"/>
            <w:vAlign w:val="center"/>
          </w:tcPr>
          <w:p w14:paraId="1E19DC57">
            <w:pPr>
              <w:keepNext w:val="0"/>
              <w:keepLines w:val="0"/>
              <w:widowControl/>
              <w:suppressLineNumbers w:val="0"/>
              <w:spacing w:before="0" w:beforeAutospacing="0" w:after="0" w:afterAutospacing="0" w:line="320" w:lineRule="exact"/>
              <w:ind w:left="0" w:right="0"/>
              <w:jc w:val="center"/>
              <w:rPr>
                <w:rFonts w:hint="eastAsia" w:ascii="宋体" w:hAnsi="宋体"/>
                <w:b/>
                <w:sz w:val="24"/>
              </w:rPr>
            </w:pPr>
            <w:r>
              <w:rPr>
                <w:rFonts w:hint="eastAsia" w:ascii="宋体" w:hAnsi="宋体"/>
                <w:b/>
                <w:sz w:val="24"/>
              </w:rPr>
              <w:t>信息安全保障方案</w:t>
            </w:r>
          </w:p>
        </w:tc>
        <w:tc>
          <w:tcPr>
            <w:tcW w:w="2934" w:type="pct"/>
            <w:tcBorders>
              <w:top w:val="nil"/>
              <w:left w:val="nil"/>
              <w:bottom w:val="single" w:color="auto" w:sz="4" w:space="0"/>
              <w:right w:val="single" w:color="auto" w:sz="4" w:space="0"/>
            </w:tcBorders>
            <w:noWrap w:val="0"/>
            <w:vAlign w:val="center"/>
          </w:tcPr>
          <w:p w14:paraId="75C9401F">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供应商根据对项目的采购需求提供信息安全保障方案，内容包含但不限于：通用设备备份，安全保密等，根据方案的完整性及符合实际情况进行综合评分。</w:t>
            </w:r>
          </w:p>
          <w:p w14:paraId="1ACBE69E">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1、根据方案的完整性进行评分，每具备上述列明的一项要素得</w:t>
            </w:r>
            <w:r>
              <w:rPr>
                <w:rFonts w:hint="eastAsia" w:ascii="宋体" w:hAnsi="宋体"/>
                <w:sz w:val="24"/>
                <w:lang w:val="en-US" w:eastAsia="zh-CN"/>
              </w:rPr>
              <w:t>1</w:t>
            </w:r>
            <w:r>
              <w:rPr>
                <w:rFonts w:hint="eastAsia" w:ascii="宋体" w:hAnsi="宋体"/>
                <w:sz w:val="24"/>
              </w:rPr>
              <w:t>分，最多得</w:t>
            </w:r>
            <w:r>
              <w:rPr>
                <w:rFonts w:hint="eastAsia" w:ascii="宋体" w:hAnsi="宋体"/>
                <w:sz w:val="24"/>
                <w:lang w:val="en-US" w:eastAsia="zh-CN"/>
              </w:rPr>
              <w:t>2</w:t>
            </w:r>
            <w:r>
              <w:rPr>
                <w:rFonts w:hint="eastAsia" w:ascii="宋体" w:hAnsi="宋体"/>
                <w:sz w:val="24"/>
              </w:rPr>
              <w:t xml:space="preserve">分。 </w:t>
            </w:r>
          </w:p>
          <w:p w14:paraId="2DA4E660">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2、根据供应商提供的方案进行综合赋分：A.方案中的各项要素详细全面、完整、针对性强的得</w:t>
            </w:r>
            <w:r>
              <w:rPr>
                <w:rFonts w:hint="eastAsia" w:ascii="宋体" w:hAnsi="宋体"/>
                <w:sz w:val="24"/>
                <w:lang w:val="en-US" w:eastAsia="zh-CN"/>
              </w:rPr>
              <w:t>8</w:t>
            </w:r>
            <w:r>
              <w:rPr>
                <w:rFonts w:hint="eastAsia" w:ascii="宋体" w:hAnsi="宋体"/>
                <w:sz w:val="24"/>
              </w:rPr>
              <w:t>分；B.方案中的各项要素安排较为合理、具有一定针对性的得</w:t>
            </w:r>
            <w:r>
              <w:rPr>
                <w:rFonts w:hint="eastAsia" w:ascii="宋体" w:hAnsi="宋体"/>
                <w:sz w:val="24"/>
                <w:lang w:val="en-US" w:eastAsia="zh-CN"/>
              </w:rPr>
              <w:t>5</w:t>
            </w:r>
            <w:r>
              <w:rPr>
                <w:rFonts w:hint="eastAsia" w:ascii="宋体" w:hAnsi="宋体"/>
                <w:sz w:val="24"/>
              </w:rPr>
              <w:t>分； C.方案中的各项要素不完整，出现文字描述含糊不清、内容空洞、分析内容不全面等情况的得</w:t>
            </w:r>
            <w:r>
              <w:rPr>
                <w:rFonts w:hint="eastAsia" w:ascii="宋体" w:hAnsi="宋体"/>
                <w:sz w:val="24"/>
                <w:lang w:val="en-US" w:eastAsia="zh-CN"/>
              </w:rPr>
              <w:t>2</w:t>
            </w:r>
            <w:r>
              <w:rPr>
                <w:rFonts w:hint="eastAsia" w:ascii="宋体" w:hAnsi="宋体"/>
                <w:sz w:val="24"/>
              </w:rPr>
              <w:t>分；</w:t>
            </w:r>
          </w:p>
          <w:p w14:paraId="2B1B4056">
            <w:pPr>
              <w:pStyle w:val="23"/>
              <w:keepNext w:val="0"/>
              <w:keepLines w:val="0"/>
              <w:widowControl/>
              <w:numPr>
                <w:ilvl w:val="0"/>
                <w:numId w:val="0"/>
              </w:numPr>
              <w:suppressLineNumbers w:val="0"/>
              <w:spacing w:before="0" w:beforeAutospacing="0" w:after="0" w:afterAutospacing="0" w:line="320" w:lineRule="exact"/>
              <w:ind w:left="0" w:leftChars="0" w:right="0" w:rightChars="0"/>
              <w:rPr>
                <w:rFonts w:hint="eastAsia" w:ascii="宋体" w:hAnsi="宋体"/>
                <w:sz w:val="24"/>
              </w:rPr>
            </w:pPr>
            <w:r>
              <w:rPr>
                <w:rFonts w:hint="eastAsia" w:ascii="宋体" w:hAnsi="宋体"/>
                <w:sz w:val="24"/>
              </w:rPr>
              <w:t>3、不提供方案得0分。</w:t>
            </w:r>
          </w:p>
        </w:tc>
        <w:tc>
          <w:tcPr>
            <w:tcW w:w="377" w:type="pct"/>
            <w:tcBorders>
              <w:top w:val="nil"/>
              <w:left w:val="nil"/>
              <w:bottom w:val="single" w:color="auto" w:sz="4" w:space="0"/>
              <w:right w:val="single" w:color="auto" w:sz="4" w:space="0"/>
            </w:tcBorders>
            <w:noWrap w:val="0"/>
            <w:vAlign w:val="center"/>
          </w:tcPr>
          <w:p w14:paraId="6041E7FA">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lang w:val="en-US" w:eastAsia="zh-CN"/>
              </w:rPr>
            </w:pPr>
            <w:r>
              <w:rPr>
                <w:rFonts w:hint="eastAsia" w:ascii="宋体" w:hAnsi="宋体" w:cs="宋体"/>
                <w:color w:val="auto"/>
                <w:szCs w:val="21"/>
                <w:lang w:val="en-US" w:eastAsia="zh-CN"/>
              </w:rPr>
              <w:t>10</w:t>
            </w:r>
          </w:p>
        </w:tc>
        <w:tc>
          <w:tcPr>
            <w:tcW w:w="314" w:type="pct"/>
            <w:tcBorders>
              <w:top w:val="nil"/>
              <w:left w:val="nil"/>
              <w:bottom w:val="single" w:color="auto" w:sz="4" w:space="0"/>
              <w:right w:val="single" w:color="auto" w:sz="4" w:space="0"/>
            </w:tcBorders>
            <w:noWrap w:val="0"/>
            <w:vAlign w:val="top"/>
          </w:tcPr>
          <w:p w14:paraId="1D0DB55D">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c>
          <w:tcPr>
            <w:tcW w:w="300" w:type="pct"/>
            <w:tcBorders>
              <w:top w:val="nil"/>
              <w:left w:val="nil"/>
              <w:bottom w:val="single" w:color="auto" w:sz="4" w:space="0"/>
              <w:right w:val="single" w:color="auto" w:sz="4" w:space="0"/>
            </w:tcBorders>
            <w:noWrap w:val="0"/>
            <w:vAlign w:val="top"/>
          </w:tcPr>
          <w:p w14:paraId="58E8C429">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c>
          <w:tcPr>
            <w:tcW w:w="300" w:type="pct"/>
            <w:tcBorders>
              <w:top w:val="nil"/>
              <w:left w:val="nil"/>
              <w:bottom w:val="single" w:color="auto" w:sz="4" w:space="0"/>
              <w:right w:val="single" w:color="auto" w:sz="4" w:space="0"/>
            </w:tcBorders>
            <w:noWrap w:val="0"/>
            <w:vAlign w:val="top"/>
          </w:tcPr>
          <w:p w14:paraId="261E8285">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r>
      <w:tr w14:paraId="7F1C69D4">
        <w:tblPrEx>
          <w:tblCellMar>
            <w:top w:w="0" w:type="dxa"/>
            <w:left w:w="108" w:type="dxa"/>
            <w:bottom w:w="0" w:type="dxa"/>
            <w:right w:w="108" w:type="dxa"/>
          </w:tblCellMar>
        </w:tblPrEx>
        <w:trPr>
          <w:trHeight w:val="833" w:hRule="atLeast"/>
          <w:jc w:val="center"/>
        </w:trPr>
        <w:tc>
          <w:tcPr>
            <w:tcW w:w="277" w:type="pct"/>
            <w:tcBorders>
              <w:top w:val="nil"/>
              <w:left w:val="single" w:color="auto" w:sz="4" w:space="0"/>
              <w:bottom w:val="single" w:color="auto" w:sz="4" w:space="0"/>
              <w:right w:val="single" w:color="auto" w:sz="4" w:space="0"/>
            </w:tcBorders>
            <w:noWrap w:val="0"/>
            <w:vAlign w:val="center"/>
          </w:tcPr>
          <w:p w14:paraId="6EDC64D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495" w:type="pct"/>
            <w:tcBorders>
              <w:top w:val="nil"/>
              <w:left w:val="single" w:color="auto" w:sz="4" w:space="0"/>
              <w:bottom w:val="single" w:color="auto" w:sz="4" w:space="0"/>
              <w:right w:val="single" w:color="auto" w:sz="4" w:space="0"/>
            </w:tcBorders>
            <w:noWrap w:val="0"/>
            <w:vAlign w:val="center"/>
          </w:tcPr>
          <w:p w14:paraId="2A3943D6">
            <w:pPr>
              <w:keepNext w:val="0"/>
              <w:keepLines w:val="0"/>
              <w:widowControl/>
              <w:suppressLineNumbers w:val="0"/>
              <w:spacing w:before="0" w:beforeAutospacing="0" w:after="0" w:afterAutospacing="0" w:line="320" w:lineRule="exact"/>
              <w:ind w:left="0" w:right="0"/>
              <w:jc w:val="center"/>
              <w:rPr>
                <w:rFonts w:hint="eastAsia" w:ascii="宋体" w:hAnsi="宋体"/>
                <w:b/>
                <w:sz w:val="24"/>
              </w:rPr>
            </w:pPr>
            <w:r>
              <w:rPr>
                <w:rFonts w:hint="eastAsia" w:ascii="宋体" w:hAnsi="宋体"/>
                <w:b/>
                <w:sz w:val="24"/>
              </w:rPr>
              <w:t>内部管理制度</w:t>
            </w:r>
          </w:p>
        </w:tc>
        <w:tc>
          <w:tcPr>
            <w:tcW w:w="2934" w:type="pct"/>
            <w:tcBorders>
              <w:top w:val="nil"/>
              <w:left w:val="nil"/>
              <w:bottom w:val="single" w:color="auto" w:sz="4" w:space="0"/>
              <w:right w:val="single" w:color="auto" w:sz="4" w:space="0"/>
            </w:tcBorders>
            <w:noWrap w:val="0"/>
            <w:vAlign w:val="center"/>
          </w:tcPr>
          <w:p w14:paraId="28D27F1B">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供应商根据对项目的采购需求提供内部管理制度，内容包含但不限于：工作人员薪酬体系，绩效考核办法，工作人员考勤管理制度等，根据方案的完整性及符合实际情况进行综合评分。</w:t>
            </w:r>
          </w:p>
          <w:p w14:paraId="337F9012">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1、根据方案的完整性进行评分，每具备上述列明的一项要素得</w:t>
            </w:r>
            <w:r>
              <w:rPr>
                <w:rFonts w:hint="eastAsia" w:ascii="宋体" w:hAnsi="宋体"/>
                <w:sz w:val="24"/>
                <w:lang w:val="en-US" w:eastAsia="zh-CN"/>
              </w:rPr>
              <w:t>1</w:t>
            </w:r>
            <w:r>
              <w:rPr>
                <w:rFonts w:hint="eastAsia" w:ascii="宋体" w:hAnsi="宋体"/>
                <w:sz w:val="24"/>
              </w:rPr>
              <w:t>分，最多得</w:t>
            </w:r>
            <w:r>
              <w:rPr>
                <w:rFonts w:hint="eastAsia" w:ascii="宋体" w:hAnsi="宋体"/>
                <w:sz w:val="24"/>
                <w:lang w:val="en-US" w:eastAsia="zh-CN"/>
              </w:rPr>
              <w:t>3</w:t>
            </w:r>
            <w:r>
              <w:rPr>
                <w:rFonts w:hint="eastAsia" w:ascii="宋体" w:hAnsi="宋体"/>
                <w:sz w:val="24"/>
              </w:rPr>
              <w:t xml:space="preserve">分。 </w:t>
            </w:r>
          </w:p>
          <w:p w14:paraId="6540118E">
            <w:pPr>
              <w:keepNext w:val="0"/>
              <w:keepLines w:val="0"/>
              <w:suppressLineNumbers w:val="0"/>
              <w:spacing w:before="0" w:beforeAutospacing="0" w:after="0" w:afterAutospacing="0" w:line="420" w:lineRule="exact"/>
              <w:ind w:left="0" w:right="0"/>
              <w:rPr>
                <w:rFonts w:hint="default" w:ascii="宋体" w:hAnsi="宋体"/>
                <w:sz w:val="24"/>
              </w:rPr>
            </w:pPr>
            <w:r>
              <w:rPr>
                <w:rFonts w:hint="eastAsia" w:ascii="宋体" w:hAnsi="宋体"/>
                <w:sz w:val="24"/>
              </w:rPr>
              <w:t>2、根据供应商提供的方案进行综合赋分：A.方案中的各项要素详细全面、完整、针对性强的得</w:t>
            </w:r>
            <w:r>
              <w:rPr>
                <w:rFonts w:hint="eastAsia" w:ascii="宋体" w:hAnsi="宋体"/>
                <w:sz w:val="24"/>
                <w:lang w:val="en-US" w:eastAsia="zh-CN"/>
              </w:rPr>
              <w:t>9</w:t>
            </w:r>
            <w:r>
              <w:rPr>
                <w:rFonts w:hint="eastAsia" w:ascii="宋体" w:hAnsi="宋体"/>
                <w:sz w:val="24"/>
              </w:rPr>
              <w:t>分；B.方案中的各项要素安排较为合理、具有一定针对性的得</w:t>
            </w:r>
            <w:r>
              <w:rPr>
                <w:rFonts w:hint="eastAsia" w:ascii="宋体" w:hAnsi="宋体"/>
                <w:sz w:val="24"/>
                <w:lang w:val="en-US" w:eastAsia="zh-CN"/>
              </w:rPr>
              <w:t>6</w:t>
            </w:r>
            <w:r>
              <w:rPr>
                <w:rFonts w:hint="eastAsia" w:ascii="宋体" w:hAnsi="宋体"/>
                <w:sz w:val="24"/>
              </w:rPr>
              <w:t>分； C.方案中的各项要素不完整，出现文字描述含糊不清、内容空洞、分析内容不全面等情况的得</w:t>
            </w:r>
            <w:r>
              <w:rPr>
                <w:rFonts w:hint="default" w:ascii="宋体" w:hAnsi="宋体"/>
                <w:sz w:val="24"/>
              </w:rPr>
              <w:t>3</w:t>
            </w:r>
            <w:r>
              <w:rPr>
                <w:rFonts w:hint="eastAsia" w:ascii="宋体" w:hAnsi="宋体"/>
                <w:sz w:val="24"/>
              </w:rPr>
              <w:t>分；</w:t>
            </w:r>
          </w:p>
          <w:p w14:paraId="66953A04">
            <w:pPr>
              <w:pStyle w:val="23"/>
              <w:keepNext w:val="0"/>
              <w:keepLines w:val="0"/>
              <w:widowControl/>
              <w:numPr>
                <w:ilvl w:val="0"/>
                <w:numId w:val="0"/>
              </w:numPr>
              <w:suppressLineNumbers w:val="0"/>
              <w:spacing w:before="0" w:beforeAutospacing="0" w:after="0" w:afterAutospacing="0" w:line="320" w:lineRule="exact"/>
              <w:ind w:left="0" w:leftChars="0" w:right="0" w:rightChars="0"/>
              <w:rPr>
                <w:rFonts w:hint="eastAsia" w:ascii="宋体" w:hAnsi="宋体"/>
                <w:sz w:val="24"/>
              </w:rPr>
            </w:pPr>
            <w:r>
              <w:rPr>
                <w:rFonts w:hint="eastAsia" w:ascii="宋体" w:hAnsi="宋体"/>
                <w:sz w:val="24"/>
              </w:rPr>
              <w:t>3、不提供方案得0分。</w:t>
            </w:r>
          </w:p>
        </w:tc>
        <w:tc>
          <w:tcPr>
            <w:tcW w:w="377" w:type="pct"/>
            <w:tcBorders>
              <w:top w:val="nil"/>
              <w:left w:val="nil"/>
              <w:bottom w:val="single" w:color="auto" w:sz="4" w:space="0"/>
              <w:right w:val="single" w:color="auto" w:sz="4" w:space="0"/>
            </w:tcBorders>
            <w:noWrap w:val="0"/>
            <w:vAlign w:val="center"/>
          </w:tcPr>
          <w:p w14:paraId="34FEFC86">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lang w:val="en-US" w:eastAsia="zh-CN"/>
              </w:rPr>
            </w:pPr>
            <w:r>
              <w:rPr>
                <w:rFonts w:hint="eastAsia" w:ascii="宋体" w:hAnsi="宋体" w:cs="宋体"/>
                <w:color w:val="auto"/>
                <w:szCs w:val="21"/>
                <w:lang w:val="en-US" w:eastAsia="zh-CN"/>
              </w:rPr>
              <w:t>12</w:t>
            </w:r>
          </w:p>
        </w:tc>
        <w:tc>
          <w:tcPr>
            <w:tcW w:w="314" w:type="pct"/>
            <w:tcBorders>
              <w:top w:val="nil"/>
              <w:left w:val="nil"/>
              <w:bottom w:val="single" w:color="auto" w:sz="4" w:space="0"/>
              <w:right w:val="single" w:color="auto" w:sz="4" w:space="0"/>
            </w:tcBorders>
            <w:noWrap w:val="0"/>
            <w:vAlign w:val="top"/>
          </w:tcPr>
          <w:p w14:paraId="5DA4ED8D">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c>
          <w:tcPr>
            <w:tcW w:w="300" w:type="pct"/>
            <w:tcBorders>
              <w:top w:val="nil"/>
              <w:left w:val="nil"/>
              <w:bottom w:val="single" w:color="auto" w:sz="4" w:space="0"/>
              <w:right w:val="single" w:color="auto" w:sz="4" w:space="0"/>
            </w:tcBorders>
            <w:noWrap w:val="0"/>
            <w:vAlign w:val="top"/>
          </w:tcPr>
          <w:p w14:paraId="50823299">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c>
          <w:tcPr>
            <w:tcW w:w="300" w:type="pct"/>
            <w:tcBorders>
              <w:top w:val="nil"/>
              <w:left w:val="nil"/>
              <w:bottom w:val="single" w:color="auto" w:sz="4" w:space="0"/>
              <w:right w:val="single" w:color="auto" w:sz="4" w:space="0"/>
            </w:tcBorders>
            <w:noWrap w:val="0"/>
            <w:vAlign w:val="top"/>
          </w:tcPr>
          <w:p w14:paraId="3E7D6693">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p>
        </w:tc>
      </w:tr>
      <w:tr w14:paraId="0E6BCB1D">
        <w:tblPrEx>
          <w:tblCellMar>
            <w:top w:w="0" w:type="dxa"/>
            <w:left w:w="108" w:type="dxa"/>
            <w:bottom w:w="0" w:type="dxa"/>
            <w:right w:w="108" w:type="dxa"/>
          </w:tblCellMar>
        </w:tblPrEx>
        <w:trPr>
          <w:trHeight w:val="617" w:hRule="atLeast"/>
          <w:jc w:val="center"/>
        </w:trPr>
        <w:tc>
          <w:tcPr>
            <w:tcW w:w="3707" w:type="pct"/>
            <w:gridSpan w:val="3"/>
            <w:tcBorders>
              <w:top w:val="nil"/>
              <w:left w:val="single" w:color="auto" w:sz="4" w:space="0"/>
              <w:bottom w:val="single" w:color="auto" w:sz="4" w:space="0"/>
              <w:right w:val="single" w:color="auto" w:sz="4" w:space="0"/>
            </w:tcBorders>
            <w:shd w:val="clear" w:color="auto" w:fill="DBEEF3"/>
            <w:noWrap w:val="0"/>
            <w:vAlign w:val="center"/>
          </w:tcPr>
          <w:p w14:paraId="0F42E638">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rPr>
            </w:pPr>
            <w:r>
              <w:rPr>
                <w:rFonts w:hint="eastAsia" w:ascii="宋体" w:hAnsi="宋体" w:cs="宋体"/>
                <w:b/>
                <w:bCs/>
                <w:color w:val="auto"/>
                <w:kern w:val="0"/>
                <w:szCs w:val="21"/>
              </w:rPr>
              <w:t>二</w:t>
            </w:r>
            <w:r>
              <w:rPr>
                <w:rFonts w:hint="eastAsia" w:ascii="宋体" w:hAnsi="宋体" w:cs="宋体"/>
                <w:b/>
                <w:bCs/>
                <w:color w:val="auto"/>
                <w:kern w:val="0"/>
                <w:szCs w:val="21"/>
                <w:lang w:eastAsia="zh-CN"/>
              </w:rPr>
              <w:t>、</w:t>
            </w:r>
            <w:r>
              <w:rPr>
                <w:rFonts w:hint="eastAsia" w:ascii="宋体" w:hAnsi="宋体" w:cs="宋体"/>
                <w:b/>
                <w:bCs/>
                <w:color w:val="auto"/>
                <w:kern w:val="0"/>
                <w:szCs w:val="21"/>
              </w:rPr>
              <w:t>商务部分</w:t>
            </w:r>
          </w:p>
        </w:tc>
        <w:tc>
          <w:tcPr>
            <w:tcW w:w="377" w:type="pct"/>
            <w:tcBorders>
              <w:top w:val="nil"/>
              <w:left w:val="single" w:color="auto" w:sz="4" w:space="0"/>
              <w:bottom w:val="single" w:color="auto" w:sz="4" w:space="0"/>
              <w:right w:val="single" w:color="auto" w:sz="4" w:space="0"/>
            </w:tcBorders>
            <w:shd w:val="clear" w:color="auto" w:fill="DBEEF3"/>
            <w:noWrap w:val="0"/>
            <w:vAlign w:val="center"/>
          </w:tcPr>
          <w:p w14:paraId="2222CAF5">
            <w:pPr>
              <w:keepNext w:val="0"/>
              <w:keepLines w:val="0"/>
              <w:widowControl/>
              <w:suppressLineNumbers w:val="0"/>
              <w:spacing w:before="0" w:beforeAutospacing="0" w:after="0" w:afterAutospacing="0" w:line="320" w:lineRule="exact"/>
              <w:ind w:left="0" w:right="0"/>
              <w:jc w:val="center"/>
              <w:rPr>
                <w:rFonts w:hint="default" w:ascii="宋体" w:hAnsi="宋体" w:cs="宋体"/>
                <w:b/>
                <w:bCs/>
                <w:color w:val="auto"/>
                <w:kern w:val="0"/>
                <w:szCs w:val="21"/>
              </w:rPr>
            </w:pPr>
            <w:r>
              <w:rPr>
                <w:rFonts w:hint="eastAsia" w:ascii="宋体" w:hAnsi="宋体" w:cs="宋体"/>
                <w:b/>
                <w:color w:val="auto"/>
                <w:szCs w:val="21"/>
                <w:lang w:val="en-US" w:eastAsia="zh-CN"/>
              </w:rPr>
              <w:t>30</w:t>
            </w:r>
            <w:r>
              <w:rPr>
                <w:rFonts w:hint="eastAsia" w:ascii="宋体" w:hAnsi="宋体" w:cs="宋体"/>
                <w:b/>
                <w:color w:val="auto"/>
                <w:szCs w:val="21"/>
              </w:rPr>
              <w:t>分</w:t>
            </w:r>
          </w:p>
        </w:tc>
        <w:tc>
          <w:tcPr>
            <w:tcW w:w="314" w:type="pct"/>
            <w:tcBorders>
              <w:top w:val="nil"/>
              <w:left w:val="single" w:color="auto" w:sz="4" w:space="0"/>
              <w:bottom w:val="single" w:color="auto" w:sz="4" w:space="0"/>
              <w:right w:val="single" w:color="auto" w:sz="4" w:space="0"/>
            </w:tcBorders>
            <w:shd w:val="clear" w:color="auto" w:fill="DBEEF3"/>
            <w:noWrap w:val="0"/>
            <w:vAlign w:val="top"/>
          </w:tcPr>
          <w:p w14:paraId="2E311D5B">
            <w:pPr>
              <w:keepNext w:val="0"/>
              <w:keepLines w:val="0"/>
              <w:widowControl/>
              <w:suppressLineNumbers w:val="0"/>
              <w:spacing w:before="0" w:beforeAutospacing="0" w:after="0" w:afterAutospacing="0" w:line="320" w:lineRule="exact"/>
              <w:ind w:left="0" w:right="0"/>
              <w:jc w:val="center"/>
              <w:rPr>
                <w:rFonts w:hint="default" w:ascii="宋体" w:hAnsi="宋体" w:cs="宋体"/>
                <w:b/>
                <w:color w:val="auto"/>
                <w:szCs w:val="21"/>
              </w:rPr>
            </w:pPr>
          </w:p>
        </w:tc>
        <w:tc>
          <w:tcPr>
            <w:tcW w:w="300" w:type="pct"/>
            <w:tcBorders>
              <w:top w:val="nil"/>
              <w:left w:val="single" w:color="auto" w:sz="4" w:space="0"/>
              <w:bottom w:val="single" w:color="auto" w:sz="4" w:space="0"/>
              <w:right w:val="single" w:color="auto" w:sz="4" w:space="0"/>
            </w:tcBorders>
            <w:shd w:val="clear" w:color="auto" w:fill="DBEEF3"/>
            <w:noWrap w:val="0"/>
            <w:vAlign w:val="top"/>
          </w:tcPr>
          <w:p w14:paraId="16265CDD">
            <w:pPr>
              <w:keepNext w:val="0"/>
              <w:keepLines w:val="0"/>
              <w:widowControl/>
              <w:suppressLineNumbers w:val="0"/>
              <w:spacing w:before="0" w:beforeAutospacing="0" w:after="0" w:afterAutospacing="0" w:line="320" w:lineRule="exact"/>
              <w:ind w:left="0" w:right="0"/>
              <w:jc w:val="center"/>
              <w:rPr>
                <w:rFonts w:hint="default" w:ascii="宋体" w:hAnsi="宋体" w:cs="宋体"/>
                <w:b/>
                <w:color w:val="auto"/>
                <w:szCs w:val="21"/>
              </w:rPr>
            </w:pPr>
          </w:p>
        </w:tc>
        <w:tc>
          <w:tcPr>
            <w:tcW w:w="300" w:type="pct"/>
            <w:tcBorders>
              <w:top w:val="nil"/>
              <w:left w:val="single" w:color="auto" w:sz="4" w:space="0"/>
              <w:bottom w:val="single" w:color="auto" w:sz="4" w:space="0"/>
              <w:right w:val="single" w:color="auto" w:sz="4" w:space="0"/>
            </w:tcBorders>
            <w:shd w:val="clear" w:color="auto" w:fill="DBEEF3"/>
            <w:noWrap w:val="0"/>
            <w:vAlign w:val="top"/>
          </w:tcPr>
          <w:p w14:paraId="0D7D074F">
            <w:pPr>
              <w:keepNext w:val="0"/>
              <w:keepLines w:val="0"/>
              <w:widowControl/>
              <w:suppressLineNumbers w:val="0"/>
              <w:spacing w:before="0" w:beforeAutospacing="0" w:after="0" w:afterAutospacing="0" w:line="320" w:lineRule="exact"/>
              <w:ind w:left="0" w:right="0"/>
              <w:jc w:val="center"/>
              <w:rPr>
                <w:rFonts w:hint="default" w:ascii="宋体" w:hAnsi="宋体" w:cs="宋体"/>
                <w:b/>
                <w:color w:val="auto"/>
                <w:szCs w:val="21"/>
              </w:rPr>
            </w:pPr>
          </w:p>
        </w:tc>
      </w:tr>
      <w:tr w14:paraId="7C50C598">
        <w:tblPrEx>
          <w:tblCellMar>
            <w:top w:w="0" w:type="dxa"/>
            <w:left w:w="108" w:type="dxa"/>
            <w:bottom w:w="0" w:type="dxa"/>
            <w:right w:w="108" w:type="dxa"/>
          </w:tblCellMar>
        </w:tblPrEx>
        <w:trPr>
          <w:trHeight w:val="1117" w:hRule="atLeast"/>
          <w:jc w:val="center"/>
        </w:trPr>
        <w:tc>
          <w:tcPr>
            <w:tcW w:w="277" w:type="pct"/>
            <w:tcBorders>
              <w:top w:val="single" w:color="auto" w:sz="4" w:space="0"/>
              <w:left w:val="single" w:color="auto" w:sz="4" w:space="0"/>
              <w:bottom w:val="single" w:color="auto" w:sz="4" w:space="0"/>
              <w:right w:val="single" w:color="auto" w:sz="4" w:space="0"/>
            </w:tcBorders>
            <w:noWrap w:val="0"/>
            <w:vAlign w:val="center"/>
          </w:tcPr>
          <w:p w14:paraId="0061FF30">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r>
              <w:rPr>
                <w:rFonts w:hint="eastAsia" w:ascii="宋体" w:hAnsi="宋体" w:cs="宋体"/>
                <w:color w:val="auto"/>
                <w:kern w:val="0"/>
                <w:szCs w:val="21"/>
              </w:rPr>
              <w:t>1</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352BAA58">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r>
              <w:rPr>
                <w:rFonts w:hint="eastAsia" w:ascii="宋体" w:hAnsi="宋体" w:cs="宋体"/>
                <w:color w:val="auto"/>
                <w:kern w:val="0"/>
                <w:szCs w:val="21"/>
              </w:rPr>
              <w:t>类似业绩</w:t>
            </w:r>
          </w:p>
        </w:tc>
        <w:tc>
          <w:tcPr>
            <w:tcW w:w="2934" w:type="pct"/>
            <w:tcBorders>
              <w:top w:val="single" w:color="auto" w:sz="4" w:space="0"/>
              <w:left w:val="nil"/>
              <w:bottom w:val="single" w:color="auto" w:sz="4" w:space="0"/>
              <w:right w:val="single" w:color="auto" w:sz="4" w:space="0"/>
            </w:tcBorders>
            <w:noWrap w:val="0"/>
            <w:vAlign w:val="center"/>
          </w:tcPr>
          <w:p w14:paraId="0DE24730">
            <w:pPr>
              <w:keepNext w:val="0"/>
              <w:keepLines w:val="0"/>
              <w:widowControl/>
              <w:suppressLineNumbers w:val="0"/>
              <w:autoSpaceDE/>
              <w:autoSpaceDN/>
              <w:adjustRightInd/>
              <w:spacing w:before="0" w:beforeAutospacing="0" w:after="0" w:afterAutospacing="0" w:line="320" w:lineRule="exact"/>
              <w:ind w:left="0" w:right="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供应商202</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lang w:eastAsia="zh-CN"/>
              </w:rPr>
              <w:t>年1月1日以来承接过计算机相关硬件设备运维服务合同业绩，每提供一个得</w:t>
            </w:r>
            <w:r>
              <w:rPr>
                <w:rFonts w:hint="eastAsia" w:ascii="宋体" w:hAnsi="宋体" w:cs="宋体"/>
                <w:color w:val="auto"/>
                <w:kern w:val="0"/>
                <w:szCs w:val="21"/>
                <w:lang w:eastAsia="zh"/>
              </w:rPr>
              <w:t>2</w:t>
            </w:r>
            <w:r>
              <w:rPr>
                <w:rFonts w:hint="eastAsia" w:ascii="宋体" w:hAnsi="宋体" w:eastAsia="宋体" w:cs="宋体"/>
                <w:color w:val="auto"/>
                <w:kern w:val="0"/>
                <w:szCs w:val="21"/>
                <w:lang w:eastAsia="zh-CN"/>
              </w:rPr>
              <w:t>分，本项最高得10分。</w:t>
            </w:r>
          </w:p>
          <w:p w14:paraId="3E8D215F">
            <w:pPr>
              <w:keepNext w:val="0"/>
              <w:keepLines w:val="0"/>
              <w:widowControl/>
              <w:suppressLineNumbers w:val="0"/>
              <w:autoSpaceDE/>
              <w:autoSpaceDN/>
              <w:adjustRightInd/>
              <w:spacing w:before="0" w:beforeAutospacing="0" w:after="0" w:afterAutospacing="0" w:line="320" w:lineRule="exact"/>
              <w:ind w:left="0" w:right="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证明材料：提供业绩合同首页及落款签章页复印件并加盖公章，时间以落款时间或签订时间为准，不提供不得分。</w:t>
            </w:r>
          </w:p>
        </w:tc>
        <w:tc>
          <w:tcPr>
            <w:tcW w:w="377" w:type="pct"/>
            <w:tcBorders>
              <w:top w:val="single" w:color="auto" w:sz="4" w:space="0"/>
              <w:left w:val="nil"/>
              <w:bottom w:val="single" w:color="auto" w:sz="4" w:space="0"/>
              <w:right w:val="single" w:color="auto" w:sz="4" w:space="0"/>
            </w:tcBorders>
            <w:noWrap w:val="0"/>
            <w:vAlign w:val="center"/>
          </w:tcPr>
          <w:p w14:paraId="641DD736">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lang w:val="en-US"/>
              </w:rPr>
            </w:pPr>
            <w:r>
              <w:rPr>
                <w:rFonts w:hint="eastAsia" w:ascii="宋体" w:hAnsi="宋体" w:cs="宋体"/>
                <w:color w:val="auto"/>
                <w:kern w:val="0"/>
                <w:szCs w:val="21"/>
                <w:lang w:val="en-US" w:eastAsia="zh-CN"/>
              </w:rPr>
              <w:t>10</w:t>
            </w:r>
          </w:p>
        </w:tc>
        <w:tc>
          <w:tcPr>
            <w:tcW w:w="314" w:type="pct"/>
            <w:tcBorders>
              <w:top w:val="single" w:color="auto" w:sz="4" w:space="0"/>
              <w:left w:val="nil"/>
              <w:bottom w:val="single" w:color="auto" w:sz="4" w:space="0"/>
              <w:right w:val="single" w:color="auto" w:sz="4" w:space="0"/>
            </w:tcBorders>
            <w:noWrap w:val="0"/>
            <w:vAlign w:val="top"/>
          </w:tcPr>
          <w:p w14:paraId="7F6236C8">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single" w:color="auto" w:sz="4" w:space="0"/>
              <w:left w:val="nil"/>
              <w:bottom w:val="single" w:color="auto" w:sz="4" w:space="0"/>
              <w:right w:val="single" w:color="auto" w:sz="4" w:space="0"/>
            </w:tcBorders>
            <w:noWrap w:val="0"/>
            <w:vAlign w:val="top"/>
          </w:tcPr>
          <w:p w14:paraId="7F5C184C">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single" w:color="auto" w:sz="4" w:space="0"/>
              <w:left w:val="nil"/>
              <w:bottom w:val="single" w:color="auto" w:sz="4" w:space="0"/>
              <w:right w:val="single" w:color="auto" w:sz="4" w:space="0"/>
            </w:tcBorders>
            <w:noWrap w:val="0"/>
            <w:vAlign w:val="top"/>
          </w:tcPr>
          <w:p w14:paraId="044E8E98">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p>
        </w:tc>
      </w:tr>
      <w:tr w14:paraId="7514E24E">
        <w:tblPrEx>
          <w:tblCellMar>
            <w:top w:w="0" w:type="dxa"/>
            <w:left w:w="108" w:type="dxa"/>
            <w:bottom w:w="0" w:type="dxa"/>
            <w:right w:w="108" w:type="dxa"/>
          </w:tblCellMar>
        </w:tblPrEx>
        <w:trPr>
          <w:trHeight w:val="1149" w:hRule="atLeast"/>
          <w:jc w:val="center"/>
        </w:trPr>
        <w:tc>
          <w:tcPr>
            <w:tcW w:w="277" w:type="pct"/>
            <w:tcBorders>
              <w:top w:val="single" w:color="auto" w:sz="4" w:space="0"/>
              <w:left w:val="single" w:color="auto" w:sz="4" w:space="0"/>
              <w:bottom w:val="single" w:color="auto" w:sz="4" w:space="0"/>
              <w:right w:val="single" w:color="auto" w:sz="4" w:space="0"/>
            </w:tcBorders>
            <w:noWrap w:val="0"/>
            <w:vAlign w:val="center"/>
          </w:tcPr>
          <w:p w14:paraId="12D913A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306C9367">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r>
              <w:rPr>
                <w:rFonts w:hint="eastAsia" w:ascii="宋体" w:hAnsi="宋体" w:cs="宋体"/>
                <w:color w:val="auto"/>
                <w:szCs w:val="21"/>
              </w:rPr>
              <w:t>项目团队人员配备</w:t>
            </w:r>
          </w:p>
        </w:tc>
        <w:tc>
          <w:tcPr>
            <w:tcW w:w="2934" w:type="pct"/>
            <w:tcBorders>
              <w:top w:val="single" w:color="auto" w:sz="4" w:space="0"/>
              <w:left w:val="single" w:color="auto" w:sz="4" w:space="0"/>
              <w:bottom w:val="single" w:color="auto" w:sz="4" w:space="0"/>
              <w:right w:val="single" w:color="auto" w:sz="4" w:space="0"/>
            </w:tcBorders>
            <w:noWrap w:val="0"/>
            <w:vAlign w:val="center"/>
          </w:tcPr>
          <w:p w14:paraId="1A33C843">
            <w:pPr>
              <w:pStyle w:val="18"/>
              <w:keepNext w:val="0"/>
              <w:keepLines w:val="0"/>
              <w:widowControl/>
              <w:suppressLineNumbers w:val="0"/>
              <w:autoSpaceDE/>
              <w:autoSpaceDN/>
              <w:spacing w:before="0" w:beforeAutospacing="0" w:after="0" w:afterAutospacing="0" w:line="320" w:lineRule="exact"/>
              <w:ind w:left="0" w:right="0" w:firstLine="0" w:firstLineChars="0"/>
              <w:rPr>
                <w:rFonts w:hint="default"/>
                <w:color w:val="auto"/>
                <w:sz w:val="24"/>
                <w:szCs w:val="22"/>
              </w:rPr>
            </w:pPr>
            <w:r>
              <w:rPr>
                <w:rFonts w:hint="default"/>
                <w:color w:val="auto"/>
                <w:sz w:val="24"/>
                <w:szCs w:val="22"/>
              </w:rPr>
              <w:t>（1）满足驻场人员人数的（3人），得9分，每缺少一人扣3分。</w:t>
            </w:r>
          </w:p>
          <w:p w14:paraId="2362B7B3">
            <w:pPr>
              <w:pStyle w:val="18"/>
              <w:keepNext w:val="0"/>
              <w:keepLines w:val="0"/>
              <w:widowControl/>
              <w:suppressLineNumbers w:val="0"/>
              <w:autoSpaceDE/>
              <w:autoSpaceDN/>
              <w:spacing w:before="0" w:beforeAutospacing="0" w:after="0" w:afterAutospacing="0" w:line="320" w:lineRule="exact"/>
              <w:ind w:left="0" w:right="0" w:firstLine="0" w:firstLineChars="0"/>
              <w:rPr>
                <w:rFonts w:hint="default"/>
                <w:color w:val="auto"/>
                <w:sz w:val="24"/>
                <w:szCs w:val="22"/>
              </w:rPr>
            </w:pPr>
            <w:r>
              <w:rPr>
                <w:rFonts w:hint="default"/>
                <w:color w:val="auto"/>
                <w:sz w:val="24"/>
                <w:szCs w:val="22"/>
              </w:rPr>
              <w:t>（2）非驻场服务人员（包含但不限于负责外勤的人员、管理人员等），拟派1名得2分，满分6分。</w:t>
            </w:r>
          </w:p>
          <w:p w14:paraId="506984BE">
            <w:pPr>
              <w:pStyle w:val="18"/>
              <w:keepNext w:val="0"/>
              <w:keepLines w:val="0"/>
              <w:widowControl/>
              <w:suppressLineNumbers w:val="0"/>
              <w:autoSpaceDE/>
              <w:autoSpaceDN/>
              <w:spacing w:before="0" w:beforeAutospacing="0" w:after="0" w:afterAutospacing="0" w:line="320" w:lineRule="exact"/>
              <w:ind w:left="0" w:right="0" w:firstLine="0" w:firstLineChars="0"/>
              <w:rPr>
                <w:rFonts w:hint="default"/>
                <w:color w:val="auto"/>
                <w:szCs w:val="20"/>
              </w:rPr>
            </w:pPr>
            <w:r>
              <w:rPr>
                <w:rFonts w:hint="default"/>
                <w:color w:val="auto"/>
                <w:sz w:val="24"/>
                <w:szCs w:val="22"/>
              </w:rPr>
              <w:t>证明材料：提供承诺函、202</w:t>
            </w:r>
            <w:r>
              <w:rPr>
                <w:rFonts w:hint="eastAsia"/>
                <w:color w:val="auto"/>
                <w:sz w:val="24"/>
                <w:szCs w:val="22"/>
                <w:lang w:val="en-US" w:eastAsia="zh-CN"/>
              </w:rPr>
              <w:t>6</w:t>
            </w:r>
            <w:r>
              <w:rPr>
                <w:rFonts w:hint="default"/>
                <w:color w:val="auto"/>
                <w:sz w:val="24"/>
                <w:szCs w:val="22"/>
              </w:rPr>
              <w:t>年任意一个月在本单位缴纳社保证明，复印件加盖公章。</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36B0332">
            <w:pPr>
              <w:keepNext w:val="0"/>
              <w:keepLines w:val="0"/>
              <w:widowControl/>
              <w:suppressLineNumbers w:val="0"/>
              <w:spacing w:before="0" w:beforeAutospacing="0" w:after="0" w:afterAutospacing="0" w:line="320" w:lineRule="exact"/>
              <w:ind w:left="0" w:right="0"/>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w:t>
            </w:r>
          </w:p>
        </w:tc>
        <w:tc>
          <w:tcPr>
            <w:tcW w:w="314" w:type="pct"/>
            <w:tcBorders>
              <w:top w:val="single" w:color="auto" w:sz="4" w:space="0"/>
              <w:left w:val="single" w:color="auto" w:sz="4" w:space="0"/>
              <w:bottom w:val="single" w:color="auto" w:sz="4" w:space="0"/>
              <w:right w:val="single" w:color="auto" w:sz="4" w:space="0"/>
            </w:tcBorders>
            <w:noWrap w:val="0"/>
            <w:vAlign w:val="top"/>
          </w:tcPr>
          <w:p w14:paraId="486BD47E">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single" w:color="auto" w:sz="4" w:space="0"/>
              <w:left w:val="single" w:color="auto" w:sz="4" w:space="0"/>
              <w:bottom w:val="single" w:color="auto" w:sz="4" w:space="0"/>
              <w:right w:val="single" w:color="auto" w:sz="4" w:space="0"/>
            </w:tcBorders>
            <w:noWrap w:val="0"/>
            <w:vAlign w:val="top"/>
          </w:tcPr>
          <w:p w14:paraId="6734F1D6">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single" w:color="auto" w:sz="4" w:space="0"/>
              <w:left w:val="single" w:color="auto" w:sz="4" w:space="0"/>
              <w:bottom w:val="single" w:color="auto" w:sz="4" w:space="0"/>
              <w:right w:val="single" w:color="auto" w:sz="4" w:space="0"/>
            </w:tcBorders>
            <w:noWrap w:val="0"/>
            <w:vAlign w:val="top"/>
          </w:tcPr>
          <w:p w14:paraId="082401D2">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r>
      <w:tr w14:paraId="50F63CA4">
        <w:tblPrEx>
          <w:tblCellMar>
            <w:top w:w="0" w:type="dxa"/>
            <w:left w:w="108" w:type="dxa"/>
            <w:bottom w:w="0" w:type="dxa"/>
            <w:right w:w="108" w:type="dxa"/>
          </w:tblCellMar>
        </w:tblPrEx>
        <w:trPr>
          <w:trHeight w:val="1149" w:hRule="atLeast"/>
          <w:jc w:val="center"/>
        </w:trPr>
        <w:tc>
          <w:tcPr>
            <w:tcW w:w="277" w:type="pct"/>
            <w:tcBorders>
              <w:top w:val="single" w:color="auto" w:sz="4" w:space="0"/>
              <w:left w:val="single" w:color="auto" w:sz="4" w:space="0"/>
              <w:bottom w:val="single" w:color="auto" w:sz="4" w:space="0"/>
              <w:right w:val="single" w:color="auto" w:sz="4" w:space="0"/>
            </w:tcBorders>
            <w:noWrap w:val="0"/>
            <w:vAlign w:val="center"/>
          </w:tcPr>
          <w:p w14:paraId="34F15766">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0737C716">
            <w:pPr>
              <w:keepNext w:val="0"/>
              <w:keepLines w:val="0"/>
              <w:widowControl/>
              <w:suppressLineNumbers w:val="0"/>
              <w:spacing w:before="0" w:beforeAutospacing="0" w:after="0" w:afterAutospacing="0" w:line="320" w:lineRule="exact"/>
              <w:ind w:left="0" w:right="0"/>
              <w:jc w:val="center"/>
              <w:rPr>
                <w:rFonts w:hint="eastAsia" w:ascii="宋体" w:hAnsi="宋体" w:cs="宋体"/>
                <w:color w:val="auto"/>
                <w:szCs w:val="21"/>
              </w:rPr>
            </w:pPr>
            <w:r>
              <w:rPr>
                <w:rFonts w:hint="default"/>
                <w:color w:val="auto"/>
                <w:sz w:val="24"/>
                <w:szCs w:val="22"/>
              </w:rPr>
              <w:t>专业能力</w:t>
            </w:r>
          </w:p>
        </w:tc>
        <w:tc>
          <w:tcPr>
            <w:tcW w:w="2934" w:type="pct"/>
            <w:tcBorders>
              <w:top w:val="single" w:color="auto" w:sz="4" w:space="0"/>
              <w:left w:val="single" w:color="auto" w:sz="4" w:space="0"/>
              <w:bottom w:val="single" w:color="auto" w:sz="4" w:space="0"/>
              <w:right w:val="single" w:color="auto" w:sz="4" w:space="0"/>
            </w:tcBorders>
            <w:noWrap w:val="0"/>
            <w:vAlign w:val="center"/>
          </w:tcPr>
          <w:p w14:paraId="65E86533">
            <w:pPr>
              <w:pStyle w:val="18"/>
              <w:keepNext w:val="0"/>
              <w:keepLines w:val="0"/>
              <w:widowControl/>
              <w:suppressLineNumbers w:val="0"/>
              <w:autoSpaceDE/>
              <w:autoSpaceDN/>
              <w:spacing w:before="0" w:beforeAutospacing="0" w:after="0" w:afterAutospacing="0" w:line="320" w:lineRule="exact"/>
              <w:ind w:left="0" w:right="0" w:firstLine="0" w:firstLineChars="0"/>
              <w:rPr>
                <w:rFonts w:hint="default"/>
                <w:color w:val="auto"/>
                <w:sz w:val="24"/>
                <w:szCs w:val="22"/>
              </w:rPr>
            </w:pPr>
            <w:r>
              <w:rPr>
                <w:rFonts w:hint="default"/>
                <w:color w:val="auto"/>
                <w:sz w:val="24"/>
                <w:szCs w:val="22"/>
              </w:rPr>
              <w:t>供应商具备通用计算机或打印机或复印机配送售后维修服务资质（包括但不限于惠普、联想、爱普生、戴尔、立思辰等），如授权服务中心证书等，每提供一份证明文件得3分，本项满分15分；</w:t>
            </w:r>
          </w:p>
          <w:p w14:paraId="00875E45">
            <w:pPr>
              <w:pStyle w:val="18"/>
              <w:keepNext w:val="0"/>
              <w:keepLines w:val="0"/>
              <w:widowControl/>
              <w:suppressLineNumbers w:val="0"/>
              <w:autoSpaceDE/>
              <w:autoSpaceDN/>
              <w:spacing w:before="0" w:beforeAutospacing="0" w:after="0" w:afterAutospacing="0" w:line="320" w:lineRule="exact"/>
              <w:ind w:left="0" w:right="0" w:firstLine="0" w:firstLineChars="0"/>
              <w:rPr>
                <w:rFonts w:hint="default"/>
                <w:color w:val="auto"/>
                <w:sz w:val="24"/>
                <w:szCs w:val="22"/>
              </w:rPr>
            </w:pPr>
            <w:r>
              <w:rPr>
                <w:rFonts w:hint="default"/>
                <w:color w:val="auto"/>
                <w:sz w:val="24"/>
                <w:szCs w:val="22"/>
              </w:rPr>
              <w:t>证明材料：提供承诺函并加盖公章，证明文件的复印件加盖公章。</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1A058ED4">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15</w:t>
            </w:r>
          </w:p>
        </w:tc>
        <w:tc>
          <w:tcPr>
            <w:tcW w:w="314" w:type="pct"/>
            <w:tcBorders>
              <w:top w:val="single" w:color="auto" w:sz="4" w:space="0"/>
              <w:left w:val="single" w:color="auto" w:sz="4" w:space="0"/>
              <w:bottom w:val="single" w:color="auto" w:sz="4" w:space="0"/>
              <w:right w:val="single" w:color="auto" w:sz="4" w:space="0"/>
            </w:tcBorders>
            <w:noWrap w:val="0"/>
            <w:vAlign w:val="top"/>
          </w:tcPr>
          <w:p w14:paraId="509B56AD">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single" w:color="auto" w:sz="4" w:space="0"/>
              <w:left w:val="single" w:color="auto" w:sz="4" w:space="0"/>
              <w:bottom w:val="single" w:color="auto" w:sz="4" w:space="0"/>
              <w:right w:val="single" w:color="auto" w:sz="4" w:space="0"/>
            </w:tcBorders>
            <w:noWrap w:val="0"/>
            <w:vAlign w:val="top"/>
          </w:tcPr>
          <w:p w14:paraId="29C4C2D2">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single" w:color="auto" w:sz="4" w:space="0"/>
              <w:left w:val="single" w:color="auto" w:sz="4" w:space="0"/>
              <w:bottom w:val="single" w:color="auto" w:sz="4" w:space="0"/>
              <w:right w:val="single" w:color="auto" w:sz="4" w:space="0"/>
            </w:tcBorders>
            <w:noWrap w:val="0"/>
            <w:vAlign w:val="top"/>
          </w:tcPr>
          <w:p w14:paraId="785E6A00">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kern w:val="0"/>
                <w:szCs w:val="21"/>
              </w:rPr>
            </w:pPr>
          </w:p>
        </w:tc>
      </w:tr>
      <w:tr w14:paraId="2665A572">
        <w:tblPrEx>
          <w:tblCellMar>
            <w:top w:w="0" w:type="dxa"/>
            <w:left w:w="108" w:type="dxa"/>
            <w:bottom w:w="0" w:type="dxa"/>
            <w:right w:w="108" w:type="dxa"/>
          </w:tblCellMar>
        </w:tblPrEx>
        <w:trPr>
          <w:trHeight w:val="539" w:hRule="atLeast"/>
          <w:jc w:val="center"/>
        </w:trPr>
        <w:tc>
          <w:tcPr>
            <w:tcW w:w="3707" w:type="pct"/>
            <w:gridSpan w:val="3"/>
            <w:tcBorders>
              <w:top w:val="nil"/>
              <w:left w:val="single" w:color="auto" w:sz="4" w:space="0"/>
              <w:bottom w:val="single" w:color="auto" w:sz="4" w:space="0"/>
              <w:right w:val="single" w:color="auto" w:sz="4" w:space="0"/>
            </w:tcBorders>
            <w:shd w:val="clear" w:color="auto" w:fill="DBEEF3"/>
            <w:noWrap w:val="0"/>
            <w:vAlign w:val="center"/>
          </w:tcPr>
          <w:p w14:paraId="76397C89">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rPr>
            </w:pPr>
            <w:r>
              <w:rPr>
                <w:rFonts w:hint="eastAsia" w:ascii="宋体" w:hAnsi="宋体" w:cs="宋体"/>
                <w:b/>
                <w:bCs/>
                <w:color w:val="auto"/>
                <w:kern w:val="0"/>
                <w:szCs w:val="21"/>
              </w:rPr>
              <w:t>三</w:t>
            </w:r>
            <w:r>
              <w:rPr>
                <w:rFonts w:hint="eastAsia" w:ascii="宋体" w:hAnsi="宋体" w:cs="宋体"/>
                <w:b/>
                <w:bCs/>
                <w:color w:val="auto"/>
                <w:kern w:val="0"/>
                <w:szCs w:val="21"/>
                <w:lang w:eastAsia="zh-CN"/>
              </w:rPr>
              <w:t>、</w:t>
            </w:r>
            <w:r>
              <w:rPr>
                <w:rFonts w:hint="eastAsia" w:ascii="宋体" w:hAnsi="宋体" w:cs="宋体"/>
                <w:b/>
                <w:bCs/>
                <w:color w:val="auto"/>
                <w:kern w:val="0"/>
                <w:szCs w:val="21"/>
              </w:rPr>
              <w:t>价格部分</w:t>
            </w:r>
          </w:p>
        </w:tc>
        <w:tc>
          <w:tcPr>
            <w:tcW w:w="377" w:type="pct"/>
            <w:tcBorders>
              <w:top w:val="nil"/>
              <w:left w:val="single" w:color="auto" w:sz="4" w:space="0"/>
              <w:bottom w:val="single" w:color="auto" w:sz="4" w:space="0"/>
              <w:right w:val="single" w:color="auto" w:sz="4" w:space="0"/>
            </w:tcBorders>
            <w:shd w:val="clear" w:color="auto" w:fill="DBEEF3"/>
            <w:noWrap w:val="0"/>
            <w:vAlign w:val="center"/>
          </w:tcPr>
          <w:p w14:paraId="2CC3A681">
            <w:pPr>
              <w:keepNext w:val="0"/>
              <w:keepLines w:val="0"/>
              <w:widowControl/>
              <w:suppressLineNumbers w:val="0"/>
              <w:spacing w:before="0" w:beforeAutospacing="0" w:after="0" w:afterAutospacing="0" w:line="320" w:lineRule="exact"/>
              <w:ind w:left="0" w:right="0"/>
              <w:jc w:val="center"/>
              <w:rPr>
                <w:rFonts w:hint="default" w:ascii="宋体" w:hAnsi="宋体" w:cs="宋体"/>
                <w:b/>
                <w:bCs/>
                <w:color w:val="auto"/>
                <w:kern w:val="0"/>
                <w:szCs w:val="21"/>
              </w:rPr>
            </w:pPr>
            <w:r>
              <w:rPr>
                <w:rFonts w:hint="eastAsia" w:ascii="宋体" w:hAnsi="宋体" w:cs="宋体"/>
                <w:b/>
                <w:bCs/>
                <w:color w:val="auto"/>
                <w:kern w:val="0"/>
                <w:szCs w:val="21"/>
                <w:lang w:val="en-US" w:eastAsia="zh-CN"/>
              </w:rPr>
              <w:t>20</w:t>
            </w:r>
            <w:r>
              <w:rPr>
                <w:rFonts w:hint="eastAsia" w:ascii="宋体" w:hAnsi="宋体" w:cs="宋体"/>
                <w:b/>
                <w:bCs/>
                <w:color w:val="auto"/>
                <w:kern w:val="0"/>
                <w:szCs w:val="21"/>
              </w:rPr>
              <w:t>分</w:t>
            </w:r>
          </w:p>
        </w:tc>
        <w:tc>
          <w:tcPr>
            <w:tcW w:w="314" w:type="pct"/>
            <w:tcBorders>
              <w:top w:val="nil"/>
              <w:left w:val="single" w:color="auto" w:sz="4" w:space="0"/>
              <w:bottom w:val="single" w:color="auto" w:sz="4" w:space="0"/>
              <w:right w:val="single" w:color="auto" w:sz="4" w:space="0"/>
            </w:tcBorders>
            <w:shd w:val="clear" w:color="auto" w:fill="DBEEF3"/>
            <w:noWrap w:val="0"/>
            <w:vAlign w:val="top"/>
          </w:tcPr>
          <w:p w14:paraId="2FF4688B">
            <w:pPr>
              <w:keepNext w:val="0"/>
              <w:keepLines w:val="0"/>
              <w:widowControl/>
              <w:suppressLineNumbers w:val="0"/>
              <w:spacing w:before="0" w:beforeAutospacing="0" w:after="0" w:afterAutospacing="0" w:line="320" w:lineRule="exact"/>
              <w:ind w:left="0" w:right="0"/>
              <w:jc w:val="center"/>
              <w:rPr>
                <w:rFonts w:hint="default" w:ascii="宋体" w:hAnsi="宋体" w:cs="宋体"/>
                <w:b/>
                <w:bCs/>
                <w:color w:val="auto"/>
                <w:kern w:val="0"/>
                <w:szCs w:val="21"/>
              </w:rPr>
            </w:pPr>
          </w:p>
        </w:tc>
        <w:tc>
          <w:tcPr>
            <w:tcW w:w="300" w:type="pct"/>
            <w:tcBorders>
              <w:top w:val="nil"/>
              <w:left w:val="single" w:color="auto" w:sz="4" w:space="0"/>
              <w:bottom w:val="single" w:color="auto" w:sz="4" w:space="0"/>
              <w:right w:val="single" w:color="auto" w:sz="4" w:space="0"/>
            </w:tcBorders>
            <w:shd w:val="clear" w:color="auto" w:fill="DBEEF3"/>
            <w:noWrap w:val="0"/>
            <w:vAlign w:val="top"/>
          </w:tcPr>
          <w:p w14:paraId="7D45D09F">
            <w:pPr>
              <w:keepNext w:val="0"/>
              <w:keepLines w:val="0"/>
              <w:widowControl/>
              <w:suppressLineNumbers w:val="0"/>
              <w:spacing w:before="0" w:beforeAutospacing="0" w:after="0" w:afterAutospacing="0" w:line="320" w:lineRule="exact"/>
              <w:ind w:left="0" w:right="0"/>
              <w:jc w:val="center"/>
              <w:rPr>
                <w:rFonts w:hint="default" w:ascii="宋体" w:hAnsi="宋体" w:cs="宋体"/>
                <w:b/>
                <w:bCs/>
                <w:color w:val="auto"/>
                <w:kern w:val="0"/>
                <w:szCs w:val="21"/>
              </w:rPr>
            </w:pPr>
          </w:p>
        </w:tc>
        <w:tc>
          <w:tcPr>
            <w:tcW w:w="300" w:type="pct"/>
            <w:tcBorders>
              <w:top w:val="nil"/>
              <w:left w:val="single" w:color="auto" w:sz="4" w:space="0"/>
              <w:bottom w:val="single" w:color="auto" w:sz="4" w:space="0"/>
              <w:right w:val="single" w:color="auto" w:sz="4" w:space="0"/>
            </w:tcBorders>
            <w:shd w:val="clear" w:color="auto" w:fill="DBEEF3"/>
            <w:noWrap w:val="0"/>
            <w:vAlign w:val="top"/>
          </w:tcPr>
          <w:p w14:paraId="13AAFBA6">
            <w:pPr>
              <w:keepNext w:val="0"/>
              <w:keepLines w:val="0"/>
              <w:widowControl/>
              <w:suppressLineNumbers w:val="0"/>
              <w:spacing w:before="0" w:beforeAutospacing="0" w:after="0" w:afterAutospacing="0" w:line="320" w:lineRule="exact"/>
              <w:ind w:left="0" w:right="0"/>
              <w:jc w:val="center"/>
              <w:rPr>
                <w:rFonts w:hint="default" w:ascii="宋体" w:hAnsi="宋体" w:cs="宋体"/>
                <w:b/>
                <w:bCs/>
                <w:color w:val="auto"/>
                <w:kern w:val="0"/>
                <w:szCs w:val="21"/>
              </w:rPr>
            </w:pPr>
          </w:p>
        </w:tc>
      </w:tr>
      <w:tr w14:paraId="3BCE3B3C">
        <w:tblPrEx>
          <w:tblCellMar>
            <w:top w:w="0" w:type="dxa"/>
            <w:left w:w="108" w:type="dxa"/>
            <w:bottom w:w="0" w:type="dxa"/>
            <w:right w:w="108" w:type="dxa"/>
          </w:tblCellMar>
        </w:tblPrEx>
        <w:trPr>
          <w:trHeight w:val="969" w:hRule="atLeast"/>
          <w:jc w:val="center"/>
        </w:trPr>
        <w:tc>
          <w:tcPr>
            <w:tcW w:w="277" w:type="pct"/>
            <w:tcBorders>
              <w:top w:val="nil"/>
              <w:left w:val="single" w:color="auto" w:sz="4" w:space="0"/>
              <w:bottom w:val="single" w:color="auto" w:sz="4" w:space="0"/>
              <w:right w:val="single" w:color="auto" w:sz="4" w:space="0"/>
            </w:tcBorders>
            <w:noWrap w:val="0"/>
            <w:vAlign w:val="center"/>
          </w:tcPr>
          <w:p w14:paraId="7D7713DE">
            <w:pPr>
              <w:keepNext w:val="0"/>
              <w:keepLines w:val="0"/>
              <w:widowControl/>
              <w:suppressLineNumbers w:val="0"/>
              <w:spacing w:before="0" w:beforeAutospacing="0" w:after="0" w:afterAutospacing="0" w:line="320" w:lineRule="exact"/>
              <w:ind w:left="0" w:right="0"/>
              <w:jc w:val="center"/>
              <w:rPr>
                <w:rFonts w:hint="default" w:ascii="宋体" w:hAnsi="宋体" w:cs="宋体"/>
                <w:color w:val="auto"/>
                <w:szCs w:val="21"/>
              </w:rPr>
            </w:pPr>
            <w:r>
              <w:rPr>
                <w:rFonts w:hint="eastAsia" w:ascii="宋体" w:hAnsi="宋体" w:cs="宋体"/>
                <w:color w:val="auto"/>
                <w:szCs w:val="21"/>
              </w:rPr>
              <w:t>1</w:t>
            </w:r>
          </w:p>
        </w:tc>
        <w:tc>
          <w:tcPr>
            <w:tcW w:w="495" w:type="pct"/>
            <w:tcBorders>
              <w:top w:val="nil"/>
              <w:left w:val="nil"/>
              <w:bottom w:val="single" w:color="auto" w:sz="4" w:space="0"/>
              <w:right w:val="single" w:color="auto" w:sz="4" w:space="0"/>
            </w:tcBorders>
            <w:noWrap w:val="0"/>
            <w:vAlign w:val="center"/>
          </w:tcPr>
          <w:p w14:paraId="21DFB645">
            <w:pPr>
              <w:keepNext w:val="0"/>
              <w:keepLines w:val="0"/>
              <w:widowControl/>
              <w:suppressLineNumbers w:val="0"/>
              <w:spacing w:before="0" w:beforeAutospacing="0" w:after="0" w:afterAutospacing="0" w:line="320" w:lineRule="exact"/>
              <w:ind w:left="0" w:leftChars="-50" w:right="0" w:hanging="120" w:hangingChars="50"/>
              <w:jc w:val="center"/>
              <w:rPr>
                <w:rFonts w:hint="default" w:ascii="宋体" w:hAnsi="宋体" w:cs="宋体"/>
                <w:color w:val="auto"/>
                <w:szCs w:val="21"/>
              </w:rPr>
            </w:pPr>
            <w:r>
              <w:rPr>
                <w:rFonts w:hint="eastAsia" w:ascii="宋体" w:hAnsi="宋体" w:cs="宋体"/>
                <w:color w:val="auto"/>
                <w:szCs w:val="21"/>
              </w:rPr>
              <w:t xml:space="preserve"> 价格分</w:t>
            </w:r>
          </w:p>
        </w:tc>
        <w:tc>
          <w:tcPr>
            <w:tcW w:w="2934" w:type="pct"/>
            <w:tcBorders>
              <w:top w:val="nil"/>
              <w:left w:val="nil"/>
              <w:bottom w:val="single" w:color="auto" w:sz="4" w:space="0"/>
              <w:right w:val="single" w:color="auto" w:sz="4" w:space="0"/>
            </w:tcBorders>
            <w:noWrap w:val="0"/>
            <w:vAlign w:val="center"/>
          </w:tcPr>
          <w:p w14:paraId="73BBA084">
            <w:pPr>
              <w:keepNext w:val="0"/>
              <w:keepLines w:val="0"/>
              <w:widowControl/>
              <w:suppressLineNumbers w:val="0"/>
              <w:spacing w:before="0" w:beforeAutospacing="0" w:after="0" w:afterAutospacing="0" w:line="320" w:lineRule="exact"/>
              <w:ind w:left="0" w:right="9" w:rightChars="4"/>
              <w:rPr>
                <w:rFonts w:hint="default" w:ascii="宋体" w:hAnsi="宋体" w:cs="宋体"/>
                <w:color w:val="auto"/>
                <w:szCs w:val="21"/>
              </w:rPr>
            </w:pPr>
            <w:r>
              <w:rPr>
                <w:rFonts w:hint="eastAsia" w:ascii="宋体" w:hAnsi="宋体" w:cs="宋体"/>
                <w:color w:val="auto"/>
                <w:szCs w:val="21"/>
              </w:rPr>
              <w:t>满足招标文件要求供应商中最低的投标价为基准价，价格分统一按照下列公式计算：价格分=(基准价／投标报价)×满分。</w:t>
            </w:r>
          </w:p>
        </w:tc>
        <w:tc>
          <w:tcPr>
            <w:tcW w:w="377" w:type="pct"/>
            <w:tcBorders>
              <w:top w:val="nil"/>
              <w:left w:val="nil"/>
              <w:bottom w:val="single" w:color="auto" w:sz="4" w:space="0"/>
              <w:right w:val="single" w:color="auto" w:sz="4" w:space="0"/>
            </w:tcBorders>
            <w:noWrap w:val="0"/>
            <w:vAlign w:val="center"/>
          </w:tcPr>
          <w:p w14:paraId="6330D5A5">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szCs w:val="21"/>
                <w:lang w:val="en-US"/>
              </w:rPr>
            </w:pPr>
            <w:r>
              <w:rPr>
                <w:rFonts w:hint="eastAsia" w:ascii="宋体" w:hAnsi="宋体" w:cs="宋体"/>
                <w:color w:val="auto"/>
                <w:kern w:val="0"/>
                <w:szCs w:val="21"/>
                <w:lang w:val="en-US" w:eastAsia="zh-CN"/>
              </w:rPr>
              <w:t>20</w:t>
            </w:r>
          </w:p>
        </w:tc>
        <w:tc>
          <w:tcPr>
            <w:tcW w:w="314" w:type="pct"/>
            <w:tcBorders>
              <w:top w:val="nil"/>
              <w:left w:val="nil"/>
              <w:bottom w:val="single" w:color="auto" w:sz="4" w:space="0"/>
              <w:right w:val="single" w:color="auto" w:sz="4" w:space="0"/>
            </w:tcBorders>
            <w:noWrap w:val="0"/>
            <w:vAlign w:val="top"/>
          </w:tcPr>
          <w:p w14:paraId="46148604">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nil"/>
              <w:left w:val="nil"/>
              <w:bottom w:val="single" w:color="auto" w:sz="4" w:space="0"/>
              <w:right w:val="single" w:color="auto" w:sz="4" w:space="0"/>
            </w:tcBorders>
            <w:noWrap w:val="0"/>
            <w:vAlign w:val="top"/>
          </w:tcPr>
          <w:p w14:paraId="286ED1F9">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p>
        </w:tc>
        <w:tc>
          <w:tcPr>
            <w:tcW w:w="300" w:type="pct"/>
            <w:tcBorders>
              <w:top w:val="nil"/>
              <w:left w:val="nil"/>
              <w:bottom w:val="single" w:color="auto" w:sz="4" w:space="0"/>
              <w:right w:val="single" w:color="auto" w:sz="4" w:space="0"/>
            </w:tcBorders>
            <w:noWrap w:val="0"/>
            <w:vAlign w:val="top"/>
          </w:tcPr>
          <w:p w14:paraId="2F2DDFE4">
            <w:pPr>
              <w:keepNext w:val="0"/>
              <w:keepLines w:val="0"/>
              <w:widowControl/>
              <w:suppressLineNumbers w:val="0"/>
              <w:autoSpaceDE/>
              <w:autoSpaceDN/>
              <w:adjustRightInd/>
              <w:spacing w:before="0" w:beforeAutospacing="0" w:after="0" w:afterAutospacing="0" w:line="320" w:lineRule="exact"/>
              <w:ind w:left="0" w:right="0"/>
              <w:jc w:val="center"/>
              <w:rPr>
                <w:rFonts w:hint="default" w:ascii="宋体" w:hAnsi="宋体" w:cs="宋体"/>
                <w:color w:val="auto"/>
                <w:kern w:val="0"/>
                <w:szCs w:val="21"/>
              </w:rPr>
            </w:pPr>
          </w:p>
        </w:tc>
      </w:tr>
      <w:tr w14:paraId="75110008">
        <w:tblPrEx>
          <w:tblCellMar>
            <w:top w:w="0" w:type="dxa"/>
            <w:left w:w="108" w:type="dxa"/>
            <w:bottom w:w="0" w:type="dxa"/>
            <w:right w:w="108" w:type="dxa"/>
          </w:tblCellMar>
        </w:tblPrEx>
        <w:trPr>
          <w:trHeight w:val="461" w:hRule="atLeast"/>
          <w:jc w:val="center"/>
        </w:trPr>
        <w:tc>
          <w:tcPr>
            <w:tcW w:w="3707" w:type="pct"/>
            <w:gridSpan w:val="3"/>
            <w:tcBorders>
              <w:top w:val="single" w:color="auto" w:sz="4" w:space="0"/>
              <w:left w:val="single" w:color="auto" w:sz="4" w:space="0"/>
              <w:bottom w:val="single" w:color="auto" w:sz="4" w:space="0"/>
              <w:right w:val="single" w:color="auto" w:sz="4" w:space="0"/>
            </w:tcBorders>
            <w:shd w:val="clear" w:color="auto" w:fill="F2F2F2"/>
            <w:noWrap w:val="0"/>
            <w:vAlign w:val="center"/>
          </w:tcPr>
          <w:p w14:paraId="736193C4">
            <w:pPr>
              <w:keepNext w:val="0"/>
              <w:keepLines w:val="0"/>
              <w:widowControl/>
              <w:suppressLineNumbers w:val="0"/>
              <w:spacing w:before="0" w:beforeAutospacing="0" w:after="0" w:afterAutospacing="0" w:line="360" w:lineRule="exact"/>
              <w:ind w:left="0" w:right="9" w:rightChars="4"/>
              <w:rPr>
                <w:rFonts w:hint="default" w:ascii="宋体" w:hAnsi="宋体" w:cs="宋体"/>
                <w:b/>
                <w:color w:val="auto"/>
                <w:szCs w:val="21"/>
              </w:rPr>
            </w:pPr>
            <w:r>
              <w:rPr>
                <w:rFonts w:hint="eastAsia" w:ascii="宋体" w:hAnsi="宋体" w:cs="宋体"/>
                <w:b/>
                <w:color w:val="auto"/>
                <w:szCs w:val="21"/>
              </w:rPr>
              <w:t>四</w:t>
            </w:r>
            <w:r>
              <w:rPr>
                <w:rFonts w:hint="eastAsia" w:ascii="宋体" w:hAnsi="宋体" w:cs="宋体"/>
                <w:b/>
                <w:bCs/>
                <w:color w:val="auto"/>
                <w:kern w:val="0"/>
                <w:szCs w:val="21"/>
                <w:lang w:eastAsia="zh-CN"/>
              </w:rPr>
              <w:t>、</w:t>
            </w:r>
            <w:r>
              <w:rPr>
                <w:rFonts w:hint="eastAsia" w:ascii="宋体" w:hAnsi="宋体" w:cs="宋体"/>
                <w:b/>
                <w:color w:val="auto"/>
                <w:szCs w:val="21"/>
              </w:rPr>
              <w:t>总分</w:t>
            </w:r>
          </w:p>
        </w:tc>
        <w:tc>
          <w:tcPr>
            <w:tcW w:w="377" w:type="pct"/>
            <w:tcBorders>
              <w:top w:val="single" w:color="auto" w:sz="4" w:space="0"/>
              <w:left w:val="nil"/>
              <w:bottom w:val="single" w:color="auto" w:sz="4" w:space="0"/>
              <w:right w:val="single" w:color="auto" w:sz="4" w:space="0"/>
            </w:tcBorders>
            <w:shd w:val="clear" w:color="auto" w:fill="F2F2F2"/>
            <w:noWrap w:val="0"/>
            <w:vAlign w:val="center"/>
          </w:tcPr>
          <w:p w14:paraId="5DC63428">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rPr>
            </w:pPr>
            <w:r>
              <w:rPr>
                <w:rFonts w:hint="eastAsia" w:ascii="宋体" w:hAnsi="宋体" w:cs="宋体"/>
                <w:b/>
                <w:color w:val="auto"/>
                <w:szCs w:val="21"/>
              </w:rPr>
              <w:t>100分</w:t>
            </w:r>
          </w:p>
        </w:tc>
        <w:tc>
          <w:tcPr>
            <w:tcW w:w="314" w:type="pct"/>
            <w:tcBorders>
              <w:top w:val="single" w:color="auto" w:sz="4" w:space="0"/>
              <w:left w:val="nil"/>
              <w:bottom w:val="single" w:color="auto" w:sz="4" w:space="0"/>
              <w:right w:val="single" w:color="auto" w:sz="4" w:space="0"/>
            </w:tcBorders>
            <w:shd w:val="clear" w:color="auto" w:fill="F2F2F2"/>
            <w:noWrap w:val="0"/>
            <w:vAlign w:val="top"/>
          </w:tcPr>
          <w:p w14:paraId="79C84D8A">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rPr>
            </w:pPr>
          </w:p>
        </w:tc>
        <w:tc>
          <w:tcPr>
            <w:tcW w:w="300" w:type="pct"/>
            <w:tcBorders>
              <w:top w:val="single" w:color="auto" w:sz="4" w:space="0"/>
              <w:left w:val="nil"/>
              <w:bottom w:val="single" w:color="auto" w:sz="4" w:space="0"/>
              <w:right w:val="single" w:color="auto" w:sz="4" w:space="0"/>
            </w:tcBorders>
            <w:shd w:val="clear" w:color="auto" w:fill="F2F2F2"/>
            <w:noWrap w:val="0"/>
            <w:vAlign w:val="top"/>
          </w:tcPr>
          <w:p w14:paraId="692BAB0C">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rPr>
            </w:pPr>
          </w:p>
        </w:tc>
        <w:tc>
          <w:tcPr>
            <w:tcW w:w="300" w:type="pct"/>
            <w:tcBorders>
              <w:top w:val="single" w:color="auto" w:sz="4" w:space="0"/>
              <w:left w:val="nil"/>
              <w:bottom w:val="single" w:color="auto" w:sz="4" w:space="0"/>
              <w:right w:val="single" w:color="auto" w:sz="4" w:space="0"/>
            </w:tcBorders>
            <w:shd w:val="clear" w:color="auto" w:fill="F2F2F2"/>
            <w:noWrap w:val="0"/>
            <w:vAlign w:val="top"/>
          </w:tcPr>
          <w:p w14:paraId="08B18FB0">
            <w:pPr>
              <w:keepNext w:val="0"/>
              <w:keepLines w:val="0"/>
              <w:suppressLineNumbers w:val="0"/>
              <w:spacing w:before="0" w:beforeAutospacing="0" w:after="0" w:afterAutospacing="0" w:line="360" w:lineRule="exact"/>
              <w:ind w:left="0" w:right="0"/>
              <w:jc w:val="center"/>
              <w:rPr>
                <w:rFonts w:hint="default" w:ascii="宋体" w:hAnsi="宋体" w:cs="宋体"/>
                <w:b/>
                <w:color w:val="auto"/>
                <w:szCs w:val="21"/>
              </w:rPr>
            </w:pPr>
          </w:p>
        </w:tc>
      </w:tr>
    </w:tbl>
    <w:p w14:paraId="69106C9E">
      <w:pPr>
        <w:rPr>
          <w:rFonts w:ascii="宋体" w:hAnsi="宋体"/>
          <w:b/>
          <w:color w:val="auto"/>
        </w:rPr>
      </w:pPr>
      <w:r>
        <w:rPr>
          <w:rFonts w:hint="eastAsia" w:ascii="宋体" w:hAnsi="宋体"/>
          <w:b/>
          <w:color w:val="auto"/>
          <w:sz w:val="24"/>
        </w:rPr>
        <w:t>评委：                                                  日期</w:t>
      </w:r>
    </w:p>
    <w:p w14:paraId="4CD02EE1">
      <w:pPr>
        <w:pStyle w:val="2"/>
        <w:rPr>
          <w:color w:val="auto"/>
        </w:rPr>
      </w:pPr>
      <w:bookmarkStart w:id="149" w:name="_Toc402691040"/>
      <w:bookmarkStart w:id="150" w:name="_Toc58404953"/>
      <w:bookmarkStart w:id="151" w:name="_Toc42598220"/>
      <w:r>
        <w:rPr>
          <w:rFonts w:hint="eastAsia"/>
          <w:color w:val="auto"/>
        </w:rPr>
        <w:t>第</w:t>
      </w:r>
      <w:r>
        <w:rPr>
          <w:rFonts w:hint="eastAsia"/>
          <w:color w:val="auto"/>
          <w:lang w:eastAsia="zh-CN"/>
        </w:rPr>
        <w:t>五</w:t>
      </w:r>
      <w:r>
        <w:rPr>
          <w:rFonts w:hint="eastAsia"/>
          <w:color w:val="auto"/>
        </w:rPr>
        <w:t>部分</w:t>
      </w:r>
      <w:bookmarkEnd w:id="149"/>
      <w:r>
        <w:rPr>
          <w:rFonts w:hint="eastAsia"/>
          <w:color w:val="auto"/>
        </w:rPr>
        <w:t xml:space="preserve"> 投标文件格式</w:t>
      </w:r>
      <w:bookmarkEnd w:id="150"/>
      <w:bookmarkEnd w:id="151"/>
    </w:p>
    <w:p w14:paraId="6697FC42">
      <w:pPr>
        <w:widowControl/>
        <w:snapToGrid w:val="0"/>
        <w:spacing w:line="500" w:lineRule="exact"/>
        <w:ind w:firstLine="480"/>
        <w:jc w:val="left"/>
        <w:rPr>
          <w:rFonts w:ascii="宋体" w:hAnsi="宋体"/>
          <w:color w:val="auto"/>
          <w:kern w:val="0"/>
          <w:sz w:val="24"/>
          <w:szCs w:val="20"/>
        </w:rPr>
      </w:pPr>
      <w:bookmarkStart w:id="152" w:name="_Toc171325107"/>
      <w:bookmarkStart w:id="153" w:name="_Toc402691047"/>
      <w:r>
        <w:rPr>
          <w:rFonts w:ascii="宋体" w:hAnsi="宋体"/>
          <w:color w:val="auto"/>
          <w:kern w:val="0"/>
          <w:sz w:val="24"/>
          <w:szCs w:val="20"/>
        </w:rPr>
        <w:t>请投标人按照以下文件要求的格式</w:t>
      </w:r>
      <w:r>
        <w:rPr>
          <w:rFonts w:hint="eastAsia" w:ascii="宋体" w:hAnsi="宋体"/>
          <w:color w:val="auto"/>
          <w:kern w:val="0"/>
          <w:sz w:val="24"/>
          <w:szCs w:val="20"/>
          <w:lang w:eastAsia="zh-CN"/>
        </w:rPr>
        <w:t>.</w:t>
      </w:r>
      <w:r>
        <w:rPr>
          <w:rFonts w:ascii="宋体" w:hAnsi="宋体"/>
          <w:color w:val="auto"/>
          <w:kern w:val="0"/>
          <w:sz w:val="24"/>
          <w:szCs w:val="20"/>
        </w:rPr>
        <w:t>内容制作投标文件，并按以下顺序编制目录及页码，否则可能将影响对投标文件的评价。</w:t>
      </w:r>
    </w:p>
    <w:p w14:paraId="55B9416D">
      <w:pPr>
        <w:widowControl/>
        <w:snapToGrid w:val="0"/>
        <w:spacing w:line="500" w:lineRule="exact"/>
        <w:ind w:firstLine="480"/>
        <w:jc w:val="left"/>
        <w:rPr>
          <w:rFonts w:ascii="宋体" w:hAnsi="宋体"/>
          <w:color w:val="auto"/>
          <w:kern w:val="0"/>
          <w:sz w:val="24"/>
          <w:szCs w:val="20"/>
        </w:rPr>
      </w:pPr>
      <w:r>
        <w:rPr>
          <w:rFonts w:hint="eastAsia" w:ascii="宋体" w:hAnsi="宋体"/>
          <w:color w:val="auto"/>
          <w:kern w:val="0"/>
          <w:sz w:val="24"/>
          <w:szCs w:val="20"/>
        </w:rPr>
        <w:t>一</w:t>
      </w:r>
      <w:r>
        <w:rPr>
          <w:rFonts w:hint="eastAsia" w:ascii="宋体" w:hAnsi="宋体"/>
          <w:color w:val="auto"/>
          <w:kern w:val="0"/>
          <w:sz w:val="24"/>
          <w:szCs w:val="20"/>
          <w:lang w:eastAsia="zh-CN"/>
        </w:rPr>
        <w:t>、</w:t>
      </w:r>
      <w:r>
        <w:rPr>
          <w:rFonts w:hint="eastAsia" w:ascii="宋体" w:hAnsi="宋体"/>
          <w:color w:val="auto"/>
          <w:kern w:val="0"/>
          <w:sz w:val="24"/>
          <w:szCs w:val="20"/>
        </w:rPr>
        <w:t>资格证明文件</w:t>
      </w:r>
    </w:p>
    <w:p w14:paraId="6C0A2930">
      <w:pPr>
        <w:widowControl/>
        <w:snapToGrid w:val="0"/>
        <w:spacing w:line="500" w:lineRule="exact"/>
        <w:ind w:firstLine="480"/>
        <w:jc w:val="left"/>
        <w:rPr>
          <w:rFonts w:ascii="宋体" w:hAnsi="宋体"/>
          <w:color w:val="auto"/>
          <w:kern w:val="0"/>
          <w:sz w:val="24"/>
          <w:szCs w:val="20"/>
        </w:rPr>
      </w:pPr>
      <w:r>
        <w:rPr>
          <w:rFonts w:hint="eastAsia" w:ascii="宋体" w:hAnsi="宋体"/>
          <w:color w:val="auto"/>
          <w:kern w:val="0"/>
          <w:sz w:val="24"/>
          <w:szCs w:val="20"/>
        </w:rPr>
        <w:t>二</w:t>
      </w:r>
      <w:r>
        <w:rPr>
          <w:rFonts w:hint="eastAsia" w:ascii="宋体" w:hAnsi="宋体"/>
          <w:color w:val="auto"/>
          <w:kern w:val="0"/>
          <w:sz w:val="24"/>
          <w:szCs w:val="20"/>
          <w:lang w:eastAsia="zh-CN"/>
        </w:rPr>
        <w:t>、</w:t>
      </w:r>
      <w:r>
        <w:rPr>
          <w:rFonts w:hint="eastAsia" w:ascii="宋体" w:hAnsi="宋体"/>
          <w:color w:val="auto"/>
          <w:kern w:val="0"/>
          <w:sz w:val="24"/>
          <w:szCs w:val="20"/>
        </w:rPr>
        <w:t>法人授权委托书（法人代表</w:t>
      </w:r>
      <w:r>
        <w:rPr>
          <w:rFonts w:hint="eastAsia" w:ascii="宋体" w:hAnsi="宋体"/>
          <w:color w:val="auto"/>
          <w:kern w:val="0"/>
          <w:sz w:val="24"/>
          <w:szCs w:val="20"/>
          <w:lang w:eastAsia="zh-CN"/>
        </w:rPr>
        <w:t>.</w:t>
      </w:r>
      <w:r>
        <w:rPr>
          <w:rFonts w:hint="eastAsia" w:ascii="宋体" w:hAnsi="宋体"/>
          <w:color w:val="auto"/>
          <w:kern w:val="0"/>
          <w:sz w:val="24"/>
          <w:szCs w:val="20"/>
        </w:rPr>
        <w:t>授权代表身份证）</w:t>
      </w:r>
    </w:p>
    <w:p w14:paraId="597C7EAF">
      <w:pPr>
        <w:widowControl/>
        <w:snapToGrid w:val="0"/>
        <w:spacing w:line="500" w:lineRule="exact"/>
        <w:ind w:firstLine="480"/>
        <w:jc w:val="left"/>
        <w:rPr>
          <w:rFonts w:ascii="宋体" w:hAnsi="宋体"/>
          <w:color w:val="auto"/>
          <w:kern w:val="0"/>
          <w:sz w:val="24"/>
          <w:szCs w:val="20"/>
        </w:rPr>
      </w:pPr>
      <w:r>
        <w:rPr>
          <w:rFonts w:hint="eastAsia" w:ascii="宋体" w:hAnsi="宋体"/>
          <w:color w:val="auto"/>
          <w:kern w:val="0"/>
          <w:sz w:val="24"/>
          <w:szCs w:val="20"/>
        </w:rPr>
        <w:t>三</w:t>
      </w:r>
      <w:r>
        <w:rPr>
          <w:rFonts w:hint="eastAsia" w:ascii="宋体" w:hAnsi="宋体"/>
          <w:color w:val="auto"/>
          <w:kern w:val="0"/>
          <w:sz w:val="24"/>
          <w:szCs w:val="20"/>
          <w:lang w:eastAsia="zh-CN"/>
        </w:rPr>
        <w:t>、</w:t>
      </w:r>
      <w:r>
        <w:rPr>
          <w:rFonts w:ascii="宋体" w:hAnsi="宋体"/>
          <w:color w:val="auto"/>
          <w:kern w:val="0"/>
          <w:sz w:val="24"/>
          <w:szCs w:val="20"/>
        </w:rPr>
        <w:t>投标人</w:t>
      </w:r>
      <w:r>
        <w:rPr>
          <w:rFonts w:hint="eastAsia" w:ascii="宋体" w:hAnsi="宋体"/>
          <w:color w:val="auto"/>
          <w:kern w:val="0"/>
          <w:sz w:val="24"/>
          <w:szCs w:val="20"/>
        </w:rPr>
        <w:t>概况</w:t>
      </w:r>
    </w:p>
    <w:p w14:paraId="6768E0C1">
      <w:pPr>
        <w:widowControl/>
        <w:snapToGrid w:val="0"/>
        <w:spacing w:line="500" w:lineRule="exact"/>
        <w:ind w:firstLine="480"/>
        <w:jc w:val="left"/>
        <w:rPr>
          <w:rFonts w:ascii="宋体" w:hAnsi="宋体"/>
          <w:color w:val="auto"/>
          <w:kern w:val="0"/>
          <w:sz w:val="24"/>
          <w:szCs w:val="20"/>
        </w:rPr>
      </w:pPr>
      <w:r>
        <w:rPr>
          <w:rFonts w:hint="eastAsia" w:ascii="宋体" w:hAnsi="宋体"/>
          <w:color w:val="auto"/>
          <w:kern w:val="0"/>
          <w:sz w:val="24"/>
          <w:szCs w:val="20"/>
        </w:rPr>
        <w:t>四</w:t>
      </w:r>
      <w:r>
        <w:rPr>
          <w:rFonts w:hint="eastAsia" w:ascii="宋体" w:hAnsi="宋体"/>
          <w:color w:val="auto"/>
          <w:kern w:val="0"/>
          <w:sz w:val="24"/>
          <w:szCs w:val="20"/>
          <w:lang w:eastAsia="zh-CN"/>
        </w:rPr>
        <w:t>、</w:t>
      </w:r>
      <w:r>
        <w:rPr>
          <w:rFonts w:hint="eastAsia" w:ascii="宋体" w:hAnsi="宋体"/>
          <w:color w:val="auto"/>
          <w:kern w:val="0"/>
          <w:sz w:val="24"/>
          <w:szCs w:val="20"/>
        </w:rPr>
        <w:t>采购需求响应情况</w:t>
      </w:r>
    </w:p>
    <w:p w14:paraId="35ECDDBC">
      <w:pPr>
        <w:widowControl/>
        <w:snapToGrid w:val="0"/>
        <w:spacing w:line="500" w:lineRule="exact"/>
        <w:ind w:firstLine="480"/>
        <w:jc w:val="left"/>
        <w:rPr>
          <w:rFonts w:ascii="宋体" w:hAnsi="宋体"/>
          <w:color w:val="auto"/>
          <w:kern w:val="0"/>
          <w:sz w:val="24"/>
          <w:szCs w:val="20"/>
        </w:rPr>
      </w:pPr>
      <w:r>
        <w:rPr>
          <w:rFonts w:hint="eastAsia" w:ascii="宋体" w:hAnsi="宋体"/>
          <w:color w:val="auto"/>
          <w:kern w:val="0"/>
          <w:sz w:val="24"/>
          <w:szCs w:val="20"/>
        </w:rPr>
        <w:t>五</w:t>
      </w:r>
      <w:r>
        <w:rPr>
          <w:rFonts w:hint="eastAsia" w:ascii="宋体" w:hAnsi="宋体"/>
          <w:color w:val="auto"/>
          <w:kern w:val="0"/>
          <w:sz w:val="24"/>
          <w:szCs w:val="20"/>
          <w:lang w:eastAsia="zh-CN"/>
        </w:rPr>
        <w:t>、</w:t>
      </w:r>
      <w:r>
        <w:rPr>
          <w:rFonts w:hint="eastAsia" w:ascii="宋体" w:hAnsi="宋体"/>
          <w:color w:val="auto"/>
          <w:kern w:val="0"/>
          <w:sz w:val="24"/>
          <w:szCs w:val="20"/>
        </w:rPr>
        <w:t>投标人报价文件</w:t>
      </w:r>
    </w:p>
    <w:p w14:paraId="666553D3">
      <w:pPr>
        <w:snapToGrid w:val="0"/>
        <w:spacing w:line="500" w:lineRule="exact"/>
        <w:ind w:firstLine="480" w:firstLineChars="200"/>
        <w:rPr>
          <w:rFonts w:ascii="宋体" w:hAnsi="宋体"/>
          <w:color w:val="auto"/>
          <w:kern w:val="0"/>
          <w:sz w:val="24"/>
          <w:szCs w:val="20"/>
        </w:rPr>
      </w:pPr>
      <w:r>
        <w:rPr>
          <w:rFonts w:hint="eastAsia" w:ascii="宋体" w:hAnsi="宋体"/>
          <w:color w:val="auto"/>
          <w:kern w:val="0"/>
          <w:sz w:val="24"/>
          <w:szCs w:val="20"/>
        </w:rPr>
        <w:t>六</w:t>
      </w:r>
      <w:r>
        <w:rPr>
          <w:rFonts w:hint="eastAsia" w:ascii="宋体" w:hAnsi="宋体"/>
          <w:color w:val="auto"/>
          <w:kern w:val="0"/>
          <w:sz w:val="24"/>
          <w:szCs w:val="20"/>
          <w:lang w:eastAsia="zh-CN"/>
        </w:rPr>
        <w:t>、</w:t>
      </w:r>
      <w:r>
        <w:rPr>
          <w:rFonts w:hint="eastAsia" w:ascii="宋体" w:hAnsi="宋体"/>
          <w:color w:val="auto"/>
          <w:kern w:val="0"/>
          <w:sz w:val="24"/>
          <w:szCs w:val="20"/>
        </w:rPr>
        <w:t>技术部分</w:t>
      </w:r>
      <w:r>
        <w:rPr>
          <w:rFonts w:ascii="宋体" w:hAnsi="宋体"/>
          <w:color w:val="auto"/>
          <w:kern w:val="0"/>
          <w:sz w:val="24"/>
          <w:szCs w:val="20"/>
        </w:rPr>
        <w:t>（包括技术方案</w:t>
      </w:r>
      <w:r>
        <w:rPr>
          <w:rFonts w:hint="eastAsia" w:ascii="宋体" w:hAnsi="宋体"/>
          <w:color w:val="auto"/>
          <w:kern w:val="0"/>
          <w:sz w:val="24"/>
          <w:szCs w:val="20"/>
          <w:lang w:eastAsia="zh-CN"/>
        </w:rPr>
        <w:t>.</w:t>
      </w:r>
      <w:r>
        <w:rPr>
          <w:rFonts w:ascii="宋体" w:hAnsi="宋体"/>
          <w:color w:val="auto"/>
          <w:kern w:val="0"/>
          <w:sz w:val="24"/>
          <w:szCs w:val="20"/>
        </w:rPr>
        <w:t>服务承诺等）</w:t>
      </w:r>
    </w:p>
    <w:p w14:paraId="5AABCA34">
      <w:pPr>
        <w:widowControl/>
        <w:snapToGrid w:val="0"/>
        <w:spacing w:line="500" w:lineRule="exact"/>
        <w:ind w:firstLine="480"/>
        <w:jc w:val="left"/>
        <w:rPr>
          <w:rFonts w:ascii="宋体" w:hAnsi="宋体"/>
          <w:color w:val="auto"/>
          <w:kern w:val="0"/>
          <w:sz w:val="24"/>
          <w:szCs w:val="20"/>
        </w:rPr>
      </w:pPr>
      <w:r>
        <w:rPr>
          <w:rFonts w:hint="eastAsia" w:ascii="宋体" w:hAnsi="宋体"/>
          <w:color w:val="auto"/>
          <w:kern w:val="0"/>
          <w:sz w:val="24"/>
          <w:szCs w:val="20"/>
        </w:rPr>
        <w:t>七</w:t>
      </w:r>
      <w:r>
        <w:rPr>
          <w:rFonts w:hint="eastAsia" w:ascii="宋体" w:hAnsi="宋体"/>
          <w:color w:val="auto"/>
          <w:kern w:val="0"/>
          <w:sz w:val="24"/>
          <w:szCs w:val="20"/>
          <w:lang w:eastAsia="zh-CN"/>
        </w:rPr>
        <w:t>、</w:t>
      </w:r>
      <w:r>
        <w:rPr>
          <w:rFonts w:ascii="宋体" w:hAnsi="宋体"/>
          <w:color w:val="auto"/>
          <w:kern w:val="0"/>
          <w:sz w:val="24"/>
          <w:szCs w:val="20"/>
        </w:rPr>
        <w:t>投标人认为需要的其它证明材料</w:t>
      </w:r>
    </w:p>
    <w:p w14:paraId="23191905">
      <w:pPr>
        <w:widowControl/>
        <w:snapToGrid w:val="0"/>
        <w:spacing w:line="500" w:lineRule="exact"/>
        <w:ind w:firstLine="480"/>
        <w:jc w:val="left"/>
        <w:rPr>
          <w:rFonts w:ascii="宋体" w:hAnsi="宋体"/>
          <w:color w:val="auto"/>
          <w:kern w:val="0"/>
          <w:sz w:val="24"/>
          <w:szCs w:val="20"/>
        </w:rPr>
      </w:pPr>
      <w:r>
        <w:rPr>
          <w:rFonts w:ascii="宋体" w:hAnsi="宋体"/>
          <w:color w:val="auto"/>
          <w:kern w:val="0"/>
          <w:sz w:val="24"/>
          <w:szCs w:val="20"/>
        </w:rPr>
        <w:t>为了便于</w:t>
      </w:r>
      <w:r>
        <w:rPr>
          <w:rFonts w:hint="eastAsia" w:ascii="宋体" w:hAnsi="宋体"/>
          <w:color w:val="auto"/>
          <w:kern w:val="0"/>
          <w:sz w:val="24"/>
          <w:szCs w:val="20"/>
        </w:rPr>
        <w:t>评审小组</w:t>
      </w:r>
      <w:r>
        <w:rPr>
          <w:rFonts w:ascii="宋体" w:hAnsi="宋体"/>
          <w:color w:val="auto"/>
          <w:kern w:val="0"/>
          <w:sz w:val="24"/>
          <w:szCs w:val="20"/>
        </w:rPr>
        <w:t>对</w:t>
      </w:r>
      <w:r>
        <w:rPr>
          <w:rFonts w:hint="eastAsia" w:ascii="宋体" w:hAnsi="宋体"/>
          <w:color w:val="auto"/>
          <w:kern w:val="0"/>
          <w:sz w:val="24"/>
          <w:szCs w:val="20"/>
        </w:rPr>
        <w:t>投标</w:t>
      </w:r>
      <w:r>
        <w:rPr>
          <w:rFonts w:ascii="宋体" w:hAnsi="宋体"/>
          <w:color w:val="auto"/>
          <w:kern w:val="0"/>
          <w:sz w:val="24"/>
          <w:szCs w:val="20"/>
        </w:rPr>
        <w:t>文件内容的审核，投标人可</w:t>
      </w:r>
      <w:r>
        <w:rPr>
          <w:rFonts w:hint="eastAsia" w:ascii="宋体" w:hAnsi="宋体"/>
          <w:color w:val="auto"/>
          <w:kern w:val="0"/>
          <w:sz w:val="24"/>
          <w:szCs w:val="20"/>
        </w:rPr>
        <w:t>根据评审表格</w:t>
      </w:r>
      <w:r>
        <w:rPr>
          <w:rFonts w:ascii="宋体" w:hAnsi="宋体"/>
          <w:color w:val="auto"/>
          <w:kern w:val="0"/>
          <w:sz w:val="24"/>
          <w:szCs w:val="20"/>
        </w:rPr>
        <w:t>编写</w:t>
      </w:r>
      <w:r>
        <w:rPr>
          <w:rFonts w:hint="eastAsia" w:ascii="宋体" w:hAnsi="宋体"/>
          <w:color w:val="auto"/>
          <w:kern w:val="0"/>
          <w:sz w:val="24"/>
          <w:szCs w:val="20"/>
        </w:rPr>
        <w:t>对应内容</w:t>
      </w:r>
      <w:r>
        <w:rPr>
          <w:rFonts w:ascii="宋体" w:hAnsi="宋体"/>
          <w:color w:val="auto"/>
          <w:kern w:val="0"/>
          <w:sz w:val="24"/>
          <w:szCs w:val="20"/>
        </w:rPr>
        <w:t>页码索引表。</w:t>
      </w:r>
    </w:p>
    <w:p w14:paraId="0E170358">
      <w:pPr>
        <w:pStyle w:val="3"/>
        <w:spacing w:before="312" w:after="312"/>
        <w:rPr>
          <w:color w:val="auto"/>
        </w:rPr>
      </w:pPr>
      <w:bookmarkStart w:id="154" w:name="_Toc1077107066"/>
      <w:bookmarkStart w:id="155" w:name="_Toc42097508"/>
      <w:bookmarkStart w:id="156" w:name="_Toc58404954"/>
      <w:r>
        <w:rPr>
          <w:rFonts w:hint="eastAsia"/>
          <w:color w:val="auto"/>
        </w:rPr>
        <w:t>一</w:t>
      </w:r>
      <w:r>
        <w:rPr>
          <w:rFonts w:hint="eastAsia"/>
          <w:color w:val="auto"/>
          <w:lang w:eastAsia="zh-CN"/>
        </w:rPr>
        <w:t>、</w:t>
      </w:r>
      <w:r>
        <w:rPr>
          <w:rFonts w:hint="eastAsia"/>
          <w:color w:val="auto"/>
        </w:rPr>
        <w:t>资格证明文件</w:t>
      </w:r>
      <w:bookmarkEnd w:id="152"/>
      <w:bookmarkEnd w:id="153"/>
      <w:bookmarkEnd w:id="154"/>
      <w:bookmarkEnd w:id="155"/>
      <w:bookmarkEnd w:id="156"/>
    </w:p>
    <w:p w14:paraId="549648AF">
      <w:pPr>
        <w:spacing w:line="480" w:lineRule="exact"/>
        <w:ind w:firstLine="280" w:firstLineChars="100"/>
        <w:rPr>
          <w:rFonts w:ascii="宋体" w:hAnsi="宋体"/>
          <w:color w:val="auto"/>
          <w:sz w:val="28"/>
          <w:szCs w:val="28"/>
        </w:rPr>
      </w:pPr>
      <w:bookmarkStart w:id="157" w:name="_Toc171325108"/>
      <w:r>
        <w:rPr>
          <w:rFonts w:hint="eastAsia" w:ascii="宋体" w:hAnsi="宋体"/>
          <w:color w:val="auto"/>
          <w:sz w:val="28"/>
          <w:szCs w:val="28"/>
        </w:rPr>
        <w:t>1.</w:t>
      </w:r>
      <w:bookmarkEnd w:id="157"/>
      <w:r>
        <w:rPr>
          <w:rFonts w:hint="eastAsia" w:ascii="宋体" w:hAnsi="宋体"/>
          <w:b/>
          <w:color w:val="auto"/>
          <w:sz w:val="28"/>
          <w:szCs w:val="28"/>
        </w:rPr>
        <w:t>“投标人资格要求”中的证明文件和其它需要的相关文件</w:t>
      </w:r>
      <w:r>
        <w:rPr>
          <w:rFonts w:hint="eastAsia" w:ascii="宋体" w:hAnsi="宋体"/>
          <w:color w:val="auto"/>
          <w:sz w:val="28"/>
          <w:szCs w:val="28"/>
        </w:rPr>
        <w:t>(</w:t>
      </w:r>
      <w:r>
        <w:rPr>
          <w:rFonts w:hint="eastAsia" w:ascii="宋体" w:hAnsi="宋体"/>
          <w:color w:val="auto"/>
          <w:sz w:val="24"/>
        </w:rPr>
        <w:t>投标文件中凡涉及提供合同</w:t>
      </w:r>
      <w:r>
        <w:rPr>
          <w:rFonts w:hint="eastAsia" w:ascii="宋体" w:hAnsi="宋体"/>
          <w:color w:val="auto"/>
          <w:sz w:val="24"/>
          <w:lang w:eastAsia="zh-CN"/>
        </w:rPr>
        <w:t>.</w:t>
      </w:r>
      <w:r>
        <w:rPr>
          <w:rFonts w:hint="eastAsia" w:ascii="宋体" w:hAnsi="宋体"/>
          <w:color w:val="auto"/>
          <w:sz w:val="24"/>
        </w:rPr>
        <w:t>资质证书或认证等证明材料的，需提供复印件加盖应邀单位公章，原件备查，否则将视为无效应邀</w:t>
      </w:r>
      <w:r>
        <w:rPr>
          <w:rFonts w:hint="eastAsia" w:ascii="宋体" w:hAnsi="宋体"/>
          <w:color w:val="auto"/>
          <w:sz w:val="28"/>
          <w:szCs w:val="28"/>
        </w:rPr>
        <w:t>)。</w:t>
      </w:r>
    </w:p>
    <w:p w14:paraId="29AC109B">
      <w:pPr>
        <w:pStyle w:val="3"/>
        <w:pageBreakBefore/>
        <w:spacing w:before="312" w:after="312"/>
        <w:rPr>
          <w:color w:val="auto"/>
        </w:rPr>
      </w:pPr>
      <w:bookmarkStart w:id="158" w:name="_Toc171325109"/>
      <w:bookmarkStart w:id="159" w:name="_Toc996661191"/>
      <w:bookmarkStart w:id="160" w:name="_Toc402691048"/>
      <w:bookmarkStart w:id="161" w:name="_Toc42097509"/>
      <w:bookmarkStart w:id="162" w:name="_Toc58404955"/>
      <w:r>
        <w:rPr>
          <w:rFonts w:hint="eastAsia"/>
          <w:color w:val="auto"/>
        </w:rPr>
        <w:t>二</w:t>
      </w:r>
      <w:r>
        <w:rPr>
          <w:rFonts w:hint="eastAsia"/>
          <w:color w:val="auto"/>
          <w:lang w:eastAsia="zh-CN"/>
        </w:rPr>
        <w:t>、</w:t>
      </w:r>
      <w:r>
        <w:rPr>
          <w:rFonts w:hint="eastAsia"/>
          <w:color w:val="auto"/>
        </w:rPr>
        <w:t>法人授权委托书</w:t>
      </w:r>
      <w:bookmarkEnd w:id="158"/>
      <w:r>
        <w:rPr>
          <w:rFonts w:hint="eastAsia"/>
          <w:color w:val="auto"/>
        </w:rPr>
        <w:t>(法人参加应邀时，只须提供法人身份证复印件加盖公章，原件备查)</w:t>
      </w:r>
      <w:bookmarkEnd w:id="159"/>
      <w:bookmarkEnd w:id="160"/>
      <w:bookmarkEnd w:id="161"/>
      <w:bookmarkEnd w:id="162"/>
    </w:p>
    <w:p w14:paraId="46AA95BF">
      <w:pPr>
        <w:spacing w:beforeLines="50" w:afterLines="100"/>
        <w:jc w:val="center"/>
        <w:rPr>
          <w:rFonts w:ascii="宋体" w:hAnsi="宋体"/>
          <w:b/>
          <w:color w:val="auto"/>
          <w:sz w:val="30"/>
        </w:rPr>
      </w:pPr>
      <w:r>
        <w:rPr>
          <w:rFonts w:hint="eastAsia" w:ascii="宋体" w:hAnsi="宋体"/>
          <w:b/>
          <w:color w:val="auto"/>
          <w:sz w:val="28"/>
        </w:rPr>
        <w:t>法人</w:t>
      </w:r>
      <w:r>
        <w:rPr>
          <w:rFonts w:hint="eastAsia" w:ascii="宋体" w:hAnsi="宋体"/>
          <w:b/>
          <w:color w:val="auto"/>
          <w:sz w:val="30"/>
        </w:rPr>
        <w:t>授权委托书</w:t>
      </w:r>
    </w:p>
    <w:p w14:paraId="7F8E5243">
      <w:pPr>
        <w:spacing w:line="360" w:lineRule="auto"/>
        <w:rPr>
          <w:rFonts w:ascii="宋体" w:hAnsi="宋体"/>
          <w:color w:val="auto"/>
          <w:sz w:val="24"/>
        </w:rPr>
      </w:pPr>
      <w:r>
        <w:rPr>
          <w:rFonts w:hint="eastAsia" w:ascii="宋体" w:hAnsi="宋体"/>
          <w:color w:val="auto"/>
          <w:sz w:val="24"/>
        </w:rPr>
        <w:t>致 海南省市场监督管理局：</w:t>
      </w:r>
    </w:p>
    <w:p w14:paraId="7F711AE7">
      <w:pPr>
        <w:spacing w:line="360" w:lineRule="auto"/>
        <w:rPr>
          <w:rFonts w:ascii="宋体" w:hAnsi="宋体"/>
          <w:color w:val="auto"/>
          <w:sz w:val="24"/>
        </w:rPr>
      </w:pPr>
      <w:r>
        <w:rPr>
          <w:rFonts w:hint="eastAsia" w:ascii="宋体" w:hAnsi="宋体"/>
          <w:color w:val="auto"/>
          <w:sz w:val="24"/>
        </w:rPr>
        <w:t xml:space="preserve">    本授权书宣告：</w:t>
      </w:r>
    </w:p>
    <w:p w14:paraId="303E232A">
      <w:pPr>
        <w:snapToGrid w:val="0"/>
        <w:spacing w:line="360" w:lineRule="auto"/>
        <w:rPr>
          <w:rFonts w:ascii="宋体" w:hAnsi="宋体"/>
          <w:color w:val="auto"/>
          <w:sz w:val="24"/>
          <w:u w:val="single"/>
        </w:rPr>
      </w:pPr>
      <w:r>
        <w:rPr>
          <w:rFonts w:hint="eastAsia" w:ascii="宋体" w:hAnsi="宋体"/>
          <w:color w:val="auto"/>
          <w:sz w:val="24"/>
        </w:rPr>
        <w:t>委托人：</w:t>
      </w:r>
    </w:p>
    <w:p w14:paraId="7BBAFB12">
      <w:pPr>
        <w:snapToGrid w:val="0"/>
        <w:spacing w:line="360" w:lineRule="auto"/>
        <w:rPr>
          <w:rFonts w:ascii="宋体" w:hAnsi="宋体"/>
          <w:color w:val="auto"/>
          <w:sz w:val="24"/>
        </w:rPr>
      </w:pPr>
      <w:r>
        <w:rPr>
          <w:rFonts w:hint="eastAsia" w:ascii="宋体" w:hAnsi="宋体"/>
          <w:color w:val="auto"/>
          <w:sz w:val="24"/>
        </w:rPr>
        <w:t xml:space="preserve">地    址： </w:t>
      </w:r>
      <w:r>
        <w:rPr>
          <w:rFonts w:hint="eastAsia" w:ascii="宋体" w:hAnsi="宋体"/>
          <w:color w:val="auto"/>
          <w:sz w:val="24"/>
          <w:lang w:val="en-US" w:eastAsia="zh-CN"/>
        </w:rPr>
        <w:t xml:space="preserve">           </w:t>
      </w:r>
      <w:r>
        <w:rPr>
          <w:rFonts w:hint="eastAsia" w:ascii="宋体" w:hAnsi="宋体"/>
          <w:color w:val="auto"/>
          <w:sz w:val="24"/>
        </w:rPr>
        <w:t>法定代表人：</w:t>
      </w:r>
    </w:p>
    <w:p w14:paraId="20415880">
      <w:pPr>
        <w:snapToGrid w:val="0"/>
        <w:spacing w:line="360" w:lineRule="auto"/>
        <w:rPr>
          <w:rFonts w:ascii="宋体" w:hAnsi="宋体"/>
          <w:color w:val="auto"/>
          <w:sz w:val="24"/>
        </w:rPr>
      </w:pPr>
      <w:r>
        <w:rPr>
          <w:rFonts w:hint="eastAsia" w:ascii="宋体" w:hAnsi="宋体"/>
          <w:color w:val="auto"/>
          <w:sz w:val="24"/>
        </w:rPr>
        <w:t xml:space="preserve">受托人：姓名 </w:t>
      </w:r>
      <w:r>
        <w:rPr>
          <w:rFonts w:hint="eastAsia" w:ascii="宋体" w:hAnsi="宋体"/>
          <w:color w:val="auto"/>
          <w:sz w:val="24"/>
          <w:lang w:val="en-US" w:eastAsia="zh-CN"/>
        </w:rPr>
        <w:t xml:space="preserve">   </w:t>
      </w:r>
      <w:r>
        <w:rPr>
          <w:rFonts w:hint="eastAsia" w:ascii="宋体" w:hAnsi="宋体"/>
          <w:color w:val="auto"/>
          <w:sz w:val="24"/>
        </w:rPr>
        <w:t xml:space="preserve">性别： </w:t>
      </w:r>
      <w:r>
        <w:rPr>
          <w:rFonts w:hint="eastAsia" w:ascii="宋体" w:hAnsi="宋体"/>
          <w:color w:val="auto"/>
          <w:sz w:val="24"/>
          <w:lang w:val="en-US" w:eastAsia="zh-CN"/>
        </w:rPr>
        <w:t xml:space="preserve">    </w:t>
      </w:r>
      <w:r>
        <w:rPr>
          <w:rFonts w:hint="eastAsia" w:ascii="宋体" w:hAnsi="宋体"/>
          <w:color w:val="auto"/>
          <w:sz w:val="24"/>
        </w:rPr>
        <w:t>出生日期：</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14:paraId="570642AB">
      <w:pPr>
        <w:snapToGrid w:val="0"/>
        <w:spacing w:line="360" w:lineRule="auto"/>
        <w:rPr>
          <w:rFonts w:ascii="宋体" w:hAnsi="宋体"/>
          <w:color w:val="auto"/>
          <w:sz w:val="24"/>
        </w:rPr>
      </w:pPr>
      <w:r>
        <w:rPr>
          <w:rFonts w:hint="eastAsia" w:ascii="宋体" w:hAnsi="宋体"/>
          <w:color w:val="auto"/>
          <w:sz w:val="24"/>
        </w:rPr>
        <w:t>所在单位：</w:t>
      </w:r>
      <w:r>
        <w:rPr>
          <w:rFonts w:hint="eastAsia" w:ascii="宋体" w:hAnsi="宋体"/>
          <w:color w:val="auto"/>
          <w:sz w:val="24"/>
          <w:lang w:val="en-US" w:eastAsia="zh-CN"/>
        </w:rPr>
        <w:t xml:space="preserve">       </w:t>
      </w:r>
      <w:r>
        <w:rPr>
          <w:rFonts w:hint="eastAsia" w:ascii="宋体" w:hAnsi="宋体"/>
          <w:color w:val="auto"/>
          <w:sz w:val="24"/>
        </w:rPr>
        <w:t>职务：</w:t>
      </w:r>
    </w:p>
    <w:p w14:paraId="340CFDA9">
      <w:pPr>
        <w:snapToGrid w:val="0"/>
        <w:spacing w:line="360" w:lineRule="auto"/>
        <w:rPr>
          <w:rFonts w:ascii="宋体" w:hAnsi="宋体"/>
          <w:color w:val="auto"/>
          <w:sz w:val="24"/>
        </w:rPr>
      </w:pPr>
      <w:r>
        <w:rPr>
          <w:rFonts w:hint="eastAsia" w:ascii="宋体" w:hAnsi="宋体"/>
          <w:color w:val="auto"/>
          <w:sz w:val="24"/>
        </w:rPr>
        <w:t>身 份 证：</w:t>
      </w:r>
      <w:r>
        <w:rPr>
          <w:rFonts w:hint="eastAsia" w:ascii="宋体" w:hAnsi="宋体"/>
          <w:color w:val="auto"/>
          <w:sz w:val="24"/>
          <w:lang w:val="en-US" w:eastAsia="zh-CN"/>
        </w:rPr>
        <w:t xml:space="preserve">         </w:t>
      </w:r>
      <w:r>
        <w:rPr>
          <w:rFonts w:hint="eastAsia" w:ascii="宋体" w:hAnsi="宋体"/>
          <w:color w:val="auto"/>
          <w:sz w:val="24"/>
        </w:rPr>
        <w:t>联系方式:</w:t>
      </w:r>
    </w:p>
    <w:p w14:paraId="2C901CC6">
      <w:pPr>
        <w:spacing w:line="360" w:lineRule="auto"/>
        <w:ind w:firstLine="480" w:firstLineChars="200"/>
        <w:rPr>
          <w:rFonts w:ascii="宋体" w:hAnsi="宋体"/>
          <w:color w:val="auto"/>
          <w:sz w:val="24"/>
        </w:rPr>
      </w:pPr>
      <w:r>
        <w:rPr>
          <w:rFonts w:hint="eastAsia" w:ascii="宋体" w:hAnsi="宋体"/>
          <w:color w:val="auto"/>
          <w:sz w:val="24"/>
        </w:rPr>
        <w:t>兹委托受托人合法地代表我单位参加海南省市场监督管理局2026年计算机及外围办公设备运维项目采购活动，受托人有权在该采购活动中，以我单位的名义签署应邀书和投标文件，向评标委员会及采购人澄清</w:t>
      </w:r>
      <w:r>
        <w:rPr>
          <w:rFonts w:hint="eastAsia" w:ascii="宋体" w:hAnsi="宋体"/>
          <w:color w:val="auto"/>
          <w:sz w:val="24"/>
          <w:lang w:eastAsia="zh-CN"/>
        </w:rPr>
        <w:t>、</w:t>
      </w:r>
      <w:r>
        <w:rPr>
          <w:rFonts w:hint="eastAsia" w:ascii="宋体" w:hAnsi="宋体"/>
          <w:color w:val="auto"/>
          <w:sz w:val="24"/>
        </w:rPr>
        <w:t>解释投标文件中的疑问，签订合同书并执行一切与本项目有关的事项。</w:t>
      </w:r>
    </w:p>
    <w:p w14:paraId="47F44CB4">
      <w:pPr>
        <w:snapToGrid w:val="0"/>
        <w:spacing w:line="360" w:lineRule="auto"/>
        <w:rPr>
          <w:rFonts w:ascii="宋体" w:hAnsi="宋体" w:cs="宋体"/>
          <w:color w:val="auto"/>
          <w:sz w:val="24"/>
        </w:rPr>
      </w:pPr>
      <w:r>
        <w:rPr>
          <w:rFonts w:hint="eastAsia" w:ascii="宋体" w:hAnsi="宋体"/>
          <w:color w:val="auto"/>
          <w:sz w:val="24"/>
        </w:rPr>
        <w:t xml:space="preserve">    受托人在办理上述事宜过程中以其自己的名义所签署的所有文件我均予以承认。受托人无转委托权。</w:t>
      </w:r>
    </w:p>
    <w:p w14:paraId="05EED99F">
      <w:pPr>
        <w:snapToGrid w:val="0"/>
        <w:spacing w:line="360" w:lineRule="auto"/>
        <w:ind w:firstLine="480" w:firstLineChars="200"/>
        <w:rPr>
          <w:rFonts w:ascii="宋体" w:hAnsi="宋体"/>
          <w:color w:val="auto"/>
          <w:sz w:val="24"/>
        </w:rPr>
      </w:pPr>
      <w:r>
        <w:rPr>
          <w:rFonts w:hint="eastAsia" w:ascii="宋体" w:hAnsi="宋体"/>
          <w:color w:val="auto"/>
          <w:sz w:val="24"/>
        </w:rPr>
        <w:t>委托期限：至上述事宜处理完毕止。</w:t>
      </w:r>
    </w:p>
    <w:p w14:paraId="25F1BBFB">
      <w:pPr>
        <w:snapToGrid w:val="0"/>
        <w:spacing w:line="360" w:lineRule="auto"/>
        <w:ind w:firstLine="3840" w:firstLineChars="1600"/>
        <w:rPr>
          <w:rFonts w:ascii="宋体" w:hAnsi="宋体"/>
          <w:color w:val="auto"/>
          <w:sz w:val="24"/>
          <w:u w:val="single"/>
        </w:rPr>
      </w:pPr>
      <w:r>
        <w:rPr>
          <w:rFonts w:hint="eastAsia" w:ascii="宋体" w:hAnsi="宋体"/>
          <w:color w:val="auto"/>
          <w:sz w:val="24"/>
        </w:rPr>
        <w:t xml:space="preserve">委托单位   </w:t>
      </w:r>
      <w:r>
        <w:rPr>
          <w:rFonts w:hint="eastAsia" w:ascii="宋体" w:hAnsi="宋体"/>
          <w:color w:val="auto"/>
          <w:sz w:val="24"/>
          <w:u w:val="single"/>
        </w:rPr>
        <w:t xml:space="preserve"> （公章）          </w:t>
      </w:r>
    </w:p>
    <w:p w14:paraId="6AB81491">
      <w:pPr>
        <w:snapToGrid w:val="0"/>
        <w:spacing w:line="360" w:lineRule="auto"/>
        <w:rPr>
          <w:rFonts w:ascii="宋体" w:hAnsi="宋体"/>
          <w:color w:val="auto"/>
          <w:sz w:val="24"/>
          <w:u w:val="single"/>
        </w:rPr>
      </w:pPr>
      <w:r>
        <w:rPr>
          <w:rFonts w:hint="eastAsia" w:ascii="宋体" w:hAnsi="宋体"/>
          <w:color w:val="auto"/>
          <w:sz w:val="24"/>
        </w:rPr>
        <w:t xml:space="preserve">                                法定代表人 </w:t>
      </w:r>
      <w:r>
        <w:rPr>
          <w:rFonts w:hint="eastAsia" w:ascii="宋体" w:hAnsi="宋体"/>
          <w:color w:val="auto"/>
          <w:sz w:val="24"/>
          <w:u w:val="single"/>
        </w:rPr>
        <w:t xml:space="preserve"> （签章）          </w:t>
      </w:r>
    </w:p>
    <w:p w14:paraId="2390DBB9">
      <w:pPr>
        <w:snapToGrid w:val="0"/>
        <w:spacing w:line="360" w:lineRule="auto"/>
        <w:ind w:firstLine="4440" w:firstLineChars="1850"/>
        <w:rPr>
          <w:rFonts w:ascii="宋体" w:hAnsi="宋体"/>
          <w:color w:val="auto"/>
          <w:sz w:val="24"/>
        </w:rPr>
      </w:pPr>
      <w:r>
        <w:rPr>
          <w:rFonts w:hint="eastAsia" w:ascii="宋体" w:hAnsi="宋体"/>
          <w:color w:val="auto"/>
          <w:sz w:val="24"/>
        </w:rPr>
        <w:t>年月日</w:t>
      </w:r>
    </w:p>
    <w:p w14:paraId="495C2E1B">
      <w:pPr>
        <w:pStyle w:val="3"/>
        <w:pageBreakBefore/>
        <w:spacing w:before="312" w:after="312"/>
        <w:rPr>
          <w:color w:val="auto"/>
        </w:rPr>
      </w:pPr>
      <w:bookmarkStart w:id="163" w:name="_Toc171325110"/>
      <w:bookmarkStart w:id="164" w:name="_Toc58404956"/>
      <w:bookmarkStart w:id="165" w:name="_Toc402691049"/>
      <w:bookmarkStart w:id="166" w:name="_Toc42097510"/>
      <w:bookmarkStart w:id="167" w:name="_Toc535179328"/>
      <w:r>
        <w:rPr>
          <w:rFonts w:hint="eastAsia"/>
          <w:color w:val="auto"/>
        </w:rPr>
        <w:t>三</w:t>
      </w:r>
      <w:r>
        <w:rPr>
          <w:rFonts w:hint="eastAsia"/>
          <w:color w:val="auto"/>
          <w:lang w:eastAsia="zh-CN"/>
        </w:rPr>
        <w:t>、</w:t>
      </w:r>
      <w:r>
        <w:rPr>
          <w:rFonts w:hint="eastAsia"/>
          <w:color w:val="auto"/>
        </w:rPr>
        <w:t>投标人概况</w:t>
      </w:r>
      <w:bookmarkEnd w:id="163"/>
      <w:bookmarkEnd w:id="164"/>
      <w:bookmarkEnd w:id="165"/>
      <w:bookmarkEnd w:id="166"/>
      <w:bookmarkEnd w:id="167"/>
    </w:p>
    <w:p w14:paraId="50234FFE">
      <w:pPr>
        <w:ind w:firstLine="480" w:firstLineChars="200"/>
        <w:rPr>
          <w:rFonts w:ascii="宋体" w:hAnsi="宋体"/>
          <w:color w:val="auto"/>
          <w:sz w:val="24"/>
        </w:rPr>
      </w:pPr>
      <w:r>
        <w:rPr>
          <w:rFonts w:hint="eastAsia" w:ascii="宋体" w:hAnsi="宋体"/>
          <w:color w:val="auto"/>
          <w:sz w:val="24"/>
        </w:rPr>
        <w:t>包括简要历史</w:t>
      </w:r>
      <w:r>
        <w:rPr>
          <w:rFonts w:hint="eastAsia" w:ascii="宋体" w:hAnsi="宋体"/>
          <w:color w:val="auto"/>
          <w:sz w:val="24"/>
          <w:lang w:eastAsia="zh-CN"/>
        </w:rPr>
        <w:t>、</w:t>
      </w:r>
      <w:r>
        <w:rPr>
          <w:rFonts w:hint="eastAsia" w:ascii="宋体" w:hAnsi="宋体"/>
          <w:color w:val="auto"/>
          <w:sz w:val="24"/>
        </w:rPr>
        <w:t>既往同类项目的完成情况</w:t>
      </w:r>
      <w:r>
        <w:rPr>
          <w:rFonts w:hint="eastAsia" w:ascii="宋体" w:hAnsi="宋体"/>
          <w:color w:val="auto"/>
          <w:sz w:val="24"/>
          <w:lang w:eastAsia="zh-CN"/>
        </w:rPr>
        <w:t>、</w:t>
      </w:r>
      <w:r>
        <w:rPr>
          <w:rFonts w:hint="eastAsia" w:ascii="宋体" w:hAnsi="宋体"/>
          <w:color w:val="auto"/>
          <w:sz w:val="24"/>
        </w:rPr>
        <w:t>投标人</w:t>
      </w:r>
      <w:r>
        <w:rPr>
          <w:rFonts w:hint="eastAsia" w:ascii="宋体" w:hAnsi="宋体"/>
          <w:color w:val="auto"/>
          <w:sz w:val="24"/>
          <w:lang w:eastAsia="zh-CN"/>
        </w:rPr>
        <w:t>服务</w:t>
      </w:r>
      <w:r>
        <w:rPr>
          <w:rFonts w:hint="eastAsia" w:ascii="宋体" w:hAnsi="宋体"/>
          <w:color w:val="auto"/>
          <w:sz w:val="24"/>
        </w:rPr>
        <w:t>能力简要介绍（字数控制在</w:t>
      </w:r>
      <w:r>
        <w:rPr>
          <w:rFonts w:hint="eastAsia" w:ascii="宋体" w:hAnsi="宋体"/>
          <w:color w:val="auto"/>
          <w:sz w:val="24"/>
          <w:lang w:eastAsia="zh-CN"/>
        </w:rPr>
        <w:t>三</w:t>
      </w:r>
      <w:r>
        <w:rPr>
          <w:rFonts w:hint="eastAsia" w:ascii="宋体" w:hAnsi="宋体"/>
          <w:color w:val="auto"/>
          <w:sz w:val="24"/>
        </w:rPr>
        <w:t>页纸以内）。</w:t>
      </w:r>
    </w:p>
    <w:p w14:paraId="30C11C1D">
      <w:pPr>
        <w:spacing w:line="420" w:lineRule="exact"/>
        <w:rPr>
          <w:rFonts w:ascii="宋体" w:hAnsi="宋体"/>
          <w:color w:val="auto"/>
          <w:sz w:val="30"/>
          <w:szCs w:val="30"/>
        </w:rPr>
      </w:pPr>
    </w:p>
    <w:p w14:paraId="4DE33EEA">
      <w:pPr>
        <w:pStyle w:val="3"/>
        <w:spacing w:before="312" w:after="312"/>
        <w:rPr>
          <w:color w:val="auto"/>
        </w:rPr>
      </w:pPr>
      <w:bookmarkStart w:id="168" w:name="_Toc58404957"/>
      <w:bookmarkStart w:id="169" w:name="_Toc42097511"/>
      <w:bookmarkStart w:id="170" w:name="_Toc814879229"/>
      <w:r>
        <w:rPr>
          <w:rFonts w:hint="eastAsia"/>
          <w:color w:val="auto"/>
        </w:rPr>
        <w:t>四</w:t>
      </w:r>
      <w:r>
        <w:rPr>
          <w:rFonts w:hint="eastAsia"/>
          <w:color w:val="auto"/>
          <w:lang w:eastAsia="zh-CN"/>
        </w:rPr>
        <w:t>、</w:t>
      </w:r>
      <w:r>
        <w:rPr>
          <w:rFonts w:hint="eastAsia"/>
          <w:color w:val="auto"/>
        </w:rPr>
        <w:t>采购需求响应情况</w:t>
      </w:r>
      <w:bookmarkEnd w:id="168"/>
      <w:bookmarkEnd w:id="169"/>
      <w:bookmarkEnd w:id="170"/>
    </w:p>
    <w:p w14:paraId="74043619">
      <w:pPr>
        <w:ind w:firstLine="480" w:firstLineChars="200"/>
        <w:rPr>
          <w:color w:val="auto"/>
        </w:rPr>
      </w:pPr>
      <w:r>
        <w:rPr>
          <w:rFonts w:hint="eastAsia"/>
          <w:color w:val="auto"/>
        </w:rPr>
        <w:t>投标人对采购文件的服务内容和要求进行响应，响应情况分为“完全响应”</w:t>
      </w:r>
      <w:r>
        <w:rPr>
          <w:rFonts w:hint="eastAsia"/>
          <w:color w:val="auto"/>
          <w:lang w:eastAsia="zh-CN"/>
        </w:rPr>
        <w:t>、</w:t>
      </w:r>
      <w:r>
        <w:rPr>
          <w:rFonts w:hint="eastAsia"/>
          <w:color w:val="auto"/>
        </w:rPr>
        <w:t>“部分响应”和“不响应”。</w:t>
      </w:r>
    </w:p>
    <w:tbl>
      <w:tblPr>
        <w:tblStyle w:val="13"/>
        <w:tblW w:w="889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865"/>
        <w:gridCol w:w="2127"/>
        <w:gridCol w:w="2976"/>
        <w:gridCol w:w="1228"/>
      </w:tblGrid>
      <w:tr w14:paraId="4B1F907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96" w:type="dxa"/>
            <w:noWrap w:val="0"/>
            <w:vAlign w:val="center"/>
          </w:tcPr>
          <w:p w14:paraId="784D11F3">
            <w:pPr>
              <w:keepNext w:val="0"/>
              <w:keepLines w:val="0"/>
              <w:widowControl/>
              <w:suppressLineNumbers w:val="0"/>
              <w:snapToGrid w:val="0"/>
              <w:spacing w:before="0" w:beforeAutospacing="0" w:after="0" w:afterAutospacing="0" w:line="360" w:lineRule="auto"/>
              <w:ind w:left="0" w:right="0"/>
              <w:jc w:val="center"/>
              <w:rPr>
                <w:rFonts w:hint="default"/>
                <w:b/>
                <w:color w:val="auto"/>
              </w:rPr>
            </w:pPr>
            <w:r>
              <w:rPr>
                <w:rFonts w:hint="default"/>
                <w:b/>
                <w:color w:val="auto"/>
              </w:rPr>
              <w:t>序号</w:t>
            </w:r>
          </w:p>
        </w:tc>
        <w:tc>
          <w:tcPr>
            <w:tcW w:w="1865" w:type="dxa"/>
            <w:noWrap w:val="0"/>
            <w:vAlign w:val="center"/>
          </w:tcPr>
          <w:p w14:paraId="66488ADB">
            <w:pPr>
              <w:keepNext w:val="0"/>
              <w:keepLines w:val="0"/>
              <w:widowControl/>
              <w:suppressLineNumbers w:val="0"/>
              <w:snapToGrid w:val="0"/>
              <w:spacing w:before="0" w:beforeAutospacing="0" w:after="0" w:afterAutospacing="0" w:line="360" w:lineRule="auto"/>
              <w:ind w:left="0" w:right="0"/>
              <w:jc w:val="center"/>
              <w:rPr>
                <w:rFonts w:hint="default"/>
                <w:b/>
                <w:color w:val="auto"/>
              </w:rPr>
            </w:pPr>
            <w:r>
              <w:rPr>
                <w:rFonts w:hint="default"/>
                <w:b/>
                <w:color w:val="auto"/>
              </w:rPr>
              <w:t>招标文件</w:t>
            </w:r>
            <w:r>
              <w:rPr>
                <w:rFonts w:hint="eastAsia"/>
                <w:b/>
                <w:color w:val="auto"/>
              </w:rPr>
              <w:t>章节号或页码</w:t>
            </w:r>
          </w:p>
        </w:tc>
        <w:tc>
          <w:tcPr>
            <w:tcW w:w="2127" w:type="dxa"/>
            <w:noWrap w:val="0"/>
            <w:vAlign w:val="center"/>
          </w:tcPr>
          <w:p w14:paraId="2B51192C">
            <w:pPr>
              <w:keepNext w:val="0"/>
              <w:keepLines w:val="0"/>
              <w:widowControl/>
              <w:suppressLineNumbers w:val="0"/>
              <w:snapToGrid w:val="0"/>
              <w:spacing w:before="0" w:beforeAutospacing="0" w:after="0" w:afterAutospacing="0" w:line="360" w:lineRule="auto"/>
              <w:ind w:left="0" w:right="0"/>
              <w:jc w:val="center"/>
              <w:rPr>
                <w:rFonts w:hint="default"/>
                <w:b/>
                <w:color w:val="auto"/>
              </w:rPr>
            </w:pPr>
            <w:r>
              <w:rPr>
                <w:rFonts w:hint="default"/>
                <w:b/>
                <w:color w:val="auto"/>
              </w:rPr>
              <w:t>招标文件</w:t>
            </w:r>
            <w:r>
              <w:rPr>
                <w:rFonts w:hint="eastAsia"/>
                <w:b/>
                <w:color w:val="auto"/>
              </w:rPr>
              <w:t>服务内容或要求</w:t>
            </w:r>
          </w:p>
        </w:tc>
        <w:tc>
          <w:tcPr>
            <w:tcW w:w="2976" w:type="dxa"/>
            <w:noWrap w:val="0"/>
            <w:vAlign w:val="center"/>
          </w:tcPr>
          <w:p w14:paraId="404096CB">
            <w:pPr>
              <w:keepNext w:val="0"/>
              <w:keepLines w:val="0"/>
              <w:widowControl/>
              <w:suppressLineNumbers w:val="0"/>
              <w:snapToGrid w:val="0"/>
              <w:spacing w:before="0" w:beforeAutospacing="0" w:after="0" w:afterAutospacing="0" w:line="360" w:lineRule="auto"/>
              <w:ind w:left="0" w:right="0"/>
              <w:jc w:val="center"/>
              <w:rPr>
                <w:rFonts w:hint="default"/>
                <w:b/>
                <w:color w:val="auto"/>
              </w:rPr>
            </w:pPr>
            <w:r>
              <w:rPr>
                <w:rFonts w:hint="default"/>
                <w:b/>
                <w:color w:val="auto"/>
              </w:rPr>
              <w:t>投标文件响应内容</w:t>
            </w:r>
          </w:p>
        </w:tc>
        <w:tc>
          <w:tcPr>
            <w:tcW w:w="1228" w:type="dxa"/>
            <w:noWrap w:val="0"/>
            <w:vAlign w:val="center"/>
          </w:tcPr>
          <w:p w14:paraId="12CC7796">
            <w:pPr>
              <w:keepNext w:val="0"/>
              <w:keepLines w:val="0"/>
              <w:widowControl/>
              <w:suppressLineNumbers w:val="0"/>
              <w:snapToGrid w:val="0"/>
              <w:spacing w:before="0" w:beforeAutospacing="0" w:after="0" w:afterAutospacing="0" w:line="360" w:lineRule="auto"/>
              <w:ind w:left="0" w:right="0"/>
              <w:rPr>
                <w:rFonts w:hint="default"/>
                <w:b/>
                <w:color w:val="auto"/>
              </w:rPr>
            </w:pPr>
            <w:r>
              <w:rPr>
                <w:rFonts w:hint="eastAsia"/>
                <w:b/>
                <w:color w:val="auto"/>
              </w:rPr>
              <w:t>响应情况</w:t>
            </w:r>
          </w:p>
        </w:tc>
      </w:tr>
      <w:tr w14:paraId="20D6AE8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6" w:type="dxa"/>
            <w:noWrap w:val="0"/>
            <w:vAlign w:val="center"/>
          </w:tcPr>
          <w:p w14:paraId="28E59F16">
            <w:pPr>
              <w:keepNext w:val="0"/>
              <w:keepLines w:val="0"/>
              <w:suppressLineNumbers w:val="0"/>
              <w:adjustRightInd w:val="0"/>
              <w:snapToGrid w:val="0"/>
              <w:spacing w:before="0" w:beforeAutospacing="0" w:after="0" w:afterAutospacing="0"/>
              <w:ind w:left="0" w:right="0"/>
              <w:rPr>
                <w:rFonts w:hint="default" w:ascii="仿宋" w:hAnsi="仿宋" w:eastAsia="仿宋"/>
                <w:color w:val="auto"/>
                <w:sz w:val="28"/>
                <w:szCs w:val="28"/>
              </w:rPr>
            </w:pPr>
            <w:r>
              <w:rPr>
                <w:rFonts w:hint="default" w:ascii="仿宋" w:hAnsi="仿宋" w:eastAsia="仿宋"/>
                <w:color w:val="auto"/>
                <w:sz w:val="28"/>
                <w:szCs w:val="28"/>
              </w:rPr>
              <w:t>1</w:t>
            </w:r>
          </w:p>
        </w:tc>
        <w:tc>
          <w:tcPr>
            <w:tcW w:w="1865" w:type="dxa"/>
            <w:noWrap w:val="0"/>
            <w:vAlign w:val="center"/>
          </w:tcPr>
          <w:p w14:paraId="7385AEDF">
            <w:pPr>
              <w:keepNext w:val="0"/>
              <w:keepLines w:val="0"/>
              <w:suppressLineNumbers w:val="0"/>
              <w:adjustRightInd w:val="0"/>
              <w:snapToGrid w:val="0"/>
              <w:spacing w:before="0" w:beforeAutospacing="0" w:after="0" w:afterAutospacing="0"/>
              <w:ind w:left="0" w:right="0"/>
              <w:rPr>
                <w:rFonts w:hint="default" w:ascii="仿宋" w:hAnsi="仿宋" w:eastAsia="仿宋"/>
                <w:color w:val="auto"/>
                <w:sz w:val="28"/>
                <w:szCs w:val="28"/>
              </w:rPr>
            </w:pPr>
          </w:p>
        </w:tc>
        <w:tc>
          <w:tcPr>
            <w:tcW w:w="2127" w:type="dxa"/>
            <w:noWrap w:val="0"/>
            <w:vAlign w:val="center"/>
          </w:tcPr>
          <w:p w14:paraId="1B5262FE">
            <w:pPr>
              <w:keepNext w:val="0"/>
              <w:keepLines w:val="0"/>
              <w:suppressLineNumbers w:val="0"/>
              <w:adjustRightInd w:val="0"/>
              <w:snapToGrid w:val="0"/>
              <w:spacing w:before="0" w:beforeAutospacing="0" w:after="0" w:afterAutospacing="0"/>
              <w:ind w:left="0" w:right="0"/>
              <w:rPr>
                <w:rFonts w:hint="default" w:ascii="仿宋" w:hAnsi="仿宋" w:eastAsia="仿宋"/>
                <w:color w:val="auto"/>
                <w:sz w:val="28"/>
                <w:szCs w:val="28"/>
              </w:rPr>
            </w:pPr>
          </w:p>
        </w:tc>
        <w:tc>
          <w:tcPr>
            <w:tcW w:w="2976" w:type="dxa"/>
            <w:noWrap w:val="0"/>
            <w:vAlign w:val="center"/>
          </w:tcPr>
          <w:p w14:paraId="2285CA36">
            <w:pPr>
              <w:keepNext w:val="0"/>
              <w:keepLines w:val="0"/>
              <w:suppressLineNumbers w:val="0"/>
              <w:adjustRightInd w:val="0"/>
              <w:snapToGrid w:val="0"/>
              <w:spacing w:before="0" w:beforeAutospacing="0" w:after="0" w:afterAutospacing="0"/>
              <w:ind w:left="0" w:right="0"/>
              <w:rPr>
                <w:rFonts w:hint="default" w:ascii="仿宋" w:hAnsi="仿宋" w:eastAsia="仿宋"/>
                <w:color w:val="auto"/>
                <w:sz w:val="28"/>
                <w:szCs w:val="28"/>
              </w:rPr>
            </w:pPr>
          </w:p>
        </w:tc>
        <w:tc>
          <w:tcPr>
            <w:tcW w:w="1228" w:type="dxa"/>
            <w:noWrap w:val="0"/>
            <w:vAlign w:val="center"/>
          </w:tcPr>
          <w:p w14:paraId="4143CB99">
            <w:pPr>
              <w:keepNext w:val="0"/>
              <w:keepLines w:val="0"/>
              <w:suppressLineNumbers w:val="0"/>
              <w:adjustRightInd w:val="0"/>
              <w:snapToGrid w:val="0"/>
              <w:spacing w:before="0" w:beforeAutospacing="0" w:after="0" w:afterAutospacing="0"/>
              <w:ind w:left="0" w:right="0"/>
              <w:rPr>
                <w:rFonts w:hint="default" w:ascii="仿宋" w:hAnsi="仿宋" w:eastAsia="仿宋"/>
                <w:color w:val="auto"/>
                <w:sz w:val="28"/>
                <w:szCs w:val="28"/>
              </w:rPr>
            </w:pPr>
          </w:p>
        </w:tc>
      </w:tr>
    </w:tbl>
    <w:p w14:paraId="2E2CD0B2">
      <w:pPr>
        <w:pStyle w:val="3"/>
        <w:spacing w:before="312" w:after="312"/>
        <w:rPr>
          <w:color w:val="auto"/>
        </w:rPr>
      </w:pPr>
      <w:bookmarkStart w:id="171" w:name="_Toc402691050"/>
      <w:bookmarkStart w:id="172" w:name="_Toc42097512"/>
      <w:bookmarkStart w:id="173" w:name="_Toc58404958"/>
      <w:bookmarkStart w:id="174" w:name="_Toc1757379744"/>
      <w:r>
        <w:rPr>
          <w:rFonts w:hint="eastAsia"/>
          <w:color w:val="auto"/>
        </w:rPr>
        <w:t>五</w:t>
      </w:r>
      <w:r>
        <w:rPr>
          <w:rFonts w:hint="eastAsia"/>
          <w:color w:val="auto"/>
          <w:lang w:eastAsia="zh-CN"/>
        </w:rPr>
        <w:t>、</w:t>
      </w:r>
      <w:r>
        <w:rPr>
          <w:rFonts w:hint="eastAsia"/>
          <w:color w:val="auto"/>
        </w:rPr>
        <w:t>投标人</w:t>
      </w:r>
      <w:bookmarkEnd w:id="171"/>
      <w:r>
        <w:rPr>
          <w:rFonts w:hint="eastAsia"/>
          <w:color w:val="auto"/>
        </w:rPr>
        <w:t>报价文件</w:t>
      </w:r>
      <w:bookmarkEnd w:id="172"/>
      <w:bookmarkEnd w:id="173"/>
      <w:bookmarkEnd w:id="174"/>
    </w:p>
    <w:p w14:paraId="5F2E367C">
      <w:pPr>
        <w:rPr>
          <w:color w:val="auto"/>
        </w:rPr>
      </w:pPr>
      <w:r>
        <w:rPr>
          <w:rFonts w:hint="eastAsia" w:ascii="宋体" w:hAnsi="宋体"/>
          <w:color w:val="auto"/>
          <w:sz w:val="28"/>
          <w:szCs w:val="28"/>
        </w:rPr>
        <w:t>报价必须唯一且包含所有服务内容。</w:t>
      </w:r>
    </w:p>
    <w:p w14:paraId="752B0738">
      <w:pPr>
        <w:rPr>
          <w:color w:val="auto"/>
        </w:rPr>
      </w:pPr>
    </w:p>
    <w:p w14:paraId="12C32620">
      <w:pPr>
        <w:pStyle w:val="3"/>
        <w:spacing w:before="312" w:after="312"/>
        <w:rPr>
          <w:color w:val="auto"/>
        </w:rPr>
      </w:pPr>
      <w:bookmarkStart w:id="175" w:name="_Toc58404959"/>
      <w:bookmarkStart w:id="176" w:name="_Toc42097513"/>
      <w:bookmarkStart w:id="177" w:name="_Toc1795829821"/>
      <w:r>
        <w:rPr>
          <w:rFonts w:hint="eastAsia"/>
          <w:color w:val="auto"/>
        </w:rPr>
        <w:t>六</w:t>
      </w:r>
      <w:bookmarkEnd w:id="175"/>
      <w:bookmarkEnd w:id="176"/>
      <w:bookmarkStart w:id="178" w:name="_Toc42097514"/>
      <w:bookmarkStart w:id="179" w:name="_Toc58404960"/>
      <w:r>
        <w:rPr>
          <w:rFonts w:hint="eastAsia"/>
          <w:color w:val="auto"/>
          <w:lang w:eastAsia="zh-CN"/>
        </w:rPr>
        <w:t>、</w:t>
      </w:r>
      <w:r>
        <w:rPr>
          <w:color w:val="auto"/>
        </w:rPr>
        <w:t>技术部分（包括</w:t>
      </w:r>
      <w:r>
        <w:rPr>
          <w:rFonts w:hint="eastAsia"/>
          <w:color w:val="auto"/>
          <w:lang w:eastAsia="zh-CN"/>
        </w:rPr>
        <w:t>服务</w:t>
      </w:r>
      <w:r>
        <w:rPr>
          <w:color w:val="auto"/>
        </w:rPr>
        <w:t>方案</w:t>
      </w:r>
      <w:r>
        <w:rPr>
          <w:rFonts w:hint="eastAsia"/>
          <w:color w:val="auto"/>
          <w:lang w:eastAsia="zh-CN"/>
        </w:rPr>
        <w:t>、</w:t>
      </w:r>
      <w:r>
        <w:rPr>
          <w:color w:val="auto"/>
        </w:rPr>
        <w:t>服务承诺等）</w:t>
      </w:r>
      <w:bookmarkEnd w:id="177"/>
      <w:bookmarkEnd w:id="178"/>
      <w:bookmarkEnd w:id="179"/>
    </w:p>
    <w:p w14:paraId="71EC5D56">
      <w:pPr>
        <w:rPr>
          <w:color w:val="auto"/>
        </w:rPr>
      </w:pPr>
    </w:p>
    <w:p w14:paraId="09FABC4E">
      <w:pPr>
        <w:rPr>
          <w:color w:val="auto"/>
        </w:rPr>
      </w:pPr>
    </w:p>
    <w:p w14:paraId="3E716C03">
      <w:pPr>
        <w:pStyle w:val="3"/>
        <w:spacing w:before="312" w:after="312"/>
        <w:rPr>
          <w:color w:val="auto"/>
        </w:rPr>
      </w:pPr>
      <w:bookmarkStart w:id="180" w:name="_Toc1666545030"/>
      <w:bookmarkStart w:id="181" w:name="_Toc58404961"/>
      <w:r>
        <w:rPr>
          <w:rFonts w:hint="eastAsia"/>
          <w:color w:val="auto"/>
        </w:rPr>
        <w:t>七</w:t>
      </w:r>
      <w:r>
        <w:rPr>
          <w:rFonts w:hint="eastAsia"/>
          <w:color w:val="auto"/>
          <w:lang w:eastAsia="zh-CN"/>
        </w:rPr>
        <w:t>、</w:t>
      </w:r>
      <w:r>
        <w:rPr>
          <w:color w:val="auto"/>
        </w:rPr>
        <w:t>投标人认为需要的其它证明材料</w:t>
      </w:r>
      <w:bookmarkEnd w:id="180"/>
      <w:bookmarkEnd w:id="181"/>
    </w:p>
    <w:p w14:paraId="0CC07814">
      <w:pPr>
        <w:spacing w:line="460" w:lineRule="exact"/>
        <w:ind w:firstLine="480" w:firstLineChars="200"/>
      </w:pPr>
    </w:p>
    <w:sectPr>
      <w:pgSz w:w="11906" w:h="16838"/>
      <w:pgMar w:top="2098" w:right="1474" w:bottom="1984" w:left="1587" w:header="397" w:footer="0" w:gutter="0"/>
      <w:pgBorders>
        <w:top w:val="none" w:sz="0" w:space="0"/>
        <w:left w:val="none" w:sz="0" w:space="0"/>
        <w:bottom w:val="none" w:sz="0" w:space="0"/>
        <w:right w:val="none" w:sz="0" w:space="0"/>
      </w:pgBorders>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Lucida Sans Unicode">
    <w:altName w:val="Noto Naskh Arabic"/>
    <w:panose1 w:val="020B0602030504020204"/>
    <w:charset w:val="00"/>
    <w:family w:val="auto"/>
    <w:pitch w:val="default"/>
    <w:sig w:usb0="00000000" w:usb1="00000000" w:usb2="00000000" w:usb3="00000000" w:csb0="200000BF" w:csb1="D7F70000"/>
  </w:font>
  <w:font w:name="Noto Naskh Arabic">
    <w:panose1 w:val="020B0502040504020204"/>
    <w:charset w:val="00"/>
    <w:family w:val="auto"/>
    <w:pitch w:val="default"/>
    <w:sig w:usb0="80002003" w:usb1="80002000" w:usb2="00000008" w:usb3="00000000" w:csb0="00000041" w:csb1="0008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E7E4">
    <w:pPr>
      <w:pStyle w:val="9"/>
      <w:jc w:val="center"/>
    </w:pPr>
    <w:r>
      <w:fldChar w:fldCharType="begin"/>
    </w:r>
    <w:r>
      <w:instrText xml:space="preserve"> PAGE   \* MERGEFORMAT </w:instrText>
    </w:r>
    <w:r>
      <w:fldChar w:fldCharType="separate"/>
    </w:r>
    <w:r>
      <w:rPr>
        <w:lang w:val="zh-CN"/>
      </w:rPr>
      <w:t>12</w:t>
    </w:r>
    <w:r>
      <w:fldChar w:fldCharType="end"/>
    </w:r>
  </w:p>
  <w:p w14:paraId="0E76E8D8">
    <w:pPr>
      <w:pStyle w:val="9"/>
    </w:pPr>
  </w:p>
  <w:p w14:paraId="38701B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77383"/>
    <w:multiLevelType w:val="singleLevel"/>
    <w:tmpl w:val="BFD77383"/>
    <w:lvl w:ilvl="0" w:tentative="0">
      <w:start w:val="3"/>
      <w:numFmt w:val="chineseCounting"/>
      <w:suff w:val="space"/>
      <w:lvlText w:val="第%1部分"/>
      <w:lvlJc w:val="left"/>
      <w:rPr>
        <w:rFonts w:hint="eastAsia"/>
      </w:rPr>
    </w:lvl>
  </w:abstractNum>
  <w:abstractNum w:abstractNumId="1">
    <w:nsid w:val="D0B13654"/>
    <w:multiLevelType w:val="singleLevel"/>
    <w:tmpl w:val="D0B13654"/>
    <w:lvl w:ilvl="0" w:tentative="0">
      <w:start w:val="3"/>
      <w:numFmt w:val="chineseCounting"/>
      <w:suff w:val="nothing"/>
      <w:lvlText w:val="%1、"/>
      <w:lvlJc w:val="left"/>
      <w:rPr>
        <w:rFonts w:hint="eastAsia"/>
      </w:rPr>
    </w:lvl>
  </w:abstractNum>
  <w:abstractNum w:abstractNumId="2">
    <w:nsid w:val="E761CE7E"/>
    <w:multiLevelType w:val="singleLevel"/>
    <w:tmpl w:val="E761CE7E"/>
    <w:lvl w:ilvl="0" w:tentative="0">
      <w:start w:val="1"/>
      <w:numFmt w:val="chineseCounting"/>
      <w:suff w:val="space"/>
      <w:lvlText w:val="第%1部分"/>
      <w:lvlJc w:val="left"/>
      <w:rPr>
        <w:rFonts w:hint="eastAsia"/>
      </w:rPr>
    </w:lvl>
  </w:abstractNum>
  <w:abstractNum w:abstractNumId="3">
    <w:nsid w:val="67794AC5"/>
    <w:multiLevelType w:val="multilevel"/>
    <w:tmpl w:val="67794AC5"/>
    <w:lvl w:ilvl="0" w:tentative="0">
      <w:start w:val="1"/>
      <w:numFmt w:val="chineseCountingThousand"/>
      <w:suff w:val="nothing"/>
      <w:lvlText w:val="%1、"/>
      <w:lvlJc w:val="left"/>
      <w:pPr>
        <w:ind w:left="1854" w:hanging="720"/>
      </w:pPr>
      <w:rPr>
        <w:rFonts w:hint="default"/>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87F7B3E"/>
    <w:multiLevelType w:val="singleLevel"/>
    <w:tmpl w:val="687F7B3E"/>
    <w:lvl w:ilvl="0" w:tentative="0">
      <w:start w:val="5"/>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4372"/>
    <w:rsid w:val="00CC2D52"/>
    <w:rsid w:val="01141165"/>
    <w:rsid w:val="011D2710"/>
    <w:rsid w:val="04396671"/>
    <w:rsid w:val="056735C4"/>
    <w:rsid w:val="07F7D600"/>
    <w:rsid w:val="08E26F9B"/>
    <w:rsid w:val="0A6064B8"/>
    <w:rsid w:val="0AF671E5"/>
    <w:rsid w:val="0BAA59C1"/>
    <w:rsid w:val="0FDFF330"/>
    <w:rsid w:val="10A44D54"/>
    <w:rsid w:val="122B4561"/>
    <w:rsid w:val="14741BC7"/>
    <w:rsid w:val="158227A5"/>
    <w:rsid w:val="17807119"/>
    <w:rsid w:val="17956AD5"/>
    <w:rsid w:val="181276B9"/>
    <w:rsid w:val="19BE5BF6"/>
    <w:rsid w:val="19CB4402"/>
    <w:rsid w:val="1A7D0A10"/>
    <w:rsid w:val="1BDC393B"/>
    <w:rsid w:val="1CC932F4"/>
    <w:rsid w:val="1DE72123"/>
    <w:rsid w:val="1E933A9B"/>
    <w:rsid w:val="1F397990"/>
    <w:rsid w:val="1FEF879C"/>
    <w:rsid w:val="1FFFBDA4"/>
    <w:rsid w:val="20BF16B0"/>
    <w:rsid w:val="211E1AE5"/>
    <w:rsid w:val="212E7BC9"/>
    <w:rsid w:val="21F72D98"/>
    <w:rsid w:val="222D57EE"/>
    <w:rsid w:val="22410F71"/>
    <w:rsid w:val="252523ED"/>
    <w:rsid w:val="25755DC7"/>
    <w:rsid w:val="2582242A"/>
    <w:rsid w:val="25E307BD"/>
    <w:rsid w:val="25FE8DB8"/>
    <w:rsid w:val="26A707CF"/>
    <w:rsid w:val="26AA7CF2"/>
    <w:rsid w:val="286A4E74"/>
    <w:rsid w:val="28C411E9"/>
    <w:rsid w:val="2AA40A38"/>
    <w:rsid w:val="2AF14141"/>
    <w:rsid w:val="2B6D70C3"/>
    <w:rsid w:val="2B816355"/>
    <w:rsid w:val="2DB32B8C"/>
    <w:rsid w:val="2DDE509E"/>
    <w:rsid w:val="2DF94EEA"/>
    <w:rsid w:val="2E7F8EB5"/>
    <w:rsid w:val="2EE572FA"/>
    <w:rsid w:val="2EFD3B43"/>
    <w:rsid w:val="2FFF178C"/>
    <w:rsid w:val="30173E46"/>
    <w:rsid w:val="327B0795"/>
    <w:rsid w:val="32FC7776"/>
    <w:rsid w:val="334E929A"/>
    <w:rsid w:val="33D86658"/>
    <w:rsid w:val="33DC1BF5"/>
    <w:rsid w:val="33F78ACE"/>
    <w:rsid w:val="345614B9"/>
    <w:rsid w:val="355C3303"/>
    <w:rsid w:val="35F7C42D"/>
    <w:rsid w:val="36100D77"/>
    <w:rsid w:val="36B9664A"/>
    <w:rsid w:val="36BB5604"/>
    <w:rsid w:val="36FEA52A"/>
    <w:rsid w:val="372C6501"/>
    <w:rsid w:val="377F4F48"/>
    <w:rsid w:val="37E42DDA"/>
    <w:rsid w:val="37FEE220"/>
    <w:rsid w:val="3A305CAC"/>
    <w:rsid w:val="3B182C9D"/>
    <w:rsid w:val="3BF9497D"/>
    <w:rsid w:val="3D87B117"/>
    <w:rsid w:val="3D8DA172"/>
    <w:rsid w:val="3E0D3868"/>
    <w:rsid w:val="3E2A7EC8"/>
    <w:rsid w:val="3E9F5670"/>
    <w:rsid w:val="3F7DC78D"/>
    <w:rsid w:val="3FA731B3"/>
    <w:rsid w:val="3FFF5C67"/>
    <w:rsid w:val="45810F53"/>
    <w:rsid w:val="46E36679"/>
    <w:rsid w:val="480967B9"/>
    <w:rsid w:val="49DFB0C7"/>
    <w:rsid w:val="49FE4B11"/>
    <w:rsid w:val="4A4A2A02"/>
    <w:rsid w:val="4B3D2E5B"/>
    <w:rsid w:val="4BB05A0E"/>
    <w:rsid w:val="4C5C1398"/>
    <w:rsid w:val="4D0D2556"/>
    <w:rsid w:val="4EE74118"/>
    <w:rsid w:val="4F7E2552"/>
    <w:rsid w:val="4FBF5A38"/>
    <w:rsid w:val="4FFF9C85"/>
    <w:rsid w:val="535FC914"/>
    <w:rsid w:val="54C97AC2"/>
    <w:rsid w:val="54FF095A"/>
    <w:rsid w:val="57FB2C0B"/>
    <w:rsid w:val="58D42829"/>
    <w:rsid w:val="596B474B"/>
    <w:rsid w:val="5B3D9041"/>
    <w:rsid w:val="5BBBF9CF"/>
    <w:rsid w:val="5BFD92E1"/>
    <w:rsid w:val="5CF7EEEA"/>
    <w:rsid w:val="5D6E6727"/>
    <w:rsid w:val="5E6F64A1"/>
    <w:rsid w:val="5E9F4C2A"/>
    <w:rsid w:val="5EDAB11A"/>
    <w:rsid w:val="5EF58273"/>
    <w:rsid w:val="5EFF1F4A"/>
    <w:rsid w:val="5F1F2A06"/>
    <w:rsid w:val="5F3D215F"/>
    <w:rsid w:val="5FFA2F1A"/>
    <w:rsid w:val="600B149F"/>
    <w:rsid w:val="6296706C"/>
    <w:rsid w:val="63343EC4"/>
    <w:rsid w:val="63554905"/>
    <w:rsid w:val="65761178"/>
    <w:rsid w:val="65D85DAA"/>
    <w:rsid w:val="65DF446B"/>
    <w:rsid w:val="663552AF"/>
    <w:rsid w:val="667AA2CD"/>
    <w:rsid w:val="66D85CF0"/>
    <w:rsid w:val="66F52D0F"/>
    <w:rsid w:val="67BAB9C6"/>
    <w:rsid w:val="67D2E7C0"/>
    <w:rsid w:val="67DD1227"/>
    <w:rsid w:val="688A0660"/>
    <w:rsid w:val="69BFD9B9"/>
    <w:rsid w:val="6A1B6F16"/>
    <w:rsid w:val="6BAF6D12"/>
    <w:rsid w:val="6C7F16DD"/>
    <w:rsid w:val="6EFF46F8"/>
    <w:rsid w:val="6F1F2811"/>
    <w:rsid w:val="6F2D283B"/>
    <w:rsid w:val="6F7FC4F1"/>
    <w:rsid w:val="6FF77989"/>
    <w:rsid w:val="6FFFE4B9"/>
    <w:rsid w:val="737441A2"/>
    <w:rsid w:val="73775E10"/>
    <w:rsid w:val="73AFDD3E"/>
    <w:rsid w:val="7657019E"/>
    <w:rsid w:val="767FFBA7"/>
    <w:rsid w:val="77587E19"/>
    <w:rsid w:val="776358AA"/>
    <w:rsid w:val="777F4372"/>
    <w:rsid w:val="77C9B8AD"/>
    <w:rsid w:val="77D7FC41"/>
    <w:rsid w:val="78074248"/>
    <w:rsid w:val="79AA0DF7"/>
    <w:rsid w:val="79B72215"/>
    <w:rsid w:val="79BFCA1F"/>
    <w:rsid w:val="7B2FBE66"/>
    <w:rsid w:val="7BDE1C4F"/>
    <w:rsid w:val="7CFB0855"/>
    <w:rsid w:val="7D352058"/>
    <w:rsid w:val="7DEF38AE"/>
    <w:rsid w:val="7E2D5618"/>
    <w:rsid w:val="7E40017A"/>
    <w:rsid w:val="7EE3B426"/>
    <w:rsid w:val="7EF8DB2A"/>
    <w:rsid w:val="7EFE0F0B"/>
    <w:rsid w:val="7F3EE47C"/>
    <w:rsid w:val="7F5FDE9C"/>
    <w:rsid w:val="7FC71C53"/>
    <w:rsid w:val="7FCB43AB"/>
    <w:rsid w:val="7FDBD2BC"/>
    <w:rsid w:val="7FED25FE"/>
    <w:rsid w:val="7FFECD5B"/>
    <w:rsid w:val="7FFF0088"/>
    <w:rsid w:val="9AFF2680"/>
    <w:rsid w:val="9EFA830A"/>
    <w:rsid w:val="9F1500EF"/>
    <w:rsid w:val="9FBC2F19"/>
    <w:rsid w:val="AD995B8D"/>
    <w:rsid w:val="AFEB0BA1"/>
    <w:rsid w:val="B2FF6365"/>
    <w:rsid w:val="B3A7340C"/>
    <w:rsid w:val="B3DFAC97"/>
    <w:rsid w:val="B45F043E"/>
    <w:rsid w:val="B6AEEF08"/>
    <w:rsid w:val="B7F9D461"/>
    <w:rsid w:val="B8FF994D"/>
    <w:rsid w:val="BA7C2F16"/>
    <w:rsid w:val="BAFF5E2C"/>
    <w:rsid w:val="BBAF0DF1"/>
    <w:rsid w:val="BBBA7573"/>
    <w:rsid w:val="BD9E7298"/>
    <w:rsid w:val="BDBF5CAF"/>
    <w:rsid w:val="BF9D220C"/>
    <w:rsid w:val="BFF7AF80"/>
    <w:rsid w:val="C7E79773"/>
    <w:rsid w:val="CB97BDB4"/>
    <w:rsid w:val="CBBE7337"/>
    <w:rsid w:val="CD6D5168"/>
    <w:rsid w:val="D1F58618"/>
    <w:rsid w:val="D4FF9D1C"/>
    <w:rsid w:val="DB770EC8"/>
    <w:rsid w:val="DD6F980E"/>
    <w:rsid w:val="DEF795E8"/>
    <w:rsid w:val="DFFB3966"/>
    <w:rsid w:val="E79DA2A3"/>
    <w:rsid w:val="EBB9FE17"/>
    <w:rsid w:val="EBF7AB57"/>
    <w:rsid w:val="ECFF9211"/>
    <w:rsid w:val="EEE4F010"/>
    <w:rsid w:val="EFAEE243"/>
    <w:rsid w:val="EFB7F5F0"/>
    <w:rsid w:val="EFBB640A"/>
    <w:rsid w:val="EFDB460B"/>
    <w:rsid w:val="EFFF30B6"/>
    <w:rsid w:val="F1D4AC37"/>
    <w:rsid w:val="F1FB9A55"/>
    <w:rsid w:val="F3ECA200"/>
    <w:rsid w:val="F3EDDEEE"/>
    <w:rsid w:val="F4FF5CF2"/>
    <w:rsid w:val="F5FF95AE"/>
    <w:rsid w:val="F6E772AB"/>
    <w:rsid w:val="F77359D9"/>
    <w:rsid w:val="F7A6225D"/>
    <w:rsid w:val="F7DFDF62"/>
    <w:rsid w:val="F7FB8F33"/>
    <w:rsid w:val="F7FF274D"/>
    <w:rsid w:val="F9FF2160"/>
    <w:rsid w:val="FAF15F4D"/>
    <w:rsid w:val="FB471E18"/>
    <w:rsid w:val="FB6EBFD4"/>
    <w:rsid w:val="FB9BCCEC"/>
    <w:rsid w:val="FBF92DF6"/>
    <w:rsid w:val="FBFD62A7"/>
    <w:rsid w:val="FCAF6A76"/>
    <w:rsid w:val="FCEAFC62"/>
    <w:rsid w:val="FCEE301C"/>
    <w:rsid w:val="FD7FFB64"/>
    <w:rsid w:val="FE7CDB70"/>
    <w:rsid w:val="FE7EBE3E"/>
    <w:rsid w:val="FE9808B8"/>
    <w:rsid w:val="FEC7C8A5"/>
    <w:rsid w:val="FF7FD255"/>
    <w:rsid w:val="FF9FF97E"/>
    <w:rsid w:val="FFDDF06F"/>
    <w:rsid w:val="FFFCC8A0"/>
    <w:rsid w:val="FFFDAFD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
    <w:pPr>
      <w:keepNext/>
      <w:keepLines/>
      <w:pageBreakBefore/>
      <w:widowControl/>
      <w:spacing w:line="360" w:lineRule="auto"/>
      <w:jc w:val="center"/>
      <w:outlineLvl w:val="0"/>
    </w:pPr>
    <w:rPr>
      <w:b/>
      <w:bCs/>
      <w:kern w:val="44"/>
      <w:sz w:val="44"/>
      <w:szCs w:val="44"/>
    </w:rPr>
  </w:style>
  <w:style w:type="paragraph" w:styleId="3">
    <w:name w:val="heading 2"/>
    <w:basedOn w:val="1"/>
    <w:next w:val="1"/>
    <w:qFormat/>
    <w:uiPriority w:val="9"/>
    <w:pPr>
      <w:keepNext/>
      <w:widowControl/>
      <w:spacing w:beforeLines="100" w:afterLines="100"/>
      <w:jc w:val="left"/>
      <w:outlineLvl w:val="1"/>
    </w:pPr>
    <w:rPr>
      <w:rFonts w:ascii="等线 Light" w:hAnsi="等线 Light"/>
      <w:b/>
      <w:bCs/>
      <w:sz w:val="30"/>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toc 1"/>
    <w:basedOn w:val="1"/>
    <w:next w:val="1"/>
    <w:unhideWhenUsed/>
    <w:qFormat/>
    <w:uiPriority w:val="39"/>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jc w:val="left"/>
    </w:pPr>
    <w:rPr>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公文标题"/>
    <w:basedOn w:val="1"/>
    <w:qFormat/>
    <w:uiPriority w:val="0"/>
    <w:pPr>
      <w:spacing w:line="578" w:lineRule="exact"/>
      <w:jc w:val="center"/>
    </w:pPr>
    <w:rPr>
      <w:rFonts w:ascii="方正小标宋简体" w:hAnsi="方正小标宋简体" w:eastAsia="方正小标宋简体"/>
      <w:sz w:val="44"/>
    </w:rPr>
  </w:style>
  <w:style w:type="paragraph" w:customStyle="1" w:styleId="20">
    <w:name w:val="公文正文"/>
    <w:basedOn w:val="1"/>
    <w:qFormat/>
    <w:uiPriority w:val="0"/>
    <w:pPr>
      <w:spacing w:line="578" w:lineRule="exact"/>
      <w:jc w:val="left"/>
    </w:pPr>
    <w:rPr>
      <w:rFonts w:ascii="Calibri" w:hAnsi="Calibri" w:eastAsia="仿宋_GB2312"/>
      <w:sz w:val="32"/>
    </w:rPr>
  </w:style>
  <w:style w:type="paragraph" w:customStyle="1" w:styleId="21">
    <w:name w:val="公文段落"/>
    <w:basedOn w:val="1"/>
    <w:qFormat/>
    <w:uiPriority w:val="0"/>
    <w:pPr>
      <w:spacing w:line="578" w:lineRule="exact"/>
      <w:ind w:firstLine="420" w:firstLineChars="200"/>
      <w:jc w:val="left"/>
    </w:pPr>
    <w:rPr>
      <w:rFonts w:ascii="Calibri" w:hAnsi="Calibri" w:eastAsia="仿宋_GB2312"/>
      <w:sz w:val="32"/>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styleId="23">
    <w:name w:val="List Paragraph"/>
    <w:basedOn w:val="1"/>
    <w:qFormat/>
    <w:uiPriority w:val="34"/>
    <w:pPr>
      <w:ind w:firstLine="420" w:firstLineChars="200"/>
    </w:pPr>
    <w:rPr>
      <w:szCs w:val="22"/>
    </w:rPr>
  </w:style>
  <w:style w:type="paragraph" w:customStyle="1" w:styleId="24">
    <w:name w:val="d正文"/>
    <w:basedOn w:val="1"/>
    <w:qFormat/>
    <w:uiPriority w:val="0"/>
    <w:pPr>
      <w:adjustRightInd w:val="0"/>
      <w:snapToGrid w:val="0"/>
      <w:spacing w:after="120" w:line="360" w:lineRule="auto"/>
      <w:ind w:firstLine="560" w:firstLineChars="200"/>
    </w:pPr>
    <w:rPr>
      <w:rFonts w:ascii="仿宋_GB2312" w:hAnsi="仿宋_GB2312" w:eastAsia="仿宋_GB2312"/>
      <w:bCs/>
      <w:sz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2707</Words>
  <Characters>2836</Characters>
  <Lines>0</Lines>
  <Paragraphs>0</Paragraphs>
  <TotalTime>86</TotalTime>
  <ScaleCrop>false</ScaleCrop>
  <LinksUpToDate>false</LinksUpToDate>
  <CharactersWithSpaces>3098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2026-03-08T22:53:00Z</dcterms:created>
  <dc:creator>梁昌渊</dc:creator>
  <cp:lastModifiedBy>zhihai</cp:lastModifiedBy>
  <cp:lastPrinted>2026-06-09T09:42:08Z</cp:lastPrinted>
  <dcterms:modified xsi:type="dcterms:W3CDTF">2026-06-09T10:32:54Z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eyJoZGlkIjoiMDJiNGQ1N2RhNTNhYzg2ZWZiZWY1OTk1NjA1YWVlNzQiLCJ1c2VySWQiOiIxNDAyMzMxOTEyIn0=</vt:lpwstr>
  </property>
  <property fmtid="{D5CDD505-2E9C-101B-9397-08002B2CF9AE}" pid="4" name="ICV">
    <vt:lpwstr>8E4B611049C74F48B2A9F1045C6312E2_13</vt:lpwstr>
  </property>
</Properties>
</file>