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海南省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流通领域</w:t>
      </w:r>
      <w:r>
        <w:rPr>
          <w:rFonts w:hint="eastAsia" w:ascii="宋体" w:hAnsi="宋体" w:cs="宋体"/>
          <w:b/>
          <w:bCs/>
          <w:sz w:val="44"/>
          <w:szCs w:val="44"/>
        </w:rPr>
        <w:t>热轧带肋钢筋</w:t>
      </w:r>
    </w:p>
    <w:p>
      <w:pPr>
        <w:spacing w:line="600" w:lineRule="exact"/>
        <w:jc w:val="center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产品质量监督抽查实施细则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XZ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-202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5</w:t>
      </w:r>
    </w:p>
    <w:p>
      <w:pPr>
        <w:snapToGrid w:val="0"/>
        <w:spacing w:line="44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1 抽样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1.1抽样型号或规格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产品种类包括：热轧带肋钢筋。</w:t>
      </w:r>
      <w:r>
        <w:rPr>
          <w:rFonts w:hint="eastAsia" w:ascii="宋体" w:hAnsi="宋体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抽取样品应为同一规格、同一批次的产品。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1.2 抽样方法、基数、抽样数量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在流通领域随机抽取经企业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合格或以任何方式表明合格的待销产品。随机数一般可使用随机数表、骰子或扑克牌等方法产生。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1.2.1 热轧带肋钢筋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在流通领域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的销售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企业成品库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或成品堆场</w:t>
      </w:r>
      <w:r>
        <w:rPr>
          <w:rFonts w:hint="eastAsia" w:ascii="仿宋_GB2312" w:hAnsi="仿宋_GB2312" w:eastAsia="仿宋_GB2312" w:cs="仿宋_GB2312"/>
          <w:sz w:val="32"/>
          <w:szCs w:val="32"/>
        </w:rPr>
        <w:t>抽样时，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直条钢筋同一批次产品抽样基数不得少于捆，盘卷钢筋同一批次产品抽样基数不得少于6盘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；对于样品基数较少时，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抽样基数满足抽样数量即可。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对于直条型式的钢筋,抽样方法如下: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（1）确定所抽产品的牌号和规格，随机抽取一捆；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（2）在该捆中随机抽取6根长度为2400mm的钢筋，逐根顺序编号为1～6，再把每根钢筋分成2支长度为1200mm的样品，2支样品逐支编号标记，并一一对应 (如1-a，1-b)，每支样品要保证有完整的表面标志，标记a的6支样品为检验样品，标记b的6支样品为备用样品。样品可根据检验所需长度切分后运输。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对于盘卷型式的钢筋，抽样方法如下：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（1）确定所抽产品的牌号和规格，随机抽取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（2）在每盘钢筋上距头或尾至少2000mm处，随机截取1根长度为2400mm的钢筋，逐根顺序编号为1～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，再把每根钢筋分成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支长度为1200mm的样品，2支样品逐支编号标记，并一一对应(如记1-a，1-b)。标记a的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支样品为检验样品，标记b的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支样品为备用样品。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 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2.1检验依据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GB 1499.2-20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钢筋混凝土用钢 第2部分：热轧带肋钢筋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2.2检验项目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2.2.1 热轧带肋钢筋检验项目见表1。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表1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热轧带肋钢筋检验项目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510"/>
        <w:gridCol w:w="3405"/>
        <w:gridCol w:w="2188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tblHeader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9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依据法律法规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或标准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力学性能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屈服强度</w:t>
            </w:r>
            <w:r>
              <w:rPr>
                <w:rFonts w:hint="default" w:ascii="Times New Roman" w:hAnsi="Times New Roman" w:eastAsia="仿宋_GB2312" w:cs="Times New Roman"/>
                <w:bCs/>
                <w:i/>
                <w:iCs/>
                <w:color w:val="auto"/>
                <w:kern w:val="0"/>
                <w:sz w:val="28"/>
                <w:szCs w:val="28"/>
              </w:rPr>
              <w:t>R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vertAlign w:val="subscript"/>
              </w:rPr>
              <w:t>eL</w:t>
            </w:r>
          </w:p>
        </w:tc>
        <w:tc>
          <w:tcPr>
            <w:tcW w:w="2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GB 1499.2-20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/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GB 1499.2-20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GB/T 28900-20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抗拉强度</w:t>
            </w:r>
            <w:r>
              <w:rPr>
                <w:rFonts w:hint="default" w:ascii="Times New Roman" w:hAnsi="Times New Roman" w:eastAsia="仿宋_GB2312" w:cs="Times New Roman"/>
                <w:bCs/>
                <w:i/>
                <w:iCs/>
                <w:color w:val="auto"/>
                <w:kern w:val="0"/>
                <w:sz w:val="28"/>
                <w:szCs w:val="28"/>
              </w:rPr>
              <w:t>R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vertAlign w:val="subscript"/>
              </w:rPr>
              <w:t>m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断后伸长率</w:t>
            </w:r>
            <w:r>
              <w:rPr>
                <w:rFonts w:hint="default" w:ascii="Times New Roman" w:hAnsi="Times New Roman" w:eastAsia="仿宋_GB2312" w:cs="Times New Roman"/>
                <w:bCs/>
                <w:i/>
                <w:iCs/>
                <w:color w:val="auto"/>
                <w:kern w:val="0"/>
                <w:sz w:val="28"/>
                <w:szCs w:val="28"/>
              </w:rPr>
              <w:t>A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实测抗拉强度与实测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屈服强度之比</w:t>
            </w:r>
            <w:r>
              <w:rPr>
                <w:rFonts w:hint="default" w:ascii="Times New Roman" w:hAnsi="Times New Roman" w:eastAsia="仿宋_GB2312" w:cs="Times New Roman"/>
                <w:bCs/>
                <w:i/>
                <w:iCs/>
                <w:color w:val="auto"/>
                <w:kern w:val="0"/>
                <w:sz w:val="28"/>
                <w:szCs w:val="28"/>
              </w:rPr>
              <w:t>R</w:t>
            </w:r>
            <w:r>
              <w:rPr>
                <w:rFonts w:hint="eastAsia" w:eastAsia="仿宋_GB2312" w:cs="Times New Roman"/>
                <w:bCs/>
                <w:color w:val="auto"/>
                <w:kern w:val="0"/>
                <w:sz w:val="28"/>
                <w:szCs w:val="28"/>
                <w:vertAlign w:val="superscript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vertAlign w:val="subscript"/>
              </w:rPr>
              <w:t>m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/ </w:t>
            </w:r>
            <w:r>
              <w:rPr>
                <w:rFonts w:hint="default" w:ascii="Times New Roman" w:hAnsi="Times New Roman" w:eastAsia="仿宋_GB2312" w:cs="Times New Roman"/>
                <w:bCs/>
                <w:i/>
                <w:iCs/>
                <w:color w:val="auto"/>
                <w:kern w:val="0"/>
                <w:sz w:val="28"/>
                <w:szCs w:val="28"/>
              </w:rPr>
              <w:t>R</w:t>
            </w:r>
            <w:r>
              <w:rPr>
                <w:rFonts w:hint="eastAsia" w:eastAsia="仿宋_GB2312" w:cs="Times New Roman"/>
                <w:bCs/>
                <w:color w:val="auto"/>
                <w:kern w:val="0"/>
                <w:sz w:val="28"/>
                <w:szCs w:val="28"/>
                <w:vertAlign w:val="superscript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vertAlign w:val="subscript"/>
              </w:rPr>
              <w:t>eL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实测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屈服强度与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屈服强度特征值之比</w:t>
            </w:r>
            <w:r>
              <w:rPr>
                <w:rFonts w:hint="default" w:ascii="Times New Roman" w:hAnsi="Times New Roman" w:eastAsia="仿宋_GB2312" w:cs="Times New Roman"/>
                <w:bCs/>
                <w:i/>
                <w:iCs/>
                <w:color w:val="auto"/>
                <w:kern w:val="0"/>
                <w:sz w:val="28"/>
                <w:szCs w:val="28"/>
              </w:rPr>
              <w:t>R</w:t>
            </w:r>
            <w:r>
              <w:rPr>
                <w:rFonts w:hint="eastAsia" w:eastAsia="仿宋_GB2312" w:cs="Times New Roman"/>
                <w:bCs/>
                <w:color w:val="auto"/>
                <w:kern w:val="0"/>
                <w:sz w:val="28"/>
                <w:szCs w:val="28"/>
                <w:vertAlign w:val="superscript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vertAlign w:val="subscript"/>
              </w:rPr>
              <w:t>eL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/ </w:t>
            </w:r>
            <w:r>
              <w:rPr>
                <w:rFonts w:hint="default" w:ascii="Times New Roman" w:hAnsi="Times New Roman" w:eastAsia="仿宋_GB2312" w:cs="Times New Roman"/>
                <w:bCs/>
                <w:i/>
                <w:iCs/>
                <w:color w:val="auto"/>
                <w:kern w:val="0"/>
                <w:sz w:val="28"/>
                <w:szCs w:val="28"/>
              </w:rPr>
              <w:t>R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vertAlign w:val="subscript"/>
              </w:rPr>
              <w:t>eL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最大力总延伸率</w:t>
            </w:r>
            <w:r>
              <w:rPr>
                <w:rFonts w:hint="default" w:ascii="Times New Roman" w:hAnsi="Times New Roman" w:eastAsia="仿宋_GB2312" w:cs="Times New Roman"/>
                <w:bCs/>
                <w:i/>
                <w:iCs/>
                <w:color w:val="auto"/>
                <w:kern w:val="0"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vertAlign w:val="subscript"/>
              </w:rPr>
              <w:t>gt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5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工艺性能</w:t>
            </w:r>
          </w:p>
        </w:tc>
        <w:tc>
          <w:tcPr>
            <w:tcW w:w="3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弯曲性能</w:t>
            </w:r>
          </w:p>
        </w:tc>
        <w:tc>
          <w:tcPr>
            <w:tcW w:w="21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GB 1499.2-20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/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.1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GB 1499.2-20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GB/T 28900-20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反向弯曲性能</w:t>
            </w:r>
          </w:p>
        </w:tc>
        <w:tc>
          <w:tcPr>
            <w:tcW w:w="21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GB 1499.2-20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/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.2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GB 1499.2-20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GB/T 28900-20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化学成分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C</w:t>
            </w:r>
          </w:p>
        </w:tc>
        <w:tc>
          <w:tcPr>
            <w:tcW w:w="2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GB 1499.2-20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/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.2</w:t>
            </w: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GB/T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4336-2016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Si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Mn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P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S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碳当量C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vertAlign w:val="subscript"/>
              </w:rPr>
              <w:t>eq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尺寸外形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8"/>
                <w:szCs w:val="28"/>
              </w:rPr>
              <w:t>横肋高</w:t>
            </w:r>
            <w:r>
              <w:rPr>
                <w:rFonts w:hint="default" w:ascii="Times New Roman" w:hAnsi="Times New Roman" w:eastAsia="仿宋" w:cs="Times New Roman"/>
                <w:bCs/>
                <w:i/>
                <w:iCs/>
                <w:color w:val="auto"/>
                <w:kern w:val="0"/>
                <w:sz w:val="28"/>
                <w:szCs w:val="28"/>
              </w:rPr>
              <w:t>h</w:t>
            </w:r>
          </w:p>
        </w:tc>
        <w:tc>
          <w:tcPr>
            <w:tcW w:w="21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GB 1499.2-20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/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6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  <w:t>GB 1499.2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肋间距</w:t>
            </w:r>
            <w:r>
              <w:rPr>
                <w:rFonts w:hint="default" w:ascii="Times New Roman" w:hAnsi="Times New Roman" w:eastAsia="仿宋" w:cs="Times New Roman"/>
                <w:i/>
                <w:iCs w:val="0"/>
                <w:sz w:val="28"/>
                <w:szCs w:val="28"/>
                <w:lang w:val="en-US" w:eastAsia="zh-CN"/>
              </w:rPr>
              <w:t>l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76" w:lineRule="auto"/>
              <w:ind w:left="-108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横肋末端最大间隙</w:t>
            </w:r>
          </w:p>
        </w:tc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76" w:lineRule="auto"/>
              <w:ind w:left="-108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每米弯曲度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GB 1499.2-20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/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76" w:lineRule="auto"/>
              <w:ind w:left="-108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重量偏差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GB 1499.2-20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/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76" w:lineRule="auto"/>
              <w:ind w:left="-108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表面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GB 1499.2-20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/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76" w:lineRule="auto"/>
              <w:ind w:left="-108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3 判定规则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经检验，检验项目全部合格，判定为被抽查产品合格；检验项目中任一项或一项以上不合格，判定为被抽查产品不合格。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t>1</w:t>
    </w:r>
    <w:r>
      <w:rPr>
        <w:lang w:val="zh-CN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ZDlmMjdkNDI1NjEzMmI2Y2M4ZTAxODQ5YmJlMTYifQ=="/>
  </w:docVars>
  <w:rsids>
    <w:rsidRoot w:val="00172A27"/>
    <w:rsid w:val="00012EEB"/>
    <w:rsid w:val="00030F98"/>
    <w:rsid w:val="0003286E"/>
    <w:rsid w:val="00051A44"/>
    <w:rsid w:val="00052092"/>
    <w:rsid w:val="00055C43"/>
    <w:rsid w:val="00063F78"/>
    <w:rsid w:val="000770C5"/>
    <w:rsid w:val="00081CBD"/>
    <w:rsid w:val="0008480D"/>
    <w:rsid w:val="0009216E"/>
    <w:rsid w:val="000976DE"/>
    <w:rsid w:val="000A0A61"/>
    <w:rsid w:val="000B7E87"/>
    <w:rsid w:val="000C27EF"/>
    <w:rsid w:val="000E2DE0"/>
    <w:rsid w:val="000F14E9"/>
    <w:rsid w:val="00125916"/>
    <w:rsid w:val="00133E98"/>
    <w:rsid w:val="001352E7"/>
    <w:rsid w:val="00145AE7"/>
    <w:rsid w:val="001565C3"/>
    <w:rsid w:val="00172A27"/>
    <w:rsid w:val="001809DD"/>
    <w:rsid w:val="00197642"/>
    <w:rsid w:val="001A51E1"/>
    <w:rsid w:val="001F3D40"/>
    <w:rsid w:val="00205BC7"/>
    <w:rsid w:val="00247E11"/>
    <w:rsid w:val="002501F8"/>
    <w:rsid w:val="00253624"/>
    <w:rsid w:val="002627EB"/>
    <w:rsid w:val="00273AE5"/>
    <w:rsid w:val="00275517"/>
    <w:rsid w:val="00292DAD"/>
    <w:rsid w:val="002A25C4"/>
    <w:rsid w:val="002D7F8A"/>
    <w:rsid w:val="002E0D1D"/>
    <w:rsid w:val="002E4610"/>
    <w:rsid w:val="00312D60"/>
    <w:rsid w:val="003203A3"/>
    <w:rsid w:val="00373484"/>
    <w:rsid w:val="003831DC"/>
    <w:rsid w:val="00392BF9"/>
    <w:rsid w:val="003B33A1"/>
    <w:rsid w:val="003B65A7"/>
    <w:rsid w:val="003C08F8"/>
    <w:rsid w:val="003C3479"/>
    <w:rsid w:val="003C388C"/>
    <w:rsid w:val="003C4EF1"/>
    <w:rsid w:val="003D62CE"/>
    <w:rsid w:val="003D6DF1"/>
    <w:rsid w:val="003E011E"/>
    <w:rsid w:val="003E61BF"/>
    <w:rsid w:val="003E6431"/>
    <w:rsid w:val="003F7F34"/>
    <w:rsid w:val="00400560"/>
    <w:rsid w:val="00445E86"/>
    <w:rsid w:val="0045059C"/>
    <w:rsid w:val="00460D8A"/>
    <w:rsid w:val="00467E74"/>
    <w:rsid w:val="00474E04"/>
    <w:rsid w:val="00483AC6"/>
    <w:rsid w:val="004A0936"/>
    <w:rsid w:val="004D0C5A"/>
    <w:rsid w:val="004D31EC"/>
    <w:rsid w:val="004E02D3"/>
    <w:rsid w:val="004E1396"/>
    <w:rsid w:val="004E7C02"/>
    <w:rsid w:val="004F261B"/>
    <w:rsid w:val="005328AC"/>
    <w:rsid w:val="00551B06"/>
    <w:rsid w:val="005623DE"/>
    <w:rsid w:val="00563EBC"/>
    <w:rsid w:val="005868F9"/>
    <w:rsid w:val="00586CB0"/>
    <w:rsid w:val="00593498"/>
    <w:rsid w:val="005A1399"/>
    <w:rsid w:val="005A34AC"/>
    <w:rsid w:val="005B5C73"/>
    <w:rsid w:val="005B64D3"/>
    <w:rsid w:val="005D0F42"/>
    <w:rsid w:val="005F4CC6"/>
    <w:rsid w:val="00634C4F"/>
    <w:rsid w:val="006440C7"/>
    <w:rsid w:val="00661CE9"/>
    <w:rsid w:val="006734CA"/>
    <w:rsid w:val="00673C07"/>
    <w:rsid w:val="0068509C"/>
    <w:rsid w:val="006A3613"/>
    <w:rsid w:val="006A5215"/>
    <w:rsid w:val="006C7C2B"/>
    <w:rsid w:val="006F0971"/>
    <w:rsid w:val="0072334C"/>
    <w:rsid w:val="0074501E"/>
    <w:rsid w:val="007752EB"/>
    <w:rsid w:val="007761A5"/>
    <w:rsid w:val="00786F2C"/>
    <w:rsid w:val="007A5C0E"/>
    <w:rsid w:val="007B75EE"/>
    <w:rsid w:val="007C3667"/>
    <w:rsid w:val="007F583F"/>
    <w:rsid w:val="008139C8"/>
    <w:rsid w:val="008166B9"/>
    <w:rsid w:val="008200E6"/>
    <w:rsid w:val="0082012D"/>
    <w:rsid w:val="0084012D"/>
    <w:rsid w:val="0086159D"/>
    <w:rsid w:val="0087041A"/>
    <w:rsid w:val="00871617"/>
    <w:rsid w:val="008726BF"/>
    <w:rsid w:val="00895BEA"/>
    <w:rsid w:val="008A3497"/>
    <w:rsid w:val="008A61A4"/>
    <w:rsid w:val="008B1BD3"/>
    <w:rsid w:val="008C50E2"/>
    <w:rsid w:val="008E39B1"/>
    <w:rsid w:val="008F6434"/>
    <w:rsid w:val="00916926"/>
    <w:rsid w:val="00916BE5"/>
    <w:rsid w:val="00917A54"/>
    <w:rsid w:val="00920DA2"/>
    <w:rsid w:val="00926C29"/>
    <w:rsid w:val="00930572"/>
    <w:rsid w:val="00936B2A"/>
    <w:rsid w:val="00944A63"/>
    <w:rsid w:val="00957D96"/>
    <w:rsid w:val="00967C26"/>
    <w:rsid w:val="009865FB"/>
    <w:rsid w:val="009C6AE2"/>
    <w:rsid w:val="009E01DE"/>
    <w:rsid w:val="009F7375"/>
    <w:rsid w:val="00A1287B"/>
    <w:rsid w:val="00A25C52"/>
    <w:rsid w:val="00A26C6B"/>
    <w:rsid w:val="00A371F4"/>
    <w:rsid w:val="00A42847"/>
    <w:rsid w:val="00A43553"/>
    <w:rsid w:val="00A62E74"/>
    <w:rsid w:val="00A760C9"/>
    <w:rsid w:val="00A76D9F"/>
    <w:rsid w:val="00A80009"/>
    <w:rsid w:val="00A83893"/>
    <w:rsid w:val="00A902CC"/>
    <w:rsid w:val="00AA128C"/>
    <w:rsid w:val="00B3329E"/>
    <w:rsid w:val="00B5743B"/>
    <w:rsid w:val="00BA20EF"/>
    <w:rsid w:val="00BB6067"/>
    <w:rsid w:val="00BC52DB"/>
    <w:rsid w:val="00BF24FC"/>
    <w:rsid w:val="00BF5D64"/>
    <w:rsid w:val="00BF76DB"/>
    <w:rsid w:val="00C26074"/>
    <w:rsid w:val="00C34757"/>
    <w:rsid w:val="00C44CD6"/>
    <w:rsid w:val="00C626EC"/>
    <w:rsid w:val="00C63F45"/>
    <w:rsid w:val="00C83B0A"/>
    <w:rsid w:val="00C924E8"/>
    <w:rsid w:val="00CB6FC9"/>
    <w:rsid w:val="00CC137A"/>
    <w:rsid w:val="00CC1547"/>
    <w:rsid w:val="00CC195A"/>
    <w:rsid w:val="00CD1ECA"/>
    <w:rsid w:val="00CD37A8"/>
    <w:rsid w:val="00CE1E0C"/>
    <w:rsid w:val="00CE277E"/>
    <w:rsid w:val="00D120FA"/>
    <w:rsid w:val="00D1237C"/>
    <w:rsid w:val="00D50D7D"/>
    <w:rsid w:val="00D56867"/>
    <w:rsid w:val="00D7436E"/>
    <w:rsid w:val="00D82AE9"/>
    <w:rsid w:val="00D915F1"/>
    <w:rsid w:val="00DE2075"/>
    <w:rsid w:val="00E02A7F"/>
    <w:rsid w:val="00E07880"/>
    <w:rsid w:val="00E53438"/>
    <w:rsid w:val="00E62B1F"/>
    <w:rsid w:val="00E82621"/>
    <w:rsid w:val="00E95A55"/>
    <w:rsid w:val="00EA3D96"/>
    <w:rsid w:val="00ED4450"/>
    <w:rsid w:val="00ED5419"/>
    <w:rsid w:val="00ED6985"/>
    <w:rsid w:val="00F1455F"/>
    <w:rsid w:val="00F16AAE"/>
    <w:rsid w:val="00F332B6"/>
    <w:rsid w:val="00F5372E"/>
    <w:rsid w:val="00F5395B"/>
    <w:rsid w:val="00F57D43"/>
    <w:rsid w:val="00F77C9A"/>
    <w:rsid w:val="00F86832"/>
    <w:rsid w:val="00FA47C4"/>
    <w:rsid w:val="00FA4CC5"/>
    <w:rsid w:val="00FB576C"/>
    <w:rsid w:val="00FD2AA6"/>
    <w:rsid w:val="00FE14EF"/>
    <w:rsid w:val="00FE7E8A"/>
    <w:rsid w:val="00FF5DCC"/>
    <w:rsid w:val="03B263BB"/>
    <w:rsid w:val="03D40F34"/>
    <w:rsid w:val="09234C9E"/>
    <w:rsid w:val="0BC348DB"/>
    <w:rsid w:val="0BF3562B"/>
    <w:rsid w:val="0CDA4EE2"/>
    <w:rsid w:val="0EC732F2"/>
    <w:rsid w:val="113E31B8"/>
    <w:rsid w:val="11473DDB"/>
    <w:rsid w:val="13087478"/>
    <w:rsid w:val="15544CAD"/>
    <w:rsid w:val="19493BB8"/>
    <w:rsid w:val="1A784B4A"/>
    <w:rsid w:val="1AEF44EF"/>
    <w:rsid w:val="1B9113EA"/>
    <w:rsid w:val="1EBB570D"/>
    <w:rsid w:val="1F377A7E"/>
    <w:rsid w:val="21F152FD"/>
    <w:rsid w:val="24262DA1"/>
    <w:rsid w:val="26FC68A5"/>
    <w:rsid w:val="2FE00343"/>
    <w:rsid w:val="3166515D"/>
    <w:rsid w:val="3A7841AE"/>
    <w:rsid w:val="3BCA70AE"/>
    <w:rsid w:val="3E8E2096"/>
    <w:rsid w:val="488B3313"/>
    <w:rsid w:val="4B0F492C"/>
    <w:rsid w:val="575527A0"/>
    <w:rsid w:val="59E81116"/>
    <w:rsid w:val="606242EF"/>
    <w:rsid w:val="61B03707"/>
    <w:rsid w:val="627836B5"/>
    <w:rsid w:val="629611FF"/>
    <w:rsid w:val="636B2161"/>
    <w:rsid w:val="665622AF"/>
    <w:rsid w:val="67503DF4"/>
    <w:rsid w:val="680F4903"/>
    <w:rsid w:val="6FA67EF8"/>
    <w:rsid w:val="6FE07B46"/>
    <w:rsid w:val="70355FE6"/>
    <w:rsid w:val="75FB6071"/>
    <w:rsid w:val="76D00BF8"/>
    <w:rsid w:val="77D30604"/>
    <w:rsid w:val="7A1E5CAC"/>
    <w:rsid w:val="7B0B018A"/>
    <w:rsid w:val="7C782283"/>
    <w:rsid w:val="7CAE06C1"/>
    <w:rsid w:val="7EDB396C"/>
    <w:rsid w:val="7EEB53F1"/>
    <w:rsid w:val="EBBA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860</Words>
  <Characters>1167</Characters>
  <Lines>12</Lines>
  <Paragraphs>3</Paragraphs>
  <TotalTime>17</TotalTime>
  <ScaleCrop>false</ScaleCrop>
  <LinksUpToDate>false</LinksUpToDate>
  <CharactersWithSpaces>1196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2024-03-25T15:31:00Z</dcterms:created>
  <dc:creator>Administrator</dc:creator>
  <cp:lastModifiedBy>uos</cp:lastModifiedBy>
  <cp:lastPrinted>2019-12-26T14:50:00Z</cp:lastPrinted>
  <dcterms:modified xsi:type="dcterms:W3CDTF">2025-06-04T11:26:41Z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5E11349A057844908FF5603B01E71559_13</vt:lpwstr>
  </property>
  <property fmtid="{D5CDD505-2E9C-101B-9397-08002B2CF9AE}" pid="4" name="KSOTemplateDocerSaveRecord">
    <vt:lpwstr>eyJoZGlkIjoiMmQwZTY4ZDhmMTcyNGFjZmIxZDVlY2RlMjRmYTE5MmQiLCJ1c2VySWQiOiI0MTc3MTkwODYifQ==</vt:lpwstr>
  </property>
</Properties>
</file>