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b/>
          <w:color w:val="auto"/>
          <w:sz w:val="44"/>
          <w:szCs w:val="44"/>
        </w:rPr>
      </w:pPr>
      <w:r>
        <w:rPr>
          <w:rFonts w:hint="eastAsia" w:ascii="宋体" w:hAnsi="宋体"/>
          <w:b/>
          <w:color w:val="auto"/>
          <w:sz w:val="44"/>
          <w:szCs w:val="44"/>
        </w:rPr>
        <w:t>海南省</w:t>
      </w:r>
      <w:r>
        <w:rPr>
          <w:rFonts w:hint="eastAsia" w:ascii="宋体" w:hAnsi="宋体"/>
          <w:b/>
          <w:color w:val="auto"/>
          <w:sz w:val="44"/>
          <w:szCs w:val="44"/>
          <w:lang w:eastAsia="zh-CN"/>
        </w:rPr>
        <w:t>生产领域</w:t>
      </w:r>
      <w:r>
        <w:rPr>
          <w:rFonts w:hint="eastAsia" w:ascii="宋体" w:hAnsi="宋体"/>
          <w:b/>
          <w:color w:val="auto"/>
          <w:sz w:val="44"/>
          <w:szCs w:val="44"/>
        </w:rPr>
        <w:t>人造板产品</w:t>
      </w:r>
    </w:p>
    <w:p>
      <w:pPr>
        <w:spacing w:line="600" w:lineRule="exact"/>
        <w:jc w:val="center"/>
        <w:rPr>
          <w:rFonts w:hint="eastAsia" w:ascii="宋体" w:hAnsi="宋体" w:eastAsia="宋体"/>
          <w:b/>
          <w:color w:val="auto"/>
          <w:sz w:val="44"/>
          <w:szCs w:val="44"/>
          <w:lang w:val="en-US" w:eastAsia="zh-CN"/>
        </w:rPr>
      </w:pPr>
      <w:r>
        <w:rPr>
          <w:rFonts w:hint="eastAsia" w:ascii="宋体" w:hAnsi="宋体"/>
          <w:b/>
          <w:color w:val="auto"/>
          <w:sz w:val="44"/>
          <w:szCs w:val="44"/>
        </w:rPr>
        <w:t>质量监督抽查实施细则</w:t>
      </w:r>
      <w:bookmarkStart w:id="0" w:name="_GoBack"/>
      <w:bookmarkEnd w:id="0"/>
      <w:r>
        <w:rPr>
          <w:rFonts w:hint="eastAsia" w:ascii="宋体" w:hAnsi="宋体"/>
          <w:b/>
          <w:color w:val="auto"/>
          <w:sz w:val="44"/>
          <w:szCs w:val="44"/>
        </w:rPr>
        <w:t>XZ</w:t>
      </w:r>
      <w:r>
        <w:rPr>
          <w:rFonts w:hint="eastAsia" w:ascii="宋体" w:hAnsi="宋体"/>
          <w:b/>
          <w:color w:val="auto"/>
          <w:sz w:val="44"/>
          <w:szCs w:val="44"/>
          <w:lang w:val="en-US" w:eastAsia="zh-CN"/>
        </w:rPr>
        <w:t>19</w:t>
      </w:r>
      <w:r>
        <w:rPr>
          <w:rFonts w:hint="eastAsia" w:ascii="宋体" w:hAnsi="宋体"/>
          <w:b/>
          <w:color w:val="auto"/>
          <w:sz w:val="44"/>
          <w:szCs w:val="44"/>
        </w:rPr>
        <w:t>-202</w:t>
      </w:r>
      <w:r>
        <w:rPr>
          <w:rFonts w:hint="eastAsia" w:ascii="宋体" w:hAnsi="宋体"/>
          <w:b/>
          <w:color w:val="auto"/>
          <w:sz w:val="44"/>
          <w:szCs w:val="44"/>
          <w:lang w:val="en-US" w:eastAsia="zh-CN"/>
        </w:rPr>
        <w:t>5</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仿宋_GB2312"/>
          <w:b/>
          <w:bCs/>
          <w:color w:val="FF0000"/>
          <w:sz w:val="32"/>
          <w:szCs w:val="32"/>
        </w:rPr>
      </w:pPr>
      <w:r>
        <w:rPr>
          <w:rFonts w:hint="eastAsia" w:ascii="宋体" w:hAnsi="宋体" w:cs="仿宋_GB2312"/>
          <w:b/>
          <w:bCs/>
          <w:sz w:val="32"/>
          <w:szCs w:val="32"/>
        </w:rPr>
        <w:t>1 抽样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仿宋_GB2312"/>
          <w:b/>
          <w:bCs/>
          <w:color w:val="FF0000"/>
          <w:sz w:val="32"/>
          <w:szCs w:val="32"/>
        </w:rPr>
      </w:pPr>
      <w:r>
        <w:rPr>
          <w:rFonts w:hint="eastAsia" w:ascii="宋体" w:hAnsi="宋体" w:cs="仿宋_GB2312"/>
          <w:b/>
          <w:bCs/>
          <w:sz w:val="32"/>
          <w:szCs w:val="32"/>
        </w:rPr>
        <w:t>1.1 抽样型号或规格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产品种类包括：混凝土模板用胶合板、高密度纤维板。</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宋体" w:hAnsi="宋体" w:cs="仿宋_GB2312"/>
          <w:b/>
          <w:bCs/>
          <w:sz w:val="32"/>
          <w:szCs w:val="32"/>
        </w:rPr>
      </w:pPr>
      <w:r>
        <w:rPr>
          <w:rFonts w:hint="eastAsia" w:ascii="仿宋_GB2312" w:hAnsi="仿宋_GB2312" w:eastAsia="仿宋_GB2312" w:cs="仿宋_GB2312"/>
          <w:sz w:val="32"/>
          <w:szCs w:val="32"/>
        </w:rPr>
        <w:t>抽取样品应为同类型、同规格、同等级、同批次的产品。优先抽取被抽样单位有代表性的规格产品。</w:t>
      </w:r>
      <w:r>
        <w:rPr>
          <w:rFonts w:ascii="仿宋_GB2312" w:hAnsi="仿宋_GB2312" w:eastAsia="仿宋_GB2312" w:cs="仿宋_GB2312"/>
          <w:sz w:val="32"/>
          <w:szCs w:val="32"/>
        </w:rPr>
        <w:br w:type="textWrapping"/>
      </w:r>
      <w:r>
        <w:rPr>
          <w:rFonts w:hint="eastAsia" w:ascii="宋体" w:hAnsi="宋体" w:cs="仿宋_GB2312"/>
          <w:b/>
          <w:bCs/>
          <w:sz w:val="32"/>
          <w:szCs w:val="32"/>
        </w:rPr>
        <w:t>1.2 抽样方法、基数、抽样数量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 xml:space="preserve">1.2.1 </w:t>
      </w:r>
      <w:r>
        <w:rPr>
          <w:rFonts w:hint="eastAsia" w:ascii="仿宋_GB2312" w:hAnsi="仿宋_GB2312" w:eastAsia="仿宋_GB2312" w:cs="仿宋_GB2312"/>
          <w:sz w:val="32"/>
          <w:szCs w:val="32"/>
          <w:lang w:eastAsia="zh-CN"/>
        </w:rPr>
        <w:t>抽样方法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采用随机抽样法在企业的成品库内或市场待销产品中随机抽取有产品质量检验合格证明或者以其他形式表明合格的产品。随机数一般可使用随机数表、股子或扑克牌等方法产生。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1.2.2 抽样基数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①抽样基数≥20张；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②当产品分垛码放时，采用随机抽样法确定其中一垛为抽样对象；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③如在市场抽样时，抽样基数满足抽样数量即可。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1.2.3 抽样数量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采用随机抽样法在确定的一垛中抽取5张产品，分别为初检1张、复验2张和备用样品2张。初检样品和复验样品用于产品标准中要求的初检和复验，备用样品用于异议处理时进行的复检。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如被抽样单位有切割设备，可将初检、复验样品分别按照 GB/T 17656-2018《混凝土模板用胶合板》中图1、GB/T 31765-2015《高密度纤维板》中图1的规定取样，每块截取的试样应注明编号。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仿宋_GB2312"/>
          <w:b/>
          <w:bCs/>
          <w:sz w:val="32"/>
          <w:szCs w:val="32"/>
        </w:rPr>
      </w:pPr>
      <w:r>
        <w:rPr>
          <w:rFonts w:hint="eastAsia" w:ascii="宋体" w:hAnsi="宋体" w:eastAsia="宋体" w:cs="仿宋_GB2312"/>
          <w:b/>
          <w:bCs/>
          <w:sz w:val="32"/>
          <w:szCs w:val="32"/>
        </w:rPr>
        <w:t>1.3 抽样注意事项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样品检验所需的技术参数等信息（如产品执行标准、产品类别、产品规格、产品等级、甲醒释放限量、产品结构、表板及芯板厚度、树种）等信息。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cs="仿宋_GB2312"/>
          <w:b/>
          <w:bCs/>
          <w:sz w:val="32"/>
          <w:szCs w:val="32"/>
        </w:rPr>
      </w:pP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样品用塑料薄膜或不吸附、不释放甲醛的材料将整块样品密封包装(混凝土模板用胶合板不需要密封包装)</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cs="仿宋_GB2312"/>
          <w:b/>
          <w:bCs/>
          <w:sz w:val="32"/>
          <w:szCs w:val="32"/>
        </w:rPr>
      </w:pPr>
      <w:r>
        <w:rPr>
          <w:rFonts w:hint="eastAsia" w:ascii="宋体" w:hAnsi="宋体" w:cs="仿宋_GB2312"/>
          <w:b/>
          <w:bCs/>
          <w:sz w:val="32"/>
          <w:szCs w:val="32"/>
        </w:rPr>
        <w:t>2 检验</w:t>
      </w:r>
    </w:p>
    <w:p>
      <w:pPr>
        <w:pStyle w:val="18"/>
        <w:keepNext w:val="0"/>
        <w:keepLines w:val="0"/>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宋体" w:eastAsia="宋体" w:cs="仿宋_GB2312"/>
          <w:b/>
          <w:sz w:val="32"/>
          <w:szCs w:val="32"/>
          <w:lang w:eastAsia="zh-CN"/>
        </w:rPr>
      </w:pPr>
      <w:r>
        <w:rPr>
          <w:rFonts w:hint="eastAsia" w:ascii="宋体" w:eastAsia="宋体" w:cs="仿宋_GB2312"/>
          <w:b/>
          <w:sz w:val="32"/>
          <w:szCs w:val="32"/>
          <w:lang w:eastAsia="zh-CN"/>
        </w:rPr>
        <w:t xml:space="preserve">2.1 检验依据 </w:t>
      </w:r>
    </w:p>
    <w:p>
      <w:pPr>
        <w:pStyle w:val="18"/>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GB/T 17656-2018  混凝土模板用胶合板</w:t>
      </w:r>
    </w:p>
    <w:p>
      <w:pPr>
        <w:pStyle w:val="18"/>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GB/T 31765-2015  高密度纤维板</w:t>
      </w:r>
    </w:p>
    <w:p>
      <w:pPr>
        <w:pStyle w:val="18"/>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 xml:space="preserve">GB 18580-2017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室内装饰装修材料  人造板及其制品中甲醛释放限量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现行有效的企业标准、团体标准、地方标准及产品明示质量要求</w:t>
      </w:r>
      <w:r>
        <w:rPr>
          <w:rFonts w:hint="eastAsia" w:ascii="仿宋_GB2312" w:hAnsi="仿宋_GB2312" w:eastAsia="仿宋_GB2312" w:cs="仿宋_GB2312"/>
          <w:sz w:val="32"/>
          <w:szCs w:val="32"/>
        </w:rPr>
        <w:t>。</w:t>
      </w:r>
    </w:p>
    <w:p>
      <w:pPr>
        <w:pStyle w:val="18"/>
        <w:keepNext w:val="0"/>
        <w:keepLines w:val="0"/>
        <w:pageBreakBefore w:val="0"/>
        <w:kinsoku/>
        <w:wordWrap/>
        <w:overflowPunct/>
        <w:topLinePunct w:val="0"/>
        <w:autoSpaceDE/>
        <w:autoSpaceDN/>
        <w:bidi w:val="0"/>
        <w:adjustRightInd/>
        <w:snapToGrid/>
        <w:spacing w:before="0" w:beforeLines="0" w:after="0" w:afterLines="0" w:line="560" w:lineRule="exact"/>
        <w:jc w:val="both"/>
        <w:textAlignment w:val="auto"/>
        <w:rPr>
          <w:rFonts w:hint="eastAsia" w:ascii="宋体" w:eastAsia="宋体" w:cs="仿宋_GB2312"/>
          <w:b/>
          <w:sz w:val="32"/>
          <w:szCs w:val="32"/>
          <w:lang w:eastAsia="zh-CN"/>
        </w:rPr>
      </w:pPr>
      <w:r>
        <w:rPr>
          <w:rFonts w:hint="eastAsia" w:ascii="宋体" w:eastAsia="宋体" w:cs="仿宋_GB2312"/>
          <w:b/>
          <w:sz w:val="32"/>
          <w:szCs w:val="32"/>
          <w:lang w:eastAsia="zh-CN"/>
        </w:rPr>
        <w:t>2.2 检验项目</w:t>
      </w:r>
    </w:p>
    <w:p>
      <w:pPr>
        <w:pStyle w:val="18"/>
        <w:spacing w:before="0" w:beforeLines="0" w:after="0" w:afterLines="0" w:line="560" w:lineRule="exact"/>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2"/>
          <w:sz w:val="32"/>
          <w:szCs w:val="32"/>
          <w:lang w:eastAsia="zh-CN"/>
        </w:rPr>
        <w:t>混凝土模板用胶合板检验项目见表</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p>
    <w:p>
      <w:pPr>
        <w:pStyle w:val="18"/>
        <w:spacing w:before="0" w:beforeLines="0" w:after="0" w:afterLines="0" w:line="560" w:lineRule="exact"/>
        <w:jc w:val="both"/>
        <w:rPr>
          <w:rFonts w:hint="eastAsia" w:ascii="仿宋_GB2312" w:hAnsi="仿宋_GB2312" w:eastAsia="仿宋_GB2312" w:cs="仿宋_GB2312"/>
          <w:kern w:val="2"/>
          <w:sz w:val="32"/>
          <w:szCs w:val="32"/>
          <w:lang w:eastAsia="zh-CN"/>
        </w:rPr>
      </w:pPr>
    </w:p>
    <w:p>
      <w:pPr>
        <w:pStyle w:val="18"/>
        <w:spacing w:before="0" w:beforeLines="0" w:after="0" w:afterLines="0" w:line="560" w:lineRule="exact"/>
        <w:jc w:val="both"/>
        <w:rPr>
          <w:rFonts w:hint="eastAsia" w:ascii="仿宋_GB2312" w:hAnsi="仿宋_GB2312" w:eastAsia="仿宋_GB2312" w:cs="仿宋_GB2312"/>
          <w:kern w:val="2"/>
          <w:sz w:val="32"/>
          <w:szCs w:val="32"/>
          <w:lang w:eastAsia="zh-CN"/>
        </w:rPr>
      </w:pPr>
    </w:p>
    <w:p>
      <w:pPr>
        <w:pStyle w:val="18"/>
        <w:spacing w:before="0" w:beforeLines="0" w:after="0" w:afterLines="0" w:line="560" w:lineRule="exact"/>
        <w:jc w:val="both"/>
        <w:rPr>
          <w:rFonts w:hint="eastAsia" w:ascii="仿宋_GB2312" w:hAnsi="仿宋_GB2312" w:eastAsia="仿宋_GB2312" w:cs="仿宋_GB2312"/>
          <w:kern w:val="2"/>
          <w:sz w:val="32"/>
          <w:szCs w:val="32"/>
          <w:lang w:eastAsia="zh-CN"/>
        </w:rPr>
      </w:pPr>
    </w:p>
    <w:p>
      <w:pPr>
        <w:pStyle w:val="18"/>
        <w:spacing w:before="0" w:beforeLines="0" w:after="0" w:afterLines="0" w:line="56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表</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kern w:val="2"/>
          <w:sz w:val="28"/>
          <w:szCs w:val="28"/>
          <w:lang w:eastAsia="zh-CN"/>
        </w:rPr>
        <w:t>混凝土模板用胶合板</w:t>
      </w:r>
      <w:r>
        <w:rPr>
          <w:rFonts w:hint="eastAsia" w:ascii="仿宋_GB2312" w:hAnsi="仿宋_GB2312" w:eastAsia="仿宋_GB2312" w:cs="仿宋_GB2312"/>
          <w:b/>
          <w:bCs/>
          <w:sz w:val="28"/>
          <w:szCs w:val="28"/>
          <w:lang w:eastAsia="zh-CN"/>
        </w:rPr>
        <w:t>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650"/>
        <w:gridCol w:w="347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jc w:val="center"/>
        </w:trPr>
        <w:tc>
          <w:tcPr>
            <w:tcW w:w="1176" w:type="dxa"/>
            <w:vMerge w:val="restart"/>
            <w:tcBorders>
              <w:top w:val="single" w:color="auto" w:sz="4" w:space="0"/>
              <w:left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50" w:type="dxa"/>
            <w:vMerge w:val="restart"/>
            <w:tcBorders>
              <w:top w:val="single" w:color="auto" w:sz="4" w:space="0"/>
              <w:left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w:t>
            </w:r>
          </w:p>
        </w:tc>
        <w:tc>
          <w:tcPr>
            <w:tcW w:w="34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依据法律法规</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或标准</w:t>
            </w:r>
          </w:p>
        </w:tc>
        <w:tc>
          <w:tcPr>
            <w:tcW w:w="2554" w:type="dxa"/>
            <w:vMerge w:val="restart"/>
            <w:tcBorders>
              <w:top w:val="single" w:color="auto" w:sz="4" w:space="0"/>
              <w:left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17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16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347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255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含水率</w:t>
            </w:r>
          </w:p>
        </w:tc>
        <w:tc>
          <w:tcPr>
            <w:tcW w:w="3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17656-2018/5.6</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胶合强度</w:t>
            </w:r>
          </w:p>
        </w:tc>
        <w:tc>
          <w:tcPr>
            <w:tcW w:w="3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17656-2018/5.6</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176" w:type="dxa"/>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50" w:type="dxa"/>
            <w:noWrap w:val="0"/>
            <w:vAlign w:val="center"/>
          </w:tcPr>
          <w:p>
            <w:pPr>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静曲强度</w:t>
            </w:r>
          </w:p>
        </w:tc>
        <w:tc>
          <w:tcPr>
            <w:tcW w:w="3476" w:type="dxa"/>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17656-2018/5.6</w:t>
            </w:r>
          </w:p>
        </w:tc>
        <w:tc>
          <w:tcPr>
            <w:tcW w:w="2554" w:type="dxa"/>
            <w:tcBorders>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176" w:type="dxa"/>
            <w:noWrap w:val="0"/>
            <w:vAlign w:val="center"/>
          </w:tcPr>
          <w:p>
            <w:pPr>
              <w:adjustRightInd w:val="0"/>
              <w:snapToGrid w:val="0"/>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650" w:type="dxa"/>
            <w:noWrap w:val="0"/>
            <w:vAlign w:val="center"/>
          </w:tcPr>
          <w:p>
            <w:pPr>
              <w:adjustRightInd w:val="0"/>
              <w:snapToGrid w:val="0"/>
              <w:spacing w:line="5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弹性模量</w:t>
            </w:r>
          </w:p>
        </w:tc>
        <w:tc>
          <w:tcPr>
            <w:tcW w:w="3476" w:type="dxa"/>
            <w:noWrap w:val="0"/>
            <w:vAlign w:val="center"/>
          </w:tcPr>
          <w:p>
            <w:pPr>
              <w:adjustRightInd w:val="0"/>
              <w:snapToGrid w:val="0"/>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17656-2018/5.6</w:t>
            </w:r>
          </w:p>
        </w:tc>
        <w:tc>
          <w:tcPr>
            <w:tcW w:w="2554" w:type="dxa"/>
            <w:tcBorders>
              <w:right w:val="single" w:color="auto" w:sz="4" w:space="0"/>
            </w:tcBorders>
            <w:noWrap w:val="0"/>
            <w:vAlign w:val="center"/>
          </w:tcPr>
          <w:p>
            <w:pPr>
              <w:adjustRightInd w:val="0"/>
              <w:snapToGrid w:val="0"/>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GB/T17657-2013</w:t>
            </w:r>
          </w:p>
        </w:tc>
      </w:tr>
    </w:tbl>
    <w:p>
      <w:pPr>
        <w:pStyle w:val="18"/>
        <w:spacing w:before="0" w:beforeLines="0" w:after="0" w:afterLines="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2"/>
          <w:sz w:val="32"/>
          <w:szCs w:val="32"/>
          <w:lang w:eastAsia="zh-CN"/>
        </w:rPr>
        <w:t>高密度纤维板检验项目见表</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p>
    <w:p>
      <w:pPr>
        <w:pStyle w:val="18"/>
        <w:spacing w:before="0" w:beforeLines="0" w:after="0" w:afterLines="0" w:line="56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表</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kern w:val="2"/>
          <w:sz w:val="28"/>
          <w:szCs w:val="28"/>
          <w:lang w:eastAsia="zh-CN"/>
        </w:rPr>
        <w:t>高密度纤维板</w:t>
      </w:r>
      <w:r>
        <w:rPr>
          <w:rFonts w:hint="eastAsia" w:ascii="仿宋_GB2312" w:hAnsi="仿宋_GB2312" w:eastAsia="仿宋_GB2312" w:cs="仿宋_GB2312"/>
          <w:b/>
          <w:bCs/>
          <w:sz w:val="28"/>
          <w:szCs w:val="28"/>
          <w:lang w:eastAsia="zh-CN"/>
        </w:rPr>
        <w:t>检验项目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860"/>
        <w:gridCol w:w="3541"/>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jc w:val="center"/>
        </w:trPr>
        <w:tc>
          <w:tcPr>
            <w:tcW w:w="9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8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w:t>
            </w:r>
          </w:p>
        </w:tc>
        <w:tc>
          <w:tcPr>
            <w:tcW w:w="354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依据法律法规</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或标准</w:t>
            </w:r>
          </w:p>
        </w:tc>
        <w:tc>
          <w:tcPr>
            <w:tcW w:w="25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9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p>
        </w:tc>
        <w:tc>
          <w:tcPr>
            <w:tcW w:w="186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p>
        </w:tc>
        <w:tc>
          <w:tcPr>
            <w:tcW w:w="354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p>
        </w:tc>
        <w:tc>
          <w:tcPr>
            <w:tcW w:w="254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密度</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31765-2015/5.3.1</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板内密度偏差</w:t>
            </w:r>
          </w:p>
        </w:tc>
        <w:tc>
          <w:tcPr>
            <w:tcW w:w="3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31765-2015/5.3.1</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含水率</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31765-2015/5.3.1</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静曲强度</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弹性模量</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内结合强度</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吸水厚度膨胀率</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表面结合强度</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GB/T17657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甲醛释放量</w:t>
            </w:r>
          </w:p>
        </w:tc>
        <w:tc>
          <w:tcPr>
            <w:tcW w:w="3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31765-2015/5.3.5</w:t>
            </w:r>
          </w:p>
        </w:tc>
        <w:tc>
          <w:tcPr>
            <w:tcW w:w="254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18580-2017</w:t>
            </w:r>
          </w:p>
        </w:tc>
      </w:tr>
    </w:tbl>
    <w:p>
      <w:pPr>
        <w:spacing w:line="560" w:lineRule="exact"/>
        <w:rPr>
          <w:rFonts w:hint="eastAsia" w:ascii="宋体" w:hAnsi="宋体" w:cs="仿宋_GB2312"/>
          <w:b/>
          <w:bCs/>
          <w:color w:val="000000"/>
          <w:sz w:val="32"/>
          <w:szCs w:val="32"/>
        </w:rPr>
      </w:pPr>
      <w:r>
        <w:rPr>
          <w:rFonts w:hint="eastAsia" w:ascii="宋体" w:hAnsi="宋体" w:cs="仿宋_GB2312"/>
          <w:b/>
          <w:bCs/>
          <w:color w:val="000000"/>
          <w:sz w:val="32"/>
          <w:szCs w:val="32"/>
        </w:rPr>
        <w:t>3 判定规则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经检验，检验项目全部合格，判定为被抽查产品合格；检验项目中任一项或一项以上不合格，判定为被抽查产品不合格。</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若被检产品明示的质量要求高于本细则中检验项目依据的标准要求时，应按被检产品明示的质量要求判定。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若被检产品明示的质量要求低于本细则中检验项目依据的强制性标准要求时，应按照强制性标准要求判定。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若被检产品明示的质量要求缺少本细则中检验项目依据的强制性标准要求时，应按照强制性标准要求判定。</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若被检产品明示的质量要求缺少本细则中检验项目依据的推荐性标准要求时，该项目不参与判定。</w:t>
      </w:r>
    </w:p>
    <w:sectPr>
      <w:headerReference r:id="rId3" w:type="default"/>
      <w:footerReference r:id="rId4" w:type="default"/>
      <w:pgSz w:w="11906" w:h="16838"/>
      <w:pgMar w:top="2098" w:right="1474" w:bottom="198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rPr>
    </w:pPr>
    <w:r>
      <w:rPr>
        <w:rFonts w:ascii="宋体"/>
      </w:rPr>
      <w:fldChar w:fldCharType="begin"/>
    </w:r>
    <w:r>
      <w:rPr>
        <w:rStyle w:val="10"/>
        <w:rFonts w:ascii="宋体" w:eastAsia="宋体"/>
      </w:rPr>
      <w:instrText xml:space="preserve"> PAGE </w:instrText>
    </w:r>
    <w:r>
      <w:rPr>
        <w:rFonts w:ascii="宋体"/>
      </w:rPr>
      <w:fldChar w:fldCharType="separate"/>
    </w:r>
    <w:r>
      <w:rPr>
        <w:rStyle w:val="10"/>
        <w:rFonts w:ascii="宋体" w:eastAsia="宋体"/>
      </w:rPr>
      <w:t>3</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8306"/>
      </w:tabs>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Tc0Y2E1NDg1NzMyZWM1ZDNkODkxMTE4OGY1MjUifQ=="/>
  </w:docVars>
  <w:rsids>
    <w:rsidRoot w:val="00AF16B3"/>
    <w:rsid w:val="00002256"/>
    <w:rsid w:val="00007C84"/>
    <w:rsid w:val="00012827"/>
    <w:rsid w:val="00026091"/>
    <w:rsid w:val="00037745"/>
    <w:rsid w:val="00046FA8"/>
    <w:rsid w:val="00057FEE"/>
    <w:rsid w:val="00061BF8"/>
    <w:rsid w:val="00091186"/>
    <w:rsid w:val="00093947"/>
    <w:rsid w:val="00093A65"/>
    <w:rsid w:val="000B0C5E"/>
    <w:rsid w:val="000B0F2F"/>
    <w:rsid w:val="000B331F"/>
    <w:rsid w:val="000B541C"/>
    <w:rsid w:val="000C0161"/>
    <w:rsid w:val="000C2D69"/>
    <w:rsid w:val="000F2EE3"/>
    <w:rsid w:val="00101840"/>
    <w:rsid w:val="00102CDF"/>
    <w:rsid w:val="001072A4"/>
    <w:rsid w:val="00107DC0"/>
    <w:rsid w:val="00112D4A"/>
    <w:rsid w:val="00125BC9"/>
    <w:rsid w:val="00127D7D"/>
    <w:rsid w:val="00130FAE"/>
    <w:rsid w:val="001358AE"/>
    <w:rsid w:val="00140C14"/>
    <w:rsid w:val="00146F86"/>
    <w:rsid w:val="0015193D"/>
    <w:rsid w:val="00153198"/>
    <w:rsid w:val="00157E3B"/>
    <w:rsid w:val="00167CE8"/>
    <w:rsid w:val="00172186"/>
    <w:rsid w:val="0018159F"/>
    <w:rsid w:val="001873AE"/>
    <w:rsid w:val="00187FC5"/>
    <w:rsid w:val="00191A81"/>
    <w:rsid w:val="001A7C6F"/>
    <w:rsid w:val="001B0811"/>
    <w:rsid w:val="001B2B3B"/>
    <w:rsid w:val="001C3906"/>
    <w:rsid w:val="001D35CC"/>
    <w:rsid w:val="001D456E"/>
    <w:rsid w:val="001D79ED"/>
    <w:rsid w:val="001E6F79"/>
    <w:rsid w:val="0021057A"/>
    <w:rsid w:val="00213D4C"/>
    <w:rsid w:val="0021445A"/>
    <w:rsid w:val="0022757C"/>
    <w:rsid w:val="00227A90"/>
    <w:rsid w:val="00237CC6"/>
    <w:rsid w:val="002518E0"/>
    <w:rsid w:val="00265221"/>
    <w:rsid w:val="00265834"/>
    <w:rsid w:val="0027117B"/>
    <w:rsid w:val="00273337"/>
    <w:rsid w:val="00274BEB"/>
    <w:rsid w:val="00276E9B"/>
    <w:rsid w:val="00280145"/>
    <w:rsid w:val="002962CC"/>
    <w:rsid w:val="002B0601"/>
    <w:rsid w:val="002B19FA"/>
    <w:rsid w:val="002B3653"/>
    <w:rsid w:val="002D4AF3"/>
    <w:rsid w:val="002D4C11"/>
    <w:rsid w:val="002E17E2"/>
    <w:rsid w:val="002E4E47"/>
    <w:rsid w:val="002E6312"/>
    <w:rsid w:val="002F3407"/>
    <w:rsid w:val="00301267"/>
    <w:rsid w:val="003117AB"/>
    <w:rsid w:val="00315D88"/>
    <w:rsid w:val="0031750A"/>
    <w:rsid w:val="00326DC0"/>
    <w:rsid w:val="003343AF"/>
    <w:rsid w:val="00343A85"/>
    <w:rsid w:val="00343EF5"/>
    <w:rsid w:val="00351BAB"/>
    <w:rsid w:val="0035315B"/>
    <w:rsid w:val="00362591"/>
    <w:rsid w:val="003641E2"/>
    <w:rsid w:val="0036561C"/>
    <w:rsid w:val="0039028A"/>
    <w:rsid w:val="00391D35"/>
    <w:rsid w:val="00397316"/>
    <w:rsid w:val="003A118A"/>
    <w:rsid w:val="003A44D5"/>
    <w:rsid w:val="003C43FE"/>
    <w:rsid w:val="003C4BC0"/>
    <w:rsid w:val="003C559D"/>
    <w:rsid w:val="00405C3B"/>
    <w:rsid w:val="004140A1"/>
    <w:rsid w:val="00414AB1"/>
    <w:rsid w:val="0042054A"/>
    <w:rsid w:val="00422A29"/>
    <w:rsid w:val="0042528C"/>
    <w:rsid w:val="004306C7"/>
    <w:rsid w:val="00435181"/>
    <w:rsid w:val="00435C85"/>
    <w:rsid w:val="004437C2"/>
    <w:rsid w:val="00445613"/>
    <w:rsid w:val="0045560A"/>
    <w:rsid w:val="00461ED1"/>
    <w:rsid w:val="004757A6"/>
    <w:rsid w:val="0048153A"/>
    <w:rsid w:val="00487828"/>
    <w:rsid w:val="00493A6D"/>
    <w:rsid w:val="004A2859"/>
    <w:rsid w:val="004A2AC9"/>
    <w:rsid w:val="004A70A2"/>
    <w:rsid w:val="004A7866"/>
    <w:rsid w:val="004B5B6C"/>
    <w:rsid w:val="004D1BC9"/>
    <w:rsid w:val="004D2FA7"/>
    <w:rsid w:val="004D4BD0"/>
    <w:rsid w:val="004D5DF9"/>
    <w:rsid w:val="004E2D8F"/>
    <w:rsid w:val="004E57F1"/>
    <w:rsid w:val="004E61AB"/>
    <w:rsid w:val="004E7A0E"/>
    <w:rsid w:val="004F6F9E"/>
    <w:rsid w:val="00500C04"/>
    <w:rsid w:val="00502373"/>
    <w:rsid w:val="00510D17"/>
    <w:rsid w:val="00512AA8"/>
    <w:rsid w:val="005155AB"/>
    <w:rsid w:val="00522EA6"/>
    <w:rsid w:val="00527BEC"/>
    <w:rsid w:val="00544874"/>
    <w:rsid w:val="0054529F"/>
    <w:rsid w:val="005463BA"/>
    <w:rsid w:val="00554763"/>
    <w:rsid w:val="00561FC6"/>
    <w:rsid w:val="00571AD4"/>
    <w:rsid w:val="005818D6"/>
    <w:rsid w:val="00587310"/>
    <w:rsid w:val="00592BCC"/>
    <w:rsid w:val="00593B64"/>
    <w:rsid w:val="005A2060"/>
    <w:rsid w:val="005A6270"/>
    <w:rsid w:val="005B6188"/>
    <w:rsid w:val="005C79F9"/>
    <w:rsid w:val="005C7AAD"/>
    <w:rsid w:val="005D2D3C"/>
    <w:rsid w:val="005D79B2"/>
    <w:rsid w:val="005E3B04"/>
    <w:rsid w:val="005E6229"/>
    <w:rsid w:val="005F2B69"/>
    <w:rsid w:val="00602848"/>
    <w:rsid w:val="00604ED8"/>
    <w:rsid w:val="00610097"/>
    <w:rsid w:val="00610416"/>
    <w:rsid w:val="00631A58"/>
    <w:rsid w:val="00634152"/>
    <w:rsid w:val="006358FB"/>
    <w:rsid w:val="0065199E"/>
    <w:rsid w:val="006539E8"/>
    <w:rsid w:val="00657111"/>
    <w:rsid w:val="00665E1B"/>
    <w:rsid w:val="00671E17"/>
    <w:rsid w:val="00672927"/>
    <w:rsid w:val="006757CC"/>
    <w:rsid w:val="00676D8D"/>
    <w:rsid w:val="006814C0"/>
    <w:rsid w:val="006918C1"/>
    <w:rsid w:val="006946D0"/>
    <w:rsid w:val="00694EFF"/>
    <w:rsid w:val="006A736D"/>
    <w:rsid w:val="006A75EE"/>
    <w:rsid w:val="006A7E60"/>
    <w:rsid w:val="006B0BC3"/>
    <w:rsid w:val="006C3B56"/>
    <w:rsid w:val="006C6F72"/>
    <w:rsid w:val="006D23FF"/>
    <w:rsid w:val="006D7478"/>
    <w:rsid w:val="006E7988"/>
    <w:rsid w:val="006F1A23"/>
    <w:rsid w:val="006F589E"/>
    <w:rsid w:val="00701233"/>
    <w:rsid w:val="00701FC5"/>
    <w:rsid w:val="00702623"/>
    <w:rsid w:val="007035AE"/>
    <w:rsid w:val="00712B13"/>
    <w:rsid w:val="00715320"/>
    <w:rsid w:val="00717089"/>
    <w:rsid w:val="007242A8"/>
    <w:rsid w:val="00725E3A"/>
    <w:rsid w:val="007276DB"/>
    <w:rsid w:val="007314BF"/>
    <w:rsid w:val="00732358"/>
    <w:rsid w:val="00743D1A"/>
    <w:rsid w:val="00745922"/>
    <w:rsid w:val="00746A1F"/>
    <w:rsid w:val="00746F37"/>
    <w:rsid w:val="00751EEF"/>
    <w:rsid w:val="00752438"/>
    <w:rsid w:val="00753E95"/>
    <w:rsid w:val="00757180"/>
    <w:rsid w:val="00760591"/>
    <w:rsid w:val="007636C0"/>
    <w:rsid w:val="00763F7D"/>
    <w:rsid w:val="00764DB4"/>
    <w:rsid w:val="00765315"/>
    <w:rsid w:val="0076663B"/>
    <w:rsid w:val="0077355C"/>
    <w:rsid w:val="007B423B"/>
    <w:rsid w:val="007B58E5"/>
    <w:rsid w:val="007B7711"/>
    <w:rsid w:val="007C2155"/>
    <w:rsid w:val="007D19FF"/>
    <w:rsid w:val="007D2F63"/>
    <w:rsid w:val="007D7CFC"/>
    <w:rsid w:val="007D7EB1"/>
    <w:rsid w:val="007F3699"/>
    <w:rsid w:val="007F3717"/>
    <w:rsid w:val="007F45E9"/>
    <w:rsid w:val="008012B8"/>
    <w:rsid w:val="00817639"/>
    <w:rsid w:val="008214BE"/>
    <w:rsid w:val="0082687E"/>
    <w:rsid w:val="008329CD"/>
    <w:rsid w:val="00840164"/>
    <w:rsid w:val="00841CE5"/>
    <w:rsid w:val="0085257A"/>
    <w:rsid w:val="00852978"/>
    <w:rsid w:val="00855913"/>
    <w:rsid w:val="00855A86"/>
    <w:rsid w:val="008706F8"/>
    <w:rsid w:val="00876A50"/>
    <w:rsid w:val="0089103A"/>
    <w:rsid w:val="00891C25"/>
    <w:rsid w:val="00895039"/>
    <w:rsid w:val="008A1879"/>
    <w:rsid w:val="008B008C"/>
    <w:rsid w:val="008B4142"/>
    <w:rsid w:val="008C6573"/>
    <w:rsid w:val="008D187A"/>
    <w:rsid w:val="008D7F2A"/>
    <w:rsid w:val="008E0342"/>
    <w:rsid w:val="008E1405"/>
    <w:rsid w:val="008E3A51"/>
    <w:rsid w:val="008F3297"/>
    <w:rsid w:val="00903925"/>
    <w:rsid w:val="0090582D"/>
    <w:rsid w:val="00920413"/>
    <w:rsid w:val="009264B5"/>
    <w:rsid w:val="00930D52"/>
    <w:rsid w:val="00934A36"/>
    <w:rsid w:val="00937D34"/>
    <w:rsid w:val="00942655"/>
    <w:rsid w:val="00945F3D"/>
    <w:rsid w:val="009524E4"/>
    <w:rsid w:val="00954724"/>
    <w:rsid w:val="00966536"/>
    <w:rsid w:val="00974F35"/>
    <w:rsid w:val="00994A01"/>
    <w:rsid w:val="009A683A"/>
    <w:rsid w:val="009B2EB8"/>
    <w:rsid w:val="009B4D15"/>
    <w:rsid w:val="009C368E"/>
    <w:rsid w:val="009C49F0"/>
    <w:rsid w:val="009C62F5"/>
    <w:rsid w:val="009C6577"/>
    <w:rsid w:val="009D0670"/>
    <w:rsid w:val="009D25DD"/>
    <w:rsid w:val="009D56EF"/>
    <w:rsid w:val="009E3890"/>
    <w:rsid w:val="009F1867"/>
    <w:rsid w:val="00A010FE"/>
    <w:rsid w:val="00A05194"/>
    <w:rsid w:val="00A05D3C"/>
    <w:rsid w:val="00A11DB8"/>
    <w:rsid w:val="00A207C4"/>
    <w:rsid w:val="00A21CF6"/>
    <w:rsid w:val="00A249D8"/>
    <w:rsid w:val="00A34CCC"/>
    <w:rsid w:val="00A35AB3"/>
    <w:rsid w:val="00A44A59"/>
    <w:rsid w:val="00A503F3"/>
    <w:rsid w:val="00A53711"/>
    <w:rsid w:val="00A61697"/>
    <w:rsid w:val="00A62600"/>
    <w:rsid w:val="00A7372C"/>
    <w:rsid w:val="00A855B3"/>
    <w:rsid w:val="00AB5CB6"/>
    <w:rsid w:val="00AC01EC"/>
    <w:rsid w:val="00AC5F28"/>
    <w:rsid w:val="00AC74B6"/>
    <w:rsid w:val="00AD049F"/>
    <w:rsid w:val="00AF16B3"/>
    <w:rsid w:val="00AF66C1"/>
    <w:rsid w:val="00B029B2"/>
    <w:rsid w:val="00B02FF2"/>
    <w:rsid w:val="00B15E99"/>
    <w:rsid w:val="00B30299"/>
    <w:rsid w:val="00B34D75"/>
    <w:rsid w:val="00B51CFC"/>
    <w:rsid w:val="00B55D90"/>
    <w:rsid w:val="00B65001"/>
    <w:rsid w:val="00B65948"/>
    <w:rsid w:val="00B731AB"/>
    <w:rsid w:val="00B7403C"/>
    <w:rsid w:val="00B91FC1"/>
    <w:rsid w:val="00BA0E6B"/>
    <w:rsid w:val="00BA1C41"/>
    <w:rsid w:val="00BA4018"/>
    <w:rsid w:val="00BA4E1D"/>
    <w:rsid w:val="00BA5134"/>
    <w:rsid w:val="00BC1FCD"/>
    <w:rsid w:val="00BC30BA"/>
    <w:rsid w:val="00BD1DA9"/>
    <w:rsid w:val="00BD5F71"/>
    <w:rsid w:val="00BD63E9"/>
    <w:rsid w:val="00BD6592"/>
    <w:rsid w:val="00BE0A7B"/>
    <w:rsid w:val="00BE3DAE"/>
    <w:rsid w:val="00BF4294"/>
    <w:rsid w:val="00C05880"/>
    <w:rsid w:val="00C218C2"/>
    <w:rsid w:val="00C248D3"/>
    <w:rsid w:val="00C26025"/>
    <w:rsid w:val="00C30D92"/>
    <w:rsid w:val="00C376F5"/>
    <w:rsid w:val="00C44B16"/>
    <w:rsid w:val="00C45ABA"/>
    <w:rsid w:val="00C57360"/>
    <w:rsid w:val="00C579F3"/>
    <w:rsid w:val="00C57A83"/>
    <w:rsid w:val="00C60EB5"/>
    <w:rsid w:val="00C63868"/>
    <w:rsid w:val="00C70A25"/>
    <w:rsid w:val="00C90312"/>
    <w:rsid w:val="00C94A4B"/>
    <w:rsid w:val="00C94A83"/>
    <w:rsid w:val="00C9757C"/>
    <w:rsid w:val="00CA1A60"/>
    <w:rsid w:val="00CA4313"/>
    <w:rsid w:val="00CA4B0E"/>
    <w:rsid w:val="00CA7921"/>
    <w:rsid w:val="00CC34FF"/>
    <w:rsid w:val="00CD5DC6"/>
    <w:rsid w:val="00CD6808"/>
    <w:rsid w:val="00CE2C8D"/>
    <w:rsid w:val="00CF1455"/>
    <w:rsid w:val="00CF3E45"/>
    <w:rsid w:val="00CF4CFD"/>
    <w:rsid w:val="00CF4F4E"/>
    <w:rsid w:val="00D01960"/>
    <w:rsid w:val="00D231FD"/>
    <w:rsid w:val="00D2413F"/>
    <w:rsid w:val="00D27E8C"/>
    <w:rsid w:val="00D348C6"/>
    <w:rsid w:val="00D35599"/>
    <w:rsid w:val="00D35B9E"/>
    <w:rsid w:val="00D4060B"/>
    <w:rsid w:val="00D44935"/>
    <w:rsid w:val="00D47824"/>
    <w:rsid w:val="00D6179F"/>
    <w:rsid w:val="00D624B7"/>
    <w:rsid w:val="00D707FE"/>
    <w:rsid w:val="00D82C84"/>
    <w:rsid w:val="00D91EFA"/>
    <w:rsid w:val="00DA0B7D"/>
    <w:rsid w:val="00DA3166"/>
    <w:rsid w:val="00DA71B6"/>
    <w:rsid w:val="00DA71E0"/>
    <w:rsid w:val="00DB0B09"/>
    <w:rsid w:val="00DB4A92"/>
    <w:rsid w:val="00DC05ED"/>
    <w:rsid w:val="00DC41A2"/>
    <w:rsid w:val="00DC4C2F"/>
    <w:rsid w:val="00DD34C6"/>
    <w:rsid w:val="00DE0958"/>
    <w:rsid w:val="00DE13F8"/>
    <w:rsid w:val="00DE640D"/>
    <w:rsid w:val="00DF08C8"/>
    <w:rsid w:val="00DF5A88"/>
    <w:rsid w:val="00DF5D34"/>
    <w:rsid w:val="00E0420D"/>
    <w:rsid w:val="00E15E9D"/>
    <w:rsid w:val="00E15FAE"/>
    <w:rsid w:val="00E16CDD"/>
    <w:rsid w:val="00E36045"/>
    <w:rsid w:val="00E40443"/>
    <w:rsid w:val="00E4339D"/>
    <w:rsid w:val="00E54628"/>
    <w:rsid w:val="00E55101"/>
    <w:rsid w:val="00E6538B"/>
    <w:rsid w:val="00E6677C"/>
    <w:rsid w:val="00E66B6A"/>
    <w:rsid w:val="00E6708B"/>
    <w:rsid w:val="00E76BF3"/>
    <w:rsid w:val="00E80427"/>
    <w:rsid w:val="00E80B1E"/>
    <w:rsid w:val="00E86AB7"/>
    <w:rsid w:val="00E9110C"/>
    <w:rsid w:val="00E9283C"/>
    <w:rsid w:val="00E95363"/>
    <w:rsid w:val="00EA0301"/>
    <w:rsid w:val="00EA1FF0"/>
    <w:rsid w:val="00EA597D"/>
    <w:rsid w:val="00EB04A4"/>
    <w:rsid w:val="00EC0FF8"/>
    <w:rsid w:val="00EC6534"/>
    <w:rsid w:val="00ED238E"/>
    <w:rsid w:val="00ED6225"/>
    <w:rsid w:val="00EE0909"/>
    <w:rsid w:val="00EE6F12"/>
    <w:rsid w:val="00EF2F68"/>
    <w:rsid w:val="00EF3B6F"/>
    <w:rsid w:val="00EF63C8"/>
    <w:rsid w:val="00EF6A1E"/>
    <w:rsid w:val="00F01C64"/>
    <w:rsid w:val="00F069E9"/>
    <w:rsid w:val="00F1093C"/>
    <w:rsid w:val="00F10AE2"/>
    <w:rsid w:val="00F1214D"/>
    <w:rsid w:val="00F12A1A"/>
    <w:rsid w:val="00F160EF"/>
    <w:rsid w:val="00F177D1"/>
    <w:rsid w:val="00F20BD1"/>
    <w:rsid w:val="00F3533C"/>
    <w:rsid w:val="00F51D44"/>
    <w:rsid w:val="00F54D75"/>
    <w:rsid w:val="00F60952"/>
    <w:rsid w:val="00F60EC0"/>
    <w:rsid w:val="00F62773"/>
    <w:rsid w:val="00F62C6F"/>
    <w:rsid w:val="00F634DC"/>
    <w:rsid w:val="00F67DED"/>
    <w:rsid w:val="00F7013A"/>
    <w:rsid w:val="00F702CC"/>
    <w:rsid w:val="00F76BE1"/>
    <w:rsid w:val="00F81369"/>
    <w:rsid w:val="00F84202"/>
    <w:rsid w:val="00F86337"/>
    <w:rsid w:val="00F863E4"/>
    <w:rsid w:val="00F910CB"/>
    <w:rsid w:val="00F914B1"/>
    <w:rsid w:val="00F92D27"/>
    <w:rsid w:val="00F95BB0"/>
    <w:rsid w:val="00FA156B"/>
    <w:rsid w:val="00FA2588"/>
    <w:rsid w:val="00FB31BA"/>
    <w:rsid w:val="00FD1E68"/>
    <w:rsid w:val="00FE23D4"/>
    <w:rsid w:val="00FF00F9"/>
    <w:rsid w:val="00FF21EA"/>
    <w:rsid w:val="00FF4284"/>
    <w:rsid w:val="00FF5840"/>
    <w:rsid w:val="00FF6AD5"/>
    <w:rsid w:val="01915D9C"/>
    <w:rsid w:val="07D74D0E"/>
    <w:rsid w:val="07FB79D8"/>
    <w:rsid w:val="0B672B9B"/>
    <w:rsid w:val="0DD67EF5"/>
    <w:rsid w:val="0E683235"/>
    <w:rsid w:val="0F034581"/>
    <w:rsid w:val="103C6340"/>
    <w:rsid w:val="105B28A2"/>
    <w:rsid w:val="14252E45"/>
    <w:rsid w:val="149B66DD"/>
    <w:rsid w:val="17755409"/>
    <w:rsid w:val="178D13ED"/>
    <w:rsid w:val="181D05A2"/>
    <w:rsid w:val="1AA52CF8"/>
    <w:rsid w:val="1ACE017F"/>
    <w:rsid w:val="1C250273"/>
    <w:rsid w:val="1D1B538E"/>
    <w:rsid w:val="1D711FB6"/>
    <w:rsid w:val="1EF56827"/>
    <w:rsid w:val="20112FE8"/>
    <w:rsid w:val="20AD3EF5"/>
    <w:rsid w:val="2233106E"/>
    <w:rsid w:val="2301251F"/>
    <w:rsid w:val="2647305C"/>
    <w:rsid w:val="279F5E9E"/>
    <w:rsid w:val="301F6560"/>
    <w:rsid w:val="32F83859"/>
    <w:rsid w:val="37D44146"/>
    <w:rsid w:val="38DF3CCE"/>
    <w:rsid w:val="3AF541D3"/>
    <w:rsid w:val="3DD54435"/>
    <w:rsid w:val="3EAB745F"/>
    <w:rsid w:val="474D5AC9"/>
    <w:rsid w:val="483E40B5"/>
    <w:rsid w:val="51466643"/>
    <w:rsid w:val="51F240F4"/>
    <w:rsid w:val="534D0372"/>
    <w:rsid w:val="557C5E28"/>
    <w:rsid w:val="557E7DFF"/>
    <w:rsid w:val="58366284"/>
    <w:rsid w:val="59E94D23"/>
    <w:rsid w:val="5B692B86"/>
    <w:rsid w:val="5D3040D0"/>
    <w:rsid w:val="5EDA6F6D"/>
    <w:rsid w:val="5FC6725D"/>
    <w:rsid w:val="612F717E"/>
    <w:rsid w:val="67673927"/>
    <w:rsid w:val="6FFF35B3"/>
    <w:rsid w:val="725A7D1D"/>
    <w:rsid w:val="74B55F09"/>
    <w:rsid w:val="75DE31F0"/>
    <w:rsid w:val="784F7772"/>
    <w:rsid w:val="78E82A4E"/>
    <w:rsid w:val="7A3905CA"/>
    <w:rsid w:val="7F732F88"/>
    <w:rsid w:val="7FDEFAAE"/>
    <w:rsid w:val="FBBE09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rPr>
      <w:rFonts w:ascii="黑体" w:hAnsi="宋体" w:eastAsia="黑体"/>
      <w:sz w:val="21"/>
      <w:szCs w:val="21"/>
      <w:lang w:val="en-US" w:eastAsia="en-US" w:bidi="ar-SA"/>
    </w:rPr>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link w:val="11"/>
    <w:qFormat/>
    <w:uiPriority w:val="1"/>
    <w:pPr>
      <w:ind w:left="694"/>
      <w:jc w:val="left"/>
    </w:pPr>
    <w:rPr>
      <w:rFonts w:ascii="Arial Unicode MS" w:hAnsi="Arial Unicode MS" w:eastAsia="Arial Unicode MS"/>
      <w:kern w:val="0"/>
      <w:sz w:val="19"/>
      <w:szCs w:val="19"/>
      <w:lang w:eastAsia="en-US"/>
    </w:rPr>
  </w:style>
  <w:style w:type="paragraph" w:styleId="4">
    <w:name w:val="Date"/>
    <w:basedOn w:val="1"/>
    <w:next w:val="1"/>
    <w:link w:val="12"/>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正文文本 Char"/>
    <w:basedOn w:val="9"/>
    <w:link w:val="3"/>
    <w:qFormat/>
    <w:uiPriority w:val="1"/>
    <w:rPr>
      <w:rFonts w:ascii="Arial Unicode MS" w:hAnsi="Arial Unicode MS" w:eastAsia="Arial Unicode MS"/>
      <w:sz w:val="19"/>
      <w:szCs w:val="19"/>
    </w:rPr>
  </w:style>
  <w:style w:type="character" w:customStyle="1" w:styleId="12">
    <w:name w:val="日期 Char"/>
    <w:basedOn w:val="9"/>
    <w:link w:val="4"/>
    <w:qFormat/>
    <w:uiPriority w:val="0"/>
    <w:rPr>
      <w:kern w:val="2"/>
      <w:szCs w:val="24"/>
    </w:rPr>
  </w:style>
  <w:style w:type="character" w:customStyle="1" w:styleId="13">
    <w:name w:val="页脚 Char"/>
    <w:basedOn w:val="9"/>
    <w:link w:val="5"/>
    <w:qFormat/>
    <w:uiPriority w:val="99"/>
    <w:rPr>
      <w:kern w:val="2"/>
      <w:sz w:val="18"/>
      <w:szCs w:val="18"/>
    </w:rPr>
  </w:style>
  <w:style w:type="paragraph" w:customStyle="1" w:styleId="14">
    <w:name w:val="Char Char Char Char"/>
    <w:basedOn w:val="1"/>
    <w:qFormat/>
    <w:uiPriority w:val="0"/>
    <w:pPr>
      <w:widowControl/>
      <w:spacing w:after="160" w:line="240" w:lineRule="exact"/>
      <w:jc w:val="left"/>
    </w:pPr>
    <w:rPr>
      <w:rFonts w:ascii="黑体" w:hAnsi="宋体" w:eastAsia="黑体"/>
      <w:kern w:val="0"/>
      <w:szCs w:val="21"/>
      <w:lang w:eastAsia="en-US"/>
    </w:rPr>
  </w:style>
  <w:style w:type="paragraph" w:customStyle="1" w:styleId="15">
    <w:name w:val="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6">
    <w:name w:val="Char"/>
    <w:basedOn w:val="1"/>
    <w:qFormat/>
    <w:uiPriority w:val="0"/>
    <w:pPr>
      <w:widowControl/>
      <w:spacing w:after="160" w:line="240" w:lineRule="exact"/>
      <w:jc w:val="left"/>
    </w:pPr>
    <w:rPr>
      <w:rFonts w:ascii="宋体" w:hAnsi="宋体"/>
      <w:kern w:val="0"/>
      <w:sz w:val="24"/>
      <w:lang w:eastAsia="en-US"/>
    </w:rPr>
  </w:style>
  <w:style w:type="paragraph" w:customStyle="1" w:styleId="17">
    <w:name w:val="_Style 1"/>
    <w:basedOn w:val="1"/>
    <w:qFormat/>
    <w:uiPriority w:val="0"/>
    <w:pPr>
      <w:widowControl/>
      <w:spacing w:after="160" w:line="240" w:lineRule="exact"/>
      <w:jc w:val="left"/>
    </w:pPr>
  </w:style>
  <w:style w:type="paragraph" w:customStyle="1" w:styleId="18">
    <w:name w:val=" Char"/>
    <w:basedOn w:val="1"/>
    <w:qFormat/>
    <w:uiPriority w:val="0"/>
    <w:pPr>
      <w:widowControl/>
      <w:spacing w:before="156" w:beforeLines="50" w:after="156" w:afterLines="50"/>
      <w:jc w:val="center"/>
    </w:pPr>
    <w:rPr>
      <w:rFonts w:ascii="黑体" w:hAnsi="宋体" w:eastAsia="黑体"/>
      <w:kern w:val="0"/>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1132</Words>
  <Characters>1579</Characters>
  <Lines>28</Lines>
  <Paragraphs>8</Paragraphs>
  <TotalTime>12</TotalTime>
  <ScaleCrop>false</ScaleCrop>
  <LinksUpToDate>false</LinksUpToDate>
  <CharactersWithSpaces>1625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2020-05-16T09:18:00Z</dcterms:created>
  <dc:creator>hp</dc:creator>
  <cp:lastModifiedBy>uos</cp:lastModifiedBy>
  <cp:lastPrinted>2020-05-12T00:01:00Z</cp:lastPrinted>
  <dcterms:modified xsi:type="dcterms:W3CDTF">2025-06-04T11:45:00Z</dcterms:modified>
  <dc:title>海南省天然橡胶产品质量监督抽查实施细则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54CEE119A560492DA14EC99B7B106436</vt:lpwstr>
  </property>
  <property fmtid="{D5CDD505-2E9C-101B-9397-08002B2CF9AE}" pid="4" name="KSOTemplateDocerSaveRecord">
    <vt:lpwstr>eyJoZGlkIjoiNWNjZDkxNWFkODgxN2ViOWRmNmRmZjZjY2ZjN2Q0YmMifQ==</vt:lpwstr>
  </property>
</Properties>
</file>