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hint="eastAsia" w:ascii="宋体" w:hAnsi="宋体" w:cs="宋体"/>
          <w:b/>
          <w:bCs/>
          <w:sz w:val="44"/>
          <w:szCs w:val="44"/>
        </w:rPr>
      </w:pPr>
      <w:r>
        <w:rPr>
          <w:rFonts w:hint="eastAsia" w:ascii="宋体" w:hAnsi="宋体" w:cs="宋体"/>
          <w:b/>
          <w:bCs/>
          <w:sz w:val="44"/>
          <w:szCs w:val="44"/>
        </w:rPr>
        <w:t>海南省</w:t>
      </w:r>
      <w:r>
        <w:rPr>
          <w:rFonts w:hint="eastAsia" w:ascii="宋体" w:hAnsi="宋体" w:cs="宋体"/>
          <w:b/>
          <w:bCs/>
          <w:sz w:val="44"/>
          <w:szCs w:val="44"/>
          <w:lang w:eastAsia="zh-CN"/>
        </w:rPr>
        <w:t>生产领域</w:t>
      </w:r>
      <w:r>
        <w:rPr>
          <w:rFonts w:hint="eastAsia" w:ascii="宋体" w:hAnsi="宋体" w:cs="宋体"/>
          <w:b/>
          <w:bCs/>
          <w:sz w:val="44"/>
          <w:szCs w:val="44"/>
        </w:rPr>
        <w:t>洗涤剂产品</w:t>
      </w:r>
    </w:p>
    <w:p>
      <w:pPr>
        <w:spacing w:line="600" w:lineRule="exact"/>
        <w:jc w:val="center"/>
        <w:rPr>
          <w:rFonts w:hint="eastAsia" w:ascii="宋体" w:hAnsi="宋体" w:eastAsia="宋体" w:cs="宋体"/>
          <w:b/>
          <w:bCs/>
          <w:color w:val="auto"/>
          <w:sz w:val="44"/>
          <w:szCs w:val="44"/>
          <w:u w:val="single"/>
          <w:lang w:val="en-US" w:eastAsia="zh-CN"/>
        </w:rPr>
      </w:pPr>
      <w:r>
        <w:rPr>
          <w:rFonts w:hint="eastAsia" w:ascii="宋体" w:hAnsi="宋体" w:cs="宋体"/>
          <w:b/>
          <w:bCs/>
          <w:sz w:val="44"/>
          <w:szCs w:val="44"/>
        </w:rPr>
        <w:t>质量监督抽查实施细则</w:t>
      </w:r>
      <w:r>
        <w:rPr>
          <w:rFonts w:hint="eastAsia" w:ascii="宋体" w:hAnsi="宋体" w:cs="宋体"/>
          <w:b/>
          <w:bCs/>
          <w:color w:val="auto"/>
          <w:sz w:val="44"/>
          <w:szCs w:val="44"/>
        </w:rPr>
        <w:t>XZ</w:t>
      </w:r>
      <w:r>
        <w:rPr>
          <w:rFonts w:hint="eastAsia" w:ascii="宋体" w:hAnsi="宋体" w:cs="宋体"/>
          <w:b/>
          <w:bCs/>
          <w:color w:val="auto"/>
          <w:sz w:val="44"/>
          <w:szCs w:val="44"/>
          <w:lang w:val="en-US" w:eastAsia="zh-CN"/>
        </w:rPr>
        <w:t>27</w:t>
      </w:r>
      <w:r>
        <w:rPr>
          <w:rFonts w:hint="eastAsia" w:ascii="宋体" w:hAnsi="宋体" w:cs="宋体"/>
          <w:b/>
          <w:bCs/>
          <w:color w:val="auto"/>
          <w:sz w:val="44"/>
          <w:szCs w:val="44"/>
        </w:rPr>
        <w:t>-202</w:t>
      </w:r>
      <w:r>
        <w:rPr>
          <w:rFonts w:hint="eastAsia" w:ascii="宋体" w:hAnsi="宋体" w:cs="宋体"/>
          <w:b/>
          <w:bCs/>
          <w:color w:val="auto"/>
          <w:sz w:val="44"/>
          <w:szCs w:val="44"/>
          <w:lang w:val="en-US" w:eastAsia="zh-CN"/>
        </w:rPr>
        <w:t>5</w:t>
      </w:r>
    </w:p>
    <w:p>
      <w:pPr>
        <w:spacing w:line="560" w:lineRule="exact"/>
        <w:ind w:firstLine="642" w:firstLineChars="200"/>
        <w:rPr>
          <w:rFonts w:hint="eastAsia" w:ascii="宋体" w:hAnsi="宋体" w:cs="仿宋_GB2312"/>
          <w:b/>
          <w:bCs/>
          <w:sz w:val="32"/>
          <w:szCs w:val="32"/>
        </w:rPr>
      </w:pPr>
    </w:p>
    <w:p>
      <w:pPr>
        <w:spacing w:line="560" w:lineRule="exact"/>
        <w:rPr>
          <w:rFonts w:hint="eastAsia" w:ascii="宋体" w:hAnsi="宋体" w:cs="仿宋_GB2312"/>
          <w:b/>
          <w:bCs/>
          <w:sz w:val="32"/>
          <w:szCs w:val="32"/>
        </w:rPr>
      </w:pPr>
      <w:r>
        <w:rPr>
          <w:rFonts w:hint="eastAsia" w:ascii="宋体" w:hAnsi="宋体" w:cs="仿宋_GB2312"/>
          <w:b/>
          <w:bCs/>
          <w:sz w:val="32"/>
          <w:szCs w:val="32"/>
        </w:rPr>
        <w:t>1   抽样</w:t>
      </w:r>
    </w:p>
    <w:p>
      <w:pPr>
        <w:spacing w:line="560" w:lineRule="exact"/>
        <w:rPr>
          <w:rFonts w:hint="eastAsia" w:ascii="宋体" w:hAnsi="宋体" w:cs="仿宋_GB2312"/>
          <w:b/>
          <w:bCs/>
          <w:color w:val="FF0000"/>
          <w:sz w:val="32"/>
          <w:szCs w:val="32"/>
        </w:rPr>
      </w:pPr>
      <w:r>
        <w:rPr>
          <w:rFonts w:hint="eastAsia" w:ascii="宋体" w:hAnsi="宋体" w:cs="仿宋_GB2312"/>
          <w:b/>
          <w:sz w:val="32"/>
          <w:szCs w:val="32"/>
        </w:rPr>
        <w:t>1.1  抽样型号或规格</w:t>
      </w:r>
      <w:r>
        <w:rPr>
          <w:rFonts w:hint="eastAsia" w:ascii="宋体" w:hAnsi="宋体" w:cs="仿宋_GB2312"/>
          <w:b/>
          <w:bCs/>
          <w:color w:val="FF0000"/>
          <w:sz w:val="32"/>
          <w:szCs w:val="32"/>
        </w:rPr>
        <w:t xml:space="preserve"> </w:t>
      </w:r>
    </w:p>
    <w:p>
      <w:pPr>
        <w:spacing w:line="560" w:lineRule="exact"/>
        <w:ind w:firstLine="640" w:firstLineChars="200"/>
        <w:rPr>
          <w:rFonts w:hint="eastAsia" w:ascii="宋体" w:hAnsi="宋体" w:cs="仿宋_GB2312"/>
          <w:b/>
          <w:bCs/>
          <w:color w:val="FF0000"/>
          <w:sz w:val="32"/>
          <w:szCs w:val="32"/>
        </w:rPr>
      </w:pPr>
      <w:r>
        <w:rPr>
          <w:rFonts w:hint="eastAsia" w:ascii="仿宋_GB2312" w:hAnsi="仿宋_GB2312" w:eastAsia="仿宋_GB2312" w:cs="仿宋_GB2312"/>
          <w:sz w:val="32"/>
          <w:szCs w:val="32"/>
        </w:rPr>
        <w:t>抽取样品应为同一类型、规格、同一批号的产品。</w:t>
      </w:r>
    </w:p>
    <w:p>
      <w:pPr>
        <w:spacing w:line="560" w:lineRule="exact"/>
        <w:rPr>
          <w:rFonts w:hint="eastAsia" w:ascii="宋体" w:hAnsi="宋体" w:cs="仿宋_GB2312"/>
          <w:b/>
          <w:sz w:val="32"/>
          <w:szCs w:val="32"/>
        </w:rPr>
      </w:pPr>
      <w:r>
        <w:rPr>
          <w:rFonts w:hint="eastAsia" w:ascii="宋体" w:hAnsi="宋体" w:cs="仿宋_GB2312"/>
          <w:b/>
          <w:sz w:val="32"/>
          <w:szCs w:val="32"/>
        </w:rPr>
        <w:t>1.2  抽样方法</w:t>
      </w:r>
      <w:r>
        <w:rPr>
          <w:rFonts w:hint="eastAsia" w:ascii="宋体" w:hAnsi="宋体" w:cs="仿宋_GB2312"/>
          <w:b/>
          <w:iCs/>
          <w:sz w:val="32"/>
          <w:szCs w:val="32"/>
        </w:rPr>
        <w:t>、基数、</w:t>
      </w:r>
      <w:r>
        <w:rPr>
          <w:rFonts w:hint="eastAsia" w:ascii="宋体" w:hAnsi="宋体" w:cs="仿宋_GB2312"/>
          <w:b/>
          <w:sz w:val="32"/>
          <w:szCs w:val="32"/>
        </w:rPr>
        <w:t>抽样数量</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1.2.1在生产企业成品仓库内或流通</w:t>
      </w:r>
      <w:r>
        <w:rPr>
          <w:rFonts w:hint="eastAsia" w:ascii="仿宋_GB2312" w:hAnsi="仿宋_GB2312" w:eastAsia="仿宋_GB2312" w:cs="仿宋_GB2312"/>
          <w:sz w:val="32"/>
          <w:szCs w:val="32"/>
          <w:lang w:eastAsia="zh-CN"/>
        </w:rPr>
        <w:t>市场</w:t>
      </w:r>
      <w:bookmarkStart w:id="0" w:name="_GoBack"/>
      <w:bookmarkEnd w:id="0"/>
      <w:r>
        <w:rPr>
          <w:rFonts w:hint="eastAsia" w:ascii="仿宋_GB2312" w:hAnsi="仿宋_GB2312" w:eastAsia="仿宋_GB2312" w:cs="仿宋_GB2312"/>
          <w:sz w:val="32"/>
          <w:szCs w:val="32"/>
        </w:rPr>
        <w:t>随机抽取经生产企业检验合格或以任何方式表明合格的待销产品。采取随机抽样方法进行抽样，随机数一般可使用随机数表、骰子或扑克牌等方法产生。</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1.2.2 手洗餐具用洗涤剂产品</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同一类型、规格、批号的产（商）品为监督检验批，从整批总数选取样品数量按表1执行,从选择样品数中取出不少于2kg×2的样品，包装好贴上编号标志，分别加贴抽样单位与受检单位签字认可的封条，其中的1份为检验样品，另1份为备检样品。</w:t>
      </w:r>
    </w:p>
    <w:p>
      <w:pPr>
        <w:spacing w:line="560" w:lineRule="exact"/>
        <w:ind w:firstLine="640" w:firstLineChars="200"/>
        <w:rPr>
          <w:rFonts w:hint="eastAsia" w:ascii="仿宋_GB2312" w:hAnsi="仿宋_GB2312" w:eastAsia="仿宋_GB2312" w:cs="仿宋_GB2312"/>
          <w:b/>
          <w:sz w:val="28"/>
          <w:szCs w:val="28"/>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28"/>
          <w:szCs w:val="28"/>
        </w:rPr>
        <w:t>表1  抽样数量表</w:t>
      </w:r>
    </w:p>
    <w:tbl>
      <w:tblPr>
        <w:tblStyle w:val="26"/>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5"/>
        <w:gridCol w:w="3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 w:hRule="atLeast"/>
        </w:trPr>
        <w:tc>
          <w:tcPr>
            <w:tcW w:w="4885" w:type="dxa"/>
            <w:noWrap w:val="0"/>
            <w:vAlign w:val="top"/>
          </w:tcPr>
          <w:p>
            <w:pPr>
              <w:spacing w:before="156" w:beforeLines="50" w:after="156" w:afterLines="50" w:line="560" w:lineRule="exact"/>
              <w:ind w:firstLine="281" w:firstLineChars="100"/>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整批数量产品瓶（袋）数</w:t>
            </w:r>
          </w:p>
        </w:tc>
        <w:tc>
          <w:tcPr>
            <w:tcW w:w="3764" w:type="dxa"/>
            <w:noWrap w:val="0"/>
            <w:vAlign w:val="top"/>
          </w:tcPr>
          <w:p>
            <w:pPr>
              <w:spacing w:before="156" w:beforeLines="50" w:after="156" w:afterLines="50" w:line="560" w:lineRule="exact"/>
              <w:ind w:firstLine="281" w:firstLineChars="100"/>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选取样品瓶（袋）数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 w:hRule="atLeast"/>
        </w:trPr>
        <w:tc>
          <w:tcPr>
            <w:tcW w:w="4885" w:type="dxa"/>
            <w:noWrap w:val="0"/>
            <w:vAlign w:val="top"/>
          </w:tcPr>
          <w:p>
            <w:pPr>
              <w:spacing w:line="440" w:lineRule="exact"/>
              <w:jc w:val="center"/>
              <w:rPr>
                <w:rFonts w:hint="eastAsia" w:ascii="仿宋" w:hAnsi="仿宋" w:eastAsia="仿宋"/>
                <w:sz w:val="28"/>
                <w:szCs w:val="28"/>
              </w:rPr>
            </w:pPr>
            <w:r>
              <w:rPr>
                <w:rFonts w:hint="eastAsia" w:ascii="仿宋_GB2312" w:hAnsi="仿宋_GB2312" w:eastAsia="仿宋_GB2312" w:cs="仿宋_GB2312"/>
                <w:sz w:val="28"/>
                <w:szCs w:val="28"/>
              </w:rPr>
              <w:t>≤50</w:t>
            </w:r>
          </w:p>
        </w:tc>
        <w:tc>
          <w:tcPr>
            <w:tcW w:w="3764" w:type="dxa"/>
            <w:noWrap w:val="0"/>
            <w:vAlign w:val="top"/>
          </w:tcPr>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4885" w:type="dxa"/>
            <w:noWrap w:val="0"/>
            <w:vAlign w:val="top"/>
          </w:tcPr>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51～150</w:t>
            </w:r>
          </w:p>
        </w:tc>
        <w:tc>
          <w:tcPr>
            <w:tcW w:w="3764" w:type="dxa"/>
            <w:noWrap w:val="0"/>
            <w:vAlign w:val="top"/>
          </w:tcPr>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 w:hRule="atLeast"/>
        </w:trPr>
        <w:tc>
          <w:tcPr>
            <w:tcW w:w="4885" w:type="dxa"/>
            <w:noWrap w:val="0"/>
            <w:vAlign w:val="top"/>
          </w:tcPr>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151～500</w:t>
            </w:r>
          </w:p>
        </w:tc>
        <w:tc>
          <w:tcPr>
            <w:tcW w:w="3764" w:type="dxa"/>
            <w:noWrap w:val="0"/>
            <w:vAlign w:val="top"/>
          </w:tcPr>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 w:hRule="atLeast"/>
        </w:trPr>
        <w:tc>
          <w:tcPr>
            <w:tcW w:w="4885" w:type="dxa"/>
            <w:noWrap w:val="0"/>
            <w:vAlign w:val="top"/>
          </w:tcPr>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501～3200</w:t>
            </w:r>
          </w:p>
        </w:tc>
        <w:tc>
          <w:tcPr>
            <w:tcW w:w="3764" w:type="dxa"/>
            <w:noWrap w:val="0"/>
            <w:vAlign w:val="top"/>
          </w:tcPr>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 w:hRule="atLeast"/>
        </w:trPr>
        <w:tc>
          <w:tcPr>
            <w:tcW w:w="4885" w:type="dxa"/>
            <w:noWrap w:val="0"/>
            <w:vAlign w:val="top"/>
          </w:tcPr>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3200以上</w:t>
            </w:r>
          </w:p>
        </w:tc>
        <w:tc>
          <w:tcPr>
            <w:tcW w:w="3764" w:type="dxa"/>
            <w:noWrap w:val="0"/>
            <w:vAlign w:val="top"/>
          </w:tcPr>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w:t>
            </w:r>
          </w:p>
        </w:tc>
      </w:tr>
    </w:tbl>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lang w:val="en-US" w:eastAsia="zh-CN"/>
        </w:rPr>
        <w:t xml:space="preserve">3 </w:t>
      </w:r>
      <w:r>
        <w:rPr>
          <w:rFonts w:hint="eastAsia" w:ascii="仿宋_GB2312" w:hAnsi="仿宋_GB2312" w:eastAsia="仿宋_GB2312" w:cs="仿宋_GB2312"/>
          <w:sz w:val="32"/>
          <w:szCs w:val="32"/>
        </w:rPr>
        <w:t>所抽取的样品为液体时，为防止受到环境污染和变质，应尽量整包装抽取，避免分装。随机抽取至少2个独立包装，分成2份，一份为检验样品，一份为备用样品，且每份不少于2kg或2L。</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 洗涤剂产品</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以同一类型、规格、批号的产（商）品为监督检验批，从整批总数选取样品数量按表</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执行,从选择样品数中取出不少于2kg×2的样品，包装好贴上编号标志，分别加贴抽样单位与受检单位签字认可的封条，其中的1份为检验样品，另1份为备检样品。                </w:t>
      </w:r>
    </w:p>
    <w:p>
      <w:pPr>
        <w:spacing w:line="56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表</w:t>
      </w:r>
      <w:r>
        <w:rPr>
          <w:rFonts w:hint="eastAsia" w:ascii="仿宋_GB2312" w:hAnsi="仿宋_GB2312" w:eastAsia="仿宋_GB2312" w:cs="仿宋_GB2312"/>
          <w:b/>
          <w:sz w:val="28"/>
          <w:szCs w:val="28"/>
          <w:lang w:val="en-US" w:eastAsia="zh-CN"/>
        </w:rPr>
        <w:t>2</w:t>
      </w:r>
      <w:r>
        <w:rPr>
          <w:rFonts w:hint="eastAsia" w:ascii="仿宋_GB2312" w:hAnsi="仿宋_GB2312" w:eastAsia="仿宋_GB2312" w:cs="仿宋_GB2312"/>
          <w:b/>
          <w:sz w:val="28"/>
          <w:szCs w:val="28"/>
        </w:rPr>
        <w:t xml:space="preserve">  抽样数量表</w:t>
      </w:r>
    </w:p>
    <w:tbl>
      <w:tblPr>
        <w:tblStyle w:val="26"/>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5"/>
        <w:gridCol w:w="3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 w:hRule="atLeast"/>
        </w:trPr>
        <w:tc>
          <w:tcPr>
            <w:tcW w:w="4885" w:type="dxa"/>
            <w:noWrap w:val="0"/>
            <w:vAlign w:val="top"/>
          </w:tcPr>
          <w:p>
            <w:pPr>
              <w:spacing w:before="156" w:beforeLines="50" w:after="156" w:afterLines="50" w:line="560" w:lineRule="exact"/>
              <w:ind w:firstLine="281" w:firstLineChars="100"/>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整批数量产品瓶（袋）数</w:t>
            </w:r>
          </w:p>
        </w:tc>
        <w:tc>
          <w:tcPr>
            <w:tcW w:w="3764" w:type="dxa"/>
            <w:noWrap w:val="0"/>
            <w:vAlign w:val="top"/>
          </w:tcPr>
          <w:p>
            <w:pPr>
              <w:spacing w:before="156" w:beforeLines="50" w:after="156" w:afterLines="50" w:line="560" w:lineRule="exact"/>
              <w:ind w:firstLine="281" w:firstLineChars="100"/>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选取样品瓶（袋）数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 w:hRule="atLeast"/>
        </w:trPr>
        <w:tc>
          <w:tcPr>
            <w:tcW w:w="4885" w:type="dxa"/>
            <w:noWrap w:val="0"/>
            <w:vAlign w:val="top"/>
          </w:tcPr>
          <w:p>
            <w:pPr>
              <w:spacing w:line="440" w:lineRule="exact"/>
              <w:jc w:val="center"/>
              <w:rPr>
                <w:rFonts w:hint="eastAsia" w:ascii="仿宋" w:hAnsi="仿宋" w:eastAsia="仿宋"/>
                <w:sz w:val="28"/>
                <w:szCs w:val="28"/>
              </w:rPr>
            </w:pPr>
            <w:r>
              <w:rPr>
                <w:rFonts w:hint="eastAsia" w:ascii="仿宋_GB2312" w:hAnsi="仿宋_GB2312" w:eastAsia="仿宋_GB2312" w:cs="仿宋_GB2312"/>
                <w:sz w:val="28"/>
                <w:szCs w:val="28"/>
              </w:rPr>
              <w:t>≤50</w:t>
            </w:r>
          </w:p>
        </w:tc>
        <w:tc>
          <w:tcPr>
            <w:tcW w:w="3764" w:type="dxa"/>
            <w:noWrap w:val="0"/>
            <w:vAlign w:val="top"/>
          </w:tcPr>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4885" w:type="dxa"/>
            <w:noWrap w:val="0"/>
            <w:vAlign w:val="top"/>
          </w:tcPr>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51～150</w:t>
            </w:r>
          </w:p>
        </w:tc>
        <w:tc>
          <w:tcPr>
            <w:tcW w:w="3764" w:type="dxa"/>
            <w:noWrap w:val="0"/>
            <w:vAlign w:val="top"/>
          </w:tcPr>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 w:hRule="atLeast"/>
        </w:trPr>
        <w:tc>
          <w:tcPr>
            <w:tcW w:w="4885" w:type="dxa"/>
            <w:noWrap w:val="0"/>
            <w:vAlign w:val="top"/>
          </w:tcPr>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151～500</w:t>
            </w:r>
          </w:p>
        </w:tc>
        <w:tc>
          <w:tcPr>
            <w:tcW w:w="3764" w:type="dxa"/>
            <w:noWrap w:val="0"/>
            <w:vAlign w:val="top"/>
          </w:tcPr>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 w:hRule="atLeast"/>
        </w:trPr>
        <w:tc>
          <w:tcPr>
            <w:tcW w:w="4885" w:type="dxa"/>
            <w:noWrap w:val="0"/>
            <w:vAlign w:val="top"/>
          </w:tcPr>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501～3200</w:t>
            </w:r>
          </w:p>
        </w:tc>
        <w:tc>
          <w:tcPr>
            <w:tcW w:w="3764" w:type="dxa"/>
            <w:noWrap w:val="0"/>
            <w:vAlign w:val="top"/>
          </w:tcPr>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 w:hRule="atLeast"/>
        </w:trPr>
        <w:tc>
          <w:tcPr>
            <w:tcW w:w="4885" w:type="dxa"/>
            <w:noWrap w:val="0"/>
            <w:vAlign w:val="top"/>
          </w:tcPr>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3200以上</w:t>
            </w:r>
          </w:p>
        </w:tc>
        <w:tc>
          <w:tcPr>
            <w:tcW w:w="3764" w:type="dxa"/>
            <w:noWrap w:val="0"/>
            <w:vAlign w:val="top"/>
          </w:tcPr>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w:t>
            </w:r>
          </w:p>
        </w:tc>
      </w:tr>
    </w:tbl>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本次</w:t>
      </w:r>
      <w:r>
        <w:rPr>
          <w:rFonts w:hint="eastAsia" w:ascii="仿宋_GB2312" w:hAnsi="仿宋_GB2312" w:eastAsia="仿宋_GB2312" w:cs="仿宋_GB2312"/>
          <w:sz w:val="32"/>
          <w:szCs w:val="32"/>
        </w:rPr>
        <w:t>洗涤剂产品</w:t>
      </w:r>
      <w:r>
        <w:rPr>
          <w:rFonts w:hint="eastAsia" w:ascii="仿宋_GB2312" w:hAnsi="仿宋_GB2312" w:eastAsia="仿宋_GB2312" w:cs="仿宋_GB2312"/>
          <w:sz w:val="32"/>
          <w:szCs w:val="32"/>
          <w:lang w:eastAsia="zh-CN"/>
        </w:rPr>
        <w:t>抽查</w:t>
      </w:r>
      <w:r>
        <w:rPr>
          <w:rFonts w:hint="eastAsia" w:ascii="仿宋_GB2312" w:hAnsi="仿宋_GB2312" w:eastAsia="仿宋_GB2312" w:cs="仿宋_GB2312"/>
          <w:sz w:val="32"/>
          <w:szCs w:val="32"/>
        </w:rPr>
        <w:t>说明</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本次抽检手洗餐具用洗涤剂</w:t>
      </w:r>
      <w:r>
        <w:rPr>
          <w:rFonts w:hint="eastAsia" w:ascii="仿宋_GB2312" w:hAnsi="仿宋_GB2312" w:eastAsia="仿宋_GB2312" w:cs="仿宋_GB2312"/>
          <w:sz w:val="32"/>
          <w:szCs w:val="32"/>
          <w:lang w:eastAsia="zh-CN"/>
        </w:rPr>
        <w:t>（执行标准</w:t>
      </w:r>
      <w:r>
        <w:rPr>
          <w:rFonts w:hint="eastAsia" w:ascii="仿宋_GB2312" w:hAnsi="仿宋_GB2312" w:eastAsia="仿宋_GB2312" w:cs="仿宋_GB2312"/>
          <w:sz w:val="32"/>
          <w:szCs w:val="32"/>
        </w:rPr>
        <w:t>GB/T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9985-2022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生产日期要求为2024年1月1日后生产的产品。</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本次抽检洗涤剂</w:t>
      </w:r>
      <w:r>
        <w:rPr>
          <w:rFonts w:hint="eastAsia" w:ascii="仿宋_GB2312" w:hAnsi="仿宋_GB2312" w:eastAsia="仿宋_GB2312" w:cs="仿宋_GB2312"/>
          <w:sz w:val="32"/>
          <w:szCs w:val="32"/>
          <w:lang w:eastAsia="zh-CN"/>
        </w:rPr>
        <w:t>（执行标准</w:t>
      </w:r>
      <w:r>
        <w:rPr>
          <w:rFonts w:hint="eastAsia" w:ascii="仿宋_GB2312" w:hAnsi="仿宋_GB2312" w:eastAsia="仿宋_GB2312" w:cs="仿宋_GB2312"/>
          <w:sz w:val="32"/>
          <w:szCs w:val="32"/>
        </w:rPr>
        <w:t>GB 14930.1-2022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生产日期要求为2023年6月30日后生产的产品。</w:t>
      </w:r>
    </w:p>
    <w:p>
      <w:pPr>
        <w:spacing w:line="560" w:lineRule="exact"/>
        <w:rPr>
          <w:rFonts w:hint="eastAsia" w:ascii="宋体" w:hAnsi="宋体" w:cs="仿宋_GB2312"/>
          <w:b/>
          <w:bCs/>
          <w:sz w:val="32"/>
          <w:szCs w:val="32"/>
        </w:rPr>
      </w:pPr>
      <w:r>
        <w:rPr>
          <w:rFonts w:hint="eastAsia" w:ascii="宋体" w:hAnsi="宋体" w:cs="仿宋_GB2312"/>
          <w:b/>
          <w:bCs/>
          <w:sz w:val="32"/>
          <w:szCs w:val="32"/>
        </w:rPr>
        <w:t>2  检验</w:t>
      </w:r>
    </w:p>
    <w:p>
      <w:pPr>
        <w:pStyle w:val="43"/>
        <w:spacing w:before="0" w:beforeLines="0" w:after="0" w:afterLines="0" w:line="560" w:lineRule="exact"/>
        <w:jc w:val="both"/>
        <w:rPr>
          <w:rFonts w:hint="eastAsia" w:ascii="宋体" w:eastAsia="宋体" w:cs="仿宋_GB2312"/>
          <w:b/>
          <w:sz w:val="32"/>
          <w:szCs w:val="32"/>
          <w:lang w:eastAsia="zh-CN"/>
        </w:rPr>
      </w:pPr>
      <w:r>
        <w:rPr>
          <w:rFonts w:hint="eastAsia" w:ascii="宋体" w:eastAsia="宋体" w:cs="仿宋_GB2312"/>
          <w:b/>
          <w:sz w:val="32"/>
          <w:szCs w:val="32"/>
          <w:lang w:eastAsia="zh-CN"/>
        </w:rPr>
        <w:t xml:space="preserve">2.1 检验依据 </w:t>
      </w:r>
    </w:p>
    <w:p>
      <w:pPr>
        <w:spacing w:line="560" w:lineRule="exact"/>
        <w:ind w:firstLine="640" w:firstLineChars="200"/>
        <w:rPr>
          <w:rFonts w:hint="eastAsia" w:ascii="仿宋" w:hAnsi="仿宋" w:eastAsia="仿宋"/>
          <w:sz w:val="32"/>
          <w:szCs w:val="32"/>
        </w:rPr>
      </w:pPr>
      <w:r>
        <w:rPr>
          <w:rFonts w:hint="eastAsia" w:ascii="仿宋_GB2312" w:hAnsi="仿宋_GB2312" w:eastAsia="仿宋_GB2312" w:cs="仿宋_GB2312"/>
          <w:sz w:val="32"/>
          <w:szCs w:val="32"/>
        </w:rPr>
        <w:t>GB/T 9985-</w:t>
      </w:r>
      <w:r>
        <w:rPr>
          <w:rFonts w:hint="eastAsia" w:ascii="仿宋_GB2312" w:hAnsi="仿宋_GB2312" w:eastAsia="仿宋_GB2312" w:cs="仿宋_GB2312"/>
          <w:color w:val="000000"/>
          <w:sz w:val="32"/>
          <w:szCs w:val="32"/>
        </w:rPr>
        <w:t>2022</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sz w:val="32"/>
          <w:szCs w:val="32"/>
        </w:rPr>
        <w:t>手洗餐具用洗涤剂</w:t>
      </w:r>
      <w:r>
        <w:rPr>
          <w:rFonts w:hint="eastAsia" w:ascii="仿宋" w:hAnsi="仿宋" w:eastAsia="仿宋"/>
          <w:sz w:val="32"/>
          <w:szCs w:val="32"/>
        </w:rPr>
        <w:t xml:space="preserve">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GB 14930.1-2022 </w:t>
      </w:r>
      <w:r>
        <w:rPr>
          <w:rFonts w:hint="eastAsia" w:ascii="仿宋_GB2312" w:hAnsi="仿宋_GB2312" w:eastAsia="仿宋_GB2312" w:cs="仿宋_GB2312"/>
          <w:sz w:val="32"/>
          <w:szCs w:val="32"/>
          <w:lang w:eastAsia="zh-CN"/>
        </w:rPr>
        <w:t>食品安全国家标准</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洗涤剂</w:t>
      </w:r>
    </w:p>
    <w:p>
      <w:pPr>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现行有效的企业标准、团体标准、地方标准及产品明示质量要求</w:t>
      </w:r>
    </w:p>
    <w:p>
      <w:pPr>
        <w:pStyle w:val="43"/>
        <w:spacing w:before="0" w:beforeLines="0" w:after="0" w:afterLines="0" w:line="560" w:lineRule="exact"/>
        <w:jc w:val="both"/>
        <w:rPr>
          <w:rFonts w:hint="eastAsia" w:ascii="宋体" w:eastAsia="宋体" w:cs="仿宋_GB2312"/>
          <w:b/>
          <w:sz w:val="32"/>
          <w:szCs w:val="32"/>
          <w:lang w:eastAsia="zh-CN"/>
        </w:rPr>
      </w:pPr>
      <w:r>
        <w:rPr>
          <w:rFonts w:hint="eastAsia" w:ascii="宋体" w:eastAsia="宋体" w:cs="仿宋_GB2312"/>
          <w:b/>
          <w:sz w:val="32"/>
          <w:szCs w:val="32"/>
          <w:lang w:eastAsia="zh-CN"/>
        </w:rPr>
        <w:t>2.2 检验项目</w:t>
      </w:r>
    </w:p>
    <w:p>
      <w:pPr>
        <w:pStyle w:val="43"/>
        <w:spacing w:before="0" w:beforeLines="0" w:after="0" w:afterLines="0" w:line="560" w:lineRule="exact"/>
        <w:jc w:val="both"/>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2.2.1 手洗餐具用洗涤剂检验项目见表</w:t>
      </w:r>
      <w:r>
        <w:rPr>
          <w:rFonts w:hint="eastAsia" w:ascii="仿宋_GB2312" w:hAnsi="仿宋_GB2312" w:eastAsia="仿宋_GB2312" w:cs="仿宋_GB2312"/>
          <w:kern w:val="2"/>
          <w:sz w:val="32"/>
          <w:szCs w:val="32"/>
          <w:lang w:val="en-US" w:eastAsia="zh-CN"/>
        </w:rPr>
        <w:t>3</w:t>
      </w:r>
      <w:r>
        <w:rPr>
          <w:rFonts w:hint="eastAsia" w:ascii="仿宋_GB2312" w:hAnsi="仿宋_GB2312" w:eastAsia="仿宋_GB2312" w:cs="仿宋_GB2312"/>
          <w:kern w:val="2"/>
          <w:sz w:val="32"/>
          <w:szCs w:val="32"/>
          <w:lang w:eastAsia="zh-CN"/>
        </w:rPr>
        <w:t>。</w:t>
      </w:r>
    </w:p>
    <w:p>
      <w:pPr>
        <w:pStyle w:val="43"/>
        <w:spacing w:before="0" w:beforeLines="0" w:after="0" w:afterLines="0" w:line="560" w:lineRule="exact"/>
        <w:jc w:val="both"/>
        <w:rPr>
          <w:rFonts w:hint="eastAsia" w:ascii="仿宋_GB2312" w:hAnsi="仿宋_GB2312" w:eastAsia="仿宋_GB2312" w:cs="仿宋_GB2312"/>
          <w:b/>
          <w:sz w:val="28"/>
          <w:szCs w:val="28"/>
          <w:lang w:eastAsia="zh-CN"/>
        </w:rPr>
      </w:pPr>
      <w:r>
        <w:rPr>
          <w:rFonts w:hint="eastAsia" w:ascii="仿宋_GB2312" w:hAnsi="仿宋_GB2312" w:eastAsia="仿宋_GB2312" w:cs="仿宋_GB2312"/>
          <w:kern w:val="2"/>
          <w:sz w:val="32"/>
          <w:szCs w:val="32"/>
          <w:lang w:eastAsia="zh-CN"/>
        </w:rPr>
        <w:t xml:space="preserve">               </w:t>
      </w:r>
      <w:r>
        <w:rPr>
          <w:rFonts w:hint="eastAsia" w:ascii="仿宋_GB2312" w:hAnsi="仿宋_GB2312" w:eastAsia="仿宋_GB2312" w:cs="仿宋_GB2312"/>
          <w:b/>
          <w:sz w:val="28"/>
          <w:szCs w:val="28"/>
          <w:lang w:eastAsia="zh-CN"/>
        </w:rPr>
        <w:t>表</w:t>
      </w:r>
      <w:r>
        <w:rPr>
          <w:rFonts w:hint="eastAsia" w:ascii="仿宋_GB2312" w:hAnsi="仿宋_GB2312" w:eastAsia="仿宋_GB2312" w:cs="仿宋_GB2312"/>
          <w:b/>
          <w:sz w:val="28"/>
          <w:szCs w:val="28"/>
          <w:lang w:val="en-US" w:eastAsia="zh-CN"/>
        </w:rPr>
        <w:t>3</w:t>
      </w:r>
      <w:r>
        <w:rPr>
          <w:rFonts w:hint="eastAsia" w:ascii="仿宋_GB2312" w:hAnsi="仿宋_GB2312" w:eastAsia="仿宋_GB2312" w:cs="仿宋_GB2312"/>
          <w:b/>
          <w:sz w:val="28"/>
          <w:szCs w:val="28"/>
          <w:lang w:eastAsia="zh-CN"/>
        </w:rPr>
        <w:t xml:space="preserve"> 手洗餐具用洗涤剂检验项目</w:t>
      </w:r>
    </w:p>
    <w:tbl>
      <w:tblPr>
        <w:tblStyle w:val="2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678"/>
        <w:gridCol w:w="3099"/>
        <w:gridCol w:w="2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tblHeader/>
        </w:trPr>
        <w:tc>
          <w:tcPr>
            <w:tcW w:w="1094" w:type="dxa"/>
            <w:vMerge w:val="restart"/>
            <w:noWrap w:val="0"/>
            <w:vAlign w:val="center"/>
          </w:tcPr>
          <w:p>
            <w:pPr>
              <w:spacing w:before="156" w:beforeLines="50" w:after="156" w:afterLines="50" w:line="560" w:lineRule="exac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序号</w:t>
            </w:r>
          </w:p>
        </w:tc>
        <w:tc>
          <w:tcPr>
            <w:tcW w:w="1678" w:type="dxa"/>
            <w:vMerge w:val="restart"/>
            <w:noWrap w:val="0"/>
            <w:vAlign w:val="center"/>
          </w:tcPr>
          <w:p>
            <w:pPr>
              <w:spacing w:before="156" w:beforeLines="50" w:after="156" w:afterLines="50" w:line="560" w:lineRule="exact"/>
              <w:ind w:firstLine="281" w:firstLineChars="100"/>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检验项目</w:t>
            </w:r>
          </w:p>
        </w:tc>
        <w:tc>
          <w:tcPr>
            <w:tcW w:w="3099" w:type="dxa"/>
            <w:vMerge w:val="restart"/>
            <w:noWrap w:val="0"/>
            <w:vAlign w:val="center"/>
          </w:tcPr>
          <w:p>
            <w:pPr>
              <w:spacing w:before="156" w:beforeLines="50" w:after="156" w:afterLines="50" w:line="560" w:lineRule="exact"/>
              <w:ind w:firstLine="281" w:firstLineChars="100"/>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依据法律法规或标准</w:t>
            </w:r>
          </w:p>
        </w:tc>
        <w:tc>
          <w:tcPr>
            <w:tcW w:w="2923" w:type="dxa"/>
            <w:vMerge w:val="restart"/>
            <w:noWrap w:val="0"/>
            <w:vAlign w:val="center"/>
          </w:tcPr>
          <w:p>
            <w:pPr>
              <w:spacing w:before="156" w:beforeLines="50" w:after="156" w:afterLines="50" w:line="560" w:lineRule="exact"/>
              <w:ind w:firstLine="281" w:firstLineChars="100"/>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blHeader/>
        </w:trPr>
        <w:tc>
          <w:tcPr>
            <w:tcW w:w="1094" w:type="dxa"/>
            <w:vMerge w:val="continue"/>
            <w:noWrap w:val="0"/>
            <w:vAlign w:val="center"/>
          </w:tcPr>
          <w:p>
            <w:pPr>
              <w:snapToGrid w:val="0"/>
              <w:spacing w:line="440" w:lineRule="exact"/>
              <w:jc w:val="center"/>
              <w:rPr>
                <w:rFonts w:hint="eastAsia" w:ascii="宋体" w:hAnsi="宋体"/>
                <w:sz w:val="18"/>
                <w:szCs w:val="18"/>
              </w:rPr>
            </w:pPr>
          </w:p>
        </w:tc>
        <w:tc>
          <w:tcPr>
            <w:tcW w:w="1678" w:type="dxa"/>
            <w:vMerge w:val="continue"/>
            <w:noWrap w:val="0"/>
            <w:vAlign w:val="center"/>
          </w:tcPr>
          <w:p>
            <w:pPr>
              <w:snapToGrid w:val="0"/>
              <w:spacing w:line="440" w:lineRule="exact"/>
              <w:jc w:val="center"/>
              <w:rPr>
                <w:rFonts w:hint="eastAsia" w:ascii="宋体" w:hAnsi="宋体"/>
                <w:sz w:val="18"/>
                <w:szCs w:val="18"/>
              </w:rPr>
            </w:pPr>
          </w:p>
        </w:tc>
        <w:tc>
          <w:tcPr>
            <w:tcW w:w="3099" w:type="dxa"/>
            <w:vMerge w:val="continue"/>
            <w:noWrap w:val="0"/>
            <w:vAlign w:val="center"/>
          </w:tcPr>
          <w:p>
            <w:pPr>
              <w:snapToGrid w:val="0"/>
              <w:spacing w:line="440" w:lineRule="exact"/>
              <w:jc w:val="center"/>
              <w:rPr>
                <w:rFonts w:hint="eastAsia" w:ascii="宋体" w:hAnsi="宋体"/>
                <w:sz w:val="18"/>
                <w:szCs w:val="18"/>
              </w:rPr>
            </w:pPr>
          </w:p>
        </w:tc>
        <w:tc>
          <w:tcPr>
            <w:tcW w:w="2923" w:type="dxa"/>
            <w:vMerge w:val="continue"/>
            <w:noWrap w:val="0"/>
            <w:vAlign w:val="center"/>
          </w:tcPr>
          <w:p>
            <w:pPr>
              <w:snapToGrid w:val="0"/>
              <w:spacing w:line="440" w:lineRule="exact"/>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1094" w:type="dxa"/>
            <w:noWrap w:val="0"/>
            <w:vAlign w:val="center"/>
          </w:tcPr>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678" w:type="dxa"/>
            <w:noWrap w:val="0"/>
            <w:vAlign w:val="center"/>
          </w:tcPr>
          <w:p>
            <w:pPr>
              <w:spacing w:line="4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外观</w:t>
            </w:r>
          </w:p>
        </w:tc>
        <w:tc>
          <w:tcPr>
            <w:tcW w:w="3099" w:type="dxa"/>
            <w:noWrap w:val="0"/>
            <w:vAlign w:val="center"/>
          </w:tcPr>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GB/T9985-2022/4.2</w:t>
            </w:r>
          </w:p>
        </w:tc>
        <w:tc>
          <w:tcPr>
            <w:tcW w:w="2923" w:type="dxa"/>
            <w:noWrap w:val="0"/>
            <w:vAlign w:val="center"/>
          </w:tcPr>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GB/T13173-2021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1094" w:type="dxa"/>
            <w:noWrap w:val="0"/>
            <w:vAlign w:val="center"/>
          </w:tcPr>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678" w:type="dxa"/>
            <w:noWrap w:val="0"/>
            <w:vAlign w:val="center"/>
          </w:tcPr>
          <w:p>
            <w:pPr>
              <w:spacing w:line="4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气味</w:t>
            </w:r>
          </w:p>
        </w:tc>
        <w:tc>
          <w:tcPr>
            <w:tcW w:w="3099" w:type="dxa"/>
            <w:noWrap w:val="0"/>
            <w:vAlign w:val="center"/>
          </w:tcPr>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GB/T9985-2022/4.2</w:t>
            </w:r>
          </w:p>
        </w:tc>
        <w:tc>
          <w:tcPr>
            <w:tcW w:w="2923" w:type="dxa"/>
            <w:noWrap w:val="0"/>
            <w:vAlign w:val="center"/>
          </w:tcPr>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GB/T13173-2021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1094" w:type="dxa"/>
            <w:noWrap w:val="0"/>
            <w:vAlign w:val="center"/>
          </w:tcPr>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1678" w:type="dxa"/>
            <w:noWrap w:val="0"/>
            <w:vAlign w:val="center"/>
          </w:tcPr>
          <w:p>
            <w:pPr>
              <w:spacing w:line="4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pH值</w:t>
            </w:r>
          </w:p>
        </w:tc>
        <w:tc>
          <w:tcPr>
            <w:tcW w:w="3099" w:type="dxa"/>
            <w:noWrap w:val="0"/>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GB/T9985-2022/4.2</w:t>
            </w:r>
          </w:p>
        </w:tc>
        <w:tc>
          <w:tcPr>
            <w:tcW w:w="2923" w:type="dxa"/>
            <w:noWrap w:val="0"/>
            <w:vAlign w:val="center"/>
          </w:tcPr>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GB/T6368-2008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trPr>
        <w:tc>
          <w:tcPr>
            <w:tcW w:w="1094" w:type="dxa"/>
            <w:noWrap w:val="0"/>
            <w:vAlign w:val="center"/>
          </w:tcPr>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1678" w:type="dxa"/>
            <w:noWrap w:val="0"/>
            <w:vAlign w:val="center"/>
          </w:tcPr>
          <w:p>
            <w:pPr>
              <w:spacing w:line="4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稳定性</w:t>
            </w:r>
          </w:p>
        </w:tc>
        <w:tc>
          <w:tcPr>
            <w:tcW w:w="3099" w:type="dxa"/>
            <w:noWrap w:val="0"/>
            <w:vAlign w:val="center"/>
          </w:tcPr>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GB/T9985-2022/4.2</w:t>
            </w:r>
          </w:p>
        </w:tc>
        <w:tc>
          <w:tcPr>
            <w:tcW w:w="2923" w:type="dxa"/>
            <w:noWrap w:val="0"/>
            <w:vAlign w:val="center"/>
          </w:tcPr>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GB/T13173-2021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94" w:type="dxa"/>
            <w:noWrap w:val="0"/>
            <w:vAlign w:val="center"/>
          </w:tcPr>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1678" w:type="dxa"/>
            <w:noWrap w:val="0"/>
            <w:vAlign w:val="center"/>
          </w:tcPr>
          <w:p>
            <w:pPr>
              <w:spacing w:line="4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总有效物含量</w:t>
            </w:r>
          </w:p>
        </w:tc>
        <w:tc>
          <w:tcPr>
            <w:tcW w:w="3099" w:type="dxa"/>
            <w:noWrap w:val="0"/>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GB/T9985-2022/4.2</w:t>
            </w:r>
          </w:p>
        </w:tc>
        <w:tc>
          <w:tcPr>
            <w:tcW w:w="2923" w:type="dxa"/>
            <w:noWrap w:val="0"/>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GB/T13173-2021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trPr>
        <w:tc>
          <w:tcPr>
            <w:tcW w:w="1094" w:type="dxa"/>
            <w:noWrap w:val="0"/>
            <w:vAlign w:val="center"/>
          </w:tcPr>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1678" w:type="dxa"/>
            <w:noWrap w:val="0"/>
            <w:vAlign w:val="center"/>
          </w:tcPr>
          <w:p>
            <w:pPr>
              <w:spacing w:line="4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去污力</w:t>
            </w:r>
          </w:p>
        </w:tc>
        <w:tc>
          <w:tcPr>
            <w:tcW w:w="3099" w:type="dxa"/>
            <w:noWrap w:val="0"/>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GB/T9985-2022/4.2</w:t>
            </w:r>
          </w:p>
        </w:tc>
        <w:tc>
          <w:tcPr>
            <w:tcW w:w="2923" w:type="dxa"/>
            <w:noWrap w:val="0"/>
            <w:vAlign w:val="center"/>
          </w:tcPr>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GB/T9985-2022附录A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trPr>
        <w:tc>
          <w:tcPr>
            <w:tcW w:w="1094" w:type="dxa"/>
            <w:noWrap w:val="0"/>
            <w:vAlign w:val="center"/>
          </w:tcPr>
          <w:p>
            <w:pPr>
              <w:spacing w:line="44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w:t>
            </w:r>
          </w:p>
        </w:tc>
        <w:tc>
          <w:tcPr>
            <w:tcW w:w="1678" w:type="dxa"/>
            <w:noWrap w:val="0"/>
            <w:vAlign w:val="center"/>
          </w:tcPr>
          <w:p>
            <w:pPr>
              <w:spacing w:line="4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甲醇含量</w:t>
            </w:r>
          </w:p>
        </w:tc>
        <w:tc>
          <w:tcPr>
            <w:tcW w:w="3099" w:type="dxa"/>
            <w:noWrap w:val="0"/>
            <w:vAlign w:val="center"/>
          </w:tcPr>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GB14930.1-2022/4.2.1</w:t>
            </w:r>
          </w:p>
        </w:tc>
        <w:tc>
          <w:tcPr>
            <w:tcW w:w="2923" w:type="dxa"/>
            <w:noWrap w:val="0"/>
            <w:vAlign w:val="center"/>
          </w:tcPr>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GB/T30795-2014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trPr>
        <w:tc>
          <w:tcPr>
            <w:tcW w:w="1094" w:type="dxa"/>
            <w:noWrap w:val="0"/>
            <w:vAlign w:val="center"/>
          </w:tcPr>
          <w:p>
            <w:pPr>
              <w:spacing w:line="44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w:t>
            </w:r>
          </w:p>
        </w:tc>
        <w:tc>
          <w:tcPr>
            <w:tcW w:w="1678" w:type="dxa"/>
            <w:noWrap w:val="0"/>
            <w:vAlign w:val="center"/>
          </w:tcPr>
          <w:p>
            <w:pPr>
              <w:spacing w:line="4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甲醛含量</w:t>
            </w:r>
          </w:p>
        </w:tc>
        <w:tc>
          <w:tcPr>
            <w:tcW w:w="3099" w:type="dxa"/>
            <w:noWrap w:val="0"/>
            <w:vAlign w:val="center"/>
          </w:tcPr>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GB14930.1-2022/4.2.1</w:t>
            </w:r>
          </w:p>
        </w:tc>
        <w:tc>
          <w:tcPr>
            <w:tcW w:w="2923" w:type="dxa"/>
            <w:noWrap w:val="0"/>
            <w:vAlign w:val="center"/>
          </w:tcPr>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GB/T30796-2014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trPr>
        <w:tc>
          <w:tcPr>
            <w:tcW w:w="1094" w:type="dxa"/>
            <w:noWrap w:val="0"/>
            <w:vAlign w:val="center"/>
          </w:tcPr>
          <w:p>
            <w:pPr>
              <w:spacing w:line="44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9</w:t>
            </w:r>
          </w:p>
        </w:tc>
        <w:tc>
          <w:tcPr>
            <w:tcW w:w="1678" w:type="dxa"/>
            <w:noWrap w:val="0"/>
            <w:vAlign w:val="center"/>
          </w:tcPr>
          <w:p>
            <w:pPr>
              <w:spacing w:line="4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砷</w:t>
            </w:r>
          </w:p>
        </w:tc>
        <w:tc>
          <w:tcPr>
            <w:tcW w:w="3099" w:type="dxa"/>
            <w:noWrap w:val="0"/>
            <w:vAlign w:val="center"/>
          </w:tcPr>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GB14930.1-2022/4.2.1</w:t>
            </w:r>
          </w:p>
        </w:tc>
        <w:tc>
          <w:tcPr>
            <w:tcW w:w="2923" w:type="dxa"/>
            <w:noWrap w:val="0"/>
            <w:vAlign w:val="center"/>
          </w:tcPr>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GB/T30797-2014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trPr>
        <w:tc>
          <w:tcPr>
            <w:tcW w:w="1094" w:type="dxa"/>
            <w:noWrap w:val="0"/>
            <w:vAlign w:val="center"/>
          </w:tcPr>
          <w:p>
            <w:pPr>
              <w:spacing w:line="44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w:t>
            </w:r>
          </w:p>
        </w:tc>
        <w:tc>
          <w:tcPr>
            <w:tcW w:w="1678" w:type="dxa"/>
            <w:noWrap w:val="0"/>
            <w:vAlign w:val="center"/>
          </w:tcPr>
          <w:p>
            <w:pPr>
              <w:spacing w:line="4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重金属</w:t>
            </w:r>
          </w:p>
        </w:tc>
        <w:tc>
          <w:tcPr>
            <w:tcW w:w="3099" w:type="dxa"/>
            <w:noWrap w:val="0"/>
            <w:vAlign w:val="center"/>
          </w:tcPr>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GB14930.1-2022/4.2.1</w:t>
            </w:r>
          </w:p>
        </w:tc>
        <w:tc>
          <w:tcPr>
            <w:tcW w:w="2923" w:type="dxa"/>
            <w:noWrap w:val="0"/>
            <w:vAlign w:val="center"/>
          </w:tcPr>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GB/T30799-2014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trPr>
        <w:tc>
          <w:tcPr>
            <w:tcW w:w="1094" w:type="dxa"/>
            <w:noWrap w:val="0"/>
            <w:vAlign w:val="center"/>
          </w:tcPr>
          <w:p>
            <w:pPr>
              <w:spacing w:line="44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w:t>
            </w:r>
          </w:p>
        </w:tc>
        <w:tc>
          <w:tcPr>
            <w:tcW w:w="1678" w:type="dxa"/>
            <w:noWrap w:val="0"/>
            <w:vAlign w:val="center"/>
          </w:tcPr>
          <w:p>
            <w:pPr>
              <w:spacing w:line="4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菌落总数</w:t>
            </w:r>
          </w:p>
        </w:tc>
        <w:tc>
          <w:tcPr>
            <w:tcW w:w="3099" w:type="dxa"/>
            <w:noWrap w:val="0"/>
            <w:vAlign w:val="center"/>
          </w:tcPr>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GB14930.1-2022/4.2.2</w:t>
            </w:r>
          </w:p>
        </w:tc>
        <w:tc>
          <w:tcPr>
            <w:tcW w:w="2923" w:type="dxa"/>
            <w:noWrap w:val="0"/>
            <w:vAlign w:val="center"/>
          </w:tcPr>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4789.2-2022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trPr>
        <w:tc>
          <w:tcPr>
            <w:tcW w:w="1094" w:type="dxa"/>
            <w:noWrap w:val="0"/>
            <w:vAlign w:val="center"/>
          </w:tcPr>
          <w:p>
            <w:pPr>
              <w:spacing w:line="44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w:t>
            </w:r>
          </w:p>
        </w:tc>
        <w:tc>
          <w:tcPr>
            <w:tcW w:w="1678" w:type="dxa"/>
            <w:noWrap w:val="0"/>
            <w:vAlign w:val="center"/>
          </w:tcPr>
          <w:p>
            <w:pPr>
              <w:spacing w:line="4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大肠菌群</w:t>
            </w:r>
          </w:p>
        </w:tc>
        <w:tc>
          <w:tcPr>
            <w:tcW w:w="3099" w:type="dxa"/>
            <w:noWrap w:val="0"/>
            <w:vAlign w:val="center"/>
          </w:tcPr>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GB14930.1-2022/4.2.2</w:t>
            </w:r>
          </w:p>
        </w:tc>
        <w:tc>
          <w:tcPr>
            <w:tcW w:w="2923" w:type="dxa"/>
            <w:noWrap w:val="0"/>
            <w:vAlign w:val="center"/>
          </w:tcPr>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4789.3-2016</w:t>
            </w:r>
          </w:p>
        </w:tc>
      </w:tr>
    </w:tbl>
    <w:p>
      <w:pPr>
        <w:spacing w:before="156" w:beforeLines="50" w:after="156" w:afterLines="50" w:line="56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洗涤剂检验项目见表</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p>
    <w:p>
      <w:pPr>
        <w:spacing w:before="156" w:beforeLines="50" w:after="156" w:afterLines="50" w:line="560" w:lineRule="exact"/>
        <w:rPr>
          <w:rFonts w:hint="eastAsia" w:ascii="仿宋_GB2312" w:hAnsi="仿宋_GB2312" w:eastAsia="仿宋_GB2312" w:cs="仿宋_GB2312"/>
          <w:sz w:val="32"/>
          <w:szCs w:val="32"/>
          <w:lang w:eastAsia="zh-CN"/>
        </w:rPr>
      </w:pPr>
    </w:p>
    <w:p>
      <w:pPr>
        <w:spacing w:before="156" w:beforeLines="50" w:after="156" w:afterLines="50" w:line="560" w:lineRule="exact"/>
        <w:rPr>
          <w:rFonts w:hint="eastAsia" w:ascii="仿宋_GB2312" w:hAnsi="仿宋_GB2312" w:eastAsia="仿宋_GB2312" w:cs="仿宋_GB2312"/>
          <w:sz w:val="32"/>
          <w:szCs w:val="32"/>
          <w:lang w:eastAsia="zh-CN"/>
        </w:rPr>
      </w:pPr>
    </w:p>
    <w:p>
      <w:pPr>
        <w:spacing w:before="156" w:beforeLines="50" w:after="156" w:afterLines="50" w:line="560" w:lineRule="exact"/>
        <w:ind w:firstLine="2810" w:firstLineChars="10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表</w:t>
      </w:r>
      <w:r>
        <w:rPr>
          <w:rFonts w:hint="eastAsia" w:ascii="仿宋_GB2312" w:hAnsi="仿宋_GB2312" w:eastAsia="仿宋_GB2312" w:cs="仿宋_GB2312"/>
          <w:b/>
          <w:sz w:val="28"/>
          <w:szCs w:val="28"/>
          <w:lang w:val="en-US" w:eastAsia="zh-CN"/>
        </w:rPr>
        <w:t>4</w:t>
      </w:r>
      <w:r>
        <w:rPr>
          <w:rFonts w:hint="eastAsia" w:ascii="仿宋_GB2312" w:hAnsi="仿宋_GB2312" w:eastAsia="仿宋_GB2312" w:cs="仿宋_GB2312"/>
          <w:b/>
          <w:sz w:val="28"/>
          <w:szCs w:val="28"/>
        </w:rPr>
        <w:t xml:space="preserve"> 洗涤剂检验项目</w:t>
      </w:r>
    </w:p>
    <w:tbl>
      <w:tblPr>
        <w:tblStyle w:val="2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1668"/>
        <w:gridCol w:w="3126"/>
        <w:gridCol w:w="3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tblHeader/>
        </w:trPr>
        <w:tc>
          <w:tcPr>
            <w:tcW w:w="966" w:type="dxa"/>
            <w:vMerge w:val="restart"/>
            <w:noWrap w:val="0"/>
            <w:vAlign w:val="center"/>
          </w:tcPr>
          <w:p>
            <w:pPr>
              <w:spacing w:before="156" w:beforeLines="50" w:after="156" w:afterLines="50" w:line="560" w:lineRule="exac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序号</w:t>
            </w:r>
          </w:p>
        </w:tc>
        <w:tc>
          <w:tcPr>
            <w:tcW w:w="1668" w:type="dxa"/>
            <w:vMerge w:val="restart"/>
            <w:noWrap w:val="0"/>
            <w:vAlign w:val="center"/>
          </w:tcPr>
          <w:p>
            <w:pPr>
              <w:spacing w:before="156" w:beforeLines="50" w:after="156" w:afterLines="50" w:line="560" w:lineRule="exact"/>
              <w:ind w:firstLine="281" w:firstLineChars="100"/>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检验项目</w:t>
            </w:r>
          </w:p>
        </w:tc>
        <w:tc>
          <w:tcPr>
            <w:tcW w:w="3126" w:type="dxa"/>
            <w:vMerge w:val="restart"/>
            <w:noWrap w:val="0"/>
            <w:vAlign w:val="center"/>
          </w:tcPr>
          <w:p>
            <w:pPr>
              <w:spacing w:before="156" w:beforeLines="50" w:after="156" w:afterLines="50" w:line="560" w:lineRule="exact"/>
              <w:ind w:firstLine="281" w:firstLineChars="100"/>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依据法律法规或标准</w:t>
            </w:r>
          </w:p>
        </w:tc>
        <w:tc>
          <w:tcPr>
            <w:tcW w:w="3044" w:type="dxa"/>
            <w:vMerge w:val="restart"/>
            <w:noWrap w:val="0"/>
            <w:vAlign w:val="center"/>
          </w:tcPr>
          <w:p>
            <w:pPr>
              <w:spacing w:before="156" w:beforeLines="50" w:after="156" w:afterLines="50" w:line="560" w:lineRule="exact"/>
              <w:ind w:firstLine="281" w:firstLineChars="100"/>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blHeader/>
        </w:trPr>
        <w:tc>
          <w:tcPr>
            <w:tcW w:w="966" w:type="dxa"/>
            <w:vMerge w:val="continue"/>
            <w:noWrap w:val="0"/>
            <w:vAlign w:val="center"/>
          </w:tcPr>
          <w:p>
            <w:pPr>
              <w:snapToGrid w:val="0"/>
              <w:spacing w:line="440" w:lineRule="exact"/>
              <w:jc w:val="center"/>
              <w:rPr>
                <w:rFonts w:hint="eastAsia" w:ascii="宋体" w:hAnsi="宋体"/>
                <w:sz w:val="18"/>
                <w:szCs w:val="18"/>
              </w:rPr>
            </w:pPr>
          </w:p>
        </w:tc>
        <w:tc>
          <w:tcPr>
            <w:tcW w:w="1668" w:type="dxa"/>
            <w:vMerge w:val="continue"/>
            <w:noWrap w:val="0"/>
            <w:vAlign w:val="center"/>
          </w:tcPr>
          <w:p>
            <w:pPr>
              <w:snapToGrid w:val="0"/>
              <w:spacing w:line="440" w:lineRule="exact"/>
              <w:jc w:val="center"/>
              <w:rPr>
                <w:rFonts w:hint="eastAsia" w:ascii="宋体" w:hAnsi="宋体"/>
                <w:sz w:val="18"/>
                <w:szCs w:val="18"/>
              </w:rPr>
            </w:pPr>
          </w:p>
        </w:tc>
        <w:tc>
          <w:tcPr>
            <w:tcW w:w="3126" w:type="dxa"/>
            <w:vMerge w:val="continue"/>
            <w:noWrap w:val="0"/>
            <w:vAlign w:val="center"/>
          </w:tcPr>
          <w:p>
            <w:pPr>
              <w:snapToGrid w:val="0"/>
              <w:spacing w:line="440" w:lineRule="exact"/>
              <w:jc w:val="center"/>
              <w:rPr>
                <w:rFonts w:hint="eastAsia" w:ascii="宋体" w:hAnsi="宋体"/>
                <w:sz w:val="18"/>
                <w:szCs w:val="18"/>
              </w:rPr>
            </w:pPr>
          </w:p>
        </w:tc>
        <w:tc>
          <w:tcPr>
            <w:tcW w:w="3044" w:type="dxa"/>
            <w:vMerge w:val="continue"/>
            <w:noWrap w:val="0"/>
            <w:vAlign w:val="center"/>
          </w:tcPr>
          <w:p>
            <w:pPr>
              <w:snapToGrid w:val="0"/>
              <w:spacing w:line="440" w:lineRule="exact"/>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6" w:type="dxa"/>
            <w:noWrap w:val="0"/>
            <w:vAlign w:val="center"/>
          </w:tcPr>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668" w:type="dxa"/>
            <w:noWrap w:val="0"/>
            <w:vAlign w:val="center"/>
          </w:tcPr>
          <w:p>
            <w:pPr>
              <w:spacing w:line="4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甲醇含量</w:t>
            </w:r>
          </w:p>
        </w:tc>
        <w:tc>
          <w:tcPr>
            <w:tcW w:w="3126" w:type="dxa"/>
            <w:noWrap w:val="0"/>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GB14930.1-2022/4.2.1</w:t>
            </w:r>
          </w:p>
        </w:tc>
        <w:tc>
          <w:tcPr>
            <w:tcW w:w="3044" w:type="dxa"/>
            <w:noWrap w:val="0"/>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GB/T30795-2014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6" w:type="dxa"/>
            <w:noWrap w:val="0"/>
            <w:vAlign w:val="center"/>
          </w:tcPr>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668" w:type="dxa"/>
            <w:noWrap w:val="0"/>
            <w:vAlign w:val="center"/>
          </w:tcPr>
          <w:p>
            <w:pPr>
              <w:spacing w:line="4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甲醛含量</w:t>
            </w:r>
          </w:p>
        </w:tc>
        <w:tc>
          <w:tcPr>
            <w:tcW w:w="3126" w:type="dxa"/>
            <w:noWrap w:val="0"/>
            <w:vAlign w:val="center"/>
          </w:tcPr>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GB14930.1-2022/4.2.1</w:t>
            </w:r>
          </w:p>
        </w:tc>
        <w:tc>
          <w:tcPr>
            <w:tcW w:w="3044" w:type="dxa"/>
            <w:noWrap w:val="0"/>
            <w:vAlign w:val="center"/>
          </w:tcPr>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GB/T30796-2014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6" w:type="dxa"/>
            <w:noWrap w:val="0"/>
            <w:vAlign w:val="center"/>
          </w:tcPr>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1668" w:type="dxa"/>
            <w:noWrap w:val="0"/>
            <w:vAlign w:val="center"/>
          </w:tcPr>
          <w:p>
            <w:pPr>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砷</w:t>
            </w:r>
          </w:p>
        </w:tc>
        <w:tc>
          <w:tcPr>
            <w:tcW w:w="3126" w:type="dxa"/>
            <w:noWrap w:val="0"/>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GB14930.1-2022/4.2.1</w:t>
            </w:r>
          </w:p>
        </w:tc>
        <w:tc>
          <w:tcPr>
            <w:tcW w:w="3044" w:type="dxa"/>
            <w:noWrap w:val="0"/>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GB/T30797-2014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6" w:type="dxa"/>
            <w:noWrap w:val="0"/>
            <w:vAlign w:val="center"/>
          </w:tcPr>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1668" w:type="dxa"/>
            <w:noWrap w:val="0"/>
            <w:vAlign w:val="center"/>
          </w:tcPr>
          <w:p>
            <w:pPr>
              <w:spacing w:line="4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重金属</w:t>
            </w:r>
          </w:p>
        </w:tc>
        <w:tc>
          <w:tcPr>
            <w:tcW w:w="3126" w:type="dxa"/>
            <w:noWrap w:val="0"/>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GB14930.1-2022/4.2.1</w:t>
            </w:r>
          </w:p>
        </w:tc>
        <w:tc>
          <w:tcPr>
            <w:tcW w:w="3044" w:type="dxa"/>
            <w:noWrap w:val="0"/>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GB/T30799-2014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6" w:type="dxa"/>
            <w:noWrap w:val="0"/>
            <w:vAlign w:val="center"/>
          </w:tcPr>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1668" w:type="dxa"/>
            <w:noWrap w:val="0"/>
            <w:vAlign w:val="center"/>
          </w:tcPr>
          <w:p>
            <w:pPr>
              <w:spacing w:line="4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菌落总数</w:t>
            </w:r>
          </w:p>
        </w:tc>
        <w:tc>
          <w:tcPr>
            <w:tcW w:w="3126" w:type="dxa"/>
            <w:noWrap w:val="0"/>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GB14930.1-2022/4.2.2</w:t>
            </w:r>
          </w:p>
        </w:tc>
        <w:tc>
          <w:tcPr>
            <w:tcW w:w="3044" w:type="dxa"/>
            <w:noWrap w:val="0"/>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GB 4789.2-2022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6" w:type="dxa"/>
            <w:noWrap w:val="0"/>
            <w:vAlign w:val="center"/>
          </w:tcPr>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1668" w:type="dxa"/>
            <w:noWrap w:val="0"/>
            <w:vAlign w:val="center"/>
          </w:tcPr>
          <w:p>
            <w:pPr>
              <w:spacing w:line="4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大肠菌群</w:t>
            </w:r>
          </w:p>
        </w:tc>
        <w:tc>
          <w:tcPr>
            <w:tcW w:w="3126" w:type="dxa"/>
            <w:noWrap w:val="0"/>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GB14930.1-2022/4.2.2</w:t>
            </w:r>
          </w:p>
        </w:tc>
        <w:tc>
          <w:tcPr>
            <w:tcW w:w="3044" w:type="dxa"/>
            <w:noWrap w:val="0"/>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GB 4789.3-2016</w:t>
            </w:r>
          </w:p>
        </w:tc>
      </w:tr>
    </w:tbl>
    <w:p>
      <w:pPr>
        <w:spacing w:line="56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执行企业标准、团体标准、地方标准的产品，检验项目参照上述内容执行。</w:t>
      </w:r>
    </w:p>
    <w:p>
      <w:pPr>
        <w:spacing w:line="560" w:lineRule="exact"/>
        <w:rPr>
          <w:rFonts w:ascii="仿宋_GB2312" w:eastAsia="仿宋_GB2312"/>
          <w:kern w:val="0"/>
          <w:sz w:val="32"/>
          <w:szCs w:val="32"/>
        </w:rPr>
      </w:pPr>
      <w:r>
        <w:rPr>
          <w:rFonts w:hint="eastAsia" w:ascii="宋体" w:hAnsi="宋体" w:cs="仿宋_GB2312"/>
          <w:b/>
          <w:bCs/>
          <w:color w:val="000000"/>
          <w:sz w:val="32"/>
          <w:szCs w:val="32"/>
        </w:rPr>
        <w:t>3 判定规则</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经检验，检验项目全部合格，判定为被抽查产品合格；检验项目中任一项或一项以上不合格，判定为被抽查产品不合格。</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若被检产品明示的质量要求高于本细则中检验项目依据的标准要求时，应按被检产品明示的质量要求判定。</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若被检产品明示的质量要求低于本细则中检验项目依据的强制性标准要求时，应按照强制性标准要求判定。</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若被检产品明示的质量要求低于或包含本细则中检验项目依据的推荐性标准要求时，应以被检产品明示的质量要求判定。</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若被检产品明示的质量要求缺少本细则中检验项目依据的强制性标准要求时，应按照强制性标准要求判定。</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若被检产品明示的质量要求缺少本细则中检验项目依据的推荐性标准要求时，该项目不参与判定。</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参照GB4789.1-2016《食品安全国家标准 食品微生物学检验 总则》第7.3条“检验结果报告后，剩余样品和同批产品不进行微生物项目的复检”和卫健委“卫监督发[2005]515号”《健康相关产品国家卫生监督抽检规定》第十九条“产品微生物指标超标的不予复检”的规定，微生物项目不合格不复检。</w:t>
      </w:r>
    </w:p>
    <w:sectPr>
      <w:headerReference r:id="rId3" w:type="default"/>
      <w:footerReference r:id="rId4" w:type="default"/>
      <w:pgSz w:w="11906" w:h="16838"/>
      <w:pgMar w:top="1440" w:right="1474" w:bottom="1440" w:left="1588"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Arial"/>
    <w:panose1 w:val="020F0502020204030204"/>
    <w:charset w:val="00"/>
    <w:family w:val="swiss"/>
    <w:pitch w:val="default"/>
    <w:sig w:usb0="00000000" w:usb1="00000000" w:usb2="00000001" w:usb3="00000000" w:csb0="0000019F" w:csb1="00000000"/>
  </w:font>
  <w:font w:name="Verdana">
    <w:altName w:val="DejaVu Sans"/>
    <w:panose1 w:val="020B0604030504040204"/>
    <w:charset w:val="00"/>
    <w:family w:val="swiss"/>
    <w:pitch w:val="default"/>
    <w:sig w:usb0="00000000" w:usb1="00000000" w:usb2="00000010" w:usb3="00000000" w:csb0="2000019F" w:csb1="00000000"/>
  </w:font>
  <w:font w:name="汉鼎简书宋二">
    <w:altName w:val="方正书宋_GBK"/>
    <w:panose1 w:val="00000000000000000000"/>
    <w:charset w:val="86"/>
    <w:family w:val="decorative"/>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hint="eastAsia" w:ascii="宋体" w:hAnsi="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jc w:val="right"/>
                          </w:pPr>
                          <w:r>
                            <w:rPr>
                              <w:rFonts w:ascii="宋体"/>
                            </w:rPr>
                            <w:fldChar w:fldCharType="begin"/>
                          </w:r>
                          <w:r>
                            <w:rPr>
                              <w:rStyle w:val="29"/>
                              <w:rFonts w:ascii="宋体" w:eastAsia="宋体"/>
                            </w:rPr>
                            <w:instrText xml:space="preserve"> PAGE </w:instrText>
                          </w:r>
                          <w:r>
                            <w:rPr>
                              <w:rFonts w:ascii="宋体"/>
                            </w:rPr>
                            <w:fldChar w:fldCharType="separate"/>
                          </w:r>
                          <w:r>
                            <w:rPr>
                              <w:rStyle w:val="29"/>
                              <w:rFonts w:ascii="宋体" w:eastAsia="宋体"/>
                            </w:rPr>
                            <w:t>3</w:t>
                          </w:r>
                          <w:r>
                            <w:rPr>
                              <w:rFonts w:ascii="宋体"/>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15"/>
                      <w:jc w:val="right"/>
                    </w:pPr>
                    <w:r>
                      <w:rPr>
                        <w:rFonts w:ascii="宋体"/>
                      </w:rPr>
                      <w:fldChar w:fldCharType="begin"/>
                    </w:r>
                    <w:r>
                      <w:rPr>
                        <w:rStyle w:val="29"/>
                        <w:rFonts w:ascii="宋体" w:eastAsia="宋体"/>
                      </w:rPr>
                      <w:instrText xml:space="preserve"> PAGE </w:instrText>
                    </w:r>
                    <w:r>
                      <w:rPr>
                        <w:rFonts w:ascii="宋体"/>
                      </w:rPr>
                      <w:fldChar w:fldCharType="separate"/>
                    </w:r>
                    <w:r>
                      <w:rPr>
                        <w:rStyle w:val="29"/>
                        <w:rFonts w:ascii="宋体" w:eastAsia="宋体"/>
                      </w:rPr>
                      <w:t>3</w:t>
                    </w:r>
                    <w:r>
                      <w:rPr>
                        <w:rFonts w:ascii="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tabs>
        <w:tab w:val="clear" w:pos="8306"/>
      </w:tabs>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990649"/>
    <w:multiLevelType w:val="multilevel"/>
    <w:tmpl w:val="38990649"/>
    <w:lvl w:ilvl="0" w:tentative="0">
      <w:start w:val="1"/>
      <w:numFmt w:val="lowerLetter"/>
      <w:pStyle w:val="58"/>
      <w:lvlText w:val="%1、"/>
      <w:lvlJc w:val="left"/>
      <w:pPr>
        <w:tabs>
          <w:tab w:val="left" w:pos="360"/>
        </w:tabs>
        <w:ind w:left="360" w:hanging="360"/>
      </w:pPr>
      <w:rPr>
        <w:rFonts w:ascii="宋体" w:hAnsi="宋体" w:eastAsia="宋体" w:cs="Times New Roman"/>
      </w:rPr>
    </w:lvl>
    <w:lvl w:ilvl="1" w:tentative="0">
      <w:start w:val="1"/>
      <w:numFmt w:val="lowerLetter"/>
      <w:pStyle w:val="50"/>
      <w:lvlText w:val="%2)"/>
      <w:lvlJc w:val="left"/>
      <w:pPr>
        <w:tabs>
          <w:tab w:val="left" w:pos="840"/>
        </w:tabs>
        <w:ind w:left="840" w:hanging="420"/>
      </w:pPr>
    </w:lvl>
    <w:lvl w:ilvl="2" w:tentative="0">
      <w:start w:val="1"/>
      <w:numFmt w:val="lowerRoman"/>
      <w:pStyle w:val="57"/>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3311A4C"/>
    <w:multiLevelType w:val="multilevel"/>
    <w:tmpl w:val="63311A4C"/>
    <w:lvl w:ilvl="0" w:tentative="0">
      <w:start w:val="3"/>
      <w:numFmt w:val="decimal"/>
      <w:lvlText w:val="%1"/>
      <w:lvlJc w:val="left"/>
      <w:pPr>
        <w:tabs>
          <w:tab w:val="left" w:pos="600"/>
        </w:tabs>
        <w:ind w:left="600" w:hanging="600"/>
      </w:pPr>
      <w:rPr>
        <w:rFonts w:hint="eastAsia"/>
      </w:rPr>
    </w:lvl>
    <w:lvl w:ilvl="1" w:tentative="0">
      <w:start w:val="2"/>
      <w:numFmt w:val="decimal"/>
      <w:lvlText w:val="%1.%2"/>
      <w:lvlJc w:val="left"/>
      <w:pPr>
        <w:tabs>
          <w:tab w:val="left" w:pos="600"/>
        </w:tabs>
        <w:ind w:left="600" w:hanging="600"/>
      </w:pPr>
      <w:rPr>
        <w:rFonts w:hint="eastAsia"/>
      </w:rPr>
    </w:lvl>
    <w:lvl w:ilvl="2" w:tentative="0">
      <w:start w:val="2"/>
      <w:numFmt w:val="decimal"/>
      <w:lvlText w:val="%1.%2.%3"/>
      <w:lvlJc w:val="left"/>
      <w:pPr>
        <w:tabs>
          <w:tab w:val="left" w:pos="720"/>
        </w:tabs>
        <w:ind w:left="720" w:hanging="720"/>
      </w:pPr>
      <w:rPr>
        <w:rFonts w:hint="eastAsia"/>
      </w:rPr>
    </w:lvl>
    <w:lvl w:ilvl="3" w:tentative="0">
      <w:start w:val="1"/>
      <w:numFmt w:val="decimal"/>
      <w:pStyle w:val="47"/>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800"/>
        </w:tabs>
        <w:ind w:left="1800" w:hanging="180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2160"/>
        </w:tabs>
        <w:ind w:left="2160" w:hanging="216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hM2U2MzY3ZTJhNzRmZDIxODgwNWJjZmQ0N2Y5YzQifQ=="/>
  </w:docVars>
  <w:rsids>
    <w:rsidRoot w:val="00AF16B3"/>
    <w:rsid w:val="00002256"/>
    <w:rsid w:val="00012827"/>
    <w:rsid w:val="000248BB"/>
    <w:rsid w:val="00034239"/>
    <w:rsid w:val="0004143D"/>
    <w:rsid w:val="00047871"/>
    <w:rsid w:val="00052044"/>
    <w:rsid w:val="00052F88"/>
    <w:rsid w:val="0006016D"/>
    <w:rsid w:val="00060D77"/>
    <w:rsid w:val="00061BF8"/>
    <w:rsid w:val="00093A65"/>
    <w:rsid w:val="00093FB0"/>
    <w:rsid w:val="000A394C"/>
    <w:rsid w:val="000B331F"/>
    <w:rsid w:val="000B541C"/>
    <w:rsid w:val="000C0161"/>
    <w:rsid w:val="000D43D0"/>
    <w:rsid w:val="000F2EE3"/>
    <w:rsid w:val="001072A4"/>
    <w:rsid w:val="00107DC0"/>
    <w:rsid w:val="00112D4A"/>
    <w:rsid w:val="0011437A"/>
    <w:rsid w:val="00125BC9"/>
    <w:rsid w:val="00127D7D"/>
    <w:rsid w:val="00146F86"/>
    <w:rsid w:val="0015193D"/>
    <w:rsid w:val="00157E3B"/>
    <w:rsid w:val="00167CE8"/>
    <w:rsid w:val="001740D8"/>
    <w:rsid w:val="00181A7C"/>
    <w:rsid w:val="00187FC5"/>
    <w:rsid w:val="001B0F4C"/>
    <w:rsid w:val="001B2B3B"/>
    <w:rsid w:val="001C3906"/>
    <w:rsid w:val="001C4DC6"/>
    <w:rsid w:val="001D76CE"/>
    <w:rsid w:val="001D79ED"/>
    <w:rsid w:val="002052DE"/>
    <w:rsid w:val="0021057A"/>
    <w:rsid w:val="002143EA"/>
    <w:rsid w:val="00234E43"/>
    <w:rsid w:val="002518E0"/>
    <w:rsid w:val="002547D9"/>
    <w:rsid w:val="00266385"/>
    <w:rsid w:val="00273337"/>
    <w:rsid w:val="00276E9B"/>
    <w:rsid w:val="00287BC1"/>
    <w:rsid w:val="00287C48"/>
    <w:rsid w:val="002907DE"/>
    <w:rsid w:val="002B509F"/>
    <w:rsid w:val="002C3AC1"/>
    <w:rsid w:val="002E17E2"/>
    <w:rsid w:val="002E4E47"/>
    <w:rsid w:val="002F3407"/>
    <w:rsid w:val="003117AB"/>
    <w:rsid w:val="0031750A"/>
    <w:rsid w:val="00326B5F"/>
    <w:rsid w:val="003343AF"/>
    <w:rsid w:val="00343A85"/>
    <w:rsid w:val="00351BAB"/>
    <w:rsid w:val="00352996"/>
    <w:rsid w:val="0035315B"/>
    <w:rsid w:val="00377F16"/>
    <w:rsid w:val="00383694"/>
    <w:rsid w:val="00391D35"/>
    <w:rsid w:val="00396015"/>
    <w:rsid w:val="003C28E5"/>
    <w:rsid w:val="003C43FE"/>
    <w:rsid w:val="003C4BC0"/>
    <w:rsid w:val="003E1A2D"/>
    <w:rsid w:val="00405C3B"/>
    <w:rsid w:val="00423033"/>
    <w:rsid w:val="004344B0"/>
    <w:rsid w:val="00493A6D"/>
    <w:rsid w:val="004A70A2"/>
    <w:rsid w:val="004B5B6C"/>
    <w:rsid w:val="004D1BC9"/>
    <w:rsid w:val="004D25C8"/>
    <w:rsid w:val="004E2D8F"/>
    <w:rsid w:val="004E4F81"/>
    <w:rsid w:val="004E61AB"/>
    <w:rsid w:val="00500C04"/>
    <w:rsid w:val="00502373"/>
    <w:rsid w:val="005155AB"/>
    <w:rsid w:val="00527BEC"/>
    <w:rsid w:val="00536E8D"/>
    <w:rsid w:val="00567299"/>
    <w:rsid w:val="00587310"/>
    <w:rsid w:val="00592BCC"/>
    <w:rsid w:val="00592FAF"/>
    <w:rsid w:val="00593B64"/>
    <w:rsid w:val="005B6188"/>
    <w:rsid w:val="005F0AC0"/>
    <w:rsid w:val="00612FEB"/>
    <w:rsid w:val="00665E1B"/>
    <w:rsid w:val="00671E17"/>
    <w:rsid w:val="006757CC"/>
    <w:rsid w:val="006762D2"/>
    <w:rsid w:val="006814C0"/>
    <w:rsid w:val="00682B87"/>
    <w:rsid w:val="006A75EE"/>
    <w:rsid w:val="006C1B9C"/>
    <w:rsid w:val="006C3B56"/>
    <w:rsid w:val="006C6F72"/>
    <w:rsid w:val="006D23FF"/>
    <w:rsid w:val="006E0137"/>
    <w:rsid w:val="006E7988"/>
    <w:rsid w:val="00747003"/>
    <w:rsid w:val="00752438"/>
    <w:rsid w:val="00757180"/>
    <w:rsid w:val="00765315"/>
    <w:rsid w:val="0076663B"/>
    <w:rsid w:val="00794875"/>
    <w:rsid w:val="007A7CDA"/>
    <w:rsid w:val="007B7711"/>
    <w:rsid w:val="007C2155"/>
    <w:rsid w:val="007C71BD"/>
    <w:rsid w:val="007D43DC"/>
    <w:rsid w:val="007D7CFC"/>
    <w:rsid w:val="007D7EB1"/>
    <w:rsid w:val="007F394D"/>
    <w:rsid w:val="00840164"/>
    <w:rsid w:val="00866058"/>
    <w:rsid w:val="008706F8"/>
    <w:rsid w:val="00876A50"/>
    <w:rsid w:val="00891C25"/>
    <w:rsid w:val="00893D98"/>
    <w:rsid w:val="008C1A0E"/>
    <w:rsid w:val="008C62CE"/>
    <w:rsid w:val="008D7F2A"/>
    <w:rsid w:val="008E0342"/>
    <w:rsid w:val="008E1405"/>
    <w:rsid w:val="008E6E7A"/>
    <w:rsid w:val="008F3297"/>
    <w:rsid w:val="008F4EFE"/>
    <w:rsid w:val="00901ED2"/>
    <w:rsid w:val="00903925"/>
    <w:rsid w:val="00911632"/>
    <w:rsid w:val="009149D2"/>
    <w:rsid w:val="009218E2"/>
    <w:rsid w:val="00924485"/>
    <w:rsid w:val="00931EA8"/>
    <w:rsid w:val="00942655"/>
    <w:rsid w:val="00945A51"/>
    <w:rsid w:val="00976C16"/>
    <w:rsid w:val="009A6095"/>
    <w:rsid w:val="009A683A"/>
    <w:rsid w:val="009B1FD6"/>
    <w:rsid w:val="009B2EB8"/>
    <w:rsid w:val="009B4D15"/>
    <w:rsid w:val="009C368E"/>
    <w:rsid w:val="009C49F0"/>
    <w:rsid w:val="009D1B43"/>
    <w:rsid w:val="009D56EF"/>
    <w:rsid w:val="009E50B5"/>
    <w:rsid w:val="009F0D2A"/>
    <w:rsid w:val="009F3A7F"/>
    <w:rsid w:val="00A207C4"/>
    <w:rsid w:val="00A249D8"/>
    <w:rsid w:val="00A503F3"/>
    <w:rsid w:val="00A950D9"/>
    <w:rsid w:val="00AB2441"/>
    <w:rsid w:val="00AC5F28"/>
    <w:rsid w:val="00AD049F"/>
    <w:rsid w:val="00AD252F"/>
    <w:rsid w:val="00AE33A1"/>
    <w:rsid w:val="00AF16B3"/>
    <w:rsid w:val="00B00BB5"/>
    <w:rsid w:val="00B51CFC"/>
    <w:rsid w:val="00B7200E"/>
    <w:rsid w:val="00B91FC1"/>
    <w:rsid w:val="00BA0E6B"/>
    <w:rsid w:val="00BA4018"/>
    <w:rsid w:val="00BA4E1D"/>
    <w:rsid w:val="00BA6AE3"/>
    <w:rsid w:val="00BC30BA"/>
    <w:rsid w:val="00BD5F71"/>
    <w:rsid w:val="00BD63E9"/>
    <w:rsid w:val="00BD7F54"/>
    <w:rsid w:val="00BE0A7B"/>
    <w:rsid w:val="00BF110C"/>
    <w:rsid w:val="00C04AD1"/>
    <w:rsid w:val="00C11AE3"/>
    <w:rsid w:val="00C26025"/>
    <w:rsid w:val="00C3043D"/>
    <w:rsid w:val="00C376F5"/>
    <w:rsid w:val="00C40EC8"/>
    <w:rsid w:val="00C42A35"/>
    <w:rsid w:val="00C57A83"/>
    <w:rsid w:val="00C60EB5"/>
    <w:rsid w:val="00C63868"/>
    <w:rsid w:val="00C86289"/>
    <w:rsid w:val="00C9757C"/>
    <w:rsid w:val="00CC172B"/>
    <w:rsid w:val="00CC6A5D"/>
    <w:rsid w:val="00CD3F06"/>
    <w:rsid w:val="00CD6808"/>
    <w:rsid w:val="00CE2C8D"/>
    <w:rsid w:val="00CF3E45"/>
    <w:rsid w:val="00D15AA7"/>
    <w:rsid w:val="00D348C6"/>
    <w:rsid w:val="00D35599"/>
    <w:rsid w:val="00D35B9E"/>
    <w:rsid w:val="00D47B21"/>
    <w:rsid w:val="00D6075A"/>
    <w:rsid w:val="00D91EFA"/>
    <w:rsid w:val="00DA57DD"/>
    <w:rsid w:val="00DB0B09"/>
    <w:rsid w:val="00DB4A92"/>
    <w:rsid w:val="00DC41A2"/>
    <w:rsid w:val="00DE13F8"/>
    <w:rsid w:val="00DE6148"/>
    <w:rsid w:val="00DF5D34"/>
    <w:rsid w:val="00E0420D"/>
    <w:rsid w:val="00E40443"/>
    <w:rsid w:val="00E60AC8"/>
    <w:rsid w:val="00E6646B"/>
    <w:rsid w:val="00E6708B"/>
    <w:rsid w:val="00E71827"/>
    <w:rsid w:val="00E80B1E"/>
    <w:rsid w:val="00E82436"/>
    <w:rsid w:val="00E9283C"/>
    <w:rsid w:val="00E95363"/>
    <w:rsid w:val="00EA0301"/>
    <w:rsid w:val="00EA1FF0"/>
    <w:rsid w:val="00EB04A4"/>
    <w:rsid w:val="00EC0FF8"/>
    <w:rsid w:val="00EC6178"/>
    <w:rsid w:val="00ED6225"/>
    <w:rsid w:val="00EF2F68"/>
    <w:rsid w:val="00F10AE2"/>
    <w:rsid w:val="00F12A1A"/>
    <w:rsid w:val="00F2035A"/>
    <w:rsid w:val="00F20BD1"/>
    <w:rsid w:val="00F3533C"/>
    <w:rsid w:val="00F37BCD"/>
    <w:rsid w:val="00F4133A"/>
    <w:rsid w:val="00F60797"/>
    <w:rsid w:val="00F60952"/>
    <w:rsid w:val="00F60EC0"/>
    <w:rsid w:val="00F62C6F"/>
    <w:rsid w:val="00F67DED"/>
    <w:rsid w:val="00F7013A"/>
    <w:rsid w:val="00F707EF"/>
    <w:rsid w:val="00F845D2"/>
    <w:rsid w:val="00F95BB0"/>
    <w:rsid w:val="00FA156B"/>
    <w:rsid w:val="00FE1946"/>
    <w:rsid w:val="00FF00F9"/>
    <w:rsid w:val="00FF037A"/>
    <w:rsid w:val="00FF4284"/>
    <w:rsid w:val="00FF5840"/>
    <w:rsid w:val="01804103"/>
    <w:rsid w:val="03B768AA"/>
    <w:rsid w:val="04D9363C"/>
    <w:rsid w:val="059A3C03"/>
    <w:rsid w:val="0C55041C"/>
    <w:rsid w:val="0DD67EF5"/>
    <w:rsid w:val="0E0E2D9C"/>
    <w:rsid w:val="0E683235"/>
    <w:rsid w:val="0FD02324"/>
    <w:rsid w:val="10453EF5"/>
    <w:rsid w:val="105B28A2"/>
    <w:rsid w:val="140E6D8E"/>
    <w:rsid w:val="151A1453"/>
    <w:rsid w:val="152D3501"/>
    <w:rsid w:val="158A61BA"/>
    <w:rsid w:val="159D6C04"/>
    <w:rsid w:val="166F1B63"/>
    <w:rsid w:val="191E50F9"/>
    <w:rsid w:val="193660B0"/>
    <w:rsid w:val="19CC530E"/>
    <w:rsid w:val="1A0020E3"/>
    <w:rsid w:val="1A362CE4"/>
    <w:rsid w:val="1B0217F8"/>
    <w:rsid w:val="1B7B3422"/>
    <w:rsid w:val="1BAD67AF"/>
    <w:rsid w:val="1BCA0C7D"/>
    <w:rsid w:val="1BF91997"/>
    <w:rsid w:val="1C38498A"/>
    <w:rsid w:val="1CC87CDF"/>
    <w:rsid w:val="1D711FB6"/>
    <w:rsid w:val="224826B6"/>
    <w:rsid w:val="23144A09"/>
    <w:rsid w:val="233544A9"/>
    <w:rsid w:val="23C74FF2"/>
    <w:rsid w:val="25CA1045"/>
    <w:rsid w:val="29701949"/>
    <w:rsid w:val="29E40E12"/>
    <w:rsid w:val="2AFD7B4B"/>
    <w:rsid w:val="2B9226A8"/>
    <w:rsid w:val="2FE02557"/>
    <w:rsid w:val="34E80B09"/>
    <w:rsid w:val="35F42B0D"/>
    <w:rsid w:val="3647577B"/>
    <w:rsid w:val="365828DC"/>
    <w:rsid w:val="36591423"/>
    <w:rsid w:val="373C3D5D"/>
    <w:rsid w:val="38950595"/>
    <w:rsid w:val="3DF72729"/>
    <w:rsid w:val="3E71187A"/>
    <w:rsid w:val="409A1031"/>
    <w:rsid w:val="43CB3CCD"/>
    <w:rsid w:val="44AE5869"/>
    <w:rsid w:val="451F2E82"/>
    <w:rsid w:val="487F1C57"/>
    <w:rsid w:val="4B7B55AA"/>
    <w:rsid w:val="4DD7297B"/>
    <w:rsid w:val="4FC54238"/>
    <w:rsid w:val="5039136F"/>
    <w:rsid w:val="527D7B59"/>
    <w:rsid w:val="529E7826"/>
    <w:rsid w:val="5314452D"/>
    <w:rsid w:val="54677838"/>
    <w:rsid w:val="54843BB7"/>
    <w:rsid w:val="54EA7D59"/>
    <w:rsid w:val="550600C5"/>
    <w:rsid w:val="557C5E28"/>
    <w:rsid w:val="58C74183"/>
    <w:rsid w:val="5AEB2D88"/>
    <w:rsid w:val="5B5D2C30"/>
    <w:rsid w:val="5BE35C14"/>
    <w:rsid w:val="60526557"/>
    <w:rsid w:val="611B5F33"/>
    <w:rsid w:val="61734E2D"/>
    <w:rsid w:val="61BB1B8D"/>
    <w:rsid w:val="632F1D8D"/>
    <w:rsid w:val="642A3D3B"/>
    <w:rsid w:val="645B4F1C"/>
    <w:rsid w:val="66F61BBC"/>
    <w:rsid w:val="67673927"/>
    <w:rsid w:val="690066DC"/>
    <w:rsid w:val="6B761589"/>
    <w:rsid w:val="6C5445D7"/>
    <w:rsid w:val="6D272745"/>
    <w:rsid w:val="6E386EAD"/>
    <w:rsid w:val="6EC34D7D"/>
    <w:rsid w:val="70C93740"/>
    <w:rsid w:val="70FA4673"/>
    <w:rsid w:val="72CB652B"/>
    <w:rsid w:val="73BB0F52"/>
    <w:rsid w:val="73BB36BD"/>
    <w:rsid w:val="75E7503B"/>
    <w:rsid w:val="777126F0"/>
    <w:rsid w:val="7A807DF5"/>
    <w:rsid w:val="7CDA2979"/>
    <w:rsid w:val="7D271EE3"/>
    <w:rsid w:val="7D7A7168"/>
    <w:rsid w:val="7F117C3B"/>
    <w:rsid w:val="DBFEB06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0"/>
    <w:pPr>
      <w:keepNext/>
      <w:keepLines/>
      <w:spacing w:before="260" w:after="260" w:line="416" w:lineRule="auto"/>
      <w:outlineLvl w:val="1"/>
    </w:pPr>
    <w:rPr>
      <w:rFonts w:ascii="Arial" w:hAnsi="Arial" w:eastAsia="黑体"/>
      <w:b/>
      <w:bCs/>
      <w:sz w:val="32"/>
      <w:szCs w:val="32"/>
    </w:rPr>
  </w:style>
  <w:style w:type="character" w:default="1" w:styleId="28">
    <w:name w:val="Default Paragraph Font"/>
    <w:semiHidden/>
    <w:qFormat/>
    <w:uiPriority w:val="0"/>
    <w:rPr>
      <w:rFonts w:ascii="黑体" w:hAnsi="宋体" w:eastAsia="黑体"/>
      <w:sz w:val="21"/>
      <w:szCs w:val="21"/>
      <w:lang w:val="en-US" w:eastAsia="en-US" w:bidi="ar-SA"/>
    </w:rPr>
  </w:style>
  <w:style w:type="table" w:default="1" w:styleId="26">
    <w:name w:val="Normal Table"/>
    <w:semiHidden/>
    <w:qFormat/>
    <w:uiPriority w:val="0"/>
    <w:tblPr>
      <w:tblCellMar>
        <w:top w:w="0" w:type="dxa"/>
        <w:left w:w="108" w:type="dxa"/>
        <w:bottom w:w="0" w:type="dxa"/>
        <w:right w:w="108" w:type="dxa"/>
      </w:tblCellMar>
    </w:tblPr>
  </w:style>
  <w:style w:type="paragraph" w:styleId="4">
    <w:name w:val="index 8"/>
    <w:basedOn w:val="1"/>
    <w:next w:val="1"/>
    <w:qFormat/>
    <w:uiPriority w:val="0"/>
    <w:pPr>
      <w:ind w:left="1680" w:hanging="210"/>
      <w:jc w:val="left"/>
    </w:pPr>
    <w:rPr>
      <w:sz w:val="18"/>
      <w:szCs w:val="18"/>
    </w:rPr>
  </w:style>
  <w:style w:type="paragraph" w:styleId="5">
    <w:name w:val="index 5"/>
    <w:basedOn w:val="1"/>
    <w:next w:val="1"/>
    <w:qFormat/>
    <w:uiPriority w:val="0"/>
    <w:pPr>
      <w:ind w:left="1050" w:hanging="210"/>
      <w:jc w:val="left"/>
    </w:pPr>
    <w:rPr>
      <w:sz w:val="18"/>
      <w:szCs w:val="18"/>
    </w:rPr>
  </w:style>
  <w:style w:type="paragraph" w:styleId="6">
    <w:name w:val="index 6"/>
    <w:basedOn w:val="1"/>
    <w:next w:val="1"/>
    <w:qFormat/>
    <w:uiPriority w:val="0"/>
    <w:pPr>
      <w:ind w:left="1260" w:hanging="210"/>
      <w:jc w:val="left"/>
    </w:pPr>
    <w:rPr>
      <w:sz w:val="18"/>
      <w:szCs w:val="18"/>
    </w:rPr>
  </w:style>
  <w:style w:type="paragraph" w:styleId="7">
    <w:name w:val="Body Text"/>
    <w:basedOn w:val="1"/>
    <w:link w:val="32"/>
    <w:qFormat/>
    <w:uiPriority w:val="0"/>
    <w:pPr>
      <w:spacing w:after="120"/>
    </w:pPr>
  </w:style>
  <w:style w:type="paragraph" w:styleId="8">
    <w:name w:val="Body Text Indent"/>
    <w:basedOn w:val="1"/>
    <w:link w:val="33"/>
    <w:qFormat/>
    <w:uiPriority w:val="0"/>
    <w:pPr>
      <w:ind w:firstLine="840" w:firstLineChars="300"/>
    </w:pPr>
    <w:rPr>
      <w:rFonts w:ascii="宋体"/>
      <w:sz w:val="28"/>
    </w:rPr>
  </w:style>
  <w:style w:type="paragraph" w:styleId="9">
    <w:name w:val="index 4"/>
    <w:basedOn w:val="1"/>
    <w:next w:val="1"/>
    <w:qFormat/>
    <w:uiPriority w:val="0"/>
    <w:pPr>
      <w:ind w:left="840" w:hanging="210"/>
      <w:jc w:val="left"/>
    </w:pPr>
    <w:rPr>
      <w:sz w:val="18"/>
      <w:szCs w:val="18"/>
    </w:rPr>
  </w:style>
  <w:style w:type="paragraph" w:styleId="10">
    <w:name w:val="toc 3"/>
    <w:basedOn w:val="1"/>
    <w:next w:val="1"/>
    <w:qFormat/>
    <w:uiPriority w:val="0"/>
    <w:pPr>
      <w:ind w:left="840" w:leftChars="400"/>
    </w:pPr>
  </w:style>
  <w:style w:type="paragraph" w:styleId="11">
    <w:name w:val="Plain Text"/>
    <w:basedOn w:val="1"/>
    <w:link w:val="34"/>
    <w:qFormat/>
    <w:uiPriority w:val="0"/>
    <w:rPr>
      <w:rFonts w:ascii="宋体" w:hAnsi="Courier New" w:cs="Courier New"/>
      <w:szCs w:val="21"/>
    </w:rPr>
  </w:style>
  <w:style w:type="paragraph" w:styleId="12">
    <w:name w:val="index 3"/>
    <w:basedOn w:val="1"/>
    <w:next w:val="1"/>
    <w:qFormat/>
    <w:uiPriority w:val="0"/>
    <w:pPr>
      <w:ind w:left="630" w:hanging="210"/>
      <w:jc w:val="left"/>
    </w:pPr>
    <w:rPr>
      <w:sz w:val="18"/>
      <w:szCs w:val="18"/>
    </w:rPr>
  </w:style>
  <w:style w:type="paragraph" w:styleId="13">
    <w:name w:val="Date"/>
    <w:basedOn w:val="1"/>
    <w:next w:val="1"/>
    <w:link w:val="35"/>
    <w:qFormat/>
    <w:uiPriority w:val="0"/>
    <w:pPr>
      <w:ind w:left="100" w:leftChars="2500"/>
    </w:pPr>
  </w:style>
  <w:style w:type="paragraph" w:styleId="14">
    <w:name w:val="Balloon Text"/>
    <w:basedOn w:val="1"/>
    <w:link w:val="36"/>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0"/>
    <w:pPr>
      <w:tabs>
        <w:tab w:val="right" w:leader="dot" w:pos="9060"/>
      </w:tabs>
      <w:adjustRightInd w:val="0"/>
      <w:snapToGrid w:val="0"/>
      <w:spacing w:line="360" w:lineRule="exact"/>
    </w:pPr>
  </w:style>
  <w:style w:type="paragraph" w:styleId="18">
    <w:name w:val="index heading"/>
    <w:basedOn w:val="1"/>
    <w:next w:val="19"/>
    <w:qFormat/>
    <w:uiPriority w:val="0"/>
    <w:pPr>
      <w:spacing w:before="240" w:after="120"/>
      <w:jc w:val="center"/>
    </w:pPr>
    <w:rPr>
      <w:b/>
      <w:bCs/>
      <w:sz w:val="26"/>
      <w:szCs w:val="26"/>
    </w:rPr>
  </w:style>
  <w:style w:type="paragraph" w:styleId="19">
    <w:name w:val="index 1"/>
    <w:basedOn w:val="1"/>
    <w:next w:val="1"/>
    <w:qFormat/>
    <w:uiPriority w:val="0"/>
    <w:pPr>
      <w:ind w:left="210" w:hanging="210"/>
      <w:jc w:val="left"/>
    </w:pPr>
    <w:rPr>
      <w:sz w:val="18"/>
      <w:szCs w:val="18"/>
    </w:rPr>
  </w:style>
  <w:style w:type="paragraph" w:styleId="20">
    <w:name w:val="index 7"/>
    <w:basedOn w:val="1"/>
    <w:next w:val="1"/>
    <w:qFormat/>
    <w:uiPriority w:val="0"/>
    <w:pPr>
      <w:ind w:left="1470" w:hanging="210"/>
      <w:jc w:val="left"/>
    </w:pPr>
    <w:rPr>
      <w:sz w:val="18"/>
      <w:szCs w:val="18"/>
    </w:rPr>
  </w:style>
  <w:style w:type="paragraph" w:styleId="21">
    <w:name w:val="index 9"/>
    <w:basedOn w:val="1"/>
    <w:next w:val="1"/>
    <w:qFormat/>
    <w:uiPriority w:val="0"/>
    <w:pPr>
      <w:ind w:left="1890" w:hanging="210"/>
      <w:jc w:val="left"/>
    </w:pPr>
    <w:rPr>
      <w:sz w:val="18"/>
      <w:szCs w:val="18"/>
    </w:rPr>
  </w:style>
  <w:style w:type="paragraph" w:styleId="22">
    <w:name w:val="toc 2"/>
    <w:basedOn w:val="1"/>
    <w:next w:val="1"/>
    <w:qFormat/>
    <w:uiPriority w:val="0"/>
    <w:pPr>
      <w:ind w:left="420" w:leftChars="200"/>
    </w:pPr>
  </w:style>
  <w:style w:type="paragraph" w:styleId="23">
    <w:name w:val="Body Text 2"/>
    <w:basedOn w:val="1"/>
    <w:link w:val="37"/>
    <w:qFormat/>
    <w:uiPriority w:val="0"/>
    <w:pPr>
      <w:spacing w:after="120" w:line="480" w:lineRule="auto"/>
    </w:pPr>
  </w:style>
  <w:style w:type="paragraph" w:styleId="24">
    <w:name w:val="index 2"/>
    <w:basedOn w:val="1"/>
    <w:next w:val="1"/>
    <w:qFormat/>
    <w:uiPriority w:val="0"/>
    <w:pPr>
      <w:ind w:left="420" w:hanging="210"/>
      <w:jc w:val="left"/>
    </w:pPr>
    <w:rPr>
      <w:sz w:val="18"/>
      <w:szCs w:val="18"/>
    </w:rPr>
  </w:style>
  <w:style w:type="paragraph" w:styleId="25">
    <w:name w:val="Body Text First Indent"/>
    <w:basedOn w:val="7"/>
    <w:link w:val="38"/>
    <w:qFormat/>
    <w:uiPriority w:val="0"/>
    <w:pPr>
      <w:ind w:firstLine="420" w:firstLineChars="100"/>
    </w:p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page number"/>
    <w:basedOn w:val="28"/>
    <w:qFormat/>
    <w:uiPriority w:val="0"/>
  </w:style>
  <w:style w:type="character" w:styleId="30">
    <w:name w:val="Hyperlink"/>
    <w:basedOn w:val="28"/>
    <w:qFormat/>
    <w:uiPriority w:val="0"/>
    <w:rPr>
      <w:color w:val="000000"/>
      <w:u w:val="none"/>
    </w:rPr>
  </w:style>
  <w:style w:type="character" w:customStyle="1" w:styleId="31">
    <w:name w:val="标题 2 Char"/>
    <w:basedOn w:val="28"/>
    <w:link w:val="3"/>
    <w:qFormat/>
    <w:uiPriority w:val="0"/>
    <w:rPr>
      <w:rFonts w:ascii="Arial" w:hAnsi="Arial"/>
      <w:b/>
      <w:bCs/>
      <w:kern w:val="2"/>
      <w:sz w:val="32"/>
      <w:szCs w:val="32"/>
    </w:rPr>
  </w:style>
  <w:style w:type="character" w:customStyle="1" w:styleId="32">
    <w:name w:val="正文文本 Char"/>
    <w:basedOn w:val="28"/>
    <w:link w:val="7"/>
    <w:qFormat/>
    <w:uiPriority w:val="0"/>
    <w:rPr>
      <w:kern w:val="2"/>
      <w:szCs w:val="24"/>
    </w:rPr>
  </w:style>
  <w:style w:type="character" w:customStyle="1" w:styleId="33">
    <w:name w:val="正文文本缩进 Char"/>
    <w:basedOn w:val="28"/>
    <w:link w:val="8"/>
    <w:qFormat/>
    <w:uiPriority w:val="0"/>
    <w:rPr>
      <w:rFonts w:ascii="宋体"/>
      <w:kern w:val="2"/>
      <w:sz w:val="28"/>
      <w:szCs w:val="24"/>
    </w:rPr>
  </w:style>
  <w:style w:type="character" w:customStyle="1" w:styleId="34">
    <w:name w:val="纯文本 Char"/>
    <w:basedOn w:val="28"/>
    <w:link w:val="11"/>
    <w:qFormat/>
    <w:uiPriority w:val="0"/>
    <w:rPr>
      <w:rFonts w:ascii="宋体" w:hAnsi="Courier New" w:cs="Courier New"/>
      <w:kern w:val="2"/>
    </w:rPr>
  </w:style>
  <w:style w:type="character" w:customStyle="1" w:styleId="35">
    <w:name w:val="日期 Char"/>
    <w:basedOn w:val="28"/>
    <w:link w:val="13"/>
    <w:qFormat/>
    <w:uiPriority w:val="0"/>
    <w:rPr>
      <w:kern w:val="2"/>
      <w:szCs w:val="24"/>
    </w:rPr>
  </w:style>
  <w:style w:type="character" w:customStyle="1" w:styleId="36">
    <w:name w:val="批注框文本 Char"/>
    <w:basedOn w:val="28"/>
    <w:link w:val="14"/>
    <w:qFormat/>
    <w:uiPriority w:val="0"/>
    <w:rPr>
      <w:kern w:val="2"/>
      <w:sz w:val="18"/>
      <w:szCs w:val="18"/>
    </w:rPr>
  </w:style>
  <w:style w:type="character" w:customStyle="1" w:styleId="37">
    <w:name w:val="正文文本 2 Char"/>
    <w:basedOn w:val="28"/>
    <w:link w:val="23"/>
    <w:qFormat/>
    <w:uiPriority w:val="0"/>
    <w:rPr>
      <w:kern w:val="2"/>
      <w:szCs w:val="24"/>
    </w:rPr>
  </w:style>
  <w:style w:type="character" w:customStyle="1" w:styleId="38">
    <w:name w:val="正文首行缩进 Char"/>
    <w:basedOn w:val="32"/>
    <w:link w:val="25"/>
    <w:qFormat/>
    <w:uiPriority w:val="0"/>
  </w:style>
  <w:style w:type="character" w:customStyle="1" w:styleId="39">
    <w:name w:val="纯文本 Char Char"/>
    <w:basedOn w:val="28"/>
    <w:qFormat/>
    <w:uiPriority w:val="0"/>
    <w:rPr>
      <w:rFonts w:ascii="宋体" w:hAnsi="Courier New" w:eastAsia="宋体" w:cs="Courier New"/>
      <w:kern w:val="2"/>
      <w:lang w:eastAsia="zh-CN"/>
    </w:rPr>
  </w:style>
  <w:style w:type="character" w:customStyle="1" w:styleId="40">
    <w:name w:val="日期 Char1"/>
    <w:basedOn w:val="28"/>
    <w:qFormat/>
    <w:uiPriority w:val="0"/>
    <w:rPr>
      <w:kern w:val="2"/>
      <w:szCs w:val="24"/>
    </w:rPr>
  </w:style>
  <w:style w:type="character" w:customStyle="1" w:styleId="41">
    <w:name w:val="纯文本 Char1"/>
    <w:basedOn w:val="28"/>
    <w:qFormat/>
    <w:uiPriority w:val="0"/>
    <w:rPr>
      <w:rFonts w:ascii="宋体" w:hAnsi="Courier New" w:cs="Courier New"/>
      <w:kern w:val="2"/>
    </w:rPr>
  </w:style>
  <w:style w:type="paragraph" w:customStyle="1" w:styleId="42">
    <w:name w:val="Char Char Char Char"/>
    <w:basedOn w:val="1"/>
    <w:qFormat/>
    <w:uiPriority w:val="0"/>
    <w:pPr>
      <w:widowControl/>
      <w:spacing w:after="160" w:line="240" w:lineRule="exact"/>
      <w:jc w:val="left"/>
    </w:pPr>
    <w:rPr>
      <w:rFonts w:ascii="黑体" w:hAnsi="宋体" w:eastAsia="黑体"/>
      <w:kern w:val="0"/>
      <w:szCs w:val="21"/>
      <w:lang w:eastAsia="en-US"/>
    </w:rPr>
  </w:style>
  <w:style w:type="paragraph" w:customStyle="1" w:styleId="43">
    <w:name w:val=" Char"/>
    <w:basedOn w:val="1"/>
    <w:qFormat/>
    <w:uiPriority w:val="0"/>
    <w:pPr>
      <w:widowControl/>
      <w:spacing w:before="156" w:beforeLines="50" w:after="156" w:afterLines="50"/>
      <w:jc w:val="center"/>
    </w:pPr>
    <w:rPr>
      <w:rFonts w:ascii="黑体" w:hAnsi="宋体" w:eastAsia="黑体"/>
      <w:kern w:val="0"/>
      <w:szCs w:val="21"/>
      <w:lang w:eastAsia="en-US"/>
    </w:rPr>
  </w:style>
  <w:style w:type="paragraph" w:customStyle="1" w:styleId="44">
    <w:name w:val="Default"/>
    <w:qFormat/>
    <w:uiPriority w:val="0"/>
    <w:pPr>
      <w:widowControl w:val="0"/>
      <w:autoSpaceDE w:val="0"/>
      <w:autoSpaceDN w:val="0"/>
      <w:adjustRightInd w:val="0"/>
    </w:pPr>
    <w:rPr>
      <w:rFonts w:ascii="宋体" w:hAnsi="Times New Roman" w:eastAsia="宋体" w:cs="宋体"/>
      <w:lang w:val="en-US" w:eastAsia="zh-CN" w:bidi="ar-SA"/>
    </w:rPr>
  </w:style>
  <w:style w:type="paragraph" w:customStyle="1" w:styleId="45">
    <w:name w:val=" Char Char Char Char"/>
    <w:basedOn w:val="1"/>
    <w:qFormat/>
    <w:uiPriority w:val="0"/>
    <w:pPr>
      <w:widowControl/>
      <w:spacing w:after="160" w:line="240" w:lineRule="exact"/>
      <w:jc w:val="left"/>
    </w:pPr>
    <w:rPr>
      <w:rFonts w:ascii="Verdana" w:hAnsi="Verdana"/>
      <w:kern w:val="0"/>
      <w:sz w:val="18"/>
      <w:szCs w:val="20"/>
      <w:lang w:eastAsia="en-US"/>
    </w:rPr>
  </w:style>
  <w:style w:type="paragraph" w:customStyle="1" w:styleId="4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7">
    <w:name w:val="二级条标题"/>
    <w:basedOn w:val="1"/>
    <w:next w:val="1"/>
    <w:qFormat/>
    <w:uiPriority w:val="0"/>
    <w:pPr>
      <w:widowControl/>
      <w:numPr>
        <w:ilvl w:val="3"/>
        <w:numId w:val="1"/>
      </w:numPr>
      <w:outlineLvl w:val="3"/>
    </w:pPr>
    <w:rPr>
      <w:rFonts w:ascii="黑体" w:eastAsia="黑体"/>
      <w:kern w:val="0"/>
    </w:rPr>
  </w:style>
  <w:style w:type="paragraph" w:customStyle="1" w:styleId="48">
    <w:name w:val="Char"/>
    <w:basedOn w:val="1"/>
    <w:qFormat/>
    <w:uiPriority w:val="0"/>
    <w:pPr>
      <w:widowControl/>
      <w:spacing w:after="160" w:line="240" w:lineRule="exact"/>
      <w:jc w:val="left"/>
    </w:pPr>
    <w:rPr>
      <w:rFonts w:ascii="宋体" w:hAnsi="宋体"/>
      <w:kern w:val="0"/>
      <w:sz w:val="24"/>
      <w:lang w:eastAsia="en-US"/>
    </w:rPr>
  </w:style>
  <w:style w:type="paragraph" w:customStyle="1" w:styleId="49">
    <w:name w:val="三级条标题"/>
    <w:basedOn w:val="47"/>
    <w:next w:val="1"/>
    <w:qFormat/>
    <w:uiPriority w:val="0"/>
    <w:pPr>
      <w:numPr>
        <w:ilvl w:val="3"/>
        <w:numId w:val="0"/>
      </w:numPr>
      <w:ind w:left="315"/>
      <w:outlineLvl w:val="4"/>
    </w:pPr>
    <w:rPr>
      <w:szCs w:val="20"/>
    </w:rPr>
  </w:style>
  <w:style w:type="paragraph" w:customStyle="1" w:styleId="50">
    <w:name w:val="章标题"/>
    <w:next w:val="1"/>
    <w:qFormat/>
    <w:uiPriority w:val="0"/>
    <w:pPr>
      <w:numPr>
        <w:ilvl w:val="1"/>
        <w:numId w:val="2"/>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51">
    <w:name w:val="Sidfot"/>
    <w:basedOn w:val="1"/>
    <w:qFormat/>
    <w:uiPriority w:val="0"/>
    <w:pPr>
      <w:widowControl/>
      <w:tabs>
        <w:tab w:val="center" w:pos="4819"/>
        <w:tab w:val="right" w:pos="9071"/>
      </w:tabs>
      <w:overflowPunct w:val="0"/>
      <w:autoSpaceDE w:val="0"/>
      <w:autoSpaceDN w:val="0"/>
      <w:adjustRightInd w:val="0"/>
      <w:jc w:val="left"/>
      <w:textAlignment w:val="baseline"/>
    </w:pPr>
    <w:rPr>
      <w:rFonts w:ascii="Arial" w:hAnsi="Arial"/>
      <w:kern w:val="0"/>
      <w:sz w:val="20"/>
      <w:szCs w:val="20"/>
      <w:lang w:val="sv-SE"/>
    </w:rPr>
  </w:style>
  <w:style w:type="paragraph" w:customStyle="1" w:styleId="52">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53">
    <w:name w:val="五级条标题"/>
    <w:basedOn w:val="54"/>
    <w:next w:val="1"/>
    <w:qFormat/>
    <w:uiPriority w:val="0"/>
    <w:pPr>
      <w:tabs>
        <w:tab w:val="left" w:pos="1080"/>
      </w:tabs>
      <w:outlineLvl w:val="6"/>
    </w:pPr>
  </w:style>
  <w:style w:type="paragraph" w:customStyle="1" w:styleId="54">
    <w:name w:val="四级条标题"/>
    <w:basedOn w:val="49"/>
    <w:next w:val="1"/>
    <w:qFormat/>
    <w:uiPriority w:val="0"/>
    <w:pPr>
      <w:ind w:left="0"/>
      <w:outlineLvl w:val="5"/>
    </w:pPr>
  </w:style>
  <w:style w:type="paragraph" w:customStyle="1" w:styleId="55">
    <w:name w:val="肥料正文"/>
    <w:basedOn w:val="1"/>
    <w:qFormat/>
    <w:uiPriority w:val="0"/>
    <w:pPr>
      <w:adjustRightInd w:val="0"/>
      <w:snapToGrid w:val="0"/>
      <w:spacing w:line="317" w:lineRule="auto"/>
      <w:ind w:firstLine="200" w:firstLineChars="200"/>
    </w:pPr>
    <w:rPr>
      <w:rFonts w:eastAsia="汉鼎简书宋二"/>
      <w:snapToGrid w:val="0"/>
      <w:spacing w:val="2"/>
      <w:kern w:val="0"/>
      <w:sz w:val="22"/>
    </w:rPr>
  </w:style>
  <w:style w:type="paragraph" w:customStyle="1" w:styleId="56">
    <w:name w:val="_Style 1"/>
    <w:basedOn w:val="1"/>
    <w:qFormat/>
    <w:uiPriority w:val="0"/>
    <w:pPr>
      <w:widowControl/>
      <w:spacing w:after="160" w:line="240" w:lineRule="exact"/>
      <w:jc w:val="left"/>
    </w:pPr>
  </w:style>
  <w:style w:type="paragraph" w:customStyle="1" w:styleId="57">
    <w:name w:val="一级条标题"/>
    <w:basedOn w:val="50"/>
    <w:next w:val="1"/>
    <w:qFormat/>
    <w:uiPriority w:val="0"/>
    <w:pPr>
      <w:numPr>
        <w:ilvl w:val="2"/>
        <w:numId w:val="2"/>
      </w:numPr>
      <w:tabs>
        <w:tab w:val="clear" w:pos="840"/>
      </w:tabs>
      <w:spacing w:before="0" w:beforeLines="0" w:after="0" w:afterLines="0"/>
      <w:outlineLvl w:val="2"/>
    </w:pPr>
  </w:style>
  <w:style w:type="paragraph" w:customStyle="1" w:styleId="58">
    <w:name w:val="前言、引言标题"/>
    <w:next w:val="1"/>
    <w:qFormat/>
    <w:uiPriority w:val="0"/>
    <w:pPr>
      <w:numPr>
        <w:ilvl w:val="0"/>
        <w:numId w:val="2"/>
      </w:numPr>
      <w:shd w:val="clear" w:color="FFFFFF" w:fill="FFFFFF"/>
      <w:spacing w:before="640" w:after="560"/>
      <w:jc w:val="center"/>
      <w:outlineLvl w:val="0"/>
    </w:pPr>
    <w:rPr>
      <w:rFonts w:ascii="黑体" w:hAnsi="Times New Roman" w:eastAsia="黑体" w:cs="Times New Roman"/>
      <w:sz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1372</Words>
  <Characters>2086</Characters>
  <Lines>19</Lines>
  <Paragraphs>5</Paragraphs>
  <TotalTime>7</TotalTime>
  <ScaleCrop>false</ScaleCrop>
  <LinksUpToDate>false</LinksUpToDate>
  <CharactersWithSpaces>2176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2024-05-16T15:31:00Z</dcterms:created>
  <dc:creator>hp</dc:creator>
  <cp:lastModifiedBy>uos</cp:lastModifiedBy>
  <cp:lastPrinted>2024-05-16T15:37:00Z</cp:lastPrinted>
  <dcterms:modified xsi:type="dcterms:W3CDTF">2025-06-04T11:58:07Z</dcterms:modified>
  <dc:title>海南省天然橡胶产品质量监督抽查实施细则</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C8A6668421AF4D46A450FAD55F991C39_13</vt:lpwstr>
  </property>
  <property fmtid="{D5CDD505-2E9C-101B-9397-08002B2CF9AE}" pid="4" name="KSOTemplateDocerSaveRecord">
    <vt:lpwstr>eyJoZGlkIjoiZTQwN2QyMDM1NzU4OWI4NTNkZDY2MDk2Nzk4ZjZlMjQiLCJ1c2VySWQiOiI0MTc3MTkwODYifQ==</vt:lpwstr>
  </property>
</Properties>
</file>