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614B7">
      <w:pPr>
        <w:spacing w:line="600" w:lineRule="exact"/>
        <w:jc w:val="center"/>
        <w:rPr>
          <w:rFonts w:hint="eastAsia" w:ascii="宋体" w:hAnsi="宋体" w:cs="宋体"/>
          <w:b/>
          <w:bCs/>
          <w:sz w:val="44"/>
          <w:szCs w:val="44"/>
        </w:rPr>
      </w:pPr>
      <w:r>
        <w:rPr>
          <w:rFonts w:hint="eastAsia" w:ascii="宋体" w:hAnsi="宋体" w:cs="宋体"/>
          <w:b/>
          <w:bCs/>
          <w:sz w:val="44"/>
          <w:szCs w:val="44"/>
        </w:rPr>
        <w:t>海南省热轧带肋钢筋产品质量监督抽查</w:t>
      </w:r>
    </w:p>
    <w:p w14:paraId="00596E92">
      <w:pPr>
        <w:spacing w:line="600" w:lineRule="exact"/>
        <w:jc w:val="center"/>
        <w:rPr>
          <w:rFonts w:hint="eastAsia" w:ascii="宋体" w:hAnsi="宋体" w:eastAsia="宋体" w:cs="宋体"/>
          <w:b/>
          <w:bCs/>
          <w:color w:val="auto"/>
          <w:sz w:val="44"/>
          <w:szCs w:val="44"/>
          <w:lang w:val="en-US" w:eastAsia="zh-CN"/>
        </w:rPr>
      </w:pPr>
      <w:r>
        <w:rPr>
          <w:rFonts w:hint="eastAsia" w:ascii="宋体" w:hAnsi="宋体" w:cs="宋体"/>
          <w:b/>
          <w:bCs/>
          <w:sz w:val="44"/>
          <w:szCs w:val="44"/>
        </w:rPr>
        <w:t>实施细则</w:t>
      </w:r>
      <w:r>
        <w:rPr>
          <w:rFonts w:hint="eastAsia" w:ascii="宋体" w:hAnsi="宋体" w:cs="宋体"/>
          <w:b/>
          <w:bCs/>
          <w:color w:val="auto"/>
          <w:sz w:val="44"/>
          <w:szCs w:val="44"/>
        </w:rPr>
        <w:t>XZ</w:t>
      </w:r>
      <w:r>
        <w:rPr>
          <w:rFonts w:hint="eastAsia" w:ascii="宋体" w:hAnsi="宋体" w:cs="宋体"/>
          <w:b/>
          <w:bCs/>
          <w:color w:val="auto"/>
          <w:sz w:val="44"/>
          <w:szCs w:val="44"/>
          <w:lang w:val="en-US" w:eastAsia="zh-CN"/>
        </w:rPr>
        <w:t>10</w:t>
      </w:r>
      <w:r>
        <w:rPr>
          <w:rFonts w:hint="eastAsia" w:ascii="宋体" w:hAnsi="宋体" w:cs="宋体"/>
          <w:b/>
          <w:bCs/>
          <w:color w:val="auto"/>
          <w:sz w:val="44"/>
          <w:szCs w:val="44"/>
        </w:rPr>
        <w:t>-202</w:t>
      </w:r>
      <w:r>
        <w:rPr>
          <w:rFonts w:hint="eastAsia" w:ascii="宋体" w:hAnsi="宋体" w:cs="宋体"/>
          <w:b/>
          <w:bCs/>
          <w:color w:val="auto"/>
          <w:sz w:val="44"/>
          <w:szCs w:val="44"/>
          <w:lang w:val="en-US" w:eastAsia="zh-CN"/>
        </w:rPr>
        <w:t>6</w:t>
      </w:r>
      <w:bookmarkStart w:id="0" w:name="_GoBack"/>
      <w:bookmarkEnd w:id="0"/>
    </w:p>
    <w:p w14:paraId="3BCD6C10">
      <w:pPr>
        <w:snapToGrid w:val="0"/>
        <w:spacing w:line="440" w:lineRule="exact"/>
        <w:rPr>
          <w:rFonts w:hint="eastAsia" w:ascii="宋体" w:hAnsi="宋体" w:eastAsia="宋体" w:cs="宋体"/>
          <w:b/>
          <w:bCs/>
          <w:color w:val="000000"/>
          <w:sz w:val="32"/>
          <w:szCs w:val="32"/>
        </w:rPr>
      </w:pPr>
    </w:p>
    <w:p w14:paraId="4E7DB5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1 抽样</w:t>
      </w:r>
    </w:p>
    <w:p w14:paraId="311E5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1.1抽样型号或规格</w:t>
      </w:r>
    </w:p>
    <w:p w14:paraId="2D58463E">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宋体" w:hAnsi="宋体" w:cs="仿宋_GB2312"/>
          <w:b/>
          <w:bCs/>
          <w:sz w:val="32"/>
          <w:szCs w:val="32"/>
        </w:rPr>
      </w:pPr>
      <w:r>
        <w:rPr>
          <w:rFonts w:hint="eastAsia" w:ascii="仿宋_GB2312" w:hAnsi="仿宋_GB2312" w:eastAsia="仿宋_GB2312" w:cs="仿宋_GB2312"/>
          <w:sz w:val="32"/>
          <w:szCs w:val="32"/>
        </w:rPr>
        <w:t>产品种类包括：热轧带肋钢筋。</w:t>
      </w:r>
      <w:r>
        <w:rPr>
          <w:rFonts w:hint="eastAsia" w:ascii="宋体" w:hAnsi="宋体" w:cs="仿宋_GB2312"/>
          <w:b/>
          <w:bCs/>
          <w:sz w:val="32"/>
          <w:szCs w:val="32"/>
        </w:rPr>
        <w:t xml:space="preserve"> </w:t>
      </w:r>
    </w:p>
    <w:p w14:paraId="039A830B">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抽取样品应为同一规格、同一批次的产品。</w:t>
      </w:r>
    </w:p>
    <w:p w14:paraId="08E169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仿宋_GB2312"/>
          <w:b/>
          <w:bCs/>
          <w:sz w:val="32"/>
          <w:szCs w:val="32"/>
        </w:rPr>
      </w:pPr>
      <w:r>
        <w:rPr>
          <w:rFonts w:hint="eastAsia" w:ascii="宋体" w:hAnsi="宋体" w:cs="仿宋_GB2312"/>
          <w:b/>
          <w:bCs/>
          <w:sz w:val="32"/>
          <w:szCs w:val="32"/>
        </w:rPr>
        <w:t>1.2 抽样方法、基数、抽样数量</w:t>
      </w:r>
    </w:p>
    <w:p w14:paraId="164F3D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在流通领域随机抽取经企业</w:t>
      </w:r>
      <w:r>
        <w:rPr>
          <w:rFonts w:hint="eastAsia" w:ascii="仿宋_GB2312" w:hAnsi="仿宋_GB2312" w:eastAsia="仿宋_GB2312" w:cs="仿宋_GB2312"/>
          <w:sz w:val="32"/>
          <w:szCs w:val="32"/>
          <w:lang w:eastAsia="zh-CN"/>
        </w:rPr>
        <w:t>确认</w:t>
      </w:r>
      <w:r>
        <w:rPr>
          <w:rFonts w:hint="eastAsia" w:ascii="仿宋_GB2312" w:hAnsi="仿宋_GB2312" w:eastAsia="仿宋_GB2312" w:cs="仿宋_GB2312"/>
          <w:sz w:val="32"/>
          <w:szCs w:val="32"/>
        </w:rPr>
        <w:t>合格或以任何方式表明合格的待销产品。随机数一般可使用随机数表、骰子或扑克牌等方法产生。</w:t>
      </w:r>
    </w:p>
    <w:p w14:paraId="07860E5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cs="仿宋_GB2312"/>
          <w:b/>
          <w:bCs/>
          <w:sz w:val="32"/>
          <w:szCs w:val="32"/>
        </w:rPr>
      </w:pPr>
      <w:r>
        <w:rPr>
          <w:rFonts w:hint="eastAsia" w:ascii="宋体" w:hAnsi="宋体" w:cs="仿宋_GB2312"/>
          <w:b/>
          <w:bCs/>
          <w:sz w:val="32"/>
          <w:szCs w:val="32"/>
        </w:rPr>
        <w:t>1.2.1 热轧带肋钢筋</w:t>
      </w:r>
    </w:p>
    <w:p w14:paraId="6781335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在流通领域</w:t>
      </w:r>
      <w:r>
        <w:rPr>
          <w:rFonts w:hint="eastAsia" w:ascii="仿宋_GB2312" w:hAnsi="仿宋_GB2312" w:eastAsia="仿宋_GB2312" w:cs="仿宋_GB2312"/>
          <w:sz w:val="32"/>
          <w:szCs w:val="32"/>
          <w:lang w:eastAsia="zh-CN"/>
        </w:rPr>
        <w:t>的销售</w:t>
      </w:r>
      <w:r>
        <w:rPr>
          <w:rFonts w:hint="eastAsia" w:ascii="仿宋_GB2312" w:hAnsi="仿宋_GB2312" w:eastAsia="仿宋_GB2312" w:cs="仿宋_GB2312"/>
          <w:sz w:val="32"/>
          <w:szCs w:val="32"/>
        </w:rPr>
        <w:t>企业成品库</w:t>
      </w:r>
      <w:r>
        <w:rPr>
          <w:rFonts w:hint="eastAsia" w:ascii="仿宋_GB2312" w:hAnsi="仿宋_GB2312" w:eastAsia="仿宋_GB2312" w:cs="仿宋_GB2312"/>
          <w:sz w:val="32"/>
          <w:szCs w:val="32"/>
          <w:lang w:eastAsia="zh-CN"/>
        </w:rPr>
        <w:t>或成品堆场</w:t>
      </w:r>
      <w:r>
        <w:rPr>
          <w:rFonts w:hint="eastAsia" w:ascii="仿宋_GB2312" w:hAnsi="仿宋_GB2312" w:eastAsia="仿宋_GB2312" w:cs="仿宋_GB2312"/>
          <w:sz w:val="32"/>
          <w:szCs w:val="32"/>
        </w:rPr>
        <w:t>抽样时，</w:t>
      </w:r>
      <w:r>
        <w:rPr>
          <w:rFonts w:hint="eastAsia" w:ascii="仿宋_GB2312" w:hAnsi="仿宋_GB2312" w:eastAsia="仿宋_GB2312" w:cs="仿宋_GB2312"/>
          <w:sz w:val="32"/>
          <w:szCs w:val="32"/>
          <w:lang w:eastAsia="zh-CN"/>
        </w:rPr>
        <w:t>原则上，</w:t>
      </w:r>
      <w:r>
        <w:rPr>
          <w:rFonts w:hint="eastAsia" w:ascii="仿宋_GB2312" w:hAnsi="仿宋_GB2312" w:eastAsia="仿宋_GB2312" w:cs="仿宋_GB2312"/>
          <w:sz w:val="32"/>
          <w:szCs w:val="32"/>
        </w:rPr>
        <w:t>直条钢筋同一批次产品抽样基数不得少于捆，盘卷钢筋同一批次产品抽样基数不得少于6盘</w:t>
      </w:r>
      <w:r>
        <w:rPr>
          <w:rFonts w:hint="eastAsia" w:ascii="仿宋_GB2312" w:hAnsi="仿宋_GB2312" w:eastAsia="仿宋_GB2312" w:cs="仿宋_GB2312"/>
          <w:sz w:val="32"/>
          <w:szCs w:val="32"/>
          <w:lang w:eastAsia="zh-CN"/>
        </w:rPr>
        <w:t>；对于样品基数较少时，</w:t>
      </w:r>
      <w:r>
        <w:rPr>
          <w:rFonts w:hint="eastAsia" w:ascii="仿宋_GB2312" w:hAnsi="仿宋_GB2312" w:eastAsia="仿宋_GB2312" w:cs="仿宋_GB2312"/>
          <w:sz w:val="32"/>
          <w:szCs w:val="32"/>
        </w:rPr>
        <w:t>抽样基数满足抽样数量即可。</w:t>
      </w:r>
    </w:p>
    <w:p w14:paraId="2AA16A11">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对于直条型式的钢筋,抽样方法如下:</w:t>
      </w:r>
    </w:p>
    <w:p w14:paraId="5EA10E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（1）确定所抽产品的牌号和规格，随机抽取一捆；</w:t>
      </w:r>
    </w:p>
    <w:p w14:paraId="4AD7FB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（2）在该捆中随机抽取6根长度为2400mm的钢筋，逐根顺序编号为1～6，再把每根钢筋分成2支长度为1200mm的样品，2支样品逐支编号标记，并一一对应 (如1-a，1-b)，每支样品要保证有完整的表面标志，标记a的6支样品为检验样品，标记b的6支样品为备用样品。样品可根据检验所需长度切分后运输。</w:t>
      </w:r>
    </w:p>
    <w:p w14:paraId="4623D50F">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对于盘卷型式的钢筋，抽样方法如下：</w:t>
      </w:r>
    </w:p>
    <w:p w14:paraId="4AD1CC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（1）确定所抽产品的牌号和规格，随机抽取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盘；</w:t>
      </w:r>
    </w:p>
    <w:p w14:paraId="0257E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（2）在每盘钢筋上距头或尾至少2000mm处，随机截取1根长度为2400mm的钢筋，逐根顺序编号为1～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，再把每根钢筋分成</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支长度为1200mm的样品，2支样品逐支编号标记，并一一对应(如记1-a，1-b)。标记a的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支样品为检验样品，标记b的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支样品为备用样品。</w:t>
      </w:r>
    </w:p>
    <w:p w14:paraId="47F7D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2 检验</w:t>
      </w:r>
    </w:p>
    <w:p w14:paraId="1FF49B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2.1检验依据</w:t>
      </w:r>
    </w:p>
    <w:p w14:paraId="2B89C57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GB 1499.2-20</w:t>
      </w:r>
      <w:r>
        <w:rPr>
          <w:rFonts w:hint="eastAsia" w:ascii="仿宋_GB2312" w:hAnsi="仿宋_GB2312" w:eastAsia="仿宋_GB2312" w:cs="仿宋_GB2312"/>
          <w:spacing w:val="-6"/>
          <w:sz w:val="32"/>
          <w:szCs w:val="32"/>
          <w:lang w:val="en-US" w:eastAsia="zh-CN"/>
        </w:rPr>
        <w:t>24</w:t>
      </w:r>
      <w:r>
        <w:rPr>
          <w:rFonts w:hint="eastAsia" w:ascii="仿宋_GB2312" w:hAnsi="仿宋_GB2312" w:eastAsia="仿宋_GB2312" w:cs="仿宋_GB2312"/>
          <w:spacing w:val="-6"/>
          <w:sz w:val="32"/>
          <w:szCs w:val="32"/>
        </w:rPr>
        <w:t xml:space="preserve"> 钢筋混凝土用钢 第2部分：热轧带肋钢筋</w:t>
      </w:r>
    </w:p>
    <w:p w14:paraId="3E81651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2.2检验项目</w:t>
      </w:r>
    </w:p>
    <w:p w14:paraId="3E31590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 热轧带肋钢筋检验项目见表1。</w:t>
      </w:r>
    </w:p>
    <w:p w14:paraId="54126EF5">
      <w:pPr>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表1</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热轧带肋钢筋检验项目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510"/>
        <w:gridCol w:w="3405"/>
        <w:gridCol w:w="2188"/>
        <w:gridCol w:w="2461"/>
      </w:tblGrid>
      <w:tr w14:paraId="614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blHeade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67D08E77">
            <w:pPr>
              <w:snapToGrid w:val="0"/>
              <w:spacing w:line="32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3915" w:type="dxa"/>
            <w:gridSpan w:val="2"/>
            <w:tcBorders>
              <w:top w:val="single" w:color="auto" w:sz="4" w:space="0"/>
              <w:left w:val="single" w:color="auto" w:sz="4" w:space="0"/>
              <w:right w:val="single" w:color="auto" w:sz="4" w:space="0"/>
            </w:tcBorders>
            <w:noWrap w:val="0"/>
            <w:vAlign w:val="center"/>
          </w:tcPr>
          <w:p w14:paraId="6C1FFBA5">
            <w:pPr>
              <w:snapToGrid w:val="0"/>
              <w:spacing w:line="32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检验项目</w:t>
            </w:r>
          </w:p>
        </w:tc>
        <w:tc>
          <w:tcPr>
            <w:tcW w:w="2188" w:type="dxa"/>
            <w:tcBorders>
              <w:top w:val="single" w:color="auto" w:sz="4" w:space="0"/>
              <w:left w:val="single" w:color="auto" w:sz="4" w:space="0"/>
              <w:right w:val="single" w:color="auto" w:sz="4" w:space="0"/>
            </w:tcBorders>
            <w:noWrap w:val="0"/>
            <w:vAlign w:val="center"/>
          </w:tcPr>
          <w:p w14:paraId="04EE11BC">
            <w:pPr>
              <w:snapToGrid w:val="0"/>
              <w:spacing w:line="32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依据法律法规</w:t>
            </w:r>
          </w:p>
          <w:p w14:paraId="3E9DB07C">
            <w:pPr>
              <w:snapToGrid w:val="0"/>
              <w:spacing w:line="32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或标准</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56EC1C52">
            <w:pPr>
              <w:snapToGrid w:val="0"/>
              <w:spacing w:line="32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检测方法</w:t>
            </w:r>
          </w:p>
        </w:tc>
      </w:tr>
      <w:tr w14:paraId="410E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1" w:type="dxa"/>
            <w:vMerge w:val="restart"/>
            <w:tcBorders>
              <w:top w:val="single" w:color="auto" w:sz="4" w:space="0"/>
              <w:left w:val="single" w:color="auto" w:sz="4" w:space="0"/>
              <w:right w:val="single" w:color="auto" w:sz="4" w:space="0"/>
            </w:tcBorders>
            <w:noWrap w:val="0"/>
            <w:vAlign w:val="center"/>
          </w:tcPr>
          <w:p w14:paraId="7CA6031F">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510" w:type="dxa"/>
            <w:vMerge w:val="restart"/>
            <w:tcBorders>
              <w:top w:val="single" w:color="auto" w:sz="4" w:space="0"/>
              <w:left w:val="single" w:color="auto" w:sz="4" w:space="0"/>
              <w:right w:val="single" w:color="auto" w:sz="4" w:space="0"/>
            </w:tcBorders>
            <w:noWrap w:val="0"/>
            <w:vAlign w:val="center"/>
          </w:tcPr>
          <w:p w14:paraId="7A545B00">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力学性能</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AD89854">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eastAsia="zh-CN"/>
              </w:rPr>
              <w:t>下</w:t>
            </w:r>
            <w:r>
              <w:rPr>
                <w:rFonts w:hint="eastAsia" w:ascii="仿宋_GB2312" w:hAnsi="仿宋_GB2312" w:eastAsia="仿宋_GB2312" w:cs="仿宋_GB2312"/>
                <w:bCs/>
                <w:color w:val="auto"/>
                <w:kern w:val="0"/>
                <w:sz w:val="28"/>
                <w:szCs w:val="28"/>
              </w:rPr>
              <w:t>屈服强度</w:t>
            </w:r>
            <w:r>
              <w:rPr>
                <w:rFonts w:hint="default" w:ascii="Times New Roman" w:hAnsi="Times New Roman" w:eastAsia="仿宋_GB2312" w:cs="Times New Roman"/>
                <w:bCs/>
                <w:i/>
                <w:iCs/>
                <w:color w:val="auto"/>
                <w:kern w:val="0"/>
                <w:sz w:val="28"/>
                <w:szCs w:val="28"/>
              </w:rPr>
              <w:t>R</w:t>
            </w:r>
            <w:r>
              <w:rPr>
                <w:rFonts w:hint="default" w:ascii="Times New Roman" w:hAnsi="Times New Roman" w:eastAsia="仿宋_GB2312" w:cs="Times New Roman"/>
                <w:bCs/>
                <w:color w:val="auto"/>
                <w:kern w:val="0"/>
                <w:sz w:val="28"/>
                <w:szCs w:val="28"/>
                <w:vertAlign w:val="subscript"/>
              </w:rPr>
              <w:t>eL</w:t>
            </w:r>
          </w:p>
        </w:tc>
        <w:tc>
          <w:tcPr>
            <w:tcW w:w="2188" w:type="dxa"/>
            <w:vMerge w:val="restart"/>
            <w:tcBorders>
              <w:top w:val="single" w:color="auto" w:sz="4" w:space="0"/>
              <w:left w:val="single" w:color="auto" w:sz="4" w:space="0"/>
              <w:right w:val="single" w:color="auto" w:sz="4" w:space="0"/>
            </w:tcBorders>
            <w:noWrap w:val="0"/>
            <w:vAlign w:val="center"/>
          </w:tcPr>
          <w:p w14:paraId="1F23BA57">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GB 1499.2-20</w:t>
            </w:r>
            <w:r>
              <w:rPr>
                <w:rFonts w:hint="eastAsia" w:ascii="仿宋_GB2312" w:hAnsi="仿宋_GB2312" w:eastAsia="仿宋_GB2312" w:cs="仿宋_GB2312"/>
                <w:bCs/>
                <w:color w:val="auto"/>
                <w:kern w:val="0"/>
                <w:sz w:val="28"/>
                <w:szCs w:val="28"/>
                <w:lang w:val="en-US" w:eastAsia="zh-CN"/>
              </w:rPr>
              <w:t>24</w:t>
            </w:r>
            <w:r>
              <w:rPr>
                <w:rFonts w:hint="eastAsia" w:ascii="仿宋_GB2312" w:hAnsi="仿宋_GB2312" w:eastAsia="仿宋_GB2312" w:cs="仿宋_GB2312"/>
                <w:bCs/>
                <w:color w:val="auto"/>
                <w:kern w:val="0"/>
                <w:sz w:val="28"/>
                <w:szCs w:val="28"/>
              </w:rPr>
              <w:t>/</w:t>
            </w:r>
          </w:p>
          <w:p w14:paraId="2A5A23E0">
            <w:pPr>
              <w:snapToGrid w:val="0"/>
              <w:spacing w:line="32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lang w:val="en-US" w:eastAsia="zh-CN"/>
              </w:rPr>
              <w:t>3</w:t>
            </w:r>
          </w:p>
        </w:tc>
        <w:tc>
          <w:tcPr>
            <w:tcW w:w="2461" w:type="dxa"/>
            <w:vMerge w:val="restart"/>
            <w:tcBorders>
              <w:top w:val="single" w:color="auto" w:sz="4" w:space="0"/>
              <w:left w:val="single" w:color="auto" w:sz="4" w:space="0"/>
              <w:right w:val="single" w:color="auto" w:sz="4" w:space="0"/>
            </w:tcBorders>
            <w:noWrap w:val="0"/>
            <w:vAlign w:val="center"/>
          </w:tcPr>
          <w:p w14:paraId="62A6970A">
            <w:pPr>
              <w:snapToGrid w:val="0"/>
              <w:spacing w:line="32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rPr>
              <w:t>GB 1499.2-20</w:t>
            </w:r>
            <w:r>
              <w:rPr>
                <w:rFonts w:hint="eastAsia" w:ascii="仿宋_GB2312" w:hAnsi="仿宋_GB2312" w:eastAsia="仿宋_GB2312" w:cs="仿宋_GB2312"/>
                <w:bCs/>
                <w:color w:val="auto"/>
                <w:kern w:val="0"/>
                <w:sz w:val="28"/>
                <w:szCs w:val="28"/>
                <w:lang w:val="en-US" w:eastAsia="zh-CN"/>
              </w:rPr>
              <w:t>24</w:t>
            </w:r>
          </w:p>
          <w:p w14:paraId="25258A87">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GB/T 28900-20</w:t>
            </w:r>
            <w:r>
              <w:rPr>
                <w:rFonts w:hint="eastAsia" w:ascii="仿宋_GB2312" w:hAnsi="仿宋_GB2312" w:eastAsia="仿宋_GB2312" w:cs="仿宋_GB2312"/>
                <w:bCs/>
                <w:color w:val="auto"/>
                <w:kern w:val="0"/>
                <w:sz w:val="28"/>
                <w:szCs w:val="28"/>
                <w:lang w:val="en-US" w:eastAsia="zh-CN"/>
              </w:rPr>
              <w:t>2</w:t>
            </w:r>
            <w:r>
              <w:rPr>
                <w:rFonts w:hint="eastAsia" w:ascii="仿宋_GB2312" w:hAnsi="仿宋_GB2312" w:eastAsia="仿宋_GB2312" w:cs="仿宋_GB2312"/>
                <w:bCs/>
                <w:color w:val="auto"/>
                <w:kern w:val="0"/>
                <w:sz w:val="28"/>
                <w:szCs w:val="28"/>
              </w:rPr>
              <w:t>2</w:t>
            </w:r>
          </w:p>
        </w:tc>
      </w:tr>
      <w:tr w14:paraId="10B9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1" w:type="dxa"/>
            <w:vMerge w:val="continue"/>
            <w:tcBorders>
              <w:left w:val="single" w:color="auto" w:sz="4" w:space="0"/>
              <w:right w:val="single" w:color="auto" w:sz="4" w:space="0"/>
            </w:tcBorders>
            <w:noWrap w:val="0"/>
            <w:vAlign w:val="center"/>
          </w:tcPr>
          <w:p w14:paraId="23F6ED19">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right w:val="single" w:color="auto" w:sz="4" w:space="0"/>
            </w:tcBorders>
            <w:noWrap w:val="0"/>
            <w:vAlign w:val="center"/>
          </w:tcPr>
          <w:p w14:paraId="6BD9CCC2">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3DA035D">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抗拉强度</w:t>
            </w:r>
            <w:r>
              <w:rPr>
                <w:rFonts w:hint="default" w:ascii="Times New Roman" w:hAnsi="Times New Roman" w:eastAsia="仿宋_GB2312" w:cs="Times New Roman"/>
                <w:bCs/>
                <w:i/>
                <w:iCs/>
                <w:color w:val="auto"/>
                <w:kern w:val="0"/>
                <w:sz w:val="28"/>
                <w:szCs w:val="28"/>
              </w:rPr>
              <w:t>R</w:t>
            </w:r>
            <w:r>
              <w:rPr>
                <w:rFonts w:hint="default" w:ascii="Times New Roman" w:hAnsi="Times New Roman" w:eastAsia="仿宋_GB2312" w:cs="Times New Roman"/>
                <w:bCs/>
                <w:color w:val="auto"/>
                <w:kern w:val="0"/>
                <w:sz w:val="28"/>
                <w:szCs w:val="28"/>
                <w:vertAlign w:val="subscript"/>
              </w:rPr>
              <w:t>m</w:t>
            </w:r>
          </w:p>
        </w:tc>
        <w:tc>
          <w:tcPr>
            <w:tcW w:w="2188" w:type="dxa"/>
            <w:vMerge w:val="continue"/>
            <w:tcBorders>
              <w:left w:val="single" w:color="auto" w:sz="4" w:space="0"/>
              <w:right w:val="single" w:color="auto" w:sz="4" w:space="0"/>
            </w:tcBorders>
            <w:noWrap w:val="0"/>
            <w:vAlign w:val="center"/>
          </w:tcPr>
          <w:p w14:paraId="67E76C6F">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2762BC8A">
            <w:pPr>
              <w:snapToGrid w:val="0"/>
              <w:spacing w:line="320" w:lineRule="exact"/>
              <w:jc w:val="center"/>
              <w:rPr>
                <w:rFonts w:hint="eastAsia" w:ascii="仿宋_GB2312" w:hAnsi="仿宋_GB2312" w:eastAsia="仿宋_GB2312" w:cs="仿宋_GB2312"/>
                <w:bCs/>
                <w:color w:val="auto"/>
                <w:kern w:val="0"/>
                <w:sz w:val="28"/>
                <w:szCs w:val="28"/>
              </w:rPr>
            </w:pPr>
          </w:p>
        </w:tc>
      </w:tr>
      <w:tr w14:paraId="2783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1" w:type="dxa"/>
            <w:vMerge w:val="continue"/>
            <w:tcBorders>
              <w:left w:val="single" w:color="auto" w:sz="4" w:space="0"/>
              <w:right w:val="single" w:color="auto" w:sz="4" w:space="0"/>
            </w:tcBorders>
            <w:noWrap w:val="0"/>
            <w:vAlign w:val="center"/>
          </w:tcPr>
          <w:p w14:paraId="0983D817">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right w:val="single" w:color="auto" w:sz="4" w:space="0"/>
            </w:tcBorders>
            <w:noWrap w:val="0"/>
            <w:vAlign w:val="center"/>
          </w:tcPr>
          <w:p w14:paraId="32D72F03">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56894D">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断后伸长率</w:t>
            </w:r>
            <w:r>
              <w:rPr>
                <w:rFonts w:hint="default" w:ascii="Times New Roman" w:hAnsi="Times New Roman" w:eastAsia="仿宋_GB2312" w:cs="Times New Roman"/>
                <w:bCs/>
                <w:i/>
                <w:iCs/>
                <w:color w:val="auto"/>
                <w:kern w:val="0"/>
                <w:sz w:val="28"/>
                <w:szCs w:val="28"/>
              </w:rPr>
              <w:t>A</w:t>
            </w:r>
          </w:p>
        </w:tc>
        <w:tc>
          <w:tcPr>
            <w:tcW w:w="2188" w:type="dxa"/>
            <w:vMerge w:val="continue"/>
            <w:tcBorders>
              <w:left w:val="single" w:color="auto" w:sz="4" w:space="0"/>
              <w:right w:val="single" w:color="auto" w:sz="4" w:space="0"/>
            </w:tcBorders>
            <w:noWrap w:val="0"/>
            <w:vAlign w:val="center"/>
          </w:tcPr>
          <w:p w14:paraId="3F766446">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6306B539">
            <w:pPr>
              <w:snapToGrid w:val="0"/>
              <w:spacing w:line="320" w:lineRule="exact"/>
              <w:jc w:val="center"/>
              <w:rPr>
                <w:rFonts w:hint="eastAsia" w:ascii="仿宋_GB2312" w:hAnsi="仿宋_GB2312" w:eastAsia="仿宋_GB2312" w:cs="仿宋_GB2312"/>
                <w:bCs/>
                <w:color w:val="auto"/>
                <w:kern w:val="0"/>
                <w:sz w:val="28"/>
                <w:szCs w:val="28"/>
              </w:rPr>
            </w:pPr>
          </w:p>
        </w:tc>
      </w:tr>
      <w:tr w14:paraId="7923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11" w:type="dxa"/>
            <w:vMerge w:val="continue"/>
            <w:tcBorders>
              <w:left w:val="single" w:color="auto" w:sz="4" w:space="0"/>
              <w:right w:val="single" w:color="auto" w:sz="4" w:space="0"/>
            </w:tcBorders>
            <w:noWrap w:val="0"/>
            <w:vAlign w:val="center"/>
          </w:tcPr>
          <w:p w14:paraId="73B0EC2E">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right w:val="single" w:color="auto" w:sz="4" w:space="0"/>
            </w:tcBorders>
            <w:noWrap w:val="0"/>
            <w:vAlign w:val="center"/>
          </w:tcPr>
          <w:p w14:paraId="0ADC1C13">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0968557">
            <w:pPr>
              <w:snapToGrid w:val="0"/>
              <w:spacing w:line="32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rPr>
              <w:t>实测抗拉强度与实测</w:t>
            </w:r>
            <w:r>
              <w:rPr>
                <w:rFonts w:hint="eastAsia" w:ascii="仿宋_GB2312" w:hAnsi="仿宋_GB2312" w:eastAsia="仿宋_GB2312" w:cs="仿宋_GB2312"/>
                <w:bCs/>
                <w:color w:val="auto"/>
                <w:kern w:val="0"/>
                <w:sz w:val="28"/>
                <w:szCs w:val="28"/>
                <w:lang w:val="en-US" w:eastAsia="zh-CN"/>
              </w:rPr>
              <w:t>下</w:t>
            </w:r>
            <w:r>
              <w:rPr>
                <w:rFonts w:hint="eastAsia" w:ascii="仿宋_GB2312" w:hAnsi="仿宋_GB2312" w:eastAsia="仿宋_GB2312" w:cs="仿宋_GB2312"/>
                <w:bCs/>
                <w:color w:val="auto"/>
                <w:kern w:val="0"/>
                <w:sz w:val="28"/>
                <w:szCs w:val="28"/>
              </w:rPr>
              <w:t>屈服强度之比</w:t>
            </w:r>
            <w:r>
              <w:rPr>
                <w:rFonts w:hint="default" w:ascii="Times New Roman" w:hAnsi="Times New Roman" w:eastAsia="仿宋_GB2312" w:cs="Times New Roman"/>
                <w:bCs/>
                <w:i/>
                <w:iCs/>
                <w:color w:val="auto"/>
                <w:kern w:val="0"/>
                <w:sz w:val="28"/>
                <w:szCs w:val="28"/>
              </w:rPr>
              <w:t>R</w:t>
            </w:r>
            <w:r>
              <w:rPr>
                <w:rFonts w:hint="eastAsia" w:eastAsia="仿宋_GB2312" w:cs="Times New Roman"/>
                <w:bCs/>
                <w:color w:val="auto"/>
                <w:kern w:val="0"/>
                <w:sz w:val="28"/>
                <w:szCs w:val="28"/>
                <w:vertAlign w:val="superscript"/>
                <w:lang w:val="en-US" w:eastAsia="zh-CN"/>
              </w:rPr>
              <w:t>0</w:t>
            </w:r>
            <w:r>
              <w:rPr>
                <w:rFonts w:hint="default" w:ascii="Times New Roman" w:hAnsi="Times New Roman" w:eastAsia="仿宋_GB2312" w:cs="Times New Roman"/>
                <w:bCs/>
                <w:color w:val="auto"/>
                <w:kern w:val="0"/>
                <w:sz w:val="28"/>
                <w:szCs w:val="28"/>
                <w:vertAlign w:val="subscript"/>
              </w:rPr>
              <w:t>m</w:t>
            </w:r>
            <w:r>
              <w:rPr>
                <w:rFonts w:hint="default" w:ascii="Times New Roman" w:hAnsi="Times New Roman" w:eastAsia="仿宋_GB2312" w:cs="Times New Roman"/>
                <w:bCs/>
                <w:color w:val="auto"/>
                <w:kern w:val="0"/>
                <w:sz w:val="28"/>
                <w:szCs w:val="28"/>
              </w:rPr>
              <w:t xml:space="preserve">/ </w:t>
            </w:r>
            <w:r>
              <w:rPr>
                <w:rFonts w:hint="default" w:ascii="Times New Roman" w:hAnsi="Times New Roman" w:eastAsia="仿宋_GB2312" w:cs="Times New Roman"/>
                <w:bCs/>
                <w:i/>
                <w:iCs/>
                <w:color w:val="auto"/>
                <w:kern w:val="0"/>
                <w:sz w:val="28"/>
                <w:szCs w:val="28"/>
              </w:rPr>
              <w:t>R</w:t>
            </w:r>
            <w:r>
              <w:rPr>
                <w:rFonts w:hint="eastAsia" w:eastAsia="仿宋_GB2312" w:cs="Times New Roman"/>
                <w:bCs/>
                <w:color w:val="auto"/>
                <w:kern w:val="0"/>
                <w:sz w:val="28"/>
                <w:szCs w:val="28"/>
                <w:vertAlign w:val="superscript"/>
                <w:lang w:val="en-US" w:eastAsia="zh-CN"/>
              </w:rPr>
              <w:t>0</w:t>
            </w:r>
            <w:r>
              <w:rPr>
                <w:rFonts w:hint="default" w:ascii="Times New Roman" w:hAnsi="Times New Roman" w:eastAsia="仿宋_GB2312" w:cs="Times New Roman"/>
                <w:bCs/>
                <w:color w:val="auto"/>
                <w:kern w:val="0"/>
                <w:sz w:val="28"/>
                <w:szCs w:val="28"/>
                <w:vertAlign w:val="subscript"/>
              </w:rPr>
              <w:t>eL</w:t>
            </w:r>
          </w:p>
        </w:tc>
        <w:tc>
          <w:tcPr>
            <w:tcW w:w="2188" w:type="dxa"/>
            <w:vMerge w:val="continue"/>
            <w:tcBorders>
              <w:left w:val="single" w:color="auto" w:sz="4" w:space="0"/>
              <w:right w:val="single" w:color="auto" w:sz="4" w:space="0"/>
            </w:tcBorders>
            <w:noWrap w:val="0"/>
            <w:vAlign w:val="center"/>
          </w:tcPr>
          <w:p w14:paraId="4DD6E079">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2CE4B4ED">
            <w:pPr>
              <w:snapToGrid w:val="0"/>
              <w:spacing w:line="320" w:lineRule="exact"/>
              <w:jc w:val="center"/>
              <w:rPr>
                <w:rFonts w:hint="eastAsia" w:ascii="仿宋_GB2312" w:hAnsi="仿宋_GB2312" w:eastAsia="仿宋_GB2312" w:cs="仿宋_GB2312"/>
                <w:bCs/>
                <w:color w:val="auto"/>
                <w:kern w:val="0"/>
                <w:sz w:val="28"/>
                <w:szCs w:val="28"/>
              </w:rPr>
            </w:pPr>
          </w:p>
        </w:tc>
      </w:tr>
      <w:tr w14:paraId="27B2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11" w:type="dxa"/>
            <w:vMerge w:val="continue"/>
            <w:tcBorders>
              <w:left w:val="single" w:color="auto" w:sz="4" w:space="0"/>
              <w:right w:val="single" w:color="auto" w:sz="4" w:space="0"/>
            </w:tcBorders>
            <w:noWrap w:val="0"/>
            <w:vAlign w:val="center"/>
          </w:tcPr>
          <w:p w14:paraId="5E90BBFC">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right w:val="single" w:color="auto" w:sz="4" w:space="0"/>
            </w:tcBorders>
            <w:noWrap w:val="0"/>
            <w:vAlign w:val="center"/>
          </w:tcPr>
          <w:p w14:paraId="74761F47">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85F5C40">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实测</w:t>
            </w:r>
            <w:r>
              <w:rPr>
                <w:rFonts w:hint="eastAsia" w:ascii="仿宋_GB2312" w:hAnsi="仿宋_GB2312" w:eastAsia="仿宋_GB2312" w:cs="仿宋_GB2312"/>
                <w:bCs/>
                <w:color w:val="auto"/>
                <w:kern w:val="0"/>
                <w:sz w:val="28"/>
                <w:szCs w:val="28"/>
                <w:lang w:val="en-US" w:eastAsia="zh-CN"/>
              </w:rPr>
              <w:t>下</w:t>
            </w:r>
            <w:r>
              <w:rPr>
                <w:rFonts w:hint="eastAsia" w:ascii="仿宋_GB2312" w:hAnsi="仿宋_GB2312" w:eastAsia="仿宋_GB2312" w:cs="仿宋_GB2312"/>
                <w:bCs/>
                <w:color w:val="auto"/>
                <w:kern w:val="0"/>
                <w:sz w:val="28"/>
                <w:szCs w:val="28"/>
              </w:rPr>
              <w:t>屈服强度与</w:t>
            </w:r>
            <w:r>
              <w:rPr>
                <w:rFonts w:hint="eastAsia" w:ascii="仿宋_GB2312" w:hAnsi="仿宋_GB2312" w:eastAsia="仿宋_GB2312" w:cs="仿宋_GB2312"/>
                <w:bCs/>
                <w:color w:val="auto"/>
                <w:kern w:val="0"/>
                <w:sz w:val="28"/>
                <w:szCs w:val="28"/>
                <w:lang w:val="en-US" w:eastAsia="zh-CN"/>
              </w:rPr>
              <w:t>下</w:t>
            </w:r>
            <w:r>
              <w:rPr>
                <w:rFonts w:hint="eastAsia" w:ascii="仿宋_GB2312" w:hAnsi="仿宋_GB2312" w:eastAsia="仿宋_GB2312" w:cs="仿宋_GB2312"/>
                <w:bCs/>
                <w:color w:val="auto"/>
                <w:kern w:val="0"/>
                <w:sz w:val="28"/>
                <w:szCs w:val="28"/>
              </w:rPr>
              <w:t>屈服强度特征值之比</w:t>
            </w:r>
            <w:r>
              <w:rPr>
                <w:rFonts w:hint="default" w:ascii="Times New Roman" w:hAnsi="Times New Roman" w:eastAsia="仿宋_GB2312" w:cs="Times New Roman"/>
                <w:bCs/>
                <w:i/>
                <w:iCs/>
                <w:color w:val="auto"/>
                <w:kern w:val="0"/>
                <w:sz w:val="28"/>
                <w:szCs w:val="28"/>
              </w:rPr>
              <w:t>R</w:t>
            </w:r>
            <w:r>
              <w:rPr>
                <w:rFonts w:hint="eastAsia" w:eastAsia="仿宋_GB2312" w:cs="Times New Roman"/>
                <w:bCs/>
                <w:color w:val="auto"/>
                <w:kern w:val="0"/>
                <w:sz w:val="28"/>
                <w:szCs w:val="28"/>
                <w:vertAlign w:val="superscript"/>
                <w:lang w:val="en-US" w:eastAsia="zh-CN"/>
              </w:rPr>
              <w:t>0</w:t>
            </w:r>
            <w:r>
              <w:rPr>
                <w:rFonts w:hint="default" w:ascii="Times New Roman" w:hAnsi="Times New Roman" w:eastAsia="仿宋_GB2312" w:cs="Times New Roman"/>
                <w:bCs/>
                <w:color w:val="auto"/>
                <w:kern w:val="0"/>
                <w:sz w:val="28"/>
                <w:szCs w:val="28"/>
                <w:vertAlign w:val="subscript"/>
              </w:rPr>
              <w:t>eL</w:t>
            </w:r>
            <w:r>
              <w:rPr>
                <w:rFonts w:hint="default" w:ascii="Times New Roman" w:hAnsi="Times New Roman" w:eastAsia="仿宋_GB2312" w:cs="Times New Roman"/>
                <w:bCs/>
                <w:color w:val="auto"/>
                <w:kern w:val="0"/>
                <w:sz w:val="28"/>
                <w:szCs w:val="28"/>
              </w:rPr>
              <w:t xml:space="preserve">/ </w:t>
            </w:r>
            <w:r>
              <w:rPr>
                <w:rFonts w:hint="default" w:ascii="Times New Roman" w:hAnsi="Times New Roman" w:eastAsia="仿宋_GB2312" w:cs="Times New Roman"/>
                <w:bCs/>
                <w:i/>
                <w:iCs/>
                <w:color w:val="auto"/>
                <w:kern w:val="0"/>
                <w:sz w:val="28"/>
                <w:szCs w:val="28"/>
              </w:rPr>
              <w:t>R</w:t>
            </w:r>
            <w:r>
              <w:rPr>
                <w:rFonts w:hint="default" w:ascii="Times New Roman" w:hAnsi="Times New Roman" w:eastAsia="仿宋_GB2312" w:cs="Times New Roman"/>
                <w:bCs/>
                <w:color w:val="auto"/>
                <w:kern w:val="0"/>
                <w:sz w:val="28"/>
                <w:szCs w:val="28"/>
                <w:vertAlign w:val="subscript"/>
              </w:rPr>
              <w:t>eL</w:t>
            </w:r>
          </w:p>
        </w:tc>
        <w:tc>
          <w:tcPr>
            <w:tcW w:w="2188" w:type="dxa"/>
            <w:vMerge w:val="continue"/>
            <w:tcBorders>
              <w:left w:val="single" w:color="auto" w:sz="4" w:space="0"/>
              <w:right w:val="single" w:color="auto" w:sz="4" w:space="0"/>
            </w:tcBorders>
            <w:noWrap w:val="0"/>
            <w:vAlign w:val="center"/>
          </w:tcPr>
          <w:p w14:paraId="1E3FCEE8">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3900637A">
            <w:pPr>
              <w:snapToGrid w:val="0"/>
              <w:spacing w:line="320" w:lineRule="exact"/>
              <w:jc w:val="center"/>
              <w:rPr>
                <w:rFonts w:hint="eastAsia" w:ascii="仿宋_GB2312" w:hAnsi="仿宋_GB2312" w:eastAsia="仿宋_GB2312" w:cs="仿宋_GB2312"/>
                <w:bCs/>
                <w:color w:val="auto"/>
                <w:kern w:val="0"/>
                <w:sz w:val="28"/>
                <w:szCs w:val="28"/>
              </w:rPr>
            </w:pPr>
          </w:p>
        </w:tc>
      </w:tr>
      <w:tr w14:paraId="7505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1" w:type="dxa"/>
            <w:vMerge w:val="continue"/>
            <w:tcBorders>
              <w:left w:val="single" w:color="auto" w:sz="4" w:space="0"/>
              <w:right w:val="single" w:color="auto" w:sz="4" w:space="0"/>
            </w:tcBorders>
            <w:noWrap w:val="0"/>
            <w:vAlign w:val="center"/>
          </w:tcPr>
          <w:p w14:paraId="065002F0">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right w:val="single" w:color="auto" w:sz="4" w:space="0"/>
            </w:tcBorders>
            <w:noWrap w:val="0"/>
            <w:vAlign w:val="center"/>
          </w:tcPr>
          <w:p w14:paraId="00E9E146">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0D2170D">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最大力总延伸率</w:t>
            </w:r>
            <w:r>
              <w:rPr>
                <w:rFonts w:hint="default" w:ascii="Times New Roman" w:hAnsi="Times New Roman" w:eastAsia="仿宋_GB2312" w:cs="Times New Roman"/>
                <w:bCs/>
                <w:i/>
                <w:iCs/>
                <w:color w:val="auto"/>
                <w:kern w:val="0"/>
                <w:sz w:val="28"/>
                <w:szCs w:val="28"/>
              </w:rPr>
              <w:t>A</w:t>
            </w:r>
            <w:r>
              <w:rPr>
                <w:rFonts w:hint="default" w:ascii="Times New Roman" w:hAnsi="Times New Roman" w:eastAsia="仿宋_GB2312" w:cs="Times New Roman"/>
                <w:bCs/>
                <w:color w:val="auto"/>
                <w:kern w:val="0"/>
                <w:sz w:val="28"/>
                <w:szCs w:val="28"/>
                <w:vertAlign w:val="subscript"/>
              </w:rPr>
              <w:t>gt</w:t>
            </w:r>
          </w:p>
        </w:tc>
        <w:tc>
          <w:tcPr>
            <w:tcW w:w="2188" w:type="dxa"/>
            <w:vMerge w:val="continue"/>
            <w:tcBorders>
              <w:left w:val="single" w:color="auto" w:sz="4" w:space="0"/>
              <w:right w:val="single" w:color="auto" w:sz="4" w:space="0"/>
            </w:tcBorders>
            <w:noWrap w:val="0"/>
            <w:vAlign w:val="center"/>
          </w:tcPr>
          <w:p w14:paraId="68F34DB7">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bottom w:val="single" w:color="auto" w:sz="4" w:space="0"/>
              <w:right w:val="single" w:color="auto" w:sz="4" w:space="0"/>
            </w:tcBorders>
            <w:noWrap w:val="0"/>
            <w:vAlign w:val="center"/>
          </w:tcPr>
          <w:p w14:paraId="0EE47873">
            <w:pPr>
              <w:snapToGrid w:val="0"/>
              <w:spacing w:line="320" w:lineRule="exact"/>
              <w:jc w:val="center"/>
              <w:rPr>
                <w:rFonts w:hint="eastAsia" w:ascii="仿宋_GB2312" w:hAnsi="仿宋_GB2312" w:eastAsia="仿宋_GB2312" w:cs="仿宋_GB2312"/>
                <w:bCs/>
                <w:color w:val="auto"/>
                <w:kern w:val="0"/>
                <w:sz w:val="28"/>
                <w:szCs w:val="28"/>
              </w:rPr>
            </w:pPr>
          </w:p>
        </w:tc>
      </w:tr>
      <w:tr w14:paraId="09CF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11" w:type="dxa"/>
            <w:vMerge w:val="restart"/>
            <w:tcBorders>
              <w:left w:val="single" w:color="auto" w:sz="4" w:space="0"/>
              <w:right w:val="single" w:color="auto" w:sz="4" w:space="0"/>
            </w:tcBorders>
            <w:noWrap w:val="0"/>
            <w:vAlign w:val="center"/>
          </w:tcPr>
          <w:p w14:paraId="772D2FEF">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510" w:type="dxa"/>
            <w:vMerge w:val="restart"/>
            <w:tcBorders>
              <w:left w:val="single" w:color="auto" w:sz="4" w:space="0"/>
              <w:right w:val="single" w:color="auto" w:sz="4" w:space="0"/>
            </w:tcBorders>
            <w:noWrap w:val="0"/>
            <w:vAlign w:val="center"/>
          </w:tcPr>
          <w:p w14:paraId="64153792">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工艺性能</w:t>
            </w:r>
          </w:p>
        </w:tc>
        <w:tc>
          <w:tcPr>
            <w:tcW w:w="3405" w:type="dxa"/>
            <w:tcBorders>
              <w:left w:val="single" w:color="auto" w:sz="4" w:space="0"/>
              <w:bottom w:val="single" w:color="auto" w:sz="4" w:space="0"/>
              <w:right w:val="single" w:color="auto" w:sz="4" w:space="0"/>
            </w:tcBorders>
            <w:noWrap w:val="0"/>
            <w:vAlign w:val="center"/>
          </w:tcPr>
          <w:p w14:paraId="0334E068">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弯曲性能</w:t>
            </w:r>
          </w:p>
        </w:tc>
        <w:tc>
          <w:tcPr>
            <w:tcW w:w="2188" w:type="dxa"/>
            <w:tcBorders>
              <w:left w:val="single" w:color="auto" w:sz="4" w:space="0"/>
              <w:bottom w:val="single" w:color="auto" w:sz="4" w:space="0"/>
              <w:right w:val="single" w:color="auto" w:sz="4" w:space="0"/>
            </w:tcBorders>
            <w:noWrap w:val="0"/>
            <w:vAlign w:val="center"/>
          </w:tcPr>
          <w:p w14:paraId="43C41B7D">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GB 1499.2-20</w:t>
            </w:r>
            <w:r>
              <w:rPr>
                <w:rFonts w:hint="eastAsia" w:ascii="仿宋_GB2312" w:hAnsi="仿宋_GB2312" w:eastAsia="仿宋_GB2312" w:cs="仿宋_GB2312"/>
                <w:bCs/>
                <w:color w:val="auto"/>
                <w:kern w:val="0"/>
                <w:sz w:val="28"/>
                <w:szCs w:val="28"/>
                <w:lang w:val="en-US" w:eastAsia="zh-CN"/>
              </w:rPr>
              <w:t>24</w:t>
            </w:r>
            <w:r>
              <w:rPr>
                <w:rFonts w:hint="eastAsia" w:ascii="仿宋_GB2312" w:hAnsi="仿宋_GB2312" w:eastAsia="仿宋_GB2312" w:cs="仿宋_GB2312"/>
                <w:bCs/>
                <w:color w:val="auto"/>
                <w:kern w:val="0"/>
                <w:sz w:val="28"/>
                <w:szCs w:val="28"/>
              </w:rPr>
              <w:t>/</w:t>
            </w:r>
          </w:p>
          <w:p w14:paraId="454247E7">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lang w:val="en-US" w:eastAsia="zh-CN"/>
              </w:rPr>
              <w:t>4</w:t>
            </w:r>
            <w:r>
              <w:rPr>
                <w:rFonts w:hint="eastAsia" w:ascii="仿宋_GB2312" w:hAnsi="仿宋_GB2312" w:eastAsia="仿宋_GB2312" w:cs="仿宋_GB2312"/>
                <w:bCs/>
                <w:color w:val="auto"/>
                <w:kern w:val="0"/>
                <w:sz w:val="28"/>
                <w:szCs w:val="28"/>
              </w:rPr>
              <w:t>.1</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6326B69E">
            <w:pPr>
              <w:snapToGrid w:val="0"/>
              <w:spacing w:line="32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rPr>
              <w:t>GB 1499.2-20</w:t>
            </w:r>
            <w:r>
              <w:rPr>
                <w:rFonts w:hint="eastAsia" w:ascii="仿宋_GB2312" w:hAnsi="仿宋_GB2312" w:eastAsia="仿宋_GB2312" w:cs="仿宋_GB2312"/>
                <w:bCs/>
                <w:color w:val="auto"/>
                <w:kern w:val="0"/>
                <w:sz w:val="28"/>
                <w:szCs w:val="28"/>
                <w:lang w:val="en-US" w:eastAsia="zh-CN"/>
              </w:rPr>
              <w:t>24</w:t>
            </w:r>
          </w:p>
          <w:p w14:paraId="39A2DE08">
            <w:pPr>
              <w:snapToGrid w:val="0"/>
              <w:spacing w:line="32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rPr>
              <w:t>GB/T 28900-20</w:t>
            </w:r>
            <w:r>
              <w:rPr>
                <w:rFonts w:hint="eastAsia" w:ascii="仿宋_GB2312" w:hAnsi="仿宋_GB2312" w:eastAsia="仿宋_GB2312" w:cs="仿宋_GB2312"/>
                <w:bCs/>
                <w:color w:val="auto"/>
                <w:kern w:val="0"/>
                <w:sz w:val="28"/>
                <w:szCs w:val="28"/>
                <w:lang w:val="en-US" w:eastAsia="zh-CN"/>
              </w:rPr>
              <w:t>22</w:t>
            </w:r>
          </w:p>
        </w:tc>
      </w:tr>
      <w:tr w14:paraId="25E8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511" w:type="dxa"/>
            <w:vMerge w:val="continue"/>
            <w:tcBorders>
              <w:left w:val="single" w:color="auto" w:sz="4" w:space="0"/>
              <w:bottom w:val="single" w:color="auto" w:sz="4" w:space="0"/>
              <w:right w:val="single" w:color="auto" w:sz="4" w:space="0"/>
            </w:tcBorders>
            <w:noWrap w:val="0"/>
            <w:vAlign w:val="center"/>
          </w:tcPr>
          <w:p w14:paraId="188D0825">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bottom w:val="single" w:color="auto" w:sz="4" w:space="0"/>
              <w:right w:val="single" w:color="auto" w:sz="4" w:space="0"/>
            </w:tcBorders>
            <w:noWrap w:val="0"/>
            <w:vAlign w:val="center"/>
          </w:tcPr>
          <w:p w14:paraId="2F4503AF">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left w:val="single" w:color="auto" w:sz="4" w:space="0"/>
              <w:bottom w:val="single" w:color="auto" w:sz="4" w:space="0"/>
              <w:right w:val="single" w:color="auto" w:sz="4" w:space="0"/>
            </w:tcBorders>
            <w:noWrap w:val="0"/>
            <w:vAlign w:val="center"/>
          </w:tcPr>
          <w:p w14:paraId="06C24096">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反向弯曲性能</w:t>
            </w:r>
          </w:p>
        </w:tc>
        <w:tc>
          <w:tcPr>
            <w:tcW w:w="2188" w:type="dxa"/>
            <w:tcBorders>
              <w:left w:val="single" w:color="auto" w:sz="4" w:space="0"/>
              <w:bottom w:val="single" w:color="auto" w:sz="4" w:space="0"/>
              <w:right w:val="single" w:color="auto" w:sz="4" w:space="0"/>
            </w:tcBorders>
            <w:noWrap w:val="0"/>
            <w:vAlign w:val="center"/>
          </w:tcPr>
          <w:p w14:paraId="1E52BE29">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GB 1499.2-20</w:t>
            </w:r>
            <w:r>
              <w:rPr>
                <w:rFonts w:hint="eastAsia" w:ascii="仿宋_GB2312" w:hAnsi="仿宋_GB2312" w:eastAsia="仿宋_GB2312" w:cs="仿宋_GB2312"/>
                <w:bCs/>
                <w:color w:val="auto"/>
                <w:kern w:val="0"/>
                <w:sz w:val="28"/>
                <w:szCs w:val="28"/>
                <w:lang w:val="en-US" w:eastAsia="zh-CN"/>
              </w:rPr>
              <w:t>24</w:t>
            </w:r>
            <w:r>
              <w:rPr>
                <w:rFonts w:hint="eastAsia" w:ascii="仿宋_GB2312" w:hAnsi="仿宋_GB2312" w:eastAsia="仿宋_GB2312" w:cs="仿宋_GB2312"/>
                <w:bCs/>
                <w:color w:val="auto"/>
                <w:kern w:val="0"/>
                <w:sz w:val="28"/>
                <w:szCs w:val="28"/>
              </w:rPr>
              <w:t>/</w:t>
            </w:r>
          </w:p>
          <w:p w14:paraId="11BAE336">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lang w:val="en-US" w:eastAsia="zh-CN"/>
              </w:rPr>
              <w:t>4</w:t>
            </w:r>
            <w:r>
              <w:rPr>
                <w:rFonts w:hint="eastAsia" w:ascii="仿宋_GB2312" w:hAnsi="仿宋_GB2312" w:eastAsia="仿宋_GB2312" w:cs="仿宋_GB2312"/>
                <w:bCs/>
                <w:color w:val="auto"/>
                <w:kern w:val="0"/>
                <w:sz w:val="28"/>
                <w:szCs w:val="28"/>
              </w:rPr>
              <w:t>.2</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56B6183D">
            <w:pPr>
              <w:snapToGrid w:val="0"/>
              <w:spacing w:line="32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rPr>
              <w:t>GB 1499.2-20</w:t>
            </w:r>
            <w:r>
              <w:rPr>
                <w:rFonts w:hint="eastAsia" w:ascii="仿宋_GB2312" w:hAnsi="仿宋_GB2312" w:eastAsia="仿宋_GB2312" w:cs="仿宋_GB2312"/>
                <w:bCs/>
                <w:color w:val="auto"/>
                <w:kern w:val="0"/>
                <w:sz w:val="28"/>
                <w:szCs w:val="28"/>
                <w:lang w:val="en-US" w:eastAsia="zh-CN"/>
              </w:rPr>
              <w:t>24</w:t>
            </w:r>
          </w:p>
          <w:p w14:paraId="51C9D09D">
            <w:pPr>
              <w:snapToGrid w:val="0"/>
              <w:spacing w:line="32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rPr>
              <w:t>GB/T 28900-20</w:t>
            </w:r>
            <w:r>
              <w:rPr>
                <w:rFonts w:hint="eastAsia" w:ascii="仿宋_GB2312" w:hAnsi="仿宋_GB2312" w:eastAsia="仿宋_GB2312" w:cs="仿宋_GB2312"/>
                <w:bCs/>
                <w:color w:val="auto"/>
                <w:kern w:val="0"/>
                <w:sz w:val="28"/>
                <w:szCs w:val="28"/>
                <w:lang w:val="en-US" w:eastAsia="zh-CN"/>
              </w:rPr>
              <w:t>22</w:t>
            </w:r>
          </w:p>
        </w:tc>
      </w:tr>
      <w:tr w14:paraId="41F7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11" w:type="dxa"/>
            <w:vMerge w:val="restart"/>
            <w:tcBorders>
              <w:top w:val="single" w:color="auto" w:sz="4" w:space="0"/>
              <w:left w:val="single" w:color="auto" w:sz="4" w:space="0"/>
              <w:right w:val="single" w:color="auto" w:sz="4" w:space="0"/>
            </w:tcBorders>
            <w:noWrap w:val="0"/>
            <w:vAlign w:val="center"/>
          </w:tcPr>
          <w:p w14:paraId="0767AD1B">
            <w:pPr>
              <w:snapToGrid w:val="0"/>
              <w:spacing w:line="320" w:lineRule="exact"/>
              <w:jc w:val="center"/>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3</w:t>
            </w:r>
          </w:p>
        </w:tc>
        <w:tc>
          <w:tcPr>
            <w:tcW w:w="510" w:type="dxa"/>
            <w:vMerge w:val="restart"/>
            <w:tcBorders>
              <w:top w:val="single" w:color="auto" w:sz="4" w:space="0"/>
              <w:left w:val="single" w:color="auto" w:sz="4" w:space="0"/>
              <w:right w:val="single" w:color="auto" w:sz="4" w:space="0"/>
            </w:tcBorders>
            <w:noWrap w:val="0"/>
            <w:vAlign w:val="center"/>
          </w:tcPr>
          <w:p w14:paraId="204ADBB2">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化学成分</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E612845">
            <w:pPr>
              <w:snapToGrid w:val="0"/>
              <w:spacing w:line="320" w:lineRule="exact"/>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C</w:t>
            </w:r>
          </w:p>
        </w:tc>
        <w:tc>
          <w:tcPr>
            <w:tcW w:w="2188" w:type="dxa"/>
            <w:vMerge w:val="restart"/>
            <w:tcBorders>
              <w:top w:val="single" w:color="auto" w:sz="4" w:space="0"/>
              <w:left w:val="single" w:color="auto" w:sz="4" w:space="0"/>
              <w:right w:val="single" w:color="auto" w:sz="4" w:space="0"/>
            </w:tcBorders>
            <w:noWrap w:val="0"/>
            <w:vAlign w:val="center"/>
          </w:tcPr>
          <w:p w14:paraId="006F94F1">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GB 1499.2-20</w:t>
            </w:r>
            <w:r>
              <w:rPr>
                <w:rFonts w:hint="eastAsia" w:ascii="仿宋_GB2312" w:hAnsi="仿宋_GB2312" w:eastAsia="仿宋_GB2312" w:cs="仿宋_GB2312"/>
                <w:bCs/>
                <w:color w:val="auto"/>
                <w:kern w:val="0"/>
                <w:sz w:val="28"/>
                <w:szCs w:val="28"/>
                <w:lang w:val="en-US" w:eastAsia="zh-CN"/>
              </w:rPr>
              <w:t>24</w:t>
            </w:r>
            <w:r>
              <w:rPr>
                <w:rFonts w:hint="eastAsia" w:ascii="仿宋_GB2312" w:hAnsi="仿宋_GB2312" w:eastAsia="仿宋_GB2312" w:cs="仿宋_GB2312"/>
                <w:bCs/>
                <w:color w:val="auto"/>
                <w:kern w:val="0"/>
                <w:sz w:val="28"/>
                <w:szCs w:val="28"/>
              </w:rPr>
              <w:t>/</w:t>
            </w:r>
          </w:p>
          <w:p w14:paraId="0E5E9B6E">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.2</w:t>
            </w:r>
          </w:p>
        </w:tc>
        <w:tc>
          <w:tcPr>
            <w:tcW w:w="2461" w:type="dxa"/>
            <w:vMerge w:val="restart"/>
            <w:tcBorders>
              <w:top w:val="single" w:color="auto" w:sz="4" w:space="0"/>
              <w:left w:val="single" w:color="auto" w:sz="4" w:space="0"/>
              <w:right w:val="single" w:color="auto" w:sz="4" w:space="0"/>
            </w:tcBorders>
            <w:noWrap w:val="0"/>
            <w:vAlign w:val="center"/>
          </w:tcPr>
          <w:p w14:paraId="04E14712">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GB/T</w:t>
            </w:r>
            <w:r>
              <w:rPr>
                <w:rFonts w:hint="eastAsia" w:ascii="仿宋_GB2312" w:hAnsi="仿宋_GB2312" w:eastAsia="仿宋_GB2312" w:cs="仿宋_GB2312"/>
                <w:bCs/>
                <w:color w:val="auto"/>
                <w:kern w:val="0"/>
                <w:sz w:val="28"/>
                <w:szCs w:val="28"/>
                <w:lang w:val="en-US" w:eastAsia="zh-CN"/>
              </w:rPr>
              <w:t xml:space="preserve"> </w:t>
            </w:r>
            <w:r>
              <w:rPr>
                <w:rFonts w:hint="eastAsia" w:ascii="仿宋_GB2312" w:hAnsi="仿宋_GB2312" w:eastAsia="仿宋_GB2312" w:cs="仿宋_GB2312"/>
                <w:bCs/>
                <w:color w:val="auto"/>
                <w:kern w:val="0"/>
                <w:sz w:val="28"/>
                <w:szCs w:val="28"/>
              </w:rPr>
              <w:t>4336-2016</w:t>
            </w:r>
          </w:p>
        </w:tc>
      </w:tr>
      <w:tr w14:paraId="3A93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vMerge w:val="continue"/>
            <w:tcBorders>
              <w:left w:val="single" w:color="auto" w:sz="4" w:space="0"/>
              <w:right w:val="single" w:color="auto" w:sz="4" w:space="0"/>
            </w:tcBorders>
            <w:noWrap w:val="0"/>
            <w:vAlign w:val="center"/>
          </w:tcPr>
          <w:p w14:paraId="05C05630">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right w:val="single" w:color="auto" w:sz="4" w:space="0"/>
            </w:tcBorders>
            <w:noWrap w:val="0"/>
            <w:vAlign w:val="center"/>
          </w:tcPr>
          <w:p w14:paraId="629953EB">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FB007FC">
            <w:pPr>
              <w:snapToGrid w:val="0"/>
              <w:spacing w:line="320" w:lineRule="exact"/>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Si</w:t>
            </w:r>
          </w:p>
        </w:tc>
        <w:tc>
          <w:tcPr>
            <w:tcW w:w="2188" w:type="dxa"/>
            <w:vMerge w:val="continue"/>
            <w:tcBorders>
              <w:left w:val="single" w:color="auto" w:sz="4" w:space="0"/>
              <w:right w:val="single" w:color="auto" w:sz="4" w:space="0"/>
            </w:tcBorders>
            <w:noWrap w:val="0"/>
            <w:vAlign w:val="center"/>
          </w:tcPr>
          <w:p w14:paraId="18290267">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3374DBA1">
            <w:pPr>
              <w:snapToGrid w:val="0"/>
              <w:spacing w:line="320" w:lineRule="exact"/>
              <w:jc w:val="center"/>
              <w:rPr>
                <w:rFonts w:hint="eastAsia" w:ascii="仿宋_GB2312" w:hAnsi="仿宋_GB2312" w:eastAsia="仿宋_GB2312" w:cs="仿宋_GB2312"/>
                <w:bCs/>
                <w:color w:val="auto"/>
                <w:kern w:val="0"/>
                <w:sz w:val="28"/>
                <w:szCs w:val="28"/>
              </w:rPr>
            </w:pPr>
          </w:p>
        </w:tc>
      </w:tr>
      <w:tr w14:paraId="20F4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vMerge w:val="continue"/>
            <w:tcBorders>
              <w:left w:val="single" w:color="auto" w:sz="4" w:space="0"/>
              <w:right w:val="single" w:color="auto" w:sz="4" w:space="0"/>
            </w:tcBorders>
            <w:noWrap w:val="0"/>
            <w:vAlign w:val="center"/>
          </w:tcPr>
          <w:p w14:paraId="69969661">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right w:val="single" w:color="auto" w:sz="4" w:space="0"/>
            </w:tcBorders>
            <w:noWrap w:val="0"/>
            <w:vAlign w:val="center"/>
          </w:tcPr>
          <w:p w14:paraId="613D3484">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C82FE33">
            <w:pPr>
              <w:snapToGrid w:val="0"/>
              <w:spacing w:line="320" w:lineRule="exact"/>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Mn</w:t>
            </w:r>
          </w:p>
        </w:tc>
        <w:tc>
          <w:tcPr>
            <w:tcW w:w="2188" w:type="dxa"/>
            <w:vMerge w:val="continue"/>
            <w:tcBorders>
              <w:left w:val="single" w:color="auto" w:sz="4" w:space="0"/>
              <w:right w:val="single" w:color="auto" w:sz="4" w:space="0"/>
            </w:tcBorders>
            <w:noWrap w:val="0"/>
            <w:vAlign w:val="center"/>
          </w:tcPr>
          <w:p w14:paraId="3C0FE359">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5D5E7C27">
            <w:pPr>
              <w:snapToGrid w:val="0"/>
              <w:spacing w:line="320" w:lineRule="exact"/>
              <w:jc w:val="center"/>
              <w:rPr>
                <w:rFonts w:hint="eastAsia" w:ascii="仿宋_GB2312" w:hAnsi="仿宋_GB2312" w:eastAsia="仿宋_GB2312" w:cs="仿宋_GB2312"/>
                <w:bCs/>
                <w:color w:val="auto"/>
                <w:kern w:val="0"/>
                <w:sz w:val="28"/>
                <w:szCs w:val="28"/>
              </w:rPr>
            </w:pPr>
          </w:p>
        </w:tc>
      </w:tr>
      <w:tr w14:paraId="29CD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vMerge w:val="continue"/>
            <w:tcBorders>
              <w:left w:val="single" w:color="auto" w:sz="4" w:space="0"/>
              <w:right w:val="single" w:color="auto" w:sz="4" w:space="0"/>
            </w:tcBorders>
            <w:noWrap w:val="0"/>
            <w:vAlign w:val="center"/>
          </w:tcPr>
          <w:p w14:paraId="610D1AA4">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right w:val="single" w:color="auto" w:sz="4" w:space="0"/>
            </w:tcBorders>
            <w:noWrap w:val="0"/>
            <w:vAlign w:val="center"/>
          </w:tcPr>
          <w:p w14:paraId="2FA1448F">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7F8FB39">
            <w:pPr>
              <w:snapToGrid w:val="0"/>
              <w:spacing w:line="320" w:lineRule="exact"/>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P</w:t>
            </w:r>
          </w:p>
        </w:tc>
        <w:tc>
          <w:tcPr>
            <w:tcW w:w="2188" w:type="dxa"/>
            <w:vMerge w:val="continue"/>
            <w:tcBorders>
              <w:left w:val="single" w:color="auto" w:sz="4" w:space="0"/>
              <w:right w:val="single" w:color="auto" w:sz="4" w:space="0"/>
            </w:tcBorders>
            <w:noWrap w:val="0"/>
            <w:vAlign w:val="center"/>
          </w:tcPr>
          <w:p w14:paraId="4AEF8EEA">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2E78002B">
            <w:pPr>
              <w:snapToGrid w:val="0"/>
              <w:spacing w:line="320" w:lineRule="exact"/>
              <w:jc w:val="center"/>
              <w:rPr>
                <w:rFonts w:hint="eastAsia" w:ascii="仿宋_GB2312" w:hAnsi="仿宋_GB2312" w:eastAsia="仿宋_GB2312" w:cs="仿宋_GB2312"/>
                <w:bCs/>
                <w:color w:val="auto"/>
                <w:kern w:val="0"/>
                <w:sz w:val="28"/>
                <w:szCs w:val="28"/>
              </w:rPr>
            </w:pPr>
          </w:p>
        </w:tc>
      </w:tr>
      <w:tr w14:paraId="2B5D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vMerge w:val="continue"/>
            <w:tcBorders>
              <w:left w:val="single" w:color="auto" w:sz="4" w:space="0"/>
              <w:right w:val="single" w:color="auto" w:sz="4" w:space="0"/>
            </w:tcBorders>
            <w:noWrap w:val="0"/>
            <w:vAlign w:val="center"/>
          </w:tcPr>
          <w:p w14:paraId="6BD8C6ED">
            <w:pPr>
              <w:snapToGrid w:val="0"/>
              <w:spacing w:line="320" w:lineRule="exact"/>
              <w:jc w:val="center"/>
              <w:rPr>
                <w:rFonts w:hint="eastAsia" w:ascii="仿宋_GB2312" w:hAnsi="仿宋_GB2312" w:eastAsia="仿宋_GB2312" w:cs="仿宋_GB2312"/>
                <w:bCs/>
                <w:color w:val="auto"/>
                <w:kern w:val="0"/>
                <w:sz w:val="28"/>
                <w:szCs w:val="28"/>
              </w:rPr>
            </w:pPr>
          </w:p>
        </w:tc>
        <w:tc>
          <w:tcPr>
            <w:tcW w:w="510" w:type="dxa"/>
            <w:vMerge w:val="continue"/>
            <w:tcBorders>
              <w:left w:val="single" w:color="auto" w:sz="4" w:space="0"/>
              <w:bottom w:val="single" w:color="auto" w:sz="4" w:space="0"/>
              <w:right w:val="single" w:color="auto" w:sz="4" w:space="0"/>
            </w:tcBorders>
            <w:noWrap w:val="0"/>
            <w:vAlign w:val="center"/>
          </w:tcPr>
          <w:p w14:paraId="596BE696">
            <w:pPr>
              <w:snapToGrid w:val="0"/>
              <w:spacing w:line="320" w:lineRule="exact"/>
              <w:jc w:val="center"/>
              <w:rPr>
                <w:rFonts w:hint="eastAsia" w:ascii="仿宋_GB2312" w:hAnsi="仿宋_GB2312" w:eastAsia="仿宋_GB2312" w:cs="仿宋_GB2312"/>
                <w:bCs/>
                <w:color w:val="auto"/>
                <w:kern w:val="0"/>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5120CC4">
            <w:pPr>
              <w:snapToGrid w:val="0"/>
              <w:spacing w:line="320" w:lineRule="exact"/>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S</w:t>
            </w:r>
          </w:p>
        </w:tc>
        <w:tc>
          <w:tcPr>
            <w:tcW w:w="2188" w:type="dxa"/>
            <w:vMerge w:val="continue"/>
            <w:tcBorders>
              <w:left w:val="single" w:color="auto" w:sz="4" w:space="0"/>
              <w:right w:val="single" w:color="auto" w:sz="4" w:space="0"/>
            </w:tcBorders>
            <w:noWrap w:val="0"/>
            <w:vAlign w:val="center"/>
          </w:tcPr>
          <w:p w14:paraId="708E346E">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61E9BD3A">
            <w:pPr>
              <w:snapToGrid w:val="0"/>
              <w:spacing w:line="320" w:lineRule="exact"/>
              <w:jc w:val="center"/>
              <w:rPr>
                <w:rFonts w:hint="eastAsia" w:ascii="仿宋_GB2312" w:hAnsi="仿宋_GB2312" w:eastAsia="仿宋_GB2312" w:cs="仿宋_GB2312"/>
                <w:bCs/>
                <w:color w:val="auto"/>
                <w:kern w:val="0"/>
                <w:sz w:val="28"/>
                <w:szCs w:val="28"/>
              </w:rPr>
            </w:pPr>
          </w:p>
        </w:tc>
      </w:tr>
      <w:tr w14:paraId="6359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tcBorders>
              <w:left w:val="single" w:color="auto" w:sz="4" w:space="0"/>
              <w:right w:val="single" w:color="auto" w:sz="4" w:space="0"/>
            </w:tcBorders>
            <w:noWrap w:val="0"/>
            <w:vAlign w:val="center"/>
          </w:tcPr>
          <w:p w14:paraId="3DD0A080">
            <w:pPr>
              <w:snapToGrid w:val="0"/>
              <w:spacing w:line="32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4</w:t>
            </w:r>
          </w:p>
        </w:tc>
        <w:tc>
          <w:tcPr>
            <w:tcW w:w="3915" w:type="dxa"/>
            <w:gridSpan w:val="2"/>
            <w:tcBorders>
              <w:left w:val="single" w:color="auto" w:sz="4" w:space="0"/>
              <w:right w:val="single" w:color="auto" w:sz="4" w:space="0"/>
            </w:tcBorders>
            <w:noWrap w:val="0"/>
            <w:vAlign w:val="center"/>
          </w:tcPr>
          <w:p w14:paraId="122831BA">
            <w:pPr>
              <w:snapToGrid w:val="0"/>
              <w:spacing w:line="320" w:lineRule="exact"/>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碳当量C</w:t>
            </w:r>
            <w:r>
              <w:rPr>
                <w:rFonts w:hint="default" w:ascii="Times New Roman" w:hAnsi="Times New Roman" w:eastAsia="仿宋_GB2312" w:cs="Times New Roman"/>
                <w:bCs/>
                <w:color w:val="auto"/>
                <w:kern w:val="0"/>
                <w:sz w:val="28"/>
                <w:szCs w:val="28"/>
                <w:vertAlign w:val="subscript"/>
              </w:rPr>
              <w:t>eq</w:t>
            </w:r>
          </w:p>
        </w:tc>
        <w:tc>
          <w:tcPr>
            <w:tcW w:w="2188" w:type="dxa"/>
            <w:vMerge w:val="continue"/>
            <w:tcBorders>
              <w:left w:val="single" w:color="auto" w:sz="4" w:space="0"/>
              <w:right w:val="single" w:color="auto" w:sz="4" w:space="0"/>
            </w:tcBorders>
            <w:noWrap w:val="0"/>
            <w:vAlign w:val="center"/>
          </w:tcPr>
          <w:p w14:paraId="351A424A">
            <w:pPr>
              <w:snapToGrid w:val="0"/>
              <w:spacing w:line="320" w:lineRule="exact"/>
              <w:jc w:val="center"/>
              <w:rPr>
                <w:rFonts w:hint="eastAsia" w:ascii="仿宋_GB2312" w:hAnsi="仿宋_GB2312" w:eastAsia="仿宋_GB2312" w:cs="仿宋_GB2312"/>
                <w:bCs/>
                <w:color w:val="auto"/>
                <w:kern w:val="0"/>
                <w:sz w:val="28"/>
                <w:szCs w:val="28"/>
              </w:rPr>
            </w:pPr>
          </w:p>
        </w:tc>
        <w:tc>
          <w:tcPr>
            <w:tcW w:w="2461" w:type="dxa"/>
            <w:vMerge w:val="continue"/>
            <w:tcBorders>
              <w:left w:val="single" w:color="auto" w:sz="4" w:space="0"/>
              <w:right w:val="single" w:color="auto" w:sz="4" w:space="0"/>
            </w:tcBorders>
            <w:noWrap w:val="0"/>
            <w:vAlign w:val="center"/>
          </w:tcPr>
          <w:p w14:paraId="6A1C6FB0">
            <w:pPr>
              <w:snapToGrid w:val="0"/>
              <w:spacing w:line="320" w:lineRule="exact"/>
              <w:jc w:val="center"/>
              <w:rPr>
                <w:rFonts w:hint="eastAsia" w:ascii="仿宋_GB2312" w:hAnsi="仿宋_GB2312" w:eastAsia="仿宋_GB2312" w:cs="仿宋_GB2312"/>
                <w:bCs/>
                <w:color w:val="auto"/>
                <w:kern w:val="0"/>
                <w:sz w:val="28"/>
                <w:szCs w:val="28"/>
              </w:rPr>
            </w:pPr>
          </w:p>
        </w:tc>
      </w:tr>
      <w:tr w14:paraId="7798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vMerge w:val="restart"/>
            <w:tcBorders>
              <w:left w:val="single" w:color="auto" w:sz="4" w:space="0"/>
              <w:right w:val="single" w:color="auto" w:sz="4" w:space="0"/>
            </w:tcBorders>
            <w:noWrap w:val="0"/>
            <w:vAlign w:val="center"/>
          </w:tcPr>
          <w:p w14:paraId="5DFAAC1A">
            <w:pPr>
              <w:snapToGrid w:val="0"/>
              <w:spacing w:line="32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5</w:t>
            </w:r>
          </w:p>
        </w:tc>
        <w:tc>
          <w:tcPr>
            <w:tcW w:w="510" w:type="dxa"/>
            <w:vMerge w:val="restart"/>
            <w:tcBorders>
              <w:left w:val="single" w:color="auto" w:sz="4" w:space="0"/>
              <w:right w:val="single" w:color="auto" w:sz="4" w:space="0"/>
            </w:tcBorders>
            <w:noWrap w:val="0"/>
            <w:vAlign w:val="center"/>
          </w:tcPr>
          <w:p w14:paraId="33B4C43C">
            <w:pPr>
              <w:snapToGrid w:val="0"/>
              <w:spacing w:line="32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尺寸外形</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DA32EF8">
            <w:pPr>
              <w:snapToGrid w:val="0"/>
              <w:spacing w:line="320" w:lineRule="exact"/>
              <w:jc w:val="center"/>
              <w:rPr>
                <w:rFonts w:hint="default" w:ascii="Times New Roman" w:hAnsi="Times New Roman" w:eastAsia="仿宋" w:cs="Times New Roman"/>
                <w:bCs/>
                <w:color w:val="auto"/>
                <w:kern w:val="0"/>
                <w:sz w:val="28"/>
                <w:szCs w:val="28"/>
              </w:rPr>
            </w:pPr>
            <w:r>
              <w:rPr>
                <w:rFonts w:hint="default" w:ascii="Times New Roman" w:hAnsi="Times New Roman" w:eastAsia="仿宋" w:cs="Times New Roman"/>
                <w:bCs/>
                <w:color w:val="auto"/>
                <w:kern w:val="0"/>
                <w:sz w:val="28"/>
                <w:szCs w:val="28"/>
              </w:rPr>
              <w:t>横肋高</w:t>
            </w:r>
            <w:r>
              <w:rPr>
                <w:rFonts w:hint="default" w:ascii="Times New Roman" w:hAnsi="Times New Roman" w:eastAsia="仿宋" w:cs="Times New Roman"/>
                <w:bCs/>
                <w:i/>
                <w:iCs/>
                <w:color w:val="auto"/>
                <w:kern w:val="0"/>
                <w:sz w:val="28"/>
                <w:szCs w:val="28"/>
              </w:rPr>
              <w:t>h</w:t>
            </w:r>
          </w:p>
        </w:tc>
        <w:tc>
          <w:tcPr>
            <w:tcW w:w="2188" w:type="dxa"/>
            <w:vMerge w:val="restart"/>
            <w:tcBorders>
              <w:left w:val="single" w:color="auto" w:sz="4" w:space="0"/>
              <w:right w:val="single" w:color="auto" w:sz="4" w:space="0"/>
            </w:tcBorders>
            <w:noWrap w:val="0"/>
            <w:vAlign w:val="center"/>
          </w:tcPr>
          <w:p w14:paraId="34EAE0B5">
            <w:pPr>
              <w:snapToGrid w:val="0"/>
              <w:spacing w:line="32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GB 1499.2-20</w:t>
            </w:r>
            <w:r>
              <w:rPr>
                <w:rFonts w:hint="eastAsia" w:ascii="仿宋" w:hAnsi="仿宋" w:eastAsia="仿宋" w:cs="仿宋"/>
                <w:bCs/>
                <w:color w:val="auto"/>
                <w:kern w:val="0"/>
                <w:sz w:val="28"/>
                <w:szCs w:val="28"/>
                <w:lang w:val="en-US" w:eastAsia="zh-CN"/>
              </w:rPr>
              <w:t>24</w:t>
            </w:r>
            <w:r>
              <w:rPr>
                <w:rFonts w:hint="eastAsia" w:ascii="仿宋" w:hAnsi="仿宋" w:eastAsia="仿宋" w:cs="仿宋"/>
                <w:bCs/>
                <w:color w:val="auto"/>
                <w:kern w:val="0"/>
                <w:sz w:val="28"/>
                <w:szCs w:val="28"/>
              </w:rPr>
              <w:t>/</w:t>
            </w:r>
          </w:p>
          <w:p w14:paraId="595FEABF">
            <w:pPr>
              <w:snapToGrid w:val="0"/>
              <w:spacing w:line="32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5</w:t>
            </w:r>
            <w:r>
              <w:rPr>
                <w:rFonts w:hint="eastAsia" w:ascii="仿宋" w:hAnsi="仿宋" w:eastAsia="仿宋" w:cs="仿宋"/>
                <w:bCs/>
                <w:color w:val="auto"/>
                <w:kern w:val="0"/>
                <w:sz w:val="28"/>
                <w:szCs w:val="28"/>
              </w:rPr>
              <w:t>.</w:t>
            </w:r>
            <w:r>
              <w:rPr>
                <w:rFonts w:hint="eastAsia" w:ascii="仿宋" w:hAnsi="仿宋" w:eastAsia="仿宋" w:cs="仿宋"/>
                <w:bCs/>
                <w:color w:val="auto"/>
                <w:kern w:val="0"/>
                <w:sz w:val="28"/>
                <w:szCs w:val="28"/>
                <w:lang w:val="en-US" w:eastAsia="zh-CN"/>
              </w:rPr>
              <w:t>3</w:t>
            </w:r>
          </w:p>
        </w:tc>
        <w:tc>
          <w:tcPr>
            <w:tcW w:w="2461" w:type="dxa"/>
            <w:vMerge w:val="restart"/>
            <w:tcBorders>
              <w:left w:val="single" w:color="auto" w:sz="4" w:space="0"/>
              <w:right w:val="single" w:color="auto" w:sz="4" w:space="0"/>
            </w:tcBorders>
            <w:noWrap w:val="0"/>
            <w:vAlign w:val="center"/>
          </w:tcPr>
          <w:p w14:paraId="29582ADA">
            <w:pPr>
              <w:snapToGrid w:val="0"/>
              <w:spacing w:line="32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eastAsia="zh-CN"/>
              </w:rPr>
              <w:t>GB 1499.2</w:t>
            </w:r>
            <w:r>
              <w:rPr>
                <w:rFonts w:hint="eastAsia" w:ascii="仿宋_GB2312" w:hAnsi="仿宋_GB2312" w:eastAsia="仿宋_GB2312" w:cs="仿宋_GB2312"/>
                <w:bCs/>
                <w:color w:val="auto"/>
                <w:kern w:val="0"/>
                <w:sz w:val="28"/>
                <w:szCs w:val="28"/>
                <w:lang w:val="en-US" w:eastAsia="zh-CN"/>
              </w:rPr>
              <w:t>-</w:t>
            </w:r>
            <w:r>
              <w:rPr>
                <w:rFonts w:hint="eastAsia" w:ascii="仿宋_GB2312" w:hAnsi="仿宋_GB2312" w:eastAsia="仿宋_GB2312" w:cs="仿宋_GB2312"/>
                <w:bCs/>
                <w:color w:val="auto"/>
                <w:kern w:val="0"/>
                <w:sz w:val="28"/>
                <w:szCs w:val="28"/>
                <w:lang w:eastAsia="zh-CN"/>
              </w:rPr>
              <w:t>2024</w:t>
            </w:r>
          </w:p>
        </w:tc>
      </w:tr>
      <w:tr w14:paraId="14DA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vMerge w:val="continue"/>
            <w:tcBorders>
              <w:left w:val="single" w:color="auto" w:sz="4" w:space="0"/>
              <w:right w:val="single" w:color="auto" w:sz="4" w:space="0"/>
            </w:tcBorders>
            <w:noWrap w:val="0"/>
            <w:vAlign w:val="center"/>
          </w:tcPr>
          <w:p w14:paraId="3191EFDE">
            <w:pPr>
              <w:adjustRightInd w:val="0"/>
              <w:snapToGrid w:val="0"/>
              <w:spacing w:line="276" w:lineRule="auto"/>
              <w:jc w:val="center"/>
              <w:rPr>
                <w:rFonts w:hint="eastAsia" w:ascii="仿宋" w:hAnsi="仿宋" w:eastAsia="仿宋" w:cs="仿宋"/>
                <w:bCs/>
                <w:sz w:val="28"/>
                <w:szCs w:val="28"/>
              </w:rPr>
            </w:pPr>
          </w:p>
        </w:tc>
        <w:tc>
          <w:tcPr>
            <w:tcW w:w="510" w:type="dxa"/>
            <w:vMerge w:val="continue"/>
            <w:tcBorders>
              <w:left w:val="single" w:color="auto" w:sz="4" w:space="0"/>
              <w:right w:val="single" w:color="auto" w:sz="4" w:space="0"/>
            </w:tcBorders>
            <w:noWrap w:val="0"/>
            <w:vAlign w:val="center"/>
          </w:tcPr>
          <w:p w14:paraId="2DFC79A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Cs/>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6E04095">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肋间距</w:t>
            </w:r>
            <w:r>
              <w:rPr>
                <w:rFonts w:hint="default" w:ascii="Times New Roman" w:hAnsi="Times New Roman" w:eastAsia="仿宋" w:cs="Times New Roman"/>
                <w:i/>
                <w:iCs w:val="0"/>
                <w:sz w:val="28"/>
                <w:szCs w:val="28"/>
                <w:lang w:val="en-US" w:eastAsia="zh-CN"/>
              </w:rPr>
              <w:t>l</w:t>
            </w:r>
          </w:p>
        </w:tc>
        <w:tc>
          <w:tcPr>
            <w:tcW w:w="2188" w:type="dxa"/>
            <w:vMerge w:val="continue"/>
            <w:tcBorders>
              <w:left w:val="single" w:color="auto" w:sz="4" w:space="0"/>
              <w:right w:val="single" w:color="auto" w:sz="4" w:space="0"/>
            </w:tcBorders>
            <w:noWrap w:val="0"/>
            <w:vAlign w:val="center"/>
          </w:tcPr>
          <w:p w14:paraId="43D25FEC">
            <w:pPr>
              <w:adjustRightInd w:val="0"/>
              <w:snapToGrid w:val="0"/>
              <w:spacing w:line="276" w:lineRule="auto"/>
              <w:jc w:val="center"/>
              <w:rPr>
                <w:rFonts w:hint="eastAsia" w:ascii="仿宋" w:hAnsi="仿宋" w:eastAsia="仿宋" w:cs="仿宋"/>
                <w:bCs/>
                <w:sz w:val="28"/>
                <w:szCs w:val="28"/>
              </w:rPr>
            </w:pPr>
          </w:p>
        </w:tc>
        <w:tc>
          <w:tcPr>
            <w:tcW w:w="2461" w:type="dxa"/>
            <w:vMerge w:val="continue"/>
            <w:tcBorders>
              <w:left w:val="single" w:color="auto" w:sz="4" w:space="0"/>
              <w:right w:val="single" w:color="auto" w:sz="4" w:space="0"/>
            </w:tcBorders>
            <w:noWrap w:val="0"/>
            <w:vAlign w:val="center"/>
          </w:tcPr>
          <w:p w14:paraId="7A1ABC05">
            <w:pPr>
              <w:adjustRightInd w:val="0"/>
              <w:spacing w:line="276" w:lineRule="auto"/>
              <w:ind w:left="-108"/>
              <w:jc w:val="center"/>
              <w:rPr>
                <w:rFonts w:ascii="仿宋_GB2312" w:hAnsi="仿宋_GB2312" w:eastAsia="仿宋_GB2312" w:cs="仿宋_GB2312"/>
                <w:bCs/>
                <w:sz w:val="28"/>
                <w:szCs w:val="28"/>
              </w:rPr>
            </w:pPr>
          </w:p>
        </w:tc>
      </w:tr>
      <w:tr w14:paraId="1AEF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vMerge w:val="continue"/>
            <w:tcBorders>
              <w:left w:val="single" w:color="auto" w:sz="4" w:space="0"/>
              <w:right w:val="single" w:color="auto" w:sz="4" w:space="0"/>
            </w:tcBorders>
            <w:noWrap w:val="0"/>
            <w:vAlign w:val="center"/>
          </w:tcPr>
          <w:p w14:paraId="0E8F4083">
            <w:pPr>
              <w:adjustRightInd w:val="0"/>
              <w:snapToGrid w:val="0"/>
              <w:spacing w:line="276" w:lineRule="auto"/>
              <w:jc w:val="center"/>
              <w:rPr>
                <w:rFonts w:hint="eastAsia" w:ascii="仿宋" w:hAnsi="仿宋" w:eastAsia="仿宋" w:cs="仿宋"/>
                <w:bCs/>
                <w:sz w:val="28"/>
                <w:szCs w:val="28"/>
              </w:rPr>
            </w:pPr>
          </w:p>
        </w:tc>
        <w:tc>
          <w:tcPr>
            <w:tcW w:w="510" w:type="dxa"/>
            <w:vMerge w:val="continue"/>
            <w:tcBorders>
              <w:left w:val="single" w:color="auto" w:sz="4" w:space="0"/>
              <w:right w:val="single" w:color="auto" w:sz="4" w:space="0"/>
            </w:tcBorders>
            <w:noWrap w:val="0"/>
            <w:vAlign w:val="center"/>
          </w:tcPr>
          <w:p w14:paraId="0027E55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Cs/>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509A70">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横肋末端最大间隙</w:t>
            </w:r>
          </w:p>
        </w:tc>
        <w:tc>
          <w:tcPr>
            <w:tcW w:w="2188" w:type="dxa"/>
            <w:vMerge w:val="continue"/>
            <w:tcBorders>
              <w:left w:val="single" w:color="auto" w:sz="4" w:space="0"/>
              <w:right w:val="single" w:color="auto" w:sz="4" w:space="0"/>
            </w:tcBorders>
            <w:noWrap w:val="0"/>
            <w:vAlign w:val="center"/>
          </w:tcPr>
          <w:p w14:paraId="655AC6AD">
            <w:pPr>
              <w:adjustRightInd w:val="0"/>
              <w:snapToGrid w:val="0"/>
              <w:spacing w:line="276" w:lineRule="auto"/>
              <w:jc w:val="center"/>
              <w:rPr>
                <w:rFonts w:hint="eastAsia" w:ascii="仿宋" w:hAnsi="仿宋" w:eastAsia="仿宋" w:cs="仿宋"/>
                <w:bCs/>
                <w:sz w:val="28"/>
                <w:szCs w:val="28"/>
              </w:rPr>
            </w:pPr>
          </w:p>
        </w:tc>
        <w:tc>
          <w:tcPr>
            <w:tcW w:w="2461" w:type="dxa"/>
            <w:vMerge w:val="continue"/>
            <w:tcBorders>
              <w:left w:val="single" w:color="auto" w:sz="4" w:space="0"/>
              <w:right w:val="single" w:color="auto" w:sz="4" w:space="0"/>
            </w:tcBorders>
            <w:noWrap w:val="0"/>
            <w:vAlign w:val="center"/>
          </w:tcPr>
          <w:p w14:paraId="18A3C0B6">
            <w:pPr>
              <w:adjustRightInd w:val="0"/>
              <w:spacing w:line="276" w:lineRule="auto"/>
              <w:ind w:left="-108"/>
              <w:jc w:val="center"/>
              <w:rPr>
                <w:rFonts w:ascii="仿宋_GB2312" w:hAnsi="仿宋_GB2312" w:eastAsia="仿宋_GB2312" w:cs="仿宋_GB2312"/>
                <w:bCs/>
                <w:sz w:val="28"/>
                <w:szCs w:val="28"/>
              </w:rPr>
            </w:pPr>
          </w:p>
        </w:tc>
      </w:tr>
      <w:tr w14:paraId="16E8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vMerge w:val="continue"/>
            <w:tcBorders>
              <w:left w:val="single" w:color="auto" w:sz="4" w:space="0"/>
              <w:right w:val="single" w:color="auto" w:sz="4" w:space="0"/>
            </w:tcBorders>
            <w:noWrap w:val="0"/>
            <w:vAlign w:val="center"/>
          </w:tcPr>
          <w:p w14:paraId="62C07054">
            <w:pPr>
              <w:adjustRightInd w:val="0"/>
              <w:snapToGrid w:val="0"/>
              <w:spacing w:line="276" w:lineRule="auto"/>
              <w:jc w:val="center"/>
              <w:rPr>
                <w:rFonts w:hint="eastAsia" w:ascii="仿宋" w:hAnsi="仿宋" w:eastAsia="仿宋" w:cs="仿宋"/>
                <w:bCs/>
                <w:sz w:val="28"/>
                <w:szCs w:val="28"/>
              </w:rPr>
            </w:pPr>
          </w:p>
        </w:tc>
        <w:tc>
          <w:tcPr>
            <w:tcW w:w="510" w:type="dxa"/>
            <w:vMerge w:val="continue"/>
            <w:tcBorders>
              <w:left w:val="single" w:color="auto" w:sz="4" w:space="0"/>
              <w:right w:val="single" w:color="auto" w:sz="4" w:space="0"/>
            </w:tcBorders>
            <w:noWrap w:val="0"/>
            <w:vAlign w:val="center"/>
          </w:tcPr>
          <w:p w14:paraId="092C32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Cs/>
                <w:sz w:val="28"/>
                <w:szCs w:val="28"/>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CC27AE4">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每米弯曲度</w:t>
            </w:r>
          </w:p>
        </w:tc>
        <w:tc>
          <w:tcPr>
            <w:tcW w:w="2188" w:type="dxa"/>
            <w:tcBorders>
              <w:left w:val="single" w:color="auto" w:sz="4" w:space="0"/>
              <w:right w:val="single" w:color="auto" w:sz="4" w:space="0"/>
            </w:tcBorders>
            <w:noWrap w:val="0"/>
            <w:vAlign w:val="center"/>
          </w:tcPr>
          <w:p w14:paraId="4855B07B">
            <w:pPr>
              <w:adjustRightInd w:val="0"/>
              <w:snapToGrid w:val="0"/>
              <w:spacing w:line="276" w:lineRule="auto"/>
              <w:jc w:val="center"/>
              <w:rPr>
                <w:rFonts w:hint="eastAsia" w:ascii="仿宋" w:hAnsi="仿宋" w:eastAsia="仿宋" w:cs="仿宋"/>
                <w:bCs/>
                <w:sz w:val="28"/>
                <w:szCs w:val="28"/>
              </w:rPr>
            </w:pPr>
            <w:r>
              <w:rPr>
                <w:rFonts w:hint="eastAsia" w:ascii="仿宋" w:hAnsi="仿宋" w:eastAsia="仿宋" w:cs="仿宋"/>
                <w:bCs/>
                <w:sz w:val="28"/>
                <w:szCs w:val="28"/>
              </w:rPr>
              <w:t>GB 1499.2-20</w:t>
            </w:r>
            <w:r>
              <w:rPr>
                <w:rFonts w:hint="eastAsia" w:ascii="仿宋" w:hAnsi="仿宋" w:eastAsia="仿宋" w:cs="仿宋"/>
                <w:bCs/>
                <w:sz w:val="28"/>
                <w:szCs w:val="28"/>
                <w:lang w:val="en-US" w:eastAsia="zh-CN"/>
              </w:rPr>
              <w:t>24</w:t>
            </w:r>
            <w:r>
              <w:rPr>
                <w:rFonts w:hint="eastAsia" w:ascii="仿宋" w:hAnsi="仿宋" w:eastAsia="仿宋" w:cs="仿宋"/>
                <w:bCs/>
                <w:sz w:val="28"/>
                <w:szCs w:val="28"/>
              </w:rPr>
              <w:t>/</w:t>
            </w:r>
          </w:p>
          <w:p w14:paraId="11FC9DB5">
            <w:pPr>
              <w:adjustRightInd w:val="0"/>
              <w:snapToGrid w:val="0"/>
              <w:spacing w:line="276"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val="en-US" w:eastAsia="zh-CN"/>
              </w:rPr>
              <w:t>5</w:t>
            </w:r>
          </w:p>
        </w:tc>
        <w:tc>
          <w:tcPr>
            <w:tcW w:w="2461" w:type="dxa"/>
            <w:vMerge w:val="continue"/>
            <w:tcBorders>
              <w:left w:val="single" w:color="auto" w:sz="4" w:space="0"/>
              <w:right w:val="single" w:color="auto" w:sz="4" w:space="0"/>
            </w:tcBorders>
            <w:noWrap w:val="0"/>
            <w:vAlign w:val="center"/>
          </w:tcPr>
          <w:p w14:paraId="47ED477C">
            <w:pPr>
              <w:adjustRightInd w:val="0"/>
              <w:spacing w:line="276" w:lineRule="auto"/>
              <w:ind w:left="-108"/>
              <w:jc w:val="center"/>
              <w:rPr>
                <w:rFonts w:ascii="仿宋_GB2312" w:hAnsi="仿宋_GB2312" w:eastAsia="仿宋_GB2312" w:cs="仿宋_GB2312"/>
                <w:bCs/>
                <w:sz w:val="28"/>
                <w:szCs w:val="28"/>
              </w:rPr>
            </w:pPr>
          </w:p>
        </w:tc>
      </w:tr>
      <w:tr w14:paraId="021B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1" w:type="dxa"/>
            <w:tcBorders>
              <w:left w:val="single" w:color="auto" w:sz="4" w:space="0"/>
              <w:right w:val="single" w:color="auto" w:sz="4" w:space="0"/>
            </w:tcBorders>
            <w:noWrap w:val="0"/>
            <w:vAlign w:val="center"/>
          </w:tcPr>
          <w:p w14:paraId="3CDB4CD1">
            <w:pPr>
              <w:adjustRightInd w:val="0"/>
              <w:snapToGrid w:val="0"/>
              <w:spacing w:line="276"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w:t>
            </w:r>
          </w:p>
        </w:tc>
        <w:tc>
          <w:tcPr>
            <w:tcW w:w="3915" w:type="dxa"/>
            <w:gridSpan w:val="2"/>
            <w:tcBorders>
              <w:left w:val="single" w:color="auto" w:sz="4" w:space="0"/>
              <w:right w:val="single" w:color="auto" w:sz="4" w:space="0"/>
            </w:tcBorders>
            <w:noWrap w:val="0"/>
            <w:vAlign w:val="center"/>
          </w:tcPr>
          <w:p w14:paraId="1DD4E25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sz w:val="28"/>
                <w:szCs w:val="28"/>
              </w:rPr>
            </w:pPr>
            <w:r>
              <w:rPr>
                <w:rFonts w:hint="eastAsia" w:ascii="仿宋" w:hAnsi="仿宋" w:eastAsia="仿宋" w:cs="仿宋"/>
                <w:bCs/>
                <w:sz w:val="28"/>
                <w:szCs w:val="28"/>
              </w:rPr>
              <w:t>重量偏差</w:t>
            </w:r>
          </w:p>
        </w:tc>
        <w:tc>
          <w:tcPr>
            <w:tcW w:w="2188" w:type="dxa"/>
            <w:tcBorders>
              <w:left w:val="single" w:color="auto" w:sz="4" w:space="0"/>
              <w:right w:val="single" w:color="auto" w:sz="4" w:space="0"/>
            </w:tcBorders>
            <w:noWrap w:val="0"/>
            <w:vAlign w:val="center"/>
          </w:tcPr>
          <w:p w14:paraId="0B08B082">
            <w:pPr>
              <w:adjustRightInd w:val="0"/>
              <w:snapToGrid w:val="0"/>
              <w:spacing w:line="276" w:lineRule="auto"/>
              <w:jc w:val="center"/>
              <w:rPr>
                <w:rFonts w:hint="eastAsia" w:ascii="仿宋" w:hAnsi="仿宋" w:eastAsia="仿宋" w:cs="仿宋"/>
                <w:bCs/>
                <w:sz w:val="28"/>
                <w:szCs w:val="28"/>
              </w:rPr>
            </w:pPr>
            <w:r>
              <w:rPr>
                <w:rFonts w:hint="eastAsia" w:ascii="仿宋" w:hAnsi="仿宋" w:eastAsia="仿宋" w:cs="仿宋"/>
                <w:bCs/>
                <w:sz w:val="28"/>
                <w:szCs w:val="28"/>
              </w:rPr>
              <w:t>GB 1499.2-20</w:t>
            </w:r>
            <w:r>
              <w:rPr>
                <w:rFonts w:hint="eastAsia" w:ascii="仿宋" w:hAnsi="仿宋" w:eastAsia="仿宋" w:cs="仿宋"/>
                <w:bCs/>
                <w:sz w:val="28"/>
                <w:szCs w:val="28"/>
                <w:lang w:val="en-US" w:eastAsia="zh-CN"/>
              </w:rPr>
              <w:t>24</w:t>
            </w:r>
            <w:r>
              <w:rPr>
                <w:rFonts w:hint="eastAsia" w:ascii="仿宋" w:hAnsi="仿宋" w:eastAsia="仿宋" w:cs="仿宋"/>
                <w:bCs/>
                <w:sz w:val="28"/>
                <w:szCs w:val="28"/>
              </w:rPr>
              <w:t>/</w:t>
            </w:r>
          </w:p>
          <w:p w14:paraId="3CA96450">
            <w:pPr>
              <w:adjustRightInd w:val="0"/>
              <w:snapToGrid w:val="0"/>
              <w:spacing w:line="276"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val="en-US" w:eastAsia="zh-CN"/>
              </w:rPr>
              <w:t>6</w:t>
            </w:r>
          </w:p>
        </w:tc>
        <w:tc>
          <w:tcPr>
            <w:tcW w:w="2461" w:type="dxa"/>
            <w:vMerge w:val="continue"/>
            <w:tcBorders>
              <w:left w:val="single" w:color="auto" w:sz="4" w:space="0"/>
              <w:right w:val="single" w:color="auto" w:sz="4" w:space="0"/>
            </w:tcBorders>
            <w:noWrap w:val="0"/>
            <w:vAlign w:val="center"/>
          </w:tcPr>
          <w:p w14:paraId="1F06B9CB">
            <w:pPr>
              <w:adjustRightInd w:val="0"/>
              <w:spacing w:line="276" w:lineRule="auto"/>
              <w:ind w:left="-108"/>
              <w:jc w:val="center"/>
              <w:rPr>
                <w:rFonts w:ascii="仿宋_GB2312" w:hAnsi="仿宋_GB2312" w:eastAsia="仿宋_GB2312" w:cs="仿宋_GB2312"/>
                <w:bCs/>
                <w:sz w:val="28"/>
                <w:szCs w:val="28"/>
              </w:rPr>
            </w:pPr>
          </w:p>
        </w:tc>
      </w:tr>
      <w:tr w14:paraId="2EBB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511" w:type="dxa"/>
            <w:tcBorders>
              <w:left w:val="single" w:color="auto" w:sz="4" w:space="0"/>
              <w:right w:val="single" w:color="auto" w:sz="4" w:space="0"/>
            </w:tcBorders>
            <w:noWrap w:val="0"/>
            <w:vAlign w:val="center"/>
          </w:tcPr>
          <w:p w14:paraId="7F70BDDA">
            <w:pPr>
              <w:adjustRightInd w:val="0"/>
              <w:snapToGrid w:val="0"/>
              <w:spacing w:line="276"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7</w:t>
            </w:r>
          </w:p>
        </w:tc>
        <w:tc>
          <w:tcPr>
            <w:tcW w:w="3915" w:type="dxa"/>
            <w:gridSpan w:val="2"/>
            <w:tcBorders>
              <w:left w:val="single" w:color="auto" w:sz="4" w:space="0"/>
              <w:bottom w:val="single" w:color="auto" w:sz="4" w:space="0"/>
              <w:right w:val="single" w:color="auto" w:sz="4" w:space="0"/>
            </w:tcBorders>
            <w:noWrap w:val="0"/>
            <w:vAlign w:val="center"/>
          </w:tcPr>
          <w:p w14:paraId="36C24186">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表面</w:t>
            </w:r>
            <w:r>
              <w:rPr>
                <w:rFonts w:hint="eastAsia" w:ascii="仿宋" w:hAnsi="仿宋" w:eastAsia="仿宋" w:cs="仿宋"/>
                <w:sz w:val="28"/>
                <w:szCs w:val="28"/>
                <w:lang w:eastAsia="zh-CN"/>
              </w:rPr>
              <w:t>质量</w:t>
            </w:r>
          </w:p>
        </w:tc>
        <w:tc>
          <w:tcPr>
            <w:tcW w:w="2188" w:type="dxa"/>
            <w:tcBorders>
              <w:left w:val="single" w:color="auto" w:sz="4" w:space="0"/>
              <w:right w:val="single" w:color="auto" w:sz="4" w:space="0"/>
            </w:tcBorders>
            <w:noWrap w:val="0"/>
            <w:vAlign w:val="center"/>
          </w:tcPr>
          <w:p w14:paraId="195C317A">
            <w:pPr>
              <w:adjustRightInd w:val="0"/>
              <w:snapToGrid w:val="0"/>
              <w:spacing w:line="276" w:lineRule="auto"/>
              <w:jc w:val="center"/>
              <w:rPr>
                <w:rFonts w:hint="eastAsia" w:ascii="仿宋" w:hAnsi="仿宋" w:eastAsia="仿宋" w:cs="仿宋"/>
                <w:bCs/>
                <w:sz w:val="28"/>
                <w:szCs w:val="28"/>
              </w:rPr>
            </w:pPr>
            <w:r>
              <w:rPr>
                <w:rFonts w:hint="eastAsia" w:ascii="仿宋" w:hAnsi="仿宋" w:eastAsia="仿宋" w:cs="仿宋"/>
                <w:bCs/>
                <w:sz w:val="28"/>
                <w:szCs w:val="28"/>
              </w:rPr>
              <w:t>GB 1499.2-20</w:t>
            </w:r>
            <w:r>
              <w:rPr>
                <w:rFonts w:hint="eastAsia" w:ascii="仿宋" w:hAnsi="仿宋" w:eastAsia="仿宋" w:cs="仿宋"/>
                <w:bCs/>
                <w:sz w:val="28"/>
                <w:szCs w:val="28"/>
                <w:lang w:val="en-US" w:eastAsia="zh-CN"/>
              </w:rPr>
              <w:t>24</w:t>
            </w:r>
            <w:r>
              <w:rPr>
                <w:rFonts w:hint="eastAsia" w:ascii="仿宋" w:hAnsi="仿宋" w:eastAsia="仿宋" w:cs="仿宋"/>
                <w:bCs/>
                <w:sz w:val="28"/>
                <w:szCs w:val="28"/>
              </w:rPr>
              <w:t>/</w:t>
            </w:r>
          </w:p>
          <w:p w14:paraId="63510ED1">
            <w:pPr>
              <w:adjustRightInd w:val="0"/>
              <w:snapToGrid w:val="0"/>
              <w:spacing w:line="276"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w:t>
            </w:r>
            <w:r>
              <w:rPr>
                <w:rFonts w:hint="eastAsia" w:ascii="仿宋" w:hAnsi="仿宋" w:eastAsia="仿宋" w:cs="仿宋"/>
                <w:bCs/>
                <w:sz w:val="28"/>
                <w:szCs w:val="28"/>
                <w:lang w:val="en-US" w:eastAsia="zh-CN"/>
              </w:rPr>
              <w:t>9</w:t>
            </w:r>
          </w:p>
        </w:tc>
        <w:tc>
          <w:tcPr>
            <w:tcW w:w="2461" w:type="dxa"/>
            <w:vMerge w:val="continue"/>
            <w:tcBorders>
              <w:left w:val="single" w:color="auto" w:sz="4" w:space="0"/>
              <w:bottom w:val="single" w:color="auto" w:sz="4" w:space="0"/>
              <w:right w:val="single" w:color="auto" w:sz="4" w:space="0"/>
            </w:tcBorders>
            <w:noWrap w:val="0"/>
            <w:vAlign w:val="center"/>
          </w:tcPr>
          <w:p w14:paraId="17E7C9C1">
            <w:pPr>
              <w:adjustRightInd w:val="0"/>
              <w:spacing w:line="276" w:lineRule="auto"/>
              <w:ind w:left="-108"/>
              <w:jc w:val="center"/>
              <w:rPr>
                <w:rFonts w:ascii="仿宋_GB2312" w:hAnsi="仿宋_GB2312" w:eastAsia="仿宋_GB2312" w:cs="仿宋_GB2312"/>
                <w:bCs/>
                <w:sz w:val="28"/>
                <w:szCs w:val="28"/>
              </w:rPr>
            </w:pPr>
          </w:p>
        </w:tc>
      </w:tr>
    </w:tbl>
    <w:p w14:paraId="01F4082E">
      <w:pPr>
        <w:keepNext w:val="0"/>
        <w:keepLines w:val="0"/>
        <w:pageBreakBefore w:val="0"/>
        <w:widowControl w:val="0"/>
        <w:kinsoku/>
        <w:wordWrap/>
        <w:overflowPunct/>
        <w:topLinePunct w:val="0"/>
        <w:autoSpaceDE/>
        <w:autoSpaceDN/>
        <w:bidi w:val="0"/>
        <w:adjustRightInd/>
        <w:snapToGrid/>
        <w:spacing w:before="156" w:beforeLines="50" w:line="600" w:lineRule="exact"/>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3 判定规则</w:t>
      </w:r>
    </w:p>
    <w:p w14:paraId="7937AFF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经检验，检验项目全部合格，判定为被抽查产品合格；检验项目中任一项或一项以上不合格，判定为被抽查产品不合格。</w:t>
      </w:r>
    </w:p>
    <w:p w14:paraId="64FF6066">
      <w:pPr>
        <w:widowControl/>
        <w:shd w:val="clear" w:color="auto" w:fill="FFFFFF"/>
        <w:spacing w:line="560" w:lineRule="exact"/>
        <w:ind w:firstLine="636"/>
        <w:rPr>
          <w:rFonts w:ascii="宋体" w:hAnsi="宋体" w:cs="宋体"/>
          <w:kern w:val="0"/>
          <w:sz w:val="32"/>
          <w:szCs w:val="32"/>
        </w:rPr>
      </w:pPr>
      <w:r>
        <w:rPr>
          <w:rFonts w:ascii="仿宋_GB2312" w:eastAsia="仿宋_GB2312"/>
          <w:kern w:val="0"/>
          <w:sz w:val="32"/>
          <w:szCs w:val="32"/>
        </w:rPr>
        <w:t>若被检产品明示的质量要求高于本细则中检验项目依据的标准要求时，应按被检产品明示的质量要求判定。</w:t>
      </w:r>
    </w:p>
    <w:p w14:paraId="5ADA6F80">
      <w:pPr>
        <w:widowControl/>
        <w:shd w:val="clear" w:color="auto" w:fill="FFFFFF"/>
        <w:spacing w:line="560" w:lineRule="exact"/>
        <w:ind w:firstLine="636"/>
        <w:rPr>
          <w:rFonts w:ascii="宋体" w:hAnsi="宋体" w:cs="宋体"/>
          <w:kern w:val="0"/>
          <w:sz w:val="32"/>
          <w:szCs w:val="32"/>
        </w:rPr>
      </w:pPr>
      <w:r>
        <w:rPr>
          <w:rFonts w:ascii="仿宋_GB2312" w:eastAsia="仿宋_GB2312"/>
          <w:kern w:val="0"/>
          <w:sz w:val="32"/>
          <w:szCs w:val="32"/>
        </w:rPr>
        <w:t>若被检产品明示的质量要求低于本细则中检验项目依据的强制性标准要求时，应按照强制性标准要求判定。</w:t>
      </w:r>
    </w:p>
    <w:p w14:paraId="1BD75A9A">
      <w:pPr>
        <w:widowControl/>
        <w:shd w:val="clear" w:color="auto" w:fill="FFFFFF"/>
        <w:spacing w:line="560" w:lineRule="exact"/>
        <w:ind w:firstLine="636"/>
        <w:rPr>
          <w:rFonts w:ascii="宋体" w:hAnsi="宋体" w:cs="宋体"/>
          <w:kern w:val="0"/>
          <w:sz w:val="32"/>
          <w:szCs w:val="32"/>
        </w:rPr>
      </w:pPr>
      <w:r>
        <w:rPr>
          <w:rFonts w:ascii="仿宋_GB2312" w:eastAsia="仿宋_GB2312"/>
          <w:kern w:val="0"/>
          <w:sz w:val="32"/>
          <w:szCs w:val="32"/>
        </w:rPr>
        <w:t>若被检产品明示的质量要求低于或包含本细则中检验项目依据的推荐性标准要求时，应以被检产品明示的质量要求判定。</w:t>
      </w:r>
    </w:p>
    <w:p w14:paraId="4EBF92A7">
      <w:pPr>
        <w:widowControl/>
        <w:shd w:val="clear" w:color="auto" w:fill="FFFFFF"/>
        <w:spacing w:line="560" w:lineRule="exact"/>
        <w:ind w:firstLine="636"/>
        <w:rPr>
          <w:rFonts w:ascii="宋体" w:hAnsi="宋体" w:cs="宋体"/>
          <w:kern w:val="0"/>
          <w:sz w:val="32"/>
          <w:szCs w:val="32"/>
        </w:rPr>
      </w:pPr>
      <w:r>
        <w:rPr>
          <w:rFonts w:ascii="仿宋_GB2312" w:eastAsia="仿宋_GB2312"/>
          <w:kern w:val="0"/>
          <w:sz w:val="32"/>
          <w:szCs w:val="32"/>
        </w:rPr>
        <w:t>若被检产品明示的质量要求缺少本细则中检验项目依据的强制性标准要求时，应按照强制性标准要求判定。</w:t>
      </w:r>
    </w:p>
    <w:p w14:paraId="354AB5B7">
      <w:pPr>
        <w:widowControl/>
        <w:shd w:val="clear" w:color="auto" w:fill="FFFFFF"/>
        <w:spacing w:line="560" w:lineRule="exact"/>
        <w:ind w:firstLine="636"/>
        <w:rPr>
          <w:rFonts w:hint="eastAsia" w:ascii="宋体" w:hAnsi="宋体" w:cs="宋体"/>
          <w:kern w:val="0"/>
          <w:sz w:val="32"/>
          <w:szCs w:val="32"/>
        </w:rPr>
      </w:pPr>
      <w:r>
        <w:rPr>
          <w:rFonts w:ascii="仿宋_GB2312" w:eastAsia="仿宋_GB2312"/>
          <w:kern w:val="0"/>
          <w:sz w:val="32"/>
          <w:szCs w:val="32"/>
        </w:rPr>
        <w:t>若被检产品明示的质量要求缺少本细则中检验项目依据的推荐性标准要求时，该项目不参与判定。</w:t>
      </w:r>
    </w:p>
    <w:p w14:paraId="09164FB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000000"/>
          <w:sz w:val="32"/>
          <w:szCs w:val="32"/>
        </w:rPr>
      </w:pPr>
    </w:p>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5FDD">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34038072">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0D3F">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7327E707">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439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ZDlmMjdkNDI1NjEzMmI2Y2M4ZTAxODQ5YmJlMTYifQ=="/>
  </w:docVars>
  <w:rsids>
    <w:rsidRoot w:val="00172A27"/>
    <w:rsid w:val="00012EEB"/>
    <w:rsid w:val="00030F98"/>
    <w:rsid w:val="0003286E"/>
    <w:rsid w:val="00051A44"/>
    <w:rsid w:val="00052092"/>
    <w:rsid w:val="00055C43"/>
    <w:rsid w:val="00063F78"/>
    <w:rsid w:val="000770C5"/>
    <w:rsid w:val="00081CBD"/>
    <w:rsid w:val="0008480D"/>
    <w:rsid w:val="0009216E"/>
    <w:rsid w:val="000976DE"/>
    <w:rsid w:val="000A0A61"/>
    <w:rsid w:val="000B7E87"/>
    <w:rsid w:val="000C27EF"/>
    <w:rsid w:val="000E2DE0"/>
    <w:rsid w:val="000F14E9"/>
    <w:rsid w:val="00125916"/>
    <w:rsid w:val="00133E98"/>
    <w:rsid w:val="001352E7"/>
    <w:rsid w:val="00145AE7"/>
    <w:rsid w:val="001565C3"/>
    <w:rsid w:val="00172A27"/>
    <w:rsid w:val="001809DD"/>
    <w:rsid w:val="00197642"/>
    <w:rsid w:val="001A51E1"/>
    <w:rsid w:val="001F3D40"/>
    <w:rsid w:val="00205BC7"/>
    <w:rsid w:val="00247E11"/>
    <w:rsid w:val="002501F8"/>
    <w:rsid w:val="00253624"/>
    <w:rsid w:val="002627EB"/>
    <w:rsid w:val="00273AE5"/>
    <w:rsid w:val="00275517"/>
    <w:rsid w:val="00292DAD"/>
    <w:rsid w:val="002A25C4"/>
    <w:rsid w:val="002D7F8A"/>
    <w:rsid w:val="002E0D1D"/>
    <w:rsid w:val="002E4610"/>
    <w:rsid w:val="00312D60"/>
    <w:rsid w:val="003203A3"/>
    <w:rsid w:val="00373484"/>
    <w:rsid w:val="003831DC"/>
    <w:rsid w:val="00392BF9"/>
    <w:rsid w:val="003B33A1"/>
    <w:rsid w:val="003B65A7"/>
    <w:rsid w:val="003C08F8"/>
    <w:rsid w:val="003C3479"/>
    <w:rsid w:val="003C388C"/>
    <w:rsid w:val="003C4EF1"/>
    <w:rsid w:val="003D62CE"/>
    <w:rsid w:val="003D6DF1"/>
    <w:rsid w:val="003E011E"/>
    <w:rsid w:val="003E61BF"/>
    <w:rsid w:val="003E6431"/>
    <w:rsid w:val="003F7F34"/>
    <w:rsid w:val="00400560"/>
    <w:rsid w:val="00445E86"/>
    <w:rsid w:val="0045059C"/>
    <w:rsid w:val="00460D8A"/>
    <w:rsid w:val="00467E74"/>
    <w:rsid w:val="00474E04"/>
    <w:rsid w:val="00483AC6"/>
    <w:rsid w:val="004A0936"/>
    <w:rsid w:val="004D0C5A"/>
    <w:rsid w:val="004D31EC"/>
    <w:rsid w:val="004E02D3"/>
    <w:rsid w:val="004E1396"/>
    <w:rsid w:val="004E7C02"/>
    <w:rsid w:val="004F261B"/>
    <w:rsid w:val="005328AC"/>
    <w:rsid w:val="00551B06"/>
    <w:rsid w:val="005623DE"/>
    <w:rsid w:val="00563EBC"/>
    <w:rsid w:val="005868F9"/>
    <w:rsid w:val="00586CB0"/>
    <w:rsid w:val="00593498"/>
    <w:rsid w:val="005A1399"/>
    <w:rsid w:val="005A34AC"/>
    <w:rsid w:val="005B5C73"/>
    <w:rsid w:val="005B64D3"/>
    <w:rsid w:val="005D0F42"/>
    <w:rsid w:val="005F4CC6"/>
    <w:rsid w:val="00634C4F"/>
    <w:rsid w:val="006440C7"/>
    <w:rsid w:val="00661CE9"/>
    <w:rsid w:val="006734CA"/>
    <w:rsid w:val="00673C07"/>
    <w:rsid w:val="0068509C"/>
    <w:rsid w:val="006A3613"/>
    <w:rsid w:val="006A5215"/>
    <w:rsid w:val="006C7C2B"/>
    <w:rsid w:val="006F0971"/>
    <w:rsid w:val="0072334C"/>
    <w:rsid w:val="0074501E"/>
    <w:rsid w:val="007752EB"/>
    <w:rsid w:val="007761A5"/>
    <w:rsid w:val="00786F2C"/>
    <w:rsid w:val="007A5C0E"/>
    <w:rsid w:val="007B75EE"/>
    <w:rsid w:val="007C3667"/>
    <w:rsid w:val="007F583F"/>
    <w:rsid w:val="008139C8"/>
    <w:rsid w:val="008166B9"/>
    <w:rsid w:val="008200E6"/>
    <w:rsid w:val="0082012D"/>
    <w:rsid w:val="0084012D"/>
    <w:rsid w:val="0086159D"/>
    <w:rsid w:val="0087041A"/>
    <w:rsid w:val="00871617"/>
    <w:rsid w:val="008726BF"/>
    <w:rsid w:val="00895BEA"/>
    <w:rsid w:val="008A3497"/>
    <w:rsid w:val="008A61A4"/>
    <w:rsid w:val="008B1BD3"/>
    <w:rsid w:val="008C50E2"/>
    <w:rsid w:val="008E39B1"/>
    <w:rsid w:val="008F6434"/>
    <w:rsid w:val="00916926"/>
    <w:rsid w:val="00916BE5"/>
    <w:rsid w:val="00917A54"/>
    <w:rsid w:val="00920DA2"/>
    <w:rsid w:val="00926C29"/>
    <w:rsid w:val="00930572"/>
    <w:rsid w:val="00936B2A"/>
    <w:rsid w:val="00944A63"/>
    <w:rsid w:val="00957D96"/>
    <w:rsid w:val="00967C26"/>
    <w:rsid w:val="009865FB"/>
    <w:rsid w:val="009C6AE2"/>
    <w:rsid w:val="009E01DE"/>
    <w:rsid w:val="009F7375"/>
    <w:rsid w:val="00A1287B"/>
    <w:rsid w:val="00A25C52"/>
    <w:rsid w:val="00A26C6B"/>
    <w:rsid w:val="00A371F4"/>
    <w:rsid w:val="00A42847"/>
    <w:rsid w:val="00A43553"/>
    <w:rsid w:val="00A62E74"/>
    <w:rsid w:val="00A760C9"/>
    <w:rsid w:val="00A76D9F"/>
    <w:rsid w:val="00A80009"/>
    <w:rsid w:val="00A83893"/>
    <w:rsid w:val="00A902CC"/>
    <w:rsid w:val="00AA128C"/>
    <w:rsid w:val="00B3329E"/>
    <w:rsid w:val="00B5743B"/>
    <w:rsid w:val="00BA20EF"/>
    <w:rsid w:val="00BB6067"/>
    <w:rsid w:val="00BC52DB"/>
    <w:rsid w:val="00BF24FC"/>
    <w:rsid w:val="00BF5D64"/>
    <w:rsid w:val="00BF76DB"/>
    <w:rsid w:val="00C26074"/>
    <w:rsid w:val="00C34757"/>
    <w:rsid w:val="00C44CD6"/>
    <w:rsid w:val="00C626EC"/>
    <w:rsid w:val="00C63F45"/>
    <w:rsid w:val="00C83B0A"/>
    <w:rsid w:val="00C924E8"/>
    <w:rsid w:val="00CB6FC9"/>
    <w:rsid w:val="00CC137A"/>
    <w:rsid w:val="00CC1547"/>
    <w:rsid w:val="00CC195A"/>
    <w:rsid w:val="00CD1ECA"/>
    <w:rsid w:val="00CD37A8"/>
    <w:rsid w:val="00CE1E0C"/>
    <w:rsid w:val="00CE277E"/>
    <w:rsid w:val="00D120FA"/>
    <w:rsid w:val="00D1237C"/>
    <w:rsid w:val="00D50D7D"/>
    <w:rsid w:val="00D56867"/>
    <w:rsid w:val="00D7436E"/>
    <w:rsid w:val="00D82AE9"/>
    <w:rsid w:val="00D915F1"/>
    <w:rsid w:val="00DE2075"/>
    <w:rsid w:val="00E02A7F"/>
    <w:rsid w:val="00E07880"/>
    <w:rsid w:val="00E53438"/>
    <w:rsid w:val="00E62B1F"/>
    <w:rsid w:val="00E82621"/>
    <w:rsid w:val="00E95A55"/>
    <w:rsid w:val="00EA3D96"/>
    <w:rsid w:val="00ED4450"/>
    <w:rsid w:val="00ED5419"/>
    <w:rsid w:val="00ED6985"/>
    <w:rsid w:val="00F1455F"/>
    <w:rsid w:val="00F16AAE"/>
    <w:rsid w:val="00F332B6"/>
    <w:rsid w:val="00F5372E"/>
    <w:rsid w:val="00F5395B"/>
    <w:rsid w:val="00F57D43"/>
    <w:rsid w:val="00F77C9A"/>
    <w:rsid w:val="00F86832"/>
    <w:rsid w:val="00FA47C4"/>
    <w:rsid w:val="00FA4CC5"/>
    <w:rsid w:val="00FB576C"/>
    <w:rsid w:val="00FD2AA6"/>
    <w:rsid w:val="00FE14EF"/>
    <w:rsid w:val="00FE7E8A"/>
    <w:rsid w:val="00FF5DCC"/>
    <w:rsid w:val="03B263BB"/>
    <w:rsid w:val="03D40F34"/>
    <w:rsid w:val="09234C9E"/>
    <w:rsid w:val="0BC348DB"/>
    <w:rsid w:val="0BF3562B"/>
    <w:rsid w:val="0CDA4EE2"/>
    <w:rsid w:val="0EC732F2"/>
    <w:rsid w:val="113E31B8"/>
    <w:rsid w:val="11473DDB"/>
    <w:rsid w:val="13087478"/>
    <w:rsid w:val="15544CAD"/>
    <w:rsid w:val="169B5AEE"/>
    <w:rsid w:val="19493BB8"/>
    <w:rsid w:val="1A784B4A"/>
    <w:rsid w:val="1AEF44EF"/>
    <w:rsid w:val="1B9113EA"/>
    <w:rsid w:val="1EBB570D"/>
    <w:rsid w:val="1F377A7E"/>
    <w:rsid w:val="21F152FD"/>
    <w:rsid w:val="24262DA1"/>
    <w:rsid w:val="26220037"/>
    <w:rsid w:val="26FC68A5"/>
    <w:rsid w:val="2F627BA0"/>
    <w:rsid w:val="2FE00343"/>
    <w:rsid w:val="3166515D"/>
    <w:rsid w:val="397819E9"/>
    <w:rsid w:val="3A7841AE"/>
    <w:rsid w:val="3BAF01E0"/>
    <w:rsid w:val="3BCA70AE"/>
    <w:rsid w:val="3E8E2096"/>
    <w:rsid w:val="488B3313"/>
    <w:rsid w:val="498176F9"/>
    <w:rsid w:val="4B0F492C"/>
    <w:rsid w:val="4C0118EE"/>
    <w:rsid w:val="560F36B5"/>
    <w:rsid w:val="575527A0"/>
    <w:rsid w:val="57EB0CA5"/>
    <w:rsid w:val="59E81116"/>
    <w:rsid w:val="5BFC3B20"/>
    <w:rsid w:val="5F4F0E5B"/>
    <w:rsid w:val="606242EF"/>
    <w:rsid w:val="61B03707"/>
    <w:rsid w:val="627836B5"/>
    <w:rsid w:val="629611FF"/>
    <w:rsid w:val="636B2161"/>
    <w:rsid w:val="665622AF"/>
    <w:rsid w:val="67503DF4"/>
    <w:rsid w:val="680F4903"/>
    <w:rsid w:val="6FA67EF8"/>
    <w:rsid w:val="6FE07B46"/>
    <w:rsid w:val="70355FE6"/>
    <w:rsid w:val="74EC6E6F"/>
    <w:rsid w:val="75FB6071"/>
    <w:rsid w:val="766D176F"/>
    <w:rsid w:val="76D00BF8"/>
    <w:rsid w:val="77D30604"/>
    <w:rsid w:val="7A1E5CAC"/>
    <w:rsid w:val="7B0B018A"/>
    <w:rsid w:val="7C782283"/>
    <w:rsid w:val="7CAE06C1"/>
    <w:rsid w:val="7EDB396C"/>
    <w:rsid w:val="7EEB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link w:val="5"/>
    <w:semiHidden/>
    <w:qFormat/>
    <w:uiPriority w:val="99"/>
    <w:rPr>
      <w:kern w:val="2"/>
      <w:sz w:val="18"/>
      <w:szCs w:val="18"/>
    </w:rPr>
  </w:style>
  <w:style w:type="character" w:customStyle="1" w:styleId="10">
    <w:name w:val="页脚 字符"/>
    <w:link w:val="4"/>
    <w:qFormat/>
    <w:uiPriority w:val="99"/>
    <w:rPr>
      <w:kern w:val="2"/>
      <w:sz w:val="18"/>
      <w:szCs w:val="18"/>
    </w:rPr>
  </w:style>
  <w:style w:type="character" w:customStyle="1" w:styleId="11">
    <w:name w:val="批注框文本 字符"/>
    <w:link w:val="3"/>
    <w:semiHidden/>
    <w:qFormat/>
    <w:uiPriority w:val="99"/>
    <w:rPr>
      <w:kern w:val="2"/>
      <w:sz w:val="18"/>
      <w:szCs w:val="18"/>
    </w:rPr>
  </w:style>
  <w:style w:type="paragraph" w:customStyle="1" w:styleId="1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3">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1106</Words>
  <Characters>1404</Characters>
  <Lines>12</Lines>
  <Paragraphs>3</Paragraphs>
  <TotalTime>47</TotalTime>
  <ScaleCrop>false</ScaleCrop>
  <LinksUpToDate>false</LinksUpToDate>
  <CharactersWithSpaces>1434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2024-03-25T07:31:00Z</dcterms:created>
  <dc:creator>Administrator</dc:creator>
  <cp:lastModifiedBy>微信用户</cp:lastModifiedBy>
  <cp:lastPrinted>2019-12-26T06:50:00Z</cp:lastPrinted>
  <dcterms:modified xsi:type="dcterms:W3CDTF">2026-04-22T04:09:21Z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5E11349A057844908FF5603B01E71559_13</vt:lpwstr>
  </property>
  <property fmtid="{D5CDD505-2E9C-101B-9397-08002B2CF9AE}" pid="4" name="KSOTemplateDocerSaveRecord">
    <vt:lpwstr>eyJoZGlkIjoiOTA1YzdkZjRlZjJiMDgxZThkYTg1YmRkMDhlODlmMzciLCJ1c2VySWQiOiIxMjM1MDgyOTc3In0=</vt:lpwstr>
  </property>
</Properties>
</file>