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57D29" w:rsidRDefault="00357D29">
      <w:pPr>
        <w:spacing w:line="360" w:lineRule="auto"/>
        <w:rPr>
          <w:rFonts w:ascii="宋体" w:hAnsi="宋体" w:cs="宋体"/>
          <w:b/>
          <w:bCs/>
          <w:color w:val="000000"/>
          <w:sz w:val="48"/>
          <w:szCs w:val="48"/>
        </w:rPr>
      </w:pPr>
    </w:p>
    <w:p w:rsidR="00357D29" w:rsidRDefault="00820803">
      <w:pPr>
        <w:spacing w:line="360" w:lineRule="auto"/>
        <w:jc w:val="center"/>
        <w:rPr>
          <w:rFonts w:ascii="宋体"/>
          <w:color w:val="000000"/>
          <w:sz w:val="28"/>
          <w:szCs w:val="28"/>
        </w:rPr>
      </w:pPr>
      <w:r>
        <w:rPr>
          <w:rFonts w:ascii="宋体" w:hAnsi="宋体" w:cs="宋体" w:hint="eastAsia"/>
          <w:b/>
          <w:bCs/>
          <w:color w:val="000000"/>
          <w:sz w:val="48"/>
          <w:szCs w:val="48"/>
        </w:rPr>
        <w:t>202</w:t>
      </w:r>
      <w:r w:rsidR="00235A47">
        <w:rPr>
          <w:rFonts w:ascii="宋体" w:hAnsi="宋体" w:cs="宋体" w:hint="eastAsia"/>
          <w:b/>
          <w:bCs/>
          <w:color w:val="000000"/>
          <w:sz w:val="48"/>
          <w:szCs w:val="48"/>
        </w:rPr>
        <w:t>6</w:t>
      </w:r>
      <w:r>
        <w:rPr>
          <w:rFonts w:ascii="宋体" w:hAnsi="宋体" w:cs="宋体" w:hint="eastAsia"/>
          <w:b/>
          <w:bCs/>
          <w:color w:val="000000"/>
          <w:sz w:val="48"/>
          <w:szCs w:val="48"/>
        </w:rPr>
        <w:t>年海南省充电宝（移动电源）产品省级监督抽查实施细则</w:t>
      </w: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357D29">
      <w:pPr>
        <w:spacing w:line="360" w:lineRule="auto"/>
        <w:rPr>
          <w:rFonts w:ascii="宋体"/>
          <w:color w:val="000000"/>
          <w:sz w:val="28"/>
          <w:szCs w:val="28"/>
        </w:rPr>
      </w:pPr>
    </w:p>
    <w:p w:rsidR="00357D29" w:rsidRDefault="00820803">
      <w:pPr>
        <w:spacing w:line="360" w:lineRule="auto"/>
        <w:jc w:val="center"/>
        <w:rPr>
          <w:rFonts w:ascii="宋体" w:hAnsi="宋体" w:cs="宋体"/>
          <w:b/>
          <w:bCs/>
          <w:sz w:val="32"/>
          <w:szCs w:val="32"/>
        </w:rPr>
      </w:pPr>
      <w:r>
        <w:rPr>
          <w:rFonts w:ascii="宋体" w:hAnsi="宋体" w:cs="宋体" w:hint="eastAsia"/>
          <w:b/>
          <w:bCs/>
          <w:sz w:val="32"/>
          <w:szCs w:val="32"/>
        </w:rPr>
        <w:t>海南省市场监督管理局</w:t>
      </w:r>
    </w:p>
    <w:p w:rsidR="00357D29" w:rsidRDefault="00820803">
      <w:pPr>
        <w:spacing w:line="660" w:lineRule="exact"/>
        <w:jc w:val="center"/>
        <w:rPr>
          <w:rFonts w:ascii="仿宋" w:eastAsia="仿宋" w:hAnsi="仿宋" w:cs="仿宋"/>
          <w:b/>
          <w:bCs/>
          <w:sz w:val="44"/>
          <w:szCs w:val="44"/>
        </w:rPr>
      </w:pPr>
      <w:r>
        <w:rPr>
          <w:rFonts w:ascii="宋体" w:hAnsi="宋体" w:cs="宋体"/>
          <w:b/>
          <w:bCs/>
          <w:sz w:val="32"/>
          <w:szCs w:val="32"/>
        </w:rPr>
        <w:t>202</w:t>
      </w:r>
      <w:r w:rsidR="00235A47">
        <w:rPr>
          <w:rFonts w:ascii="宋体" w:hAnsi="宋体" w:cs="宋体" w:hint="eastAsia"/>
          <w:b/>
          <w:bCs/>
          <w:sz w:val="32"/>
          <w:szCs w:val="32"/>
        </w:rPr>
        <w:t>6</w:t>
      </w:r>
      <w:r>
        <w:rPr>
          <w:rFonts w:ascii="宋体" w:hAnsi="宋体" w:cs="宋体"/>
          <w:b/>
          <w:bCs/>
          <w:sz w:val="32"/>
          <w:szCs w:val="32"/>
        </w:rPr>
        <w:t>年</w:t>
      </w:r>
      <w:r>
        <w:rPr>
          <w:rFonts w:ascii="宋体" w:hAnsi="宋体" w:cs="宋体" w:hint="eastAsia"/>
          <w:b/>
          <w:bCs/>
          <w:sz w:val="32"/>
          <w:szCs w:val="32"/>
        </w:rPr>
        <w:t>0</w:t>
      </w:r>
      <w:r w:rsidR="00235A47">
        <w:rPr>
          <w:rFonts w:ascii="宋体" w:hAnsi="宋体" w:cs="宋体" w:hint="eastAsia"/>
          <w:b/>
          <w:bCs/>
          <w:sz w:val="32"/>
          <w:szCs w:val="32"/>
        </w:rPr>
        <w:t>7</w:t>
      </w:r>
      <w:r>
        <w:rPr>
          <w:rFonts w:ascii="宋体" w:hAnsi="宋体" w:cs="宋体"/>
          <w:b/>
          <w:bCs/>
          <w:sz w:val="32"/>
          <w:szCs w:val="32"/>
        </w:rPr>
        <w:t>月</w:t>
      </w:r>
    </w:p>
    <w:p w:rsidR="00357D29" w:rsidRDefault="00357D29">
      <w:pPr>
        <w:spacing w:line="660" w:lineRule="exact"/>
        <w:rPr>
          <w:rFonts w:ascii="仿宋" w:eastAsia="仿宋" w:hAnsi="仿宋" w:cs="仿宋"/>
          <w:b/>
          <w:bCs/>
          <w:sz w:val="44"/>
          <w:szCs w:val="44"/>
        </w:rPr>
      </w:pPr>
    </w:p>
    <w:p w:rsidR="00357D29" w:rsidRDefault="00357D29">
      <w:pPr>
        <w:widowControl w:val="0"/>
        <w:jc w:val="center"/>
        <w:rPr>
          <w:rFonts w:ascii="仿宋" w:eastAsia="仿宋" w:hAnsi="仿宋" w:cs="仿宋"/>
          <w:b/>
          <w:bCs/>
          <w:sz w:val="32"/>
          <w:szCs w:val="32"/>
        </w:rPr>
      </w:pPr>
    </w:p>
    <w:p w:rsidR="00357D29" w:rsidRDefault="00820803">
      <w:pPr>
        <w:widowControl w:val="0"/>
        <w:jc w:val="center"/>
        <w:rPr>
          <w:rFonts w:ascii="宋体" w:hAnsi="宋体"/>
          <w:b/>
          <w:sz w:val="32"/>
          <w:szCs w:val="32"/>
        </w:rPr>
      </w:pPr>
      <w:r>
        <w:rPr>
          <w:rFonts w:ascii="宋体" w:hAnsi="宋体" w:cs="仿宋" w:hint="eastAsia"/>
          <w:b/>
          <w:bCs/>
          <w:sz w:val="32"/>
          <w:szCs w:val="32"/>
        </w:rPr>
        <w:lastRenderedPageBreak/>
        <w:t>202</w:t>
      </w:r>
      <w:r w:rsidR="00235A47">
        <w:rPr>
          <w:rFonts w:ascii="宋体" w:hAnsi="宋体" w:cs="仿宋" w:hint="eastAsia"/>
          <w:b/>
          <w:bCs/>
          <w:sz w:val="32"/>
          <w:szCs w:val="32"/>
        </w:rPr>
        <w:t>6</w:t>
      </w:r>
      <w:r>
        <w:rPr>
          <w:rFonts w:ascii="宋体" w:hAnsi="宋体" w:cs="仿宋" w:hint="eastAsia"/>
          <w:b/>
          <w:bCs/>
          <w:sz w:val="32"/>
          <w:szCs w:val="32"/>
        </w:rPr>
        <w:t>年海南省充电宝（移动电源）产品省级监督抽查实施细则</w:t>
      </w:r>
    </w:p>
    <w:p w:rsidR="00357D29" w:rsidRDefault="00357D29">
      <w:pPr>
        <w:widowControl w:val="0"/>
        <w:autoSpaceDE w:val="0"/>
        <w:autoSpaceDN w:val="0"/>
        <w:adjustRightInd w:val="0"/>
        <w:spacing w:line="360" w:lineRule="auto"/>
        <w:ind w:right="28"/>
        <w:jc w:val="both"/>
        <w:rPr>
          <w:rFonts w:ascii="黑体" w:eastAsia="黑体" w:hAnsi="宋体"/>
          <w:b/>
          <w:kern w:val="2"/>
          <w:sz w:val="28"/>
          <w:szCs w:val="28"/>
        </w:rPr>
      </w:pPr>
    </w:p>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1 适用范围</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本细则适用于海南省充电宝（移动电源）产品监督抽查，监督抽查产品范围为海南省范围内市场领域的充电宝（移动电源）产品。</w:t>
      </w:r>
    </w:p>
    <w:p w:rsidR="00357D29" w:rsidRDefault="00357D29">
      <w:pPr>
        <w:widowControl w:val="0"/>
        <w:autoSpaceDE w:val="0"/>
        <w:autoSpaceDN w:val="0"/>
        <w:adjustRightInd w:val="0"/>
        <w:spacing w:line="360" w:lineRule="auto"/>
        <w:ind w:right="28" w:firstLineChars="200" w:firstLine="400"/>
        <w:jc w:val="both"/>
        <w:rPr>
          <w:rFonts w:ascii="仿宋_GB2312" w:eastAsia="仿宋_GB2312" w:hAnsi="仿宋_GB2312" w:cs="仿宋_GB2312"/>
          <w:kern w:val="2"/>
        </w:rPr>
      </w:pPr>
    </w:p>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2 检验依据</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凡是注明日期的文件，其随后所有的修改单（不包括勘误的内容）或修订版不适用于本细则。凡是不注明日期的引用文件，其最新版本适用于本细则。</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GB 4943.1—2022 音视频、信息技术和通信技术设备  第1部分：安全要求</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GB 31241—2022 便携式电子产品用锂离子电池和电池组安全技术规范</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现行有效的企业标准、团体标准、地方标准及产品明示质量要求</w:t>
      </w:r>
    </w:p>
    <w:p w:rsidR="00357D29" w:rsidRDefault="00357D29">
      <w:pPr>
        <w:widowControl w:val="0"/>
        <w:autoSpaceDE w:val="0"/>
        <w:autoSpaceDN w:val="0"/>
        <w:adjustRightInd w:val="0"/>
        <w:spacing w:line="360" w:lineRule="auto"/>
        <w:ind w:right="28" w:firstLineChars="200" w:firstLine="400"/>
        <w:jc w:val="both"/>
        <w:rPr>
          <w:rFonts w:ascii="仿宋_GB2312" w:eastAsia="仿宋_GB2312" w:hAnsi="仿宋_GB2312" w:cs="仿宋_GB2312"/>
          <w:kern w:val="2"/>
        </w:rPr>
      </w:pPr>
    </w:p>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3 抽样</w:t>
      </w:r>
    </w:p>
    <w:p w:rsidR="00357D29" w:rsidRDefault="00820803">
      <w:pPr>
        <w:widowControl w:val="0"/>
        <w:spacing w:line="360" w:lineRule="auto"/>
        <w:ind w:firstLineChars="200" w:firstLine="560"/>
        <w:jc w:val="both"/>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抽取样品应为同一型号规格、同一批次的产品。抽取的两份样品分别单独封样，然后加贴封条，在封条上面应加盖抽样单位公章或抽样专用章，并由双方人员签字，一份作为检验样品，一份作为复检备用样品，留样封存于经营者处。抽样数量见下表</w:t>
      </w:r>
    </w:p>
    <w:p w:rsidR="00357D29" w:rsidRDefault="00357D29">
      <w:pPr>
        <w:pStyle w:val="a3"/>
        <w:ind w:left="400"/>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537"/>
        <w:gridCol w:w="2004"/>
        <w:gridCol w:w="6237"/>
      </w:tblGrid>
      <w:tr w:rsidR="00357D29">
        <w:trPr>
          <w:trHeight w:val="285"/>
          <w:jc w:val="center"/>
        </w:trPr>
        <w:tc>
          <w:tcPr>
            <w:tcW w:w="537" w:type="dxa"/>
            <w:tcBorders>
              <w:top w:val="single" w:sz="4" w:space="0" w:color="000000"/>
              <w:left w:val="single" w:sz="4" w:space="0" w:color="000000"/>
              <w:bottom w:val="single" w:sz="4" w:space="0" w:color="auto"/>
              <w:right w:val="single" w:sz="4" w:space="0" w:color="000000"/>
            </w:tcBorders>
            <w:shd w:val="clear" w:color="auto" w:fill="FFFFFF"/>
            <w:vAlign w:val="center"/>
          </w:tcPr>
          <w:p w:rsidR="00357D29" w:rsidRDefault="00820803">
            <w:pPr>
              <w:jc w:val="center"/>
              <w:textAlignment w:val="center"/>
              <w:rPr>
                <w:rFonts w:ascii="仿宋" w:eastAsia="仿宋" w:hAnsi="仿宋" w:cs="宋体"/>
                <w:b/>
                <w:sz w:val="21"/>
                <w:szCs w:val="21"/>
              </w:rPr>
            </w:pPr>
            <w:r>
              <w:rPr>
                <w:rFonts w:ascii="仿宋" w:eastAsia="仿宋" w:hAnsi="仿宋" w:cs="宋体" w:hint="eastAsia"/>
                <w:b/>
                <w:sz w:val="21"/>
                <w:szCs w:val="21"/>
                <w:lang w:bidi="ar"/>
              </w:rPr>
              <w:t>序号</w:t>
            </w:r>
          </w:p>
        </w:tc>
        <w:tc>
          <w:tcPr>
            <w:tcW w:w="20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7D29" w:rsidRDefault="00820803">
            <w:pPr>
              <w:jc w:val="center"/>
              <w:textAlignment w:val="center"/>
              <w:rPr>
                <w:rFonts w:ascii="仿宋" w:eastAsia="仿宋" w:hAnsi="仿宋" w:cs="宋体"/>
                <w:b/>
                <w:sz w:val="21"/>
                <w:szCs w:val="21"/>
              </w:rPr>
            </w:pPr>
            <w:r>
              <w:rPr>
                <w:rFonts w:ascii="仿宋" w:eastAsia="仿宋" w:hAnsi="仿宋" w:cs="宋体" w:hint="eastAsia"/>
                <w:b/>
                <w:sz w:val="21"/>
                <w:szCs w:val="21"/>
                <w:lang w:bidi="ar"/>
              </w:rPr>
              <w:t>抽查产品</w:t>
            </w:r>
          </w:p>
        </w:tc>
        <w:tc>
          <w:tcPr>
            <w:tcW w:w="62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7D29" w:rsidRDefault="00820803">
            <w:pPr>
              <w:jc w:val="center"/>
              <w:textAlignment w:val="center"/>
              <w:rPr>
                <w:rFonts w:ascii="仿宋" w:eastAsia="仿宋" w:hAnsi="仿宋" w:cs="宋体"/>
                <w:b/>
                <w:sz w:val="21"/>
                <w:szCs w:val="21"/>
              </w:rPr>
            </w:pPr>
            <w:r>
              <w:rPr>
                <w:rFonts w:ascii="仿宋" w:eastAsia="仿宋" w:hAnsi="仿宋" w:cs="宋体" w:hint="eastAsia"/>
                <w:b/>
                <w:sz w:val="21"/>
                <w:szCs w:val="21"/>
                <w:lang w:bidi="ar"/>
              </w:rPr>
              <w:t>抽样数量</w:t>
            </w:r>
          </w:p>
        </w:tc>
      </w:tr>
      <w:tr w:rsidR="00357D29">
        <w:trPr>
          <w:trHeight w:val="600"/>
          <w:jc w:val="center"/>
        </w:trPr>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357D29" w:rsidRDefault="00820803">
            <w:pPr>
              <w:jc w:val="center"/>
              <w:textAlignment w:val="center"/>
              <w:rPr>
                <w:rFonts w:ascii="仿宋" w:eastAsia="仿宋" w:hAnsi="仿宋" w:cs="宋体"/>
                <w:sz w:val="21"/>
                <w:szCs w:val="21"/>
              </w:rPr>
            </w:pPr>
            <w:r>
              <w:rPr>
                <w:rFonts w:ascii="仿宋" w:eastAsia="仿宋" w:hAnsi="仿宋" w:cs="宋体" w:hint="eastAsia"/>
                <w:sz w:val="21"/>
                <w:szCs w:val="21"/>
                <w:lang w:bidi="ar"/>
              </w:rPr>
              <w:t>1</w:t>
            </w:r>
          </w:p>
        </w:tc>
        <w:tc>
          <w:tcPr>
            <w:tcW w:w="2004" w:type="dxa"/>
            <w:tcBorders>
              <w:top w:val="single" w:sz="4" w:space="0" w:color="000000"/>
              <w:left w:val="single" w:sz="4" w:space="0" w:color="auto"/>
              <w:bottom w:val="single" w:sz="4" w:space="0" w:color="000000"/>
              <w:right w:val="single" w:sz="4" w:space="0" w:color="000000"/>
            </w:tcBorders>
            <w:shd w:val="clear" w:color="auto" w:fill="FFFFFF"/>
            <w:vAlign w:val="center"/>
          </w:tcPr>
          <w:p w:rsidR="00357D29" w:rsidRDefault="00820803">
            <w:pPr>
              <w:jc w:val="center"/>
              <w:textAlignment w:val="center"/>
              <w:rPr>
                <w:rFonts w:ascii="仿宋" w:eastAsia="仿宋" w:hAnsi="仿宋" w:cs="宋体"/>
                <w:sz w:val="21"/>
                <w:szCs w:val="21"/>
              </w:rPr>
            </w:pPr>
            <w:r>
              <w:rPr>
                <w:rFonts w:ascii="仿宋" w:eastAsia="仿宋" w:hAnsi="仿宋" w:cs="宋体" w:hint="eastAsia"/>
                <w:sz w:val="21"/>
                <w:szCs w:val="21"/>
              </w:rPr>
              <w:t>充电宝（移动电源）</w:t>
            </w:r>
          </w:p>
        </w:tc>
        <w:tc>
          <w:tcPr>
            <w:tcW w:w="62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7D29" w:rsidRDefault="00820803">
            <w:pPr>
              <w:jc w:val="center"/>
              <w:textAlignment w:val="center"/>
              <w:rPr>
                <w:rFonts w:ascii="仿宋" w:eastAsia="仿宋" w:hAnsi="仿宋" w:cs="宋体"/>
                <w:sz w:val="21"/>
                <w:szCs w:val="21"/>
              </w:rPr>
            </w:pPr>
            <w:r>
              <w:rPr>
                <w:rFonts w:hint="eastAsia"/>
                <w:color w:val="000000"/>
                <w:szCs w:val="21"/>
              </w:rPr>
              <w:t>11</w:t>
            </w:r>
            <w:r>
              <w:rPr>
                <w:rFonts w:hint="eastAsia"/>
                <w:color w:val="000000"/>
                <w:szCs w:val="21"/>
              </w:rPr>
              <w:t>只</w:t>
            </w:r>
            <w:r>
              <w:rPr>
                <w:color w:val="000000"/>
                <w:szCs w:val="21"/>
              </w:rPr>
              <w:t>，</w:t>
            </w:r>
            <w:r>
              <w:rPr>
                <w:rFonts w:hint="eastAsia"/>
                <w:color w:val="000000"/>
                <w:szCs w:val="21"/>
              </w:rPr>
              <w:t>9</w:t>
            </w:r>
            <w:r>
              <w:rPr>
                <w:rFonts w:hint="eastAsia"/>
                <w:color w:val="000000"/>
                <w:szCs w:val="21"/>
              </w:rPr>
              <w:t>只</w:t>
            </w:r>
            <w:r>
              <w:rPr>
                <w:color w:val="000000"/>
                <w:szCs w:val="21"/>
              </w:rPr>
              <w:t>作为检验样品，</w:t>
            </w:r>
            <w:r>
              <w:rPr>
                <w:rFonts w:hint="eastAsia"/>
                <w:color w:val="000000"/>
                <w:szCs w:val="21"/>
              </w:rPr>
              <w:t>2</w:t>
            </w:r>
            <w:r>
              <w:rPr>
                <w:rFonts w:hint="eastAsia"/>
                <w:color w:val="000000"/>
                <w:szCs w:val="21"/>
              </w:rPr>
              <w:t>只</w:t>
            </w:r>
            <w:r>
              <w:rPr>
                <w:color w:val="000000"/>
                <w:szCs w:val="21"/>
              </w:rPr>
              <w:t>作为备用样品</w:t>
            </w:r>
          </w:p>
        </w:tc>
      </w:tr>
    </w:tbl>
    <w:p w:rsidR="00357D29" w:rsidRDefault="00357D29">
      <w:pPr>
        <w:widowControl w:val="0"/>
        <w:autoSpaceDE w:val="0"/>
        <w:autoSpaceDN w:val="0"/>
        <w:adjustRightInd w:val="0"/>
        <w:spacing w:line="360" w:lineRule="auto"/>
        <w:ind w:right="28"/>
        <w:jc w:val="both"/>
        <w:rPr>
          <w:rFonts w:ascii="宋体" w:hAnsi="宋体" w:cs="宋体"/>
          <w:sz w:val="21"/>
          <w:szCs w:val="21"/>
          <w:lang w:bidi="ar"/>
        </w:rPr>
      </w:pPr>
    </w:p>
    <w:p w:rsidR="00357D29" w:rsidRDefault="00357D29">
      <w:pPr>
        <w:pStyle w:val="a3"/>
        <w:ind w:leftChars="0" w:left="0"/>
      </w:pPr>
    </w:p>
    <w:p w:rsidR="00357D29" w:rsidRDefault="00357D29"/>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4 检验项目</w:t>
      </w:r>
    </w:p>
    <w:p w:rsidR="00357D29" w:rsidRDefault="00357D29">
      <w:pPr>
        <w:snapToGrid w:val="0"/>
        <w:spacing w:line="440" w:lineRule="exact"/>
        <w:jc w:val="center"/>
        <w:rPr>
          <w:color w:val="000000"/>
          <w:szCs w:val="21"/>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
        <w:gridCol w:w="3433"/>
        <w:gridCol w:w="4606"/>
      </w:tblGrid>
      <w:tr w:rsidR="00357D29">
        <w:trPr>
          <w:trHeight w:val="449"/>
          <w:jc w:val="center"/>
        </w:trPr>
        <w:tc>
          <w:tcPr>
            <w:tcW w:w="1000" w:type="dxa"/>
            <w:vAlign w:val="center"/>
          </w:tcPr>
          <w:p w:rsidR="00357D29" w:rsidRDefault="00820803">
            <w:pPr>
              <w:snapToGrid w:val="0"/>
              <w:spacing w:line="300" w:lineRule="exact"/>
              <w:jc w:val="center"/>
              <w:rPr>
                <w:color w:val="000000"/>
                <w:sz w:val="28"/>
                <w:szCs w:val="28"/>
              </w:rPr>
            </w:pPr>
            <w:r>
              <w:rPr>
                <w:color w:val="000000"/>
                <w:sz w:val="28"/>
                <w:szCs w:val="28"/>
              </w:rPr>
              <w:t>序号</w:t>
            </w:r>
          </w:p>
        </w:tc>
        <w:tc>
          <w:tcPr>
            <w:tcW w:w="3433" w:type="dxa"/>
            <w:vAlign w:val="center"/>
          </w:tcPr>
          <w:p w:rsidR="00357D29" w:rsidRDefault="00820803">
            <w:pPr>
              <w:snapToGrid w:val="0"/>
              <w:spacing w:line="300" w:lineRule="exact"/>
              <w:jc w:val="center"/>
              <w:rPr>
                <w:color w:val="000000"/>
                <w:sz w:val="28"/>
                <w:szCs w:val="28"/>
              </w:rPr>
            </w:pPr>
            <w:r>
              <w:rPr>
                <w:color w:val="000000"/>
                <w:sz w:val="28"/>
                <w:szCs w:val="28"/>
              </w:rPr>
              <w:t>检验项目</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检验方法</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color w:val="000000"/>
                <w:sz w:val="28"/>
                <w:szCs w:val="28"/>
              </w:rPr>
              <w:t>1</w:t>
            </w:r>
          </w:p>
        </w:tc>
        <w:tc>
          <w:tcPr>
            <w:tcW w:w="3433" w:type="dxa"/>
            <w:vAlign w:val="center"/>
          </w:tcPr>
          <w:p w:rsidR="00357D29" w:rsidRDefault="00820803">
            <w:pPr>
              <w:snapToGrid w:val="0"/>
              <w:spacing w:line="300" w:lineRule="exact"/>
              <w:jc w:val="center"/>
              <w:rPr>
                <w:color w:val="000000"/>
                <w:sz w:val="28"/>
                <w:szCs w:val="28"/>
              </w:rPr>
            </w:pPr>
            <w:r>
              <w:rPr>
                <w:color w:val="000000"/>
                <w:sz w:val="28"/>
                <w:szCs w:val="28"/>
              </w:rPr>
              <w:t>热灼伤（接触温度限值）</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4943.1</w:t>
            </w:r>
            <w:r>
              <w:rPr>
                <w:sz w:val="28"/>
                <w:szCs w:val="28"/>
              </w:rPr>
              <w:t>—</w:t>
            </w:r>
            <w:r>
              <w:rPr>
                <w:color w:val="000000"/>
                <w:sz w:val="28"/>
                <w:szCs w:val="28"/>
              </w:rPr>
              <w:t>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lastRenderedPageBreak/>
              <w:t>2</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模拟的异常工作条件</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4943.1</w:t>
            </w:r>
            <w:r>
              <w:rPr>
                <w:sz w:val="28"/>
                <w:szCs w:val="28"/>
              </w:rPr>
              <w:t>—</w:t>
            </w:r>
            <w:r>
              <w:rPr>
                <w:color w:val="000000"/>
                <w:sz w:val="28"/>
                <w:szCs w:val="28"/>
              </w:rPr>
              <w:t>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3</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低气压</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4</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振动</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5</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加速度冲击</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6</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跌落</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7</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高温使用</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bookmarkStart w:id="0" w:name="_GoBack"/>
        <w:bookmarkEnd w:id="0"/>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color w:val="000000"/>
                <w:sz w:val="28"/>
                <w:szCs w:val="28"/>
              </w:rPr>
              <w:t>8</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重物冲击</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color w:val="000000"/>
                <w:sz w:val="28"/>
                <w:szCs w:val="28"/>
              </w:rPr>
              <w:t>9</w:t>
            </w:r>
          </w:p>
        </w:tc>
        <w:tc>
          <w:tcPr>
            <w:tcW w:w="3433" w:type="dxa"/>
            <w:vAlign w:val="center"/>
          </w:tcPr>
          <w:p w:rsidR="00357D29" w:rsidRDefault="00820803">
            <w:pPr>
              <w:snapToGrid w:val="0"/>
              <w:spacing w:line="300" w:lineRule="exact"/>
              <w:jc w:val="center"/>
              <w:rPr>
                <w:color w:val="000000"/>
                <w:sz w:val="28"/>
                <w:szCs w:val="28"/>
              </w:rPr>
            </w:pPr>
            <w:r>
              <w:rPr>
                <w:color w:val="000000"/>
                <w:sz w:val="28"/>
                <w:szCs w:val="28"/>
              </w:rPr>
              <w:t>高温外部短路</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17"/>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1</w:t>
            </w:r>
            <w:r>
              <w:rPr>
                <w:color w:val="000000"/>
                <w:sz w:val="28"/>
                <w:szCs w:val="28"/>
              </w:rPr>
              <w:t>0</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挤压</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r w:rsidR="00357D29">
        <w:trPr>
          <w:trHeight w:val="430"/>
          <w:jc w:val="center"/>
        </w:trPr>
        <w:tc>
          <w:tcPr>
            <w:tcW w:w="1000"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1</w:t>
            </w:r>
            <w:r>
              <w:rPr>
                <w:color w:val="000000"/>
                <w:sz w:val="28"/>
                <w:szCs w:val="28"/>
              </w:rPr>
              <w:t>1</w:t>
            </w:r>
          </w:p>
        </w:tc>
        <w:tc>
          <w:tcPr>
            <w:tcW w:w="3433" w:type="dxa"/>
            <w:vAlign w:val="center"/>
          </w:tcPr>
          <w:p w:rsidR="00357D29" w:rsidRDefault="00820803">
            <w:pPr>
              <w:snapToGrid w:val="0"/>
              <w:spacing w:line="300" w:lineRule="exact"/>
              <w:jc w:val="center"/>
              <w:rPr>
                <w:color w:val="000000"/>
                <w:sz w:val="28"/>
                <w:szCs w:val="28"/>
              </w:rPr>
            </w:pPr>
            <w:r>
              <w:rPr>
                <w:rFonts w:hint="eastAsia"/>
                <w:color w:val="000000"/>
                <w:sz w:val="28"/>
                <w:szCs w:val="28"/>
              </w:rPr>
              <w:t>热滥用</w:t>
            </w:r>
          </w:p>
        </w:tc>
        <w:tc>
          <w:tcPr>
            <w:tcW w:w="4606" w:type="dxa"/>
            <w:vAlign w:val="center"/>
          </w:tcPr>
          <w:p w:rsidR="00357D29" w:rsidRDefault="00820803">
            <w:pPr>
              <w:snapToGrid w:val="0"/>
              <w:spacing w:line="300" w:lineRule="exact"/>
              <w:jc w:val="center"/>
              <w:rPr>
                <w:color w:val="000000"/>
                <w:sz w:val="28"/>
                <w:szCs w:val="28"/>
              </w:rPr>
            </w:pPr>
            <w:r>
              <w:rPr>
                <w:color w:val="000000"/>
                <w:sz w:val="28"/>
                <w:szCs w:val="28"/>
              </w:rPr>
              <w:t>GB 31241—2022</w:t>
            </w:r>
          </w:p>
        </w:tc>
      </w:tr>
    </w:tbl>
    <w:p w:rsidR="00357D29" w:rsidRDefault="00820803">
      <w:pPr>
        <w:widowControl w:val="0"/>
        <w:autoSpaceDE w:val="0"/>
        <w:autoSpaceDN w:val="0"/>
        <w:adjustRightInd w:val="0"/>
        <w:spacing w:line="360" w:lineRule="auto"/>
        <w:ind w:right="28"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执行企业标准、团体标准、地方标准的产品，检验项目参照上述内容执行。</w:t>
      </w:r>
    </w:p>
    <w:p w:rsidR="00357D29" w:rsidRDefault="00357D29">
      <w:pPr>
        <w:pStyle w:val="a3"/>
        <w:ind w:left="400"/>
      </w:pPr>
    </w:p>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5 判定原则</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经检验，检验项目全部合格，判定为被抽查产品所检项目未发现不合格；检验项目中任一项或一项以上不合格，判定为被抽查产品不合格。</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若被检产品明示的质量要求高于本细则中检验项目依据的标准要求时，应按被检产品明示的质量要求判定。</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若被检产品明示的质量要求低于本细则中检验项目依据的强制性标准要求时，应按照强制性标准要求判定。</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若被检产品明示的质量要求低于或包含本细则中检验项目依据的推荐性标准要求时，应以被检产品明示的质量要求判定。</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若被检产品明示的质量要求缺少本细则中检验项目依据的强制性标准要求时，应按照强制性标准要求判定。</w:t>
      </w:r>
    </w:p>
    <w:p w:rsidR="00357D29" w:rsidRDefault="00820803">
      <w:pPr>
        <w:widowControl w:val="0"/>
        <w:autoSpaceDE w:val="0"/>
        <w:autoSpaceDN w:val="0"/>
        <w:adjustRightInd w:val="0"/>
        <w:spacing w:line="360" w:lineRule="auto"/>
        <w:ind w:right="28" w:firstLineChars="200" w:firstLine="56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若被检产品明示的质量要求缺少本细则中检验项目依据的推荐性标准要求时，该项目不参与判定。</w:t>
      </w:r>
    </w:p>
    <w:p w:rsidR="00357D29" w:rsidRDefault="00357D29">
      <w:pPr>
        <w:widowControl w:val="0"/>
        <w:autoSpaceDE w:val="0"/>
        <w:autoSpaceDN w:val="0"/>
        <w:adjustRightInd w:val="0"/>
        <w:spacing w:line="360" w:lineRule="auto"/>
        <w:ind w:right="28"/>
        <w:jc w:val="both"/>
        <w:rPr>
          <w:rFonts w:ascii="仿宋_GB2312" w:eastAsia="仿宋_GB2312" w:hAnsi="仿宋_GB2312" w:cs="仿宋_GB2312"/>
          <w:kern w:val="2"/>
          <w:sz w:val="28"/>
          <w:szCs w:val="28"/>
        </w:rPr>
      </w:pPr>
    </w:p>
    <w:p w:rsidR="00357D29" w:rsidRDefault="00820803">
      <w:pPr>
        <w:widowControl w:val="0"/>
        <w:autoSpaceDE w:val="0"/>
        <w:autoSpaceDN w:val="0"/>
        <w:adjustRightInd w:val="0"/>
        <w:spacing w:line="360" w:lineRule="auto"/>
        <w:ind w:right="28"/>
        <w:jc w:val="both"/>
        <w:rPr>
          <w:rFonts w:ascii="黑体" w:eastAsia="黑体" w:hAnsi="宋体"/>
          <w:bCs/>
          <w:kern w:val="2"/>
          <w:sz w:val="28"/>
          <w:szCs w:val="28"/>
        </w:rPr>
      </w:pPr>
      <w:r>
        <w:rPr>
          <w:rFonts w:ascii="黑体" w:eastAsia="黑体" w:hAnsi="宋体" w:hint="eastAsia"/>
          <w:bCs/>
          <w:kern w:val="2"/>
          <w:sz w:val="28"/>
          <w:szCs w:val="28"/>
        </w:rPr>
        <w:t>6 异议处理复检</w:t>
      </w:r>
    </w:p>
    <w:p w:rsidR="00357D29" w:rsidRDefault="00820803">
      <w:pPr>
        <w:widowControl w:val="0"/>
        <w:spacing w:line="360" w:lineRule="auto"/>
        <w:ind w:firstLine="42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对判定不合格产品进行复检时，按以下方式进行：</w:t>
      </w:r>
    </w:p>
    <w:p w:rsidR="00357D29" w:rsidRDefault="00820803">
      <w:pPr>
        <w:widowControl w:val="0"/>
        <w:spacing w:line="360" w:lineRule="auto"/>
        <w:ind w:firstLine="42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lastRenderedPageBreak/>
        <w:t>6.1对不合格项目复检时，可以在原样上检验的在原样上复检，不可以在原样上检验的采用备用样复检。</w:t>
      </w:r>
      <w:r>
        <w:rPr>
          <w:rFonts w:ascii="仿宋_GB2312" w:eastAsia="仿宋_GB2312" w:hAnsi="仿宋_GB2312" w:cs="仿宋_GB2312" w:hint="eastAsia"/>
          <w:sz w:val="28"/>
          <w:szCs w:val="28"/>
        </w:rPr>
        <w:t>复检结论为最终检验结论</w:t>
      </w:r>
      <w:r>
        <w:rPr>
          <w:rFonts w:ascii="仿宋_GB2312" w:eastAsia="仿宋_GB2312" w:hAnsi="仿宋_GB2312" w:cs="仿宋_GB2312" w:hint="eastAsia"/>
          <w:kern w:val="2"/>
          <w:sz w:val="28"/>
          <w:szCs w:val="28"/>
        </w:rPr>
        <w:t>。</w:t>
      </w:r>
    </w:p>
    <w:p w:rsidR="00357D29" w:rsidRDefault="00820803">
      <w:pPr>
        <w:widowControl w:val="0"/>
        <w:spacing w:line="360" w:lineRule="auto"/>
        <w:ind w:firstLine="42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6.2 不进行复检情况：</w:t>
      </w:r>
    </w:p>
    <w:p w:rsidR="00357D29" w:rsidRDefault="00820803">
      <w:pPr>
        <w:widowControl w:val="0"/>
        <w:spacing w:line="360" w:lineRule="auto"/>
        <w:ind w:firstLine="42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①被检方提出复检时，产品在复检有效期内于正常贮存条件下已变质；</w:t>
      </w:r>
    </w:p>
    <w:p w:rsidR="00357D29" w:rsidRDefault="00820803">
      <w:pPr>
        <w:widowControl w:val="0"/>
        <w:spacing w:line="360" w:lineRule="auto"/>
        <w:ind w:firstLine="42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②法律、法规规定不得复检的其他情况。</w:t>
      </w:r>
    </w:p>
    <w:p w:rsidR="00357D29" w:rsidRDefault="00357D29">
      <w:pPr>
        <w:pStyle w:val="a3"/>
        <w:ind w:left="400"/>
      </w:pPr>
    </w:p>
    <w:p w:rsidR="00820803" w:rsidRDefault="00820803">
      <w:pPr>
        <w:widowControl w:val="0"/>
        <w:spacing w:line="360" w:lineRule="auto"/>
        <w:jc w:val="both"/>
        <w:rPr>
          <w:rFonts w:ascii="宋体" w:hAnsi="宋体"/>
          <w:kern w:val="2"/>
          <w:sz w:val="21"/>
          <w:szCs w:val="21"/>
        </w:rPr>
      </w:pPr>
    </w:p>
    <w:sectPr w:rsidR="00820803">
      <w:footerReference w:type="default" r:id="rId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BA3" w:rsidRDefault="00005BA3">
      <w:r>
        <w:separator/>
      </w:r>
    </w:p>
  </w:endnote>
  <w:endnote w:type="continuationSeparator" w:id="0">
    <w:p w:rsidR="00005BA3" w:rsidRDefault="00005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D29" w:rsidRDefault="00820803">
    <w:pPr>
      <w:pStyle w:val="a7"/>
      <w:framePr w:wrap="around" w:vAnchor="text" w:hAnchor="margin" w:xAlign="right" w:y="1"/>
      <w:rPr>
        <w:rStyle w:val="aa"/>
      </w:rPr>
    </w:pPr>
    <w:r>
      <w:fldChar w:fldCharType="begin"/>
    </w:r>
    <w:r>
      <w:rPr>
        <w:rStyle w:val="aa"/>
      </w:rPr>
      <w:instrText xml:space="preserve">PAGE  </w:instrText>
    </w:r>
    <w:r>
      <w:fldChar w:fldCharType="separate"/>
    </w:r>
    <w:r w:rsidR="00235A47">
      <w:rPr>
        <w:rStyle w:val="aa"/>
        <w:noProof/>
      </w:rPr>
      <w:t>3</w:t>
    </w:r>
    <w:r>
      <w:fldChar w:fldCharType="end"/>
    </w:r>
  </w:p>
  <w:p w:rsidR="00357D29" w:rsidRDefault="00357D2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BA3" w:rsidRDefault="00005BA3">
      <w:r>
        <w:separator/>
      </w:r>
    </w:p>
  </w:footnote>
  <w:footnote w:type="continuationSeparator" w:id="0">
    <w:p w:rsidR="00005BA3" w:rsidRDefault="00005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04"/>
  <w:doNotUseMarginsForDrawingGridOrigin/>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AFFEB9AB"/>
    <w:rsid w:val="B5477BF7"/>
    <w:rsid w:val="00005BA3"/>
    <w:rsid w:val="00006A96"/>
    <w:rsid w:val="00007F7D"/>
    <w:rsid w:val="000218DF"/>
    <w:rsid w:val="00047288"/>
    <w:rsid w:val="00057A04"/>
    <w:rsid w:val="000A7115"/>
    <w:rsid w:val="000B0E66"/>
    <w:rsid w:val="000D1B3B"/>
    <w:rsid w:val="0012354D"/>
    <w:rsid w:val="001246EF"/>
    <w:rsid w:val="00172A27"/>
    <w:rsid w:val="00175684"/>
    <w:rsid w:val="002211DB"/>
    <w:rsid w:val="00235A47"/>
    <w:rsid w:val="00257522"/>
    <w:rsid w:val="00267DF7"/>
    <w:rsid w:val="00271A54"/>
    <w:rsid w:val="002920C6"/>
    <w:rsid w:val="002C2140"/>
    <w:rsid w:val="002D6F21"/>
    <w:rsid w:val="002E2EAA"/>
    <w:rsid w:val="00312E92"/>
    <w:rsid w:val="00313DE9"/>
    <w:rsid w:val="00357D29"/>
    <w:rsid w:val="003A5109"/>
    <w:rsid w:val="003A597B"/>
    <w:rsid w:val="003C6436"/>
    <w:rsid w:val="003E26C5"/>
    <w:rsid w:val="003F2B9E"/>
    <w:rsid w:val="0040568A"/>
    <w:rsid w:val="00414A9E"/>
    <w:rsid w:val="004279AA"/>
    <w:rsid w:val="00430704"/>
    <w:rsid w:val="00451FB6"/>
    <w:rsid w:val="004559E7"/>
    <w:rsid w:val="00494763"/>
    <w:rsid w:val="004A4340"/>
    <w:rsid w:val="004B4867"/>
    <w:rsid w:val="004D51B1"/>
    <w:rsid w:val="004E2206"/>
    <w:rsid w:val="00517E0F"/>
    <w:rsid w:val="00545A5B"/>
    <w:rsid w:val="005B1785"/>
    <w:rsid w:val="005E3FE3"/>
    <w:rsid w:val="006818E1"/>
    <w:rsid w:val="006B66F8"/>
    <w:rsid w:val="006C094E"/>
    <w:rsid w:val="006C6C23"/>
    <w:rsid w:val="006E3ED6"/>
    <w:rsid w:val="006F4CF4"/>
    <w:rsid w:val="007B47F8"/>
    <w:rsid w:val="007E422C"/>
    <w:rsid w:val="00800F30"/>
    <w:rsid w:val="00820803"/>
    <w:rsid w:val="00831177"/>
    <w:rsid w:val="0083206C"/>
    <w:rsid w:val="00833F8F"/>
    <w:rsid w:val="008C6D8B"/>
    <w:rsid w:val="008E0D4F"/>
    <w:rsid w:val="00920804"/>
    <w:rsid w:val="00923E18"/>
    <w:rsid w:val="0095394B"/>
    <w:rsid w:val="009A2695"/>
    <w:rsid w:val="009B2603"/>
    <w:rsid w:val="009C0C33"/>
    <w:rsid w:val="00A83BA1"/>
    <w:rsid w:val="00AB7413"/>
    <w:rsid w:val="00AB7775"/>
    <w:rsid w:val="00AC789D"/>
    <w:rsid w:val="00AD0CF1"/>
    <w:rsid w:val="00B07BFD"/>
    <w:rsid w:val="00B25994"/>
    <w:rsid w:val="00B4177E"/>
    <w:rsid w:val="00B57E4B"/>
    <w:rsid w:val="00B8789D"/>
    <w:rsid w:val="00B95942"/>
    <w:rsid w:val="00BD02B3"/>
    <w:rsid w:val="00BD6EAE"/>
    <w:rsid w:val="00BE00B0"/>
    <w:rsid w:val="00C026B5"/>
    <w:rsid w:val="00C02CD4"/>
    <w:rsid w:val="00C17213"/>
    <w:rsid w:val="00C41607"/>
    <w:rsid w:val="00C43DDA"/>
    <w:rsid w:val="00C44E71"/>
    <w:rsid w:val="00CB7A0A"/>
    <w:rsid w:val="00CC1D08"/>
    <w:rsid w:val="00CF1656"/>
    <w:rsid w:val="00D03105"/>
    <w:rsid w:val="00D74EDC"/>
    <w:rsid w:val="00D81376"/>
    <w:rsid w:val="00DD19B3"/>
    <w:rsid w:val="00DD23DF"/>
    <w:rsid w:val="00DD6B0E"/>
    <w:rsid w:val="00E349FF"/>
    <w:rsid w:val="00E62DFD"/>
    <w:rsid w:val="00E81580"/>
    <w:rsid w:val="00E85B40"/>
    <w:rsid w:val="00E90536"/>
    <w:rsid w:val="00E928E9"/>
    <w:rsid w:val="00EB52C4"/>
    <w:rsid w:val="00ED0E5E"/>
    <w:rsid w:val="00F053DB"/>
    <w:rsid w:val="00F17D7C"/>
    <w:rsid w:val="00F30742"/>
    <w:rsid w:val="00F57E18"/>
    <w:rsid w:val="00FA0968"/>
    <w:rsid w:val="00FB7BE5"/>
    <w:rsid w:val="00FC43FA"/>
    <w:rsid w:val="00FC4746"/>
    <w:rsid w:val="00FE39E0"/>
    <w:rsid w:val="00FF4862"/>
    <w:rsid w:val="05BF7FEE"/>
    <w:rsid w:val="060D5189"/>
    <w:rsid w:val="06404314"/>
    <w:rsid w:val="069A1ACD"/>
    <w:rsid w:val="08460029"/>
    <w:rsid w:val="085A7B66"/>
    <w:rsid w:val="0870400D"/>
    <w:rsid w:val="08BE63F6"/>
    <w:rsid w:val="08E560DC"/>
    <w:rsid w:val="0A000796"/>
    <w:rsid w:val="0D670B8F"/>
    <w:rsid w:val="0EED7A37"/>
    <w:rsid w:val="0F9914FF"/>
    <w:rsid w:val="111D4EBC"/>
    <w:rsid w:val="122B477E"/>
    <w:rsid w:val="12B47D62"/>
    <w:rsid w:val="15FF62A5"/>
    <w:rsid w:val="16ED411A"/>
    <w:rsid w:val="17197E52"/>
    <w:rsid w:val="173D7425"/>
    <w:rsid w:val="18D579D7"/>
    <w:rsid w:val="19ED56AF"/>
    <w:rsid w:val="1E6563B6"/>
    <w:rsid w:val="20A46B22"/>
    <w:rsid w:val="21260BD0"/>
    <w:rsid w:val="233D4430"/>
    <w:rsid w:val="23FD48B3"/>
    <w:rsid w:val="242A7402"/>
    <w:rsid w:val="25A42C4C"/>
    <w:rsid w:val="291A4E8E"/>
    <w:rsid w:val="29A10A42"/>
    <w:rsid w:val="2ABE5F6C"/>
    <w:rsid w:val="2B403562"/>
    <w:rsid w:val="2BB7546F"/>
    <w:rsid w:val="2D371299"/>
    <w:rsid w:val="2EBF2181"/>
    <w:rsid w:val="2F0E490D"/>
    <w:rsid w:val="30996A40"/>
    <w:rsid w:val="30DF49B5"/>
    <w:rsid w:val="32B9622E"/>
    <w:rsid w:val="330800D8"/>
    <w:rsid w:val="36830605"/>
    <w:rsid w:val="3906160D"/>
    <w:rsid w:val="3B0A18B8"/>
    <w:rsid w:val="3CC43CAA"/>
    <w:rsid w:val="3E480ABE"/>
    <w:rsid w:val="3F394606"/>
    <w:rsid w:val="41243265"/>
    <w:rsid w:val="42134B6C"/>
    <w:rsid w:val="42191EC5"/>
    <w:rsid w:val="42E10EC6"/>
    <w:rsid w:val="4800180F"/>
    <w:rsid w:val="4A3844C1"/>
    <w:rsid w:val="4C0A5C97"/>
    <w:rsid w:val="4C427E8F"/>
    <w:rsid w:val="4DB127C3"/>
    <w:rsid w:val="4ED87B0B"/>
    <w:rsid w:val="4F271BE4"/>
    <w:rsid w:val="4FFFA572"/>
    <w:rsid w:val="51F74907"/>
    <w:rsid w:val="523363EA"/>
    <w:rsid w:val="526117A6"/>
    <w:rsid w:val="5456098A"/>
    <w:rsid w:val="54B701B2"/>
    <w:rsid w:val="557504C4"/>
    <w:rsid w:val="55CF70C7"/>
    <w:rsid w:val="55EA62E0"/>
    <w:rsid w:val="5A1F1AAE"/>
    <w:rsid w:val="5B6E02C5"/>
    <w:rsid w:val="6094402B"/>
    <w:rsid w:val="609C5D31"/>
    <w:rsid w:val="61207BF6"/>
    <w:rsid w:val="61E33CD5"/>
    <w:rsid w:val="6371879B"/>
    <w:rsid w:val="63852A0B"/>
    <w:rsid w:val="666C4F6D"/>
    <w:rsid w:val="66FA34FB"/>
    <w:rsid w:val="69604ABB"/>
    <w:rsid w:val="6AF82579"/>
    <w:rsid w:val="6BD94A6A"/>
    <w:rsid w:val="6CEB6B32"/>
    <w:rsid w:val="6D7F2DBF"/>
    <w:rsid w:val="6E130704"/>
    <w:rsid w:val="70461535"/>
    <w:rsid w:val="73E34880"/>
    <w:rsid w:val="73FF3668"/>
    <w:rsid w:val="74AC314F"/>
    <w:rsid w:val="79A17F7B"/>
    <w:rsid w:val="7B7521B2"/>
    <w:rsid w:val="7BFF58AF"/>
    <w:rsid w:val="7CBB5C82"/>
    <w:rsid w:val="7DA42138"/>
    <w:rsid w:val="7EC058B6"/>
    <w:rsid w:val="7FD54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able of authorities" w:semiHidden="0" w:qFormat="1"/>
    <w:lsdException w:name="Title" w:semiHidden="0" w:uiPriority="10" w:unhideWhenUsed="0" w:qFormat="1"/>
    <w:lsdException w:name="Default Paragraph Font" w:semiHidden="0" w:uiPriority="0" w:unhideWhenUsed="0"/>
    <w:lsdException w:name="Body Tex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Table" w:semiHidden="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ind w:leftChars="200" w:left="420"/>
    </w:pPr>
  </w:style>
  <w:style w:type="paragraph" w:styleId="a4">
    <w:name w:val="annotation text"/>
    <w:basedOn w:val="a"/>
    <w:link w:val="Char"/>
  </w:style>
  <w:style w:type="character" w:customStyle="1" w:styleId="Char">
    <w:name w:val="批注文字 Char"/>
    <w:link w:val="a4"/>
  </w:style>
  <w:style w:type="paragraph" w:styleId="a5">
    <w:name w:val="Body Text"/>
    <w:basedOn w:val="a"/>
    <w:link w:val="Char0"/>
    <w:pPr>
      <w:widowControl w:val="0"/>
      <w:jc w:val="both"/>
    </w:pPr>
  </w:style>
  <w:style w:type="character" w:customStyle="1" w:styleId="Char0">
    <w:name w:val="正文文本 Char"/>
    <w:link w:val="a5"/>
  </w:style>
  <w:style w:type="paragraph" w:styleId="a6">
    <w:name w:val="Balloon Text"/>
    <w:basedOn w:val="a"/>
    <w:link w:val="Char1"/>
    <w:rPr>
      <w:sz w:val="18"/>
      <w:szCs w:val="18"/>
    </w:rPr>
  </w:style>
  <w:style w:type="character" w:customStyle="1" w:styleId="Char1">
    <w:name w:val="批注框文本 Char"/>
    <w:link w:val="a6"/>
    <w:rPr>
      <w:sz w:val="18"/>
      <w:szCs w:val="18"/>
    </w:rPr>
  </w:style>
  <w:style w:type="paragraph" w:styleId="a7">
    <w:name w:val="footer"/>
    <w:basedOn w:val="a"/>
    <w:link w:val="Char2"/>
    <w:pPr>
      <w:widowControl w:val="0"/>
      <w:tabs>
        <w:tab w:val="center" w:pos="4153"/>
        <w:tab w:val="right" w:pos="8306"/>
      </w:tabs>
      <w:snapToGrid w:val="0"/>
    </w:pPr>
    <w:rPr>
      <w:sz w:val="18"/>
      <w:szCs w:val="18"/>
    </w:rPr>
  </w:style>
  <w:style w:type="character" w:customStyle="1" w:styleId="Char2">
    <w:name w:val="页脚 Char"/>
    <w:link w:val="a7"/>
    <w:rPr>
      <w:sz w:val="18"/>
      <w:szCs w:val="18"/>
    </w:rPr>
  </w:style>
  <w:style w:type="paragraph" w:styleId="a8">
    <w:name w:val="header"/>
    <w:basedOn w:val="a"/>
    <w:link w:val="Char3"/>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8"/>
    <w:rPr>
      <w:sz w:val="18"/>
      <w:szCs w:val="18"/>
    </w:rPr>
  </w:style>
  <w:style w:type="paragraph" w:styleId="a9">
    <w:name w:val="annotation subject"/>
    <w:basedOn w:val="a4"/>
    <w:next w:val="a4"/>
    <w:link w:val="Char4"/>
    <w:rPr>
      <w:b/>
      <w:bCs/>
    </w:rPr>
  </w:style>
  <w:style w:type="character" w:customStyle="1" w:styleId="Char4">
    <w:name w:val="批注主题 Char"/>
    <w:link w:val="a9"/>
    <w:rPr>
      <w:b/>
      <w:bCs/>
    </w:rPr>
  </w:style>
  <w:style w:type="character" w:styleId="aa">
    <w:name w:val="page number"/>
  </w:style>
  <w:style w:type="character" w:styleId="ab">
    <w:name w:val="FollowedHyperlink"/>
    <w:rPr>
      <w:color w:val="2C4C78"/>
      <w:u w:val="none"/>
    </w:rPr>
  </w:style>
  <w:style w:type="character" w:styleId="ac">
    <w:name w:val="Emphasis"/>
    <w:qFormat/>
    <w:rPr>
      <w:i w:val="0"/>
    </w:rPr>
  </w:style>
  <w:style w:type="character" w:styleId="ad">
    <w:name w:val="Hyperlink"/>
    <w:rPr>
      <w:color w:val="2C4C78"/>
      <w:u w:val="none"/>
    </w:rPr>
  </w:style>
  <w:style w:type="character" w:styleId="ae">
    <w:name w:val="annotation reference"/>
    <w:rPr>
      <w:sz w:val="21"/>
      <w:szCs w:val="21"/>
    </w:rPr>
  </w:style>
  <w:style w:type="character" w:customStyle="1" w:styleId="font11">
    <w:name w:val="font11"/>
    <w:rPr>
      <w:rFonts w:ascii="宋体" w:eastAsia="宋体" w:hAnsi="宋体" w:cs="宋体" w:hint="eastAsia"/>
      <w:i w:val="0"/>
      <w:color w:val="000000"/>
      <w:sz w:val="21"/>
      <w:szCs w:val="21"/>
      <w:u w:val="none"/>
    </w:rPr>
  </w:style>
  <w:style w:type="character" w:customStyle="1" w:styleId="font91">
    <w:name w:val="font91"/>
    <w:rPr>
      <w:rFonts w:ascii="Times New Roman" w:hAnsi="Times New Roman" w:cs="Times New Roman" w:hint="default"/>
      <w:b/>
      <w:i w:val="0"/>
      <w:color w:val="000000"/>
      <w:sz w:val="22"/>
      <w:szCs w:val="22"/>
      <w:u w:val="none"/>
    </w:rPr>
  </w:style>
  <w:style w:type="character" w:customStyle="1" w:styleId="font71">
    <w:name w:val="font71"/>
    <w:rPr>
      <w:rFonts w:ascii="宋体" w:eastAsia="宋体" w:hAnsi="宋体" w:cs="宋体" w:hint="eastAsia"/>
      <w:i w:val="0"/>
      <w:color w:val="000000"/>
      <w:sz w:val="22"/>
      <w:szCs w:val="22"/>
      <w:u w:val="none"/>
      <w:vertAlign w:val="superscript"/>
    </w:rPr>
  </w:style>
  <w:style w:type="character" w:customStyle="1" w:styleId="font81">
    <w:name w:val="font81"/>
    <w:rPr>
      <w:rFonts w:ascii="宋体" w:eastAsia="宋体" w:hAnsi="宋体" w:cs="宋体" w:hint="eastAsia"/>
      <w:i w:val="0"/>
      <w:color w:val="000000"/>
      <w:sz w:val="22"/>
      <w:szCs w:val="22"/>
      <w:u w:val="none"/>
    </w:rPr>
  </w:style>
  <w:style w:type="character" w:customStyle="1" w:styleId="font31">
    <w:name w:val="font31"/>
    <w:rPr>
      <w:rFonts w:ascii="Times New Roman" w:hAnsi="Times New Roman" w:cs="Times New Roman" w:hint="default"/>
      <w:i w:val="0"/>
      <w:color w:val="000000"/>
      <w:sz w:val="22"/>
      <w:szCs w:val="22"/>
      <w:u w:val="none"/>
    </w:rPr>
  </w:style>
  <w:style w:type="character" w:customStyle="1" w:styleId="font112">
    <w:name w:val="font112"/>
    <w:rPr>
      <w:rFonts w:ascii="宋体" w:eastAsia="宋体" w:hAnsi="宋体" w:cs="宋体" w:hint="eastAsia"/>
      <w:b/>
      <w:i w:val="0"/>
      <w:color w:val="000000"/>
      <w:sz w:val="22"/>
      <w:szCs w:val="22"/>
      <w:u w:val="none"/>
    </w:rPr>
  </w:style>
  <w:style w:type="character" w:customStyle="1" w:styleId="font51">
    <w:name w:val="font51"/>
    <w:rPr>
      <w:rFonts w:ascii="宋体" w:eastAsia="宋体" w:hAnsi="宋体" w:cs="宋体" w:hint="eastAsia"/>
      <w:i w:val="0"/>
      <w:color w:val="000000"/>
      <w:sz w:val="20"/>
      <w:szCs w:val="20"/>
      <w:u w:val="none"/>
    </w:rPr>
  </w:style>
  <w:style w:type="character" w:customStyle="1" w:styleId="font111">
    <w:name w:val="font111"/>
    <w:rPr>
      <w:rFonts w:ascii="Tahoma" w:hAnsi="Tahoma" w:cs="Tahoma" w:hint="default"/>
      <w:b/>
      <w:bCs/>
      <w:i w:val="0"/>
      <w:iCs w:val="0"/>
      <w:strike w:val="0"/>
      <w:dstrike w:val="0"/>
      <w:color w:val="000000"/>
      <w:sz w:val="22"/>
      <w:szCs w:val="22"/>
      <w:u w:val="none"/>
    </w:rPr>
  </w:style>
  <w:style w:type="character" w:customStyle="1" w:styleId="font61">
    <w:name w:val="font61"/>
    <w:rPr>
      <w:rFonts w:ascii="Tahoma" w:eastAsia="Tahoma" w:hAnsi="Tahoma" w:cs="Tahoma" w:hint="default"/>
      <w:i w:val="0"/>
      <w:color w:val="000000"/>
      <w:sz w:val="22"/>
      <w:szCs w:val="22"/>
      <w:u w:val="none"/>
    </w:rPr>
  </w:style>
  <w:style w:type="character" w:customStyle="1" w:styleId="font12">
    <w:name w:val="font12"/>
    <w:rPr>
      <w:rFonts w:ascii="宋体" w:eastAsia="宋体" w:hAnsi="宋体" w:hint="eastAsia"/>
      <w:b/>
      <w:bCs/>
      <w:i w:val="0"/>
      <w:iCs w:val="0"/>
      <w:strike w:val="0"/>
      <w:dstrike w:val="0"/>
      <w:color w:val="000000"/>
      <w:sz w:val="22"/>
      <w:szCs w:val="22"/>
      <w:u w:val="none"/>
    </w:rPr>
  </w:style>
  <w:style w:type="character" w:customStyle="1" w:styleId="font101">
    <w:name w:val="font101"/>
    <w:rPr>
      <w:rFonts w:ascii="Tahoma" w:eastAsia="Tahoma" w:hAnsi="Tahoma" w:cs="Tahoma"/>
      <w:b/>
      <w:i w:val="0"/>
      <w:color w:val="000000"/>
      <w:sz w:val="22"/>
      <w:szCs w:val="22"/>
      <w:u w:val="none"/>
    </w:rPr>
  </w:style>
  <w:style w:type="character" w:customStyle="1" w:styleId="font01">
    <w:name w:val="font01"/>
    <w:rPr>
      <w:rFonts w:ascii="宋体" w:eastAsia="宋体" w:hAnsi="宋体" w:cs="宋体" w:hint="eastAsia"/>
      <w:i w:val="0"/>
      <w:color w:val="000000"/>
      <w:sz w:val="20"/>
      <w:szCs w:val="20"/>
      <w:u w:val="none"/>
      <w:vertAlign w:val="subscript"/>
    </w:rPr>
  </w:style>
  <w:style w:type="character" w:customStyle="1" w:styleId="font41">
    <w:name w:val="font41"/>
    <w:rPr>
      <w:rFonts w:ascii="宋体" w:eastAsia="宋体" w:hAnsi="宋体" w:cs="宋体" w:hint="eastAsia"/>
      <w:i w:val="0"/>
      <w:color w:val="000000"/>
      <w:sz w:val="20"/>
      <w:szCs w:val="20"/>
      <w:u w:val="none"/>
    </w:rPr>
  </w:style>
  <w:style w:type="character" w:customStyle="1" w:styleId="font21">
    <w:name w:val="font21"/>
    <w:rPr>
      <w:rFonts w:ascii="宋体" w:eastAsia="宋体" w:hAnsi="宋体" w:cs="宋体" w:hint="eastAsia"/>
      <w:i w:val="0"/>
      <w:color w:val="000000"/>
      <w:sz w:val="18"/>
      <w:szCs w:val="18"/>
      <w:u w:val="none"/>
    </w:rPr>
  </w:style>
  <w:style w:type="paragraph" w:customStyle="1" w:styleId="1">
    <w:name w:val="纯文本1"/>
    <w:basedOn w:val="a"/>
    <w:pPr>
      <w:widowControl w:val="0"/>
      <w:adjustRightInd w:val="0"/>
      <w:jc w:val="both"/>
      <w:textAlignment w:val="baseline"/>
    </w:pPr>
    <w:rPr>
      <w:rFonts w:ascii="宋体" w:hAnsi="Courier New"/>
      <w:kern w:val="2"/>
      <w:sz w:val="21"/>
    </w:rPr>
  </w:style>
  <w:style w:type="paragraph" w:customStyle="1" w:styleId="Char5">
    <w:name w:val="Char"/>
    <w:basedOn w:val="a"/>
    <w:pPr>
      <w:widowControl w:val="0"/>
      <w:jc w:val="both"/>
    </w:pPr>
    <w:rPr>
      <w:rFonts w:ascii="Tahoma" w:hAnsi="Tahoma"/>
      <w:kern w:val="2"/>
      <w:sz w:val="24"/>
    </w:rPr>
  </w:style>
  <w:style w:type="paragraph" w:customStyle="1" w:styleId="Char6">
    <w:name w:val="Char"/>
    <w:basedOn w:val="a"/>
    <w:pPr>
      <w:spacing w:after="160" w:line="240" w:lineRule="exact"/>
    </w:pPr>
    <w:rPr>
      <w:rFonts w:ascii="Verdana" w:hAnsi="Verdan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able of authorities" w:semiHidden="0" w:qFormat="1"/>
    <w:lsdException w:name="Title" w:semiHidden="0" w:uiPriority="10" w:unhideWhenUsed="0" w:qFormat="1"/>
    <w:lsdException w:name="Default Paragraph Font" w:semiHidden="0" w:uiPriority="0" w:unhideWhenUsed="0"/>
    <w:lsdException w:name="Body Tex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Table" w:semiHidden="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ind w:leftChars="200" w:left="420"/>
    </w:pPr>
  </w:style>
  <w:style w:type="paragraph" w:styleId="a4">
    <w:name w:val="annotation text"/>
    <w:basedOn w:val="a"/>
    <w:link w:val="Char"/>
  </w:style>
  <w:style w:type="character" w:customStyle="1" w:styleId="Char">
    <w:name w:val="批注文字 Char"/>
    <w:link w:val="a4"/>
  </w:style>
  <w:style w:type="paragraph" w:styleId="a5">
    <w:name w:val="Body Text"/>
    <w:basedOn w:val="a"/>
    <w:link w:val="Char0"/>
    <w:pPr>
      <w:widowControl w:val="0"/>
      <w:jc w:val="both"/>
    </w:pPr>
  </w:style>
  <w:style w:type="character" w:customStyle="1" w:styleId="Char0">
    <w:name w:val="正文文本 Char"/>
    <w:link w:val="a5"/>
  </w:style>
  <w:style w:type="paragraph" w:styleId="a6">
    <w:name w:val="Balloon Text"/>
    <w:basedOn w:val="a"/>
    <w:link w:val="Char1"/>
    <w:rPr>
      <w:sz w:val="18"/>
      <w:szCs w:val="18"/>
    </w:rPr>
  </w:style>
  <w:style w:type="character" w:customStyle="1" w:styleId="Char1">
    <w:name w:val="批注框文本 Char"/>
    <w:link w:val="a6"/>
    <w:rPr>
      <w:sz w:val="18"/>
      <w:szCs w:val="18"/>
    </w:rPr>
  </w:style>
  <w:style w:type="paragraph" w:styleId="a7">
    <w:name w:val="footer"/>
    <w:basedOn w:val="a"/>
    <w:link w:val="Char2"/>
    <w:pPr>
      <w:widowControl w:val="0"/>
      <w:tabs>
        <w:tab w:val="center" w:pos="4153"/>
        <w:tab w:val="right" w:pos="8306"/>
      </w:tabs>
      <w:snapToGrid w:val="0"/>
    </w:pPr>
    <w:rPr>
      <w:sz w:val="18"/>
      <w:szCs w:val="18"/>
    </w:rPr>
  </w:style>
  <w:style w:type="character" w:customStyle="1" w:styleId="Char2">
    <w:name w:val="页脚 Char"/>
    <w:link w:val="a7"/>
    <w:rPr>
      <w:sz w:val="18"/>
      <w:szCs w:val="18"/>
    </w:rPr>
  </w:style>
  <w:style w:type="paragraph" w:styleId="a8">
    <w:name w:val="header"/>
    <w:basedOn w:val="a"/>
    <w:link w:val="Char3"/>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8"/>
    <w:rPr>
      <w:sz w:val="18"/>
      <w:szCs w:val="18"/>
    </w:rPr>
  </w:style>
  <w:style w:type="paragraph" w:styleId="a9">
    <w:name w:val="annotation subject"/>
    <w:basedOn w:val="a4"/>
    <w:next w:val="a4"/>
    <w:link w:val="Char4"/>
    <w:rPr>
      <w:b/>
      <w:bCs/>
    </w:rPr>
  </w:style>
  <w:style w:type="character" w:customStyle="1" w:styleId="Char4">
    <w:name w:val="批注主题 Char"/>
    <w:link w:val="a9"/>
    <w:rPr>
      <w:b/>
      <w:bCs/>
    </w:rPr>
  </w:style>
  <w:style w:type="character" w:styleId="aa">
    <w:name w:val="page number"/>
  </w:style>
  <w:style w:type="character" w:styleId="ab">
    <w:name w:val="FollowedHyperlink"/>
    <w:rPr>
      <w:color w:val="2C4C78"/>
      <w:u w:val="none"/>
    </w:rPr>
  </w:style>
  <w:style w:type="character" w:styleId="ac">
    <w:name w:val="Emphasis"/>
    <w:qFormat/>
    <w:rPr>
      <w:i w:val="0"/>
    </w:rPr>
  </w:style>
  <w:style w:type="character" w:styleId="ad">
    <w:name w:val="Hyperlink"/>
    <w:rPr>
      <w:color w:val="2C4C78"/>
      <w:u w:val="none"/>
    </w:rPr>
  </w:style>
  <w:style w:type="character" w:styleId="ae">
    <w:name w:val="annotation reference"/>
    <w:rPr>
      <w:sz w:val="21"/>
      <w:szCs w:val="21"/>
    </w:rPr>
  </w:style>
  <w:style w:type="character" w:customStyle="1" w:styleId="font11">
    <w:name w:val="font11"/>
    <w:rPr>
      <w:rFonts w:ascii="宋体" w:eastAsia="宋体" w:hAnsi="宋体" w:cs="宋体" w:hint="eastAsia"/>
      <w:i w:val="0"/>
      <w:color w:val="000000"/>
      <w:sz w:val="21"/>
      <w:szCs w:val="21"/>
      <w:u w:val="none"/>
    </w:rPr>
  </w:style>
  <w:style w:type="character" w:customStyle="1" w:styleId="font91">
    <w:name w:val="font91"/>
    <w:rPr>
      <w:rFonts w:ascii="Times New Roman" w:hAnsi="Times New Roman" w:cs="Times New Roman" w:hint="default"/>
      <w:b/>
      <w:i w:val="0"/>
      <w:color w:val="000000"/>
      <w:sz w:val="22"/>
      <w:szCs w:val="22"/>
      <w:u w:val="none"/>
    </w:rPr>
  </w:style>
  <w:style w:type="character" w:customStyle="1" w:styleId="font71">
    <w:name w:val="font71"/>
    <w:rPr>
      <w:rFonts w:ascii="宋体" w:eastAsia="宋体" w:hAnsi="宋体" w:cs="宋体" w:hint="eastAsia"/>
      <w:i w:val="0"/>
      <w:color w:val="000000"/>
      <w:sz w:val="22"/>
      <w:szCs w:val="22"/>
      <w:u w:val="none"/>
      <w:vertAlign w:val="superscript"/>
    </w:rPr>
  </w:style>
  <w:style w:type="character" w:customStyle="1" w:styleId="font81">
    <w:name w:val="font81"/>
    <w:rPr>
      <w:rFonts w:ascii="宋体" w:eastAsia="宋体" w:hAnsi="宋体" w:cs="宋体" w:hint="eastAsia"/>
      <w:i w:val="0"/>
      <w:color w:val="000000"/>
      <w:sz w:val="22"/>
      <w:szCs w:val="22"/>
      <w:u w:val="none"/>
    </w:rPr>
  </w:style>
  <w:style w:type="character" w:customStyle="1" w:styleId="font31">
    <w:name w:val="font31"/>
    <w:rPr>
      <w:rFonts w:ascii="Times New Roman" w:hAnsi="Times New Roman" w:cs="Times New Roman" w:hint="default"/>
      <w:i w:val="0"/>
      <w:color w:val="000000"/>
      <w:sz w:val="22"/>
      <w:szCs w:val="22"/>
      <w:u w:val="none"/>
    </w:rPr>
  </w:style>
  <w:style w:type="character" w:customStyle="1" w:styleId="font112">
    <w:name w:val="font112"/>
    <w:rPr>
      <w:rFonts w:ascii="宋体" w:eastAsia="宋体" w:hAnsi="宋体" w:cs="宋体" w:hint="eastAsia"/>
      <w:b/>
      <w:i w:val="0"/>
      <w:color w:val="000000"/>
      <w:sz w:val="22"/>
      <w:szCs w:val="22"/>
      <w:u w:val="none"/>
    </w:rPr>
  </w:style>
  <w:style w:type="character" w:customStyle="1" w:styleId="font51">
    <w:name w:val="font51"/>
    <w:rPr>
      <w:rFonts w:ascii="宋体" w:eastAsia="宋体" w:hAnsi="宋体" w:cs="宋体" w:hint="eastAsia"/>
      <w:i w:val="0"/>
      <w:color w:val="000000"/>
      <w:sz w:val="20"/>
      <w:szCs w:val="20"/>
      <w:u w:val="none"/>
    </w:rPr>
  </w:style>
  <w:style w:type="character" w:customStyle="1" w:styleId="font111">
    <w:name w:val="font111"/>
    <w:rPr>
      <w:rFonts w:ascii="Tahoma" w:hAnsi="Tahoma" w:cs="Tahoma" w:hint="default"/>
      <w:b/>
      <w:bCs/>
      <w:i w:val="0"/>
      <w:iCs w:val="0"/>
      <w:strike w:val="0"/>
      <w:dstrike w:val="0"/>
      <w:color w:val="000000"/>
      <w:sz w:val="22"/>
      <w:szCs w:val="22"/>
      <w:u w:val="none"/>
    </w:rPr>
  </w:style>
  <w:style w:type="character" w:customStyle="1" w:styleId="font61">
    <w:name w:val="font61"/>
    <w:rPr>
      <w:rFonts w:ascii="Tahoma" w:eastAsia="Tahoma" w:hAnsi="Tahoma" w:cs="Tahoma" w:hint="default"/>
      <w:i w:val="0"/>
      <w:color w:val="000000"/>
      <w:sz w:val="22"/>
      <w:szCs w:val="22"/>
      <w:u w:val="none"/>
    </w:rPr>
  </w:style>
  <w:style w:type="character" w:customStyle="1" w:styleId="font12">
    <w:name w:val="font12"/>
    <w:rPr>
      <w:rFonts w:ascii="宋体" w:eastAsia="宋体" w:hAnsi="宋体" w:hint="eastAsia"/>
      <w:b/>
      <w:bCs/>
      <w:i w:val="0"/>
      <w:iCs w:val="0"/>
      <w:strike w:val="0"/>
      <w:dstrike w:val="0"/>
      <w:color w:val="000000"/>
      <w:sz w:val="22"/>
      <w:szCs w:val="22"/>
      <w:u w:val="none"/>
    </w:rPr>
  </w:style>
  <w:style w:type="character" w:customStyle="1" w:styleId="font101">
    <w:name w:val="font101"/>
    <w:rPr>
      <w:rFonts w:ascii="Tahoma" w:eastAsia="Tahoma" w:hAnsi="Tahoma" w:cs="Tahoma"/>
      <w:b/>
      <w:i w:val="0"/>
      <w:color w:val="000000"/>
      <w:sz w:val="22"/>
      <w:szCs w:val="22"/>
      <w:u w:val="none"/>
    </w:rPr>
  </w:style>
  <w:style w:type="character" w:customStyle="1" w:styleId="font01">
    <w:name w:val="font01"/>
    <w:rPr>
      <w:rFonts w:ascii="宋体" w:eastAsia="宋体" w:hAnsi="宋体" w:cs="宋体" w:hint="eastAsia"/>
      <w:i w:val="0"/>
      <w:color w:val="000000"/>
      <w:sz w:val="20"/>
      <w:szCs w:val="20"/>
      <w:u w:val="none"/>
      <w:vertAlign w:val="subscript"/>
    </w:rPr>
  </w:style>
  <w:style w:type="character" w:customStyle="1" w:styleId="font41">
    <w:name w:val="font41"/>
    <w:rPr>
      <w:rFonts w:ascii="宋体" w:eastAsia="宋体" w:hAnsi="宋体" w:cs="宋体" w:hint="eastAsia"/>
      <w:i w:val="0"/>
      <w:color w:val="000000"/>
      <w:sz w:val="20"/>
      <w:szCs w:val="20"/>
      <w:u w:val="none"/>
    </w:rPr>
  </w:style>
  <w:style w:type="character" w:customStyle="1" w:styleId="font21">
    <w:name w:val="font21"/>
    <w:rPr>
      <w:rFonts w:ascii="宋体" w:eastAsia="宋体" w:hAnsi="宋体" w:cs="宋体" w:hint="eastAsia"/>
      <w:i w:val="0"/>
      <w:color w:val="000000"/>
      <w:sz w:val="18"/>
      <w:szCs w:val="18"/>
      <w:u w:val="none"/>
    </w:rPr>
  </w:style>
  <w:style w:type="paragraph" w:customStyle="1" w:styleId="1">
    <w:name w:val="纯文本1"/>
    <w:basedOn w:val="a"/>
    <w:pPr>
      <w:widowControl w:val="0"/>
      <w:adjustRightInd w:val="0"/>
      <w:jc w:val="both"/>
      <w:textAlignment w:val="baseline"/>
    </w:pPr>
    <w:rPr>
      <w:rFonts w:ascii="宋体" w:hAnsi="Courier New"/>
      <w:kern w:val="2"/>
      <w:sz w:val="21"/>
    </w:rPr>
  </w:style>
  <w:style w:type="paragraph" w:customStyle="1" w:styleId="Char5">
    <w:name w:val="Char"/>
    <w:basedOn w:val="a"/>
    <w:pPr>
      <w:widowControl w:val="0"/>
      <w:jc w:val="both"/>
    </w:pPr>
    <w:rPr>
      <w:rFonts w:ascii="Tahoma" w:hAnsi="Tahoma"/>
      <w:kern w:val="2"/>
      <w:sz w:val="24"/>
    </w:rPr>
  </w:style>
  <w:style w:type="paragraph" w:customStyle="1" w:styleId="Char6">
    <w:name w:val="Char"/>
    <w:basedOn w:val="a"/>
    <w:pPr>
      <w:spacing w:after="160" w:line="240" w:lineRule="exact"/>
    </w:pPr>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193</Words>
  <Characters>1104</Characters>
  <Application>Microsoft Office Word</Application>
  <DocSecurity>0</DocSecurity>
  <PresentationFormat/>
  <Lines>9</Lines>
  <Paragraphs>2</Paragraphs>
  <Slides>0</Slides>
  <Notes>0</Notes>
  <HiddenSlides>0</HiddenSlides>
  <MMClips>0</MMClips>
  <ScaleCrop>false</ScaleCrop>
  <Company>微软（中国）有限公司</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2004年广州市淀粉糖</dc:title>
  <dc:creator>RaNdY</dc:creator>
  <cp:lastModifiedBy>陈冠英</cp:lastModifiedBy>
  <cp:revision>3</cp:revision>
  <cp:lastPrinted>2025-09-19T23:16:00Z</cp:lastPrinted>
  <dcterms:created xsi:type="dcterms:W3CDTF">2026-07-27T03:21:00Z</dcterms:created>
  <dcterms:modified xsi:type="dcterms:W3CDTF">2026-07-27T03:24:00Z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3328A4A639374824BCD38171F0E120F4</vt:lpwstr>
  </property>
</Properties>
</file>