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bCs/>
          <w:color w:val="000000"/>
          <w:sz w:val="48"/>
          <w:szCs w:val="48"/>
        </w:rPr>
      </w:pPr>
    </w:p>
    <w:p>
      <w:pPr>
        <w:pStyle w:val="2"/>
        <w:rPr>
          <w:rFonts w:hint="eastAsia"/>
        </w:rPr>
      </w:pPr>
    </w:p>
    <w:p>
      <w:pPr>
        <w:spacing w:line="360" w:lineRule="auto"/>
        <w:jc w:val="center"/>
        <w:rPr>
          <w:rFonts w:hint="eastAsia" w:ascii="宋体" w:hAnsi="宋体" w:cs="宋体"/>
          <w:b/>
          <w:bCs/>
          <w:color w:val="000000"/>
          <w:sz w:val="48"/>
          <w:szCs w:val="48"/>
        </w:rPr>
      </w:pPr>
      <w:r>
        <w:rPr>
          <w:rFonts w:hint="eastAsia" w:ascii="宋体" w:hAnsi="宋体" w:cs="宋体"/>
          <w:b/>
          <w:bCs/>
          <w:color w:val="000000"/>
          <w:sz w:val="48"/>
          <w:szCs w:val="48"/>
          <w:lang w:eastAsia="zh-CN"/>
        </w:rPr>
        <w:t>2026年</w:t>
      </w:r>
      <w:r>
        <w:rPr>
          <w:rFonts w:hint="eastAsia" w:ascii="宋体" w:hAnsi="宋体" w:cs="宋体"/>
          <w:b/>
          <w:bCs/>
          <w:color w:val="000000"/>
          <w:sz w:val="48"/>
          <w:szCs w:val="48"/>
        </w:rPr>
        <w:t>海南省</w:t>
      </w:r>
      <w:r>
        <w:rPr>
          <w:rFonts w:hint="eastAsia" w:ascii="宋体" w:hAnsi="宋体" w:cs="宋体"/>
          <w:b/>
          <w:bCs/>
          <w:color w:val="000000"/>
          <w:sz w:val="48"/>
          <w:szCs w:val="48"/>
          <w:lang w:eastAsia="zh-CN"/>
        </w:rPr>
        <w:t>刹车片</w:t>
      </w:r>
      <w:r>
        <w:rPr>
          <w:rFonts w:hint="eastAsia" w:ascii="宋体" w:hAnsi="宋体" w:cs="宋体"/>
          <w:b/>
          <w:bCs/>
          <w:color w:val="000000"/>
          <w:sz w:val="48"/>
          <w:szCs w:val="48"/>
        </w:rPr>
        <w:t>产品</w:t>
      </w:r>
    </w:p>
    <w:p>
      <w:pPr>
        <w:spacing w:line="360" w:lineRule="auto"/>
        <w:jc w:val="center"/>
        <w:rPr>
          <w:rFonts w:hint="eastAsia" w:ascii="宋体" w:hAnsi="宋体" w:cs="宋体"/>
          <w:b/>
          <w:bCs/>
          <w:color w:val="000000"/>
          <w:sz w:val="48"/>
          <w:szCs w:val="48"/>
        </w:rPr>
      </w:pPr>
      <w:r>
        <w:rPr>
          <w:rFonts w:hint="eastAsia" w:ascii="宋体" w:hAnsi="宋体" w:cs="宋体"/>
          <w:b/>
          <w:bCs/>
          <w:color w:val="000000"/>
          <w:sz w:val="48"/>
          <w:szCs w:val="48"/>
        </w:rPr>
        <w:t>省级监督抽查实施细则</w:t>
      </w: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sz w:val="32"/>
          <w:szCs w:val="32"/>
        </w:rPr>
      </w:pPr>
      <w:r>
        <w:rPr>
          <w:rFonts w:hint="eastAsia" w:ascii="宋体" w:hAnsi="宋体" w:cs="宋体"/>
          <w:b/>
          <w:bCs/>
          <w:sz w:val="32"/>
          <w:szCs w:val="32"/>
        </w:rPr>
        <w:t>海南省市场监督管理局</w:t>
      </w:r>
    </w:p>
    <w:p>
      <w:pPr>
        <w:spacing w:line="660" w:lineRule="exact"/>
        <w:jc w:val="center"/>
        <w:rPr>
          <w:rFonts w:hint="eastAsia" w:ascii="仿宋" w:hAnsi="仿宋" w:eastAsia="仿宋" w:cs="仿宋"/>
          <w:b/>
          <w:bCs/>
          <w:sz w:val="44"/>
          <w:szCs w:val="44"/>
        </w:rPr>
      </w:pPr>
      <w:r>
        <w:rPr>
          <w:rFonts w:hint="eastAsia" w:ascii="宋体" w:hAnsi="宋体" w:cs="宋体"/>
          <w:b/>
          <w:bCs/>
          <w:sz w:val="32"/>
          <w:szCs w:val="32"/>
          <w:lang w:eastAsia="zh-CN"/>
        </w:rPr>
        <w:t>2026年</w:t>
      </w:r>
      <w:r>
        <w:rPr>
          <w:rFonts w:hint="eastAsia" w:ascii="宋体" w:hAnsi="宋体" w:cs="宋体"/>
          <w:b/>
          <w:bCs/>
          <w:sz w:val="32"/>
          <w:szCs w:val="32"/>
          <w:lang w:val="en-US" w:eastAsia="zh-CN"/>
        </w:rPr>
        <w:t>10</w:t>
      </w:r>
      <w:r>
        <w:rPr>
          <w:rFonts w:ascii="宋体" w:hAnsi="宋体" w:cs="宋体"/>
          <w:b/>
          <w:bCs/>
          <w:sz w:val="32"/>
          <w:szCs w:val="32"/>
        </w:rPr>
        <w:t>月</w:t>
      </w:r>
    </w:p>
    <w:p>
      <w:pPr>
        <w:spacing w:line="660" w:lineRule="exact"/>
        <w:rPr>
          <w:rFonts w:hint="eastAsia" w:ascii="仿宋" w:hAnsi="仿宋" w:eastAsia="仿宋" w:cs="仿宋"/>
          <w:b/>
          <w:bCs/>
          <w:sz w:val="44"/>
          <w:szCs w:val="44"/>
        </w:rPr>
      </w:pPr>
    </w:p>
    <w:p>
      <w:pPr>
        <w:autoSpaceDE w:val="0"/>
        <w:autoSpaceDN w:val="0"/>
        <w:spacing w:line="360" w:lineRule="auto"/>
        <w:jc w:val="center"/>
        <w:rPr>
          <w:rFonts w:hint="eastAsia" w:ascii="宋体" w:hAnsi="宋体" w:cs="仿宋"/>
          <w:b/>
          <w:bCs/>
          <w:sz w:val="32"/>
          <w:szCs w:val="32"/>
          <w:lang w:eastAsia="zh-CN"/>
        </w:rPr>
      </w:pPr>
    </w:p>
    <w:p>
      <w:pPr>
        <w:autoSpaceDE w:val="0"/>
        <w:autoSpaceDN w:val="0"/>
        <w:spacing w:line="360" w:lineRule="auto"/>
        <w:jc w:val="center"/>
        <w:rPr>
          <w:rFonts w:hint="eastAsia" w:ascii="宋体" w:hAnsi="宋体" w:cs="仿宋"/>
          <w:b/>
          <w:bCs/>
          <w:sz w:val="32"/>
          <w:szCs w:val="32"/>
        </w:rPr>
      </w:pPr>
      <w:bookmarkStart w:id="0" w:name="_GoBack"/>
      <w:bookmarkEnd w:id="0"/>
      <w:r>
        <w:rPr>
          <w:rFonts w:hint="eastAsia" w:ascii="宋体" w:hAnsi="宋体" w:cs="仿宋"/>
          <w:b/>
          <w:bCs/>
          <w:sz w:val="32"/>
          <w:szCs w:val="32"/>
          <w:lang w:eastAsia="zh-CN"/>
        </w:rPr>
        <w:t>2026年</w:t>
      </w:r>
      <w:r>
        <w:rPr>
          <w:rFonts w:hint="eastAsia" w:ascii="宋体" w:hAnsi="宋体" w:cs="仿宋"/>
          <w:b/>
          <w:bCs/>
          <w:sz w:val="32"/>
          <w:szCs w:val="32"/>
        </w:rPr>
        <w:t>海南省</w:t>
      </w:r>
      <w:r>
        <w:rPr>
          <w:rFonts w:hint="eastAsia" w:ascii="宋体" w:hAnsi="宋体" w:cs="仿宋"/>
          <w:b/>
          <w:bCs/>
          <w:sz w:val="32"/>
          <w:szCs w:val="32"/>
          <w:lang w:val="en-US" w:eastAsia="zh-CN"/>
        </w:rPr>
        <w:t>刹车片</w:t>
      </w:r>
      <w:r>
        <w:rPr>
          <w:rFonts w:hint="eastAsia" w:ascii="宋体" w:hAnsi="宋体" w:cs="仿宋"/>
          <w:b/>
          <w:bCs/>
          <w:sz w:val="32"/>
          <w:szCs w:val="32"/>
        </w:rPr>
        <w:t>产品省级监督抽查实施细则</w:t>
      </w:r>
    </w:p>
    <w:p>
      <w:pPr>
        <w:autoSpaceDE w:val="0"/>
        <w:autoSpaceDN w:val="0"/>
        <w:spacing w:line="360" w:lineRule="auto"/>
        <w:rPr>
          <w:rFonts w:hint="eastAsia" w:ascii="仿宋" w:hAnsi="仿宋" w:cs="仿宋"/>
          <w:b/>
          <w:bCs/>
          <w:szCs w:val="28"/>
        </w:rPr>
      </w:pPr>
      <w:r>
        <w:rPr>
          <w:rFonts w:hint="eastAsia" w:ascii="仿宋" w:hAnsi="仿宋" w:cs="仿宋"/>
          <w:b/>
          <w:bCs/>
          <w:szCs w:val="28"/>
        </w:rPr>
        <w:t>1 适用范围</w:t>
      </w:r>
    </w:p>
    <w:p>
      <w:pPr>
        <w:autoSpaceDE w:val="0"/>
        <w:autoSpaceDN w:val="0"/>
        <w:ind w:firstLine="560" w:firstLineChars="200"/>
        <w:rPr>
          <w:rFonts w:hint="eastAsia" w:ascii="仿宋" w:hAnsi="仿宋" w:cs="仿宋"/>
          <w:szCs w:val="28"/>
        </w:rPr>
      </w:pPr>
      <w:r>
        <w:rPr>
          <w:rFonts w:hint="eastAsia" w:ascii="仿宋" w:hAnsi="仿宋" w:cs="仿宋"/>
          <w:szCs w:val="28"/>
        </w:rPr>
        <w:t>本细则适用于海南省</w:t>
      </w:r>
      <w:r>
        <w:rPr>
          <w:rFonts w:hint="eastAsia" w:ascii="仿宋" w:hAnsi="仿宋" w:cs="仿宋"/>
          <w:szCs w:val="28"/>
          <w:lang w:val="en-US" w:eastAsia="zh-CN"/>
        </w:rPr>
        <w:t>刹车片</w:t>
      </w:r>
      <w:r>
        <w:rPr>
          <w:rFonts w:hint="eastAsia" w:ascii="仿宋" w:hAnsi="仿宋" w:cs="仿宋"/>
          <w:szCs w:val="28"/>
        </w:rPr>
        <w:t>产品监督抽查，监督抽查产品范围为海南省范围内市场领域的</w:t>
      </w:r>
      <w:r>
        <w:rPr>
          <w:rFonts w:hint="eastAsia" w:ascii="仿宋" w:hAnsi="仿宋" w:cs="仿宋"/>
          <w:szCs w:val="28"/>
          <w:lang w:val="en-US" w:eastAsia="zh-CN"/>
        </w:rPr>
        <w:t>刹车片</w:t>
      </w:r>
      <w:r>
        <w:rPr>
          <w:rFonts w:hint="eastAsia" w:ascii="仿宋" w:hAnsi="仿宋" w:cs="仿宋"/>
          <w:szCs w:val="28"/>
        </w:rPr>
        <w:t>产品。</w:t>
      </w:r>
    </w:p>
    <w:p>
      <w:pPr>
        <w:rPr>
          <w:rFonts w:ascii="仿宋" w:hAnsi="仿宋" w:cs="仿宋"/>
          <w:b/>
          <w:bCs w:val="0"/>
          <w:sz w:val="24"/>
        </w:rPr>
      </w:pPr>
      <w:r>
        <w:rPr>
          <w:rFonts w:hint="eastAsia" w:ascii="仿宋" w:hAnsi="仿宋" w:cs="仿宋"/>
          <w:b/>
          <w:bCs w:val="0"/>
          <w:szCs w:val="28"/>
        </w:rPr>
        <w:t>2.  检验依据</w:t>
      </w:r>
    </w:p>
    <w:p>
      <w:pPr>
        <w:keepNext w:val="0"/>
        <w:keepLines w:val="0"/>
        <w:pageBreakBefore w:val="0"/>
        <w:widowControl w:val="0"/>
        <w:kinsoku/>
        <w:wordWrap/>
        <w:overflowPunct/>
        <w:topLinePunct w:val="0"/>
        <w:autoSpaceDE w:val="0"/>
        <w:autoSpaceDN w:val="0"/>
        <w:bidi w:val="0"/>
        <w:adjustRightInd w:val="0"/>
        <w:snapToGrid w:val="0"/>
        <w:spacing w:line="360" w:lineRule="auto"/>
        <w:ind w:left="280" w:leftChars="100" w:firstLine="560" w:firstLineChars="200"/>
        <w:textAlignment w:val="auto"/>
        <w:rPr>
          <w:rFonts w:hint="eastAsia" w:ascii="仿宋" w:hAnsi="仿宋" w:cs="仿宋"/>
          <w:color w:val="000000"/>
          <w:szCs w:val="28"/>
        </w:rPr>
      </w:pPr>
      <w:r>
        <w:rPr>
          <w:rFonts w:hint="eastAsia" w:ascii="仿宋" w:hAnsi="仿宋" w:cs="仿宋"/>
          <w:color w:val="000000"/>
          <w:szCs w:val="28"/>
        </w:rPr>
        <w:t>凡是注明日期的文件，其随后所有的修改单（不包括勘误的内容）或修订版不适用于本细则。凡是不注明日期的引用文件，其最新版本适用于本细则。</w:t>
      </w:r>
    </w:p>
    <w:p>
      <w:pPr>
        <w:keepNext w:val="0"/>
        <w:keepLines w:val="0"/>
        <w:pageBreakBefore w:val="0"/>
        <w:widowControl w:val="0"/>
        <w:kinsoku/>
        <w:wordWrap/>
        <w:overflowPunct/>
        <w:topLinePunct w:val="0"/>
        <w:autoSpaceDE w:val="0"/>
        <w:autoSpaceDN w:val="0"/>
        <w:bidi w:val="0"/>
        <w:adjustRightInd w:val="0"/>
        <w:snapToGrid w:val="0"/>
        <w:spacing w:line="360" w:lineRule="auto"/>
        <w:ind w:left="280" w:leftChars="100" w:firstLine="560" w:firstLineChars="200"/>
        <w:textAlignment w:val="auto"/>
        <w:rPr>
          <w:rFonts w:hint="eastAsia" w:ascii="仿宋" w:hAnsi="仿宋" w:cs="仿宋"/>
          <w:color w:val="000000"/>
          <w:szCs w:val="28"/>
          <w:lang w:eastAsia="zh-CN"/>
        </w:rPr>
      </w:pPr>
      <w:r>
        <w:rPr>
          <w:rFonts w:hint="eastAsia" w:ascii="仿宋" w:hAnsi="仿宋" w:cs="仿宋"/>
          <w:color w:val="000000"/>
          <w:szCs w:val="28"/>
        </w:rPr>
        <w:t xml:space="preserve">GB 5763-2018 </w:t>
      </w:r>
      <w:r>
        <w:rPr>
          <w:rFonts w:hint="eastAsia" w:ascii="仿宋" w:hAnsi="仿宋" w:cs="仿宋"/>
          <w:color w:val="000000"/>
          <w:szCs w:val="28"/>
          <w:lang w:eastAsia="zh-CN"/>
        </w:rPr>
        <w:t>《</w:t>
      </w:r>
      <w:r>
        <w:rPr>
          <w:rFonts w:hint="eastAsia" w:ascii="仿宋" w:hAnsi="仿宋" w:cs="仿宋"/>
          <w:color w:val="000000"/>
          <w:szCs w:val="28"/>
        </w:rPr>
        <w:t>汽车用制动器</w:t>
      </w:r>
      <w:r>
        <w:rPr>
          <w:rFonts w:hint="eastAsia" w:ascii="仿宋" w:hAnsi="仿宋" w:cs="仿宋"/>
          <w:color w:val="000000"/>
          <w:szCs w:val="28"/>
          <w:lang w:val="en-US" w:eastAsia="zh-CN"/>
        </w:rPr>
        <w:t>衬</w:t>
      </w:r>
      <w:r>
        <w:rPr>
          <w:rFonts w:hint="eastAsia" w:ascii="仿宋" w:hAnsi="仿宋" w:cs="仿宋"/>
          <w:color w:val="000000"/>
          <w:szCs w:val="28"/>
          <w:lang w:eastAsia="zh-CN"/>
        </w:rPr>
        <w:t>片》</w:t>
      </w:r>
    </w:p>
    <w:p>
      <w:pPr>
        <w:keepNext w:val="0"/>
        <w:keepLines w:val="0"/>
        <w:pageBreakBefore w:val="0"/>
        <w:widowControl w:val="0"/>
        <w:kinsoku/>
        <w:wordWrap/>
        <w:overflowPunct/>
        <w:topLinePunct w:val="0"/>
        <w:autoSpaceDE w:val="0"/>
        <w:autoSpaceDN w:val="0"/>
        <w:bidi w:val="0"/>
        <w:adjustRightInd w:val="0"/>
        <w:snapToGrid w:val="0"/>
        <w:spacing w:line="360" w:lineRule="auto"/>
        <w:ind w:left="280" w:leftChars="100" w:firstLine="560" w:firstLineChars="200"/>
        <w:textAlignment w:val="auto"/>
        <w:rPr>
          <w:rFonts w:hint="eastAsia" w:ascii="仿宋" w:hAnsi="仿宋" w:cs="仿宋"/>
          <w:color w:val="000000"/>
          <w:szCs w:val="28"/>
        </w:rPr>
      </w:pPr>
      <w:r>
        <w:rPr>
          <w:rFonts w:hint="eastAsia" w:ascii="仿宋" w:hAnsi="仿宋" w:cs="仿宋"/>
          <w:color w:val="000000"/>
          <w:szCs w:val="28"/>
        </w:rPr>
        <w:t>其他现行有效的企业标准及产品明示质量要求</w:t>
      </w:r>
    </w:p>
    <w:p>
      <w:pPr>
        <w:keepNext w:val="0"/>
        <w:keepLines w:val="0"/>
        <w:pageBreakBefore w:val="0"/>
        <w:widowControl w:val="0"/>
        <w:kinsoku/>
        <w:wordWrap/>
        <w:overflowPunct/>
        <w:topLinePunct w:val="0"/>
        <w:autoSpaceDE w:val="0"/>
        <w:autoSpaceDN w:val="0"/>
        <w:bidi w:val="0"/>
        <w:adjustRightInd w:val="0"/>
        <w:snapToGrid w:val="0"/>
        <w:spacing w:line="360" w:lineRule="auto"/>
        <w:ind w:left="280" w:leftChars="100" w:firstLine="560" w:firstLineChars="200"/>
        <w:textAlignment w:val="auto"/>
        <w:rPr>
          <w:rFonts w:hint="eastAsia" w:ascii="仿宋" w:hAnsi="仿宋" w:cs="仿宋"/>
          <w:color w:val="000000"/>
          <w:szCs w:val="28"/>
        </w:rPr>
      </w:pPr>
      <w:r>
        <w:rPr>
          <w:rFonts w:hint="eastAsia" w:ascii="仿宋" w:hAnsi="仿宋" w:cs="仿宋"/>
          <w:color w:val="000000"/>
          <w:szCs w:val="28"/>
        </w:rPr>
        <w:t>相关的法律法规、部门规章和细则</w:t>
      </w:r>
    </w:p>
    <w:p>
      <w:pPr>
        <w:autoSpaceDE w:val="0"/>
        <w:autoSpaceDN w:val="0"/>
        <w:spacing w:before="158"/>
        <w:rPr>
          <w:rFonts w:ascii="仿宋" w:hAnsi="仿宋" w:cs="仿宋"/>
          <w:b/>
          <w:bCs/>
          <w:szCs w:val="28"/>
        </w:rPr>
      </w:pPr>
      <w:r>
        <w:rPr>
          <w:rFonts w:hint="eastAsia" w:ascii="仿宋" w:hAnsi="仿宋" w:cs="仿宋"/>
          <w:b/>
          <w:bCs/>
          <w:szCs w:val="28"/>
          <w:lang w:val="en-US" w:eastAsia="zh-CN"/>
        </w:rPr>
        <w:t>3</w:t>
      </w:r>
      <w:r>
        <w:rPr>
          <w:rFonts w:hint="eastAsia" w:ascii="仿宋" w:hAnsi="仿宋" w:cs="仿宋"/>
          <w:b/>
          <w:bCs/>
          <w:szCs w:val="28"/>
        </w:rPr>
        <w:t>. 抽样</w:t>
      </w:r>
    </w:p>
    <w:p>
      <w:pPr>
        <w:autoSpaceDE w:val="0"/>
        <w:autoSpaceDN w:val="0"/>
        <w:spacing w:before="158"/>
        <w:ind w:firstLine="560" w:firstLineChars="200"/>
        <w:rPr>
          <w:rFonts w:ascii="仿宋" w:hAnsi="仿宋" w:cs="仿宋"/>
          <w:szCs w:val="28"/>
        </w:rPr>
      </w:pPr>
      <w:r>
        <w:rPr>
          <w:rFonts w:hint="eastAsia" w:ascii="仿宋" w:hAnsi="仿宋" w:cs="仿宋"/>
          <w:szCs w:val="28"/>
          <w:lang w:val="en-US" w:eastAsia="zh-CN"/>
        </w:rPr>
        <w:t>以</w:t>
      </w:r>
      <w:r>
        <w:rPr>
          <w:rFonts w:hint="eastAsia" w:ascii="仿宋" w:hAnsi="仿宋" w:cs="仿宋"/>
          <w:szCs w:val="28"/>
        </w:rPr>
        <w:t>随机抽样的方式在</w:t>
      </w:r>
      <w:r>
        <w:rPr>
          <w:rFonts w:hint="eastAsia" w:ascii="仿宋" w:hAnsi="仿宋" w:cs="仿宋"/>
          <w:szCs w:val="28"/>
          <w:lang w:eastAsia="zh-CN"/>
        </w:rPr>
        <w:t>被抽样</w:t>
      </w:r>
      <w:r>
        <w:rPr>
          <w:rFonts w:hint="eastAsia" w:ascii="仿宋" w:hAnsi="仿宋" w:cs="仿宋"/>
          <w:szCs w:val="28"/>
        </w:rPr>
        <w:t>生产者、销售者的待销产品中抽取。</w:t>
      </w:r>
    </w:p>
    <w:p>
      <w:pPr>
        <w:autoSpaceDE w:val="0"/>
        <w:autoSpaceDN w:val="0"/>
        <w:spacing w:before="158"/>
        <w:ind w:firstLine="560" w:firstLineChars="200"/>
        <w:rPr>
          <w:rFonts w:hint="eastAsia" w:ascii="仿宋" w:hAnsi="仿宋" w:cs="仿宋"/>
          <w:szCs w:val="28"/>
        </w:rPr>
      </w:pPr>
      <w:r>
        <w:rPr>
          <w:rFonts w:hint="eastAsia" w:ascii="仿宋" w:hAnsi="仿宋" w:cs="仿宋"/>
          <w:szCs w:val="28"/>
        </w:rPr>
        <w:t>随机数一般可使用随机数表等方法产生。</w:t>
      </w:r>
    </w:p>
    <w:p>
      <w:pPr>
        <w:autoSpaceDE w:val="0"/>
        <w:autoSpaceDN w:val="0"/>
        <w:spacing w:before="158"/>
        <w:ind w:firstLine="560" w:firstLineChars="200"/>
        <w:rPr>
          <w:rFonts w:hint="eastAsia" w:ascii="仿宋" w:hAnsi="仿宋" w:cs="仿宋"/>
          <w:b/>
          <w:bCs/>
          <w:szCs w:val="28"/>
          <w:lang w:val="en-US" w:eastAsia="zh-CN"/>
        </w:rPr>
      </w:pPr>
      <w:r>
        <w:rPr>
          <w:rFonts w:hint="eastAsia" w:ascii="仿宋" w:hAnsi="仿宋" w:cs="仿宋"/>
          <w:color w:val="auto"/>
          <w:szCs w:val="28"/>
          <w:lang w:eastAsia="zh-CN"/>
        </w:rPr>
        <w:t>流通领域</w:t>
      </w:r>
      <w:r>
        <w:rPr>
          <w:rFonts w:hint="eastAsia" w:ascii="仿宋" w:hAnsi="仿宋" w:cs="仿宋"/>
          <w:color w:val="auto"/>
          <w:szCs w:val="28"/>
        </w:rPr>
        <w:t>抽查的</w:t>
      </w:r>
      <w:r>
        <w:rPr>
          <w:rFonts w:hint="eastAsia" w:ascii="仿宋" w:hAnsi="仿宋" w:cs="仿宋"/>
          <w:color w:val="auto"/>
          <w:szCs w:val="28"/>
          <w:lang w:eastAsia="zh-CN"/>
        </w:rPr>
        <w:t>销售企业</w:t>
      </w:r>
      <w:r>
        <w:rPr>
          <w:rFonts w:hint="eastAsia" w:ascii="仿宋" w:hAnsi="仿宋" w:cs="仿宋"/>
          <w:color w:val="auto"/>
          <w:szCs w:val="28"/>
        </w:rPr>
        <w:t>盘式</w:t>
      </w:r>
      <w:r>
        <w:rPr>
          <w:rFonts w:hint="eastAsia" w:ascii="仿宋" w:hAnsi="仿宋" w:cs="仿宋"/>
          <w:color w:val="auto"/>
          <w:szCs w:val="28"/>
          <w:lang w:eastAsia="zh-CN"/>
        </w:rPr>
        <w:t>刹车片每批次抽取</w:t>
      </w:r>
      <w:r>
        <w:rPr>
          <w:rFonts w:hint="eastAsia" w:ascii="仿宋" w:hAnsi="仿宋" w:cs="仿宋"/>
          <w:color w:val="auto"/>
          <w:szCs w:val="28"/>
          <w:lang w:val="en-US" w:eastAsia="zh-CN"/>
        </w:rPr>
        <w:t>12片（3盒），其中</w:t>
      </w:r>
      <w:r>
        <w:rPr>
          <w:rFonts w:hint="eastAsia" w:ascii="仿宋" w:hAnsi="仿宋" w:cs="仿宋"/>
          <w:color w:val="auto"/>
          <w:szCs w:val="28"/>
        </w:rPr>
        <w:t>检验样品</w:t>
      </w:r>
      <w:r>
        <w:rPr>
          <w:rFonts w:hint="eastAsia" w:ascii="仿宋" w:hAnsi="仿宋" w:cs="仿宋"/>
          <w:color w:val="auto"/>
          <w:szCs w:val="28"/>
          <w:lang w:val="en-US" w:eastAsia="zh-CN"/>
        </w:rPr>
        <w:t>8片（2盒）</w:t>
      </w:r>
      <w:r>
        <w:rPr>
          <w:rFonts w:hint="eastAsia" w:ascii="仿宋" w:hAnsi="仿宋" w:cs="仿宋"/>
          <w:color w:val="auto"/>
          <w:szCs w:val="28"/>
        </w:rPr>
        <w:t>，备用样品</w:t>
      </w:r>
      <w:r>
        <w:rPr>
          <w:rFonts w:hint="eastAsia" w:ascii="仿宋" w:hAnsi="仿宋" w:cs="仿宋"/>
          <w:color w:val="auto"/>
          <w:szCs w:val="28"/>
          <w:lang w:val="en-US" w:eastAsia="zh-CN"/>
        </w:rPr>
        <w:t>4片（1盒）；鼓式刹车片</w:t>
      </w:r>
      <w:r>
        <w:rPr>
          <w:rFonts w:hint="eastAsia" w:ascii="仿宋" w:hAnsi="仿宋" w:cs="仿宋"/>
          <w:color w:val="auto"/>
          <w:szCs w:val="28"/>
          <w:lang w:eastAsia="zh-CN"/>
        </w:rPr>
        <w:t>每批次抽取</w:t>
      </w:r>
      <w:r>
        <w:rPr>
          <w:rFonts w:hint="eastAsia" w:ascii="仿宋" w:hAnsi="仿宋" w:cs="仿宋"/>
          <w:color w:val="auto"/>
          <w:szCs w:val="28"/>
          <w:lang w:val="en-US" w:eastAsia="zh-CN"/>
        </w:rPr>
        <w:t>12片，其中</w:t>
      </w:r>
      <w:r>
        <w:rPr>
          <w:rFonts w:hint="eastAsia" w:ascii="仿宋" w:hAnsi="仿宋" w:cs="仿宋"/>
          <w:color w:val="auto"/>
          <w:szCs w:val="28"/>
        </w:rPr>
        <w:t>检验样品</w:t>
      </w:r>
      <w:r>
        <w:rPr>
          <w:rFonts w:hint="eastAsia" w:ascii="仿宋" w:hAnsi="仿宋" w:cs="仿宋"/>
          <w:color w:val="auto"/>
          <w:szCs w:val="28"/>
          <w:lang w:val="en-US" w:eastAsia="zh-CN"/>
        </w:rPr>
        <w:t>8片</w:t>
      </w:r>
      <w:r>
        <w:rPr>
          <w:rFonts w:hint="eastAsia" w:ascii="仿宋" w:hAnsi="仿宋" w:cs="仿宋"/>
          <w:color w:val="auto"/>
          <w:szCs w:val="28"/>
        </w:rPr>
        <w:t>，备用样品</w:t>
      </w:r>
      <w:r>
        <w:rPr>
          <w:rFonts w:hint="eastAsia" w:ascii="仿宋" w:hAnsi="仿宋" w:cs="仿宋"/>
          <w:color w:val="auto"/>
          <w:szCs w:val="28"/>
          <w:lang w:val="en-US" w:eastAsia="zh-CN"/>
        </w:rPr>
        <w:t>4片。</w:t>
      </w:r>
      <w:r>
        <w:rPr>
          <w:rFonts w:hint="eastAsia" w:ascii="仿宋" w:hAnsi="仿宋" w:cs="仿宋"/>
          <w:b/>
          <w:bCs/>
          <w:szCs w:val="28"/>
          <w:lang w:val="en-US" w:eastAsia="zh-CN"/>
        </w:rPr>
        <w:br w:type="page"/>
      </w:r>
    </w:p>
    <w:p>
      <w:pPr>
        <w:autoSpaceDE w:val="0"/>
        <w:autoSpaceDN w:val="0"/>
        <w:spacing w:before="158"/>
        <w:rPr>
          <w:rFonts w:hint="eastAsia" w:ascii="宋体" w:hAnsi="宋体" w:eastAsia="宋体" w:cs="宋体"/>
          <w:b/>
          <w:bCs/>
          <w:szCs w:val="28"/>
        </w:rPr>
      </w:pPr>
      <w:r>
        <w:rPr>
          <w:rFonts w:hint="eastAsia" w:ascii="宋体" w:hAnsi="宋体" w:eastAsia="宋体" w:cs="宋体"/>
          <w:b/>
          <w:bCs/>
          <w:szCs w:val="28"/>
          <w:lang w:val="en-US" w:eastAsia="zh-CN"/>
        </w:rPr>
        <w:t>4</w:t>
      </w:r>
      <w:r>
        <w:rPr>
          <w:rFonts w:hint="eastAsia" w:ascii="宋体" w:hAnsi="宋体" w:eastAsia="宋体" w:cs="宋体"/>
          <w:b/>
          <w:bCs/>
          <w:szCs w:val="28"/>
        </w:rPr>
        <w:t xml:space="preserve">. </w:t>
      </w:r>
      <w:r>
        <w:rPr>
          <w:rFonts w:hint="eastAsia" w:ascii="宋体" w:hAnsi="宋体" w:eastAsia="宋体" w:cs="宋体"/>
          <w:bCs/>
          <w:kern w:val="2"/>
          <w:sz w:val="28"/>
          <w:szCs w:val="28"/>
        </w:rPr>
        <w:t>检验项目要求</w:t>
      </w:r>
    </w:p>
    <w:p>
      <w:pPr>
        <w:widowControl w:val="0"/>
        <w:autoSpaceDE w:val="0"/>
        <w:autoSpaceDN w:val="0"/>
        <w:adjustRightInd w:val="0"/>
        <w:ind w:right="28"/>
        <w:jc w:val="center"/>
        <w:rPr>
          <w:rFonts w:hint="eastAsia" w:ascii="宋体" w:hAnsi="宋体" w:eastAsia="宋体" w:cs="宋体"/>
        </w:rPr>
      </w:pPr>
      <w:r>
        <w:rPr>
          <w:rFonts w:hint="eastAsia" w:ascii="宋体" w:hAnsi="宋体" w:eastAsia="宋体" w:cs="宋体"/>
          <w:color w:val="000000"/>
          <w:sz w:val="28"/>
          <w:szCs w:val="28"/>
          <w:lang w:val="zh-CN" w:bidi="ar"/>
        </w:rPr>
        <w:t>执行</w:t>
      </w:r>
      <w:r>
        <w:rPr>
          <w:rFonts w:hint="eastAsia" w:ascii="宋体" w:hAnsi="宋体" w:eastAsia="宋体" w:cs="宋体"/>
          <w:color w:val="000000"/>
          <w:sz w:val="28"/>
          <w:szCs w:val="28"/>
          <w:lang w:val="en-US" w:eastAsia="zh-CN" w:bidi="ar"/>
        </w:rPr>
        <w:t>GB 5673</w:t>
      </w:r>
      <w:r>
        <w:rPr>
          <w:rFonts w:hint="eastAsia" w:ascii="宋体" w:hAnsi="宋体" w:eastAsia="宋体" w:cs="宋体"/>
          <w:color w:val="000000"/>
          <w:sz w:val="28"/>
          <w:szCs w:val="28"/>
          <w:lang w:val="zh-CN" w:bidi="ar"/>
        </w:rPr>
        <w:t>标准产品</w:t>
      </w:r>
      <w:r>
        <w:rPr>
          <w:rFonts w:hint="eastAsia" w:ascii="宋体" w:hAnsi="宋体" w:eastAsia="宋体" w:cs="宋体"/>
          <w:color w:val="000000"/>
          <w:sz w:val="28"/>
          <w:szCs w:val="28"/>
          <w:lang w:bidi="ar"/>
        </w:rPr>
        <w:t>检验项目</w:t>
      </w:r>
    </w:p>
    <w:tbl>
      <w:tblPr>
        <w:tblStyle w:val="4"/>
        <w:tblW w:w="0" w:type="auto"/>
        <w:jc w:val="center"/>
        <w:tblLayout w:type="autofit"/>
        <w:tblCellMar>
          <w:top w:w="15" w:type="dxa"/>
          <w:left w:w="15" w:type="dxa"/>
          <w:bottom w:w="15" w:type="dxa"/>
          <w:right w:w="15" w:type="dxa"/>
        </w:tblCellMar>
      </w:tblPr>
      <w:tblGrid>
        <w:gridCol w:w="605"/>
        <w:gridCol w:w="1173"/>
        <w:gridCol w:w="2284"/>
        <w:gridCol w:w="2291"/>
        <w:gridCol w:w="639"/>
        <w:gridCol w:w="509"/>
        <w:gridCol w:w="509"/>
      </w:tblGrid>
      <w:tr>
        <w:tblPrEx>
          <w:tblCellMar>
            <w:top w:w="15" w:type="dxa"/>
            <w:left w:w="15" w:type="dxa"/>
            <w:bottom w:w="15" w:type="dxa"/>
            <w:right w:w="15" w:type="dxa"/>
          </w:tblCellMar>
        </w:tblPrEx>
        <w:trPr>
          <w:trHeight w:val="397" w:hRule="atLeast"/>
          <w:jc w:val="center"/>
        </w:trPr>
        <w:tc>
          <w:tcPr>
            <w:tcW w:w="582"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rPr>
            </w:pPr>
            <w:r>
              <w:rPr>
                <w:rFonts w:hint="eastAsia" w:ascii="仿宋" w:hAnsi="仿宋" w:eastAsia="仿宋" w:cs="宋体"/>
                <w:b/>
                <w:color w:val="000000"/>
                <w:sz w:val="24"/>
                <w:szCs w:val="24"/>
                <w:lang w:bidi="ar"/>
              </w:rPr>
              <w:t>序号</w:t>
            </w:r>
          </w:p>
        </w:tc>
        <w:tc>
          <w:tcPr>
            <w:tcW w:w="1129"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r>
              <w:rPr>
                <w:rFonts w:hint="eastAsia" w:ascii="仿宋" w:hAnsi="仿宋" w:eastAsia="仿宋" w:cs="宋体"/>
                <w:b/>
                <w:color w:val="000000"/>
                <w:sz w:val="24"/>
                <w:szCs w:val="24"/>
                <w:lang w:bidi="ar"/>
              </w:rPr>
              <w:t>检验项目</w:t>
            </w:r>
          </w:p>
        </w:tc>
        <w:tc>
          <w:tcPr>
            <w:tcW w:w="0" w:type="auto"/>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rPr>
            </w:pPr>
            <w:r>
              <w:rPr>
                <w:rFonts w:hint="eastAsia" w:ascii="仿宋" w:hAnsi="仿宋" w:eastAsia="仿宋" w:cs="宋体"/>
                <w:b/>
                <w:color w:val="000000"/>
                <w:sz w:val="24"/>
                <w:szCs w:val="24"/>
                <w:lang w:bidi="ar"/>
              </w:rPr>
              <w:t>依据法律法规或标准</w:t>
            </w:r>
          </w:p>
        </w:tc>
        <w:tc>
          <w:tcPr>
            <w:tcW w:w="2205"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rPr>
            </w:pPr>
            <w:r>
              <w:rPr>
                <w:rFonts w:hint="eastAsia" w:ascii="仿宋" w:hAnsi="仿宋" w:eastAsia="仿宋" w:cs="宋体"/>
                <w:b/>
                <w:color w:val="000000"/>
                <w:sz w:val="24"/>
                <w:szCs w:val="24"/>
                <w:lang w:bidi="ar"/>
              </w:rPr>
              <w:t>检验方法</w:t>
            </w:r>
          </w:p>
        </w:tc>
        <w:tc>
          <w:tcPr>
            <w:tcW w:w="1595" w:type="dxa"/>
            <w:gridSpan w:val="3"/>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r>
              <w:rPr>
                <w:rFonts w:hint="eastAsia" w:ascii="仿宋" w:hAnsi="仿宋" w:eastAsia="仿宋" w:cs="宋体"/>
                <w:b/>
                <w:color w:val="000000"/>
                <w:sz w:val="24"/>
                <w:szCs w:val="24"/>
                <w:lang w:bidi="ar"/>
              </w:rPr>
              <w:t>重要程度分类</w:t>
            </w:r>
          </w:p>
        </w:tc>
      </w:tr>
      <w:tr>
        <w:tblPrEx>
          <w:tblCellMar>
            <w:top w:w="15" w:type="dxa"/>
            <w:left w:w="15" w:type="dxa"/>
            <w:bottom w:w="15" w:type="dxa"/>
            <w:right w:w="15" w:type="dxa"/>
          </w:tblCellMar>
        </w:tblPrEx>
        <w:trPr>
          <w:trHeight w:val="397" w:hRule="atLeast"/>
          <w:jc w:val="center"/>
        </w:trPr>
        <w:tc>
          <w:tcPr>
            <w:tcW w:w="582"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p>
        </w:tc>
        <w:tc>
          <w:tcPr>
            <w:tcW w:w="1129"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p>
        </w:tc>
        <w:tc>
          <w:tcPr>
            <w:tcW w:w="0" w:type="auto"/>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p>
        </w:tc>
        <w:tc>
          <w:tcPr>
            <w:tcW w:w="2205"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r>
              <w:rPr>
                <w:rFonts w:hint="eastAsia" w:ascii="仿宋" w:hAnsi="仿宋" w:eastAsia="仿宋" w:cs="宋体"/>
                <w:b/>
                <w:color w:val="000000"/>
                <w:sz w:val="24"/>
                <w:szCs w:val="24"/>
                <w:lang w:bidi="ar"/>
              </w:rPr>
              <w:t>A类</w:t>
            </w:r>
          </w:p>
        </w:tc>
        <w:tc>
          <w:tcPr>
            <w:tcW w:w="0" w:type="auto"/>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r>
              <w:rPr>
                <w:rFonts w:hint="eastAsia" w:ascii="仿宋" w:hAnsi="仿宋" w:eastAsia="仿宋" w:cs="宋体"/>
                <w:b/>
                <w:color w:val="000000"/>
                <w:sz w:val="24"/>
                <w:szCs w:val="24"/>
                <w:lang w:bidi="ar"/>
              </w:rPr>
              <w:t>B类</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r>
              <w:rPr>
                <w:rFonts w:hint="eastAsia" w:ascii="仿宋" w:hAnsi="仿宋" w:eastAsia="仿宋" w:cs="宋体"/>
                <w:b/>
                <w:color w:val="000000"/>
                <w:sz w:val="24"/>
                <w:szCs w:val="24"/>
                <w:lang w:bidi="ar"/>
              </w:rPr>
              <w:t>C类</w:t>
            </w:r>
          </w:p>
        </w:tc>
      </w:tr>
      <w:tr>
        <w:tblPrEx>
          <w:tblCellMar>
            <w:top w:w="15" w:type="dxa"/>
            <w:left w:w="15" w:type="dxa"/>
            <w:bottom w:w="15" w:type="dxa"/>
            <w:right w:w="15" w:type="dxa"/>
          </w:tblCellMar>
        </w:tblPrEx>
        <w:trPr>
          <w:trHeight w:val="397" w:hRule="atLeast"/>
          <w:jc w:val="center"/>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sz w:val="21"/>
                <w:szCs w:val="21"/>
                <w:lang w:val="en-US" w:eastAsia="zh-CN"/>
              </w:rPr>
            </w:pPr>
            <w:r>
              <w:rPr>
                <w:rFonts w:hint="eastAsia" w:ascii="仿宋" w:hAnsi="仿宋" w:eastAsia="仿宋" w:cs="宋体"/>
                <w:sz w:val="21"/>
                <w:szCs w:val="21"/>
                <w:lang w:val="en-US" w:eastAsia="zh-CN"/>
              </w:rPr>
              <w:t>1</w:t>
            </w:r>
          </w:p>
        </w:tc>
        <w:tc>
          <w:tcPr>
            <w:tcW w:w="11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uto"/>
              <w:jc w:val="center"/>
              <w:textAlignment w:val="auto"/>
              <w:rPr>
                <w:rFonts w:ascii="仿宋" w:hAnsi="仿宋" w:eastAsia="仿宋" w:cs="宋体"/>
                <w:sz w:val="21"/>
                <w:szCs w:val="21"/>
              </w:rPr>
            </w:pPr>
            <w:r>
              <w:rPr>
                <w:rFonts w:hint="eastAsia" w:ascii="仿宋" w:hAnsi="仿宋" w:cs="仿宋"/>
                <w:color w:val="000000"/>
                <w:sz w:val="24"/>
                <w:lang w:val="en-US" w:eastAsia="zh-CN"/>
              </w:rPr>
              <w:t>摩擦性能</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uto"/>
              <w:jc w:val="center"/>
              <w:textAlignment w:val="auto"/>
              <w:rPr>
                <w:rFonts w:hint="eastAsia" w:ascii="仿宋" w:hAnsi="仿宋" w:cs="仿宋"/>
                <w:color w:val="000000"/>
                <w:sz w:val="24"/>
                <w:lang w:val="en-US" w:eastAsia="zh-CN"/>
              </w:rPr>
            </w:pPr>
            <w:r>
              <w:rPr>
                <w:rFonts w:hint="eastAsia" w:ascii="仿宋" w:hAnsi="仿宋" w:cs="仿宋"/>
                <w:color w:val="000000"/>
                <w:sz w:val="24"/>
                <w:lang w:val="en-US" w:eastAsia="zh-CN"/>
              </w:rPr>
              <w:t>GB 5763-2018</w:t>
            </w:r>
          </w:p>
        </w:tc>
        <w:tc>
          <w:tcPr>
            <w:tcW w:w="22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uto"/>
              <w:jc w:val="center"/>
              <w:textAlignment w:val="auto"/>
              <w:rPr>
                <w:rFonts w:ascii="仿宋" w:hAnsi="仿宋" w:eastAsia="仿宋" w:cs="宋体"/>
                <w:sz w:val="21"/>
                <w:szCs w:val="21"/>
              </w:rPr>
            </w:pPr>
            <w:r>
              <w:rPr>
                <w:rFonts w:hint="eastAsia" w:ascii="仿宋" w:hAnsi="仿宋" w:cs="仿宋"/>
                <w:color w:val="000000"/>
                <w:sz w:val="24"/>
                <w:lang w:val="en-US" w:eastAsia="zh-CN"/>
              </w:rPr>
              <w:t>GB/T 34007-2017</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kern w:val="2"/>
                <w:sz w:val="21"/>
                <w:szCs w:val="21"/>
                <w:lang w:val="en-US" w:eastAsia="zh-CN" w:bidi="ar-SA"/>
              </w:rPr>
            </w:pPr>
            <w:r>
              <w:rPr>
                <w:rFonts w:hint="eastAsia" w:ascii="仿宋" w:hAnsi="仿宋" w:eastAsia="仿宋" w:cs="宋体"/>
                <w:sz w:val="21"/>
                <w:szCs w:val="21"/>
              </w:rPr>
              <w:t>●</w:t>
            </w:r>
          </w:p>
        </w:tc>
        <w:tc>
          <w:tcPr>
            <w:tcW w:w="0" w:type="auto"/>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kern w:val="2"/>
                <w:sz w:val="21"/>
                <w:szCs w:val="21"/>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r>
      <w:tr>
        <w:tblPrEx>
          <w:tblCellMar>
            <w:top w:w="15" w:type="dxa"/>
            <w:left w:w="15" w:type="dxa"/>
            <w:bottom w:w="15" w:type="dxa"/>
            <w:right w:w="15" w:type="dxa"/>
          </w:tblCellMar>
        </w:tblPrEx>
        <w:trPr>
          <w:trHeight w:val="397" w:hRule="atLeast"/>
          <w:jc w:val="center"/>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sz w:val="21"/>
                <w:szCs w:val="21"/>
                <w:lang w:val="en-US" w:eastAsia="zh-CN"/>
              </w:rPr>
            </w:pPr>
            <w:r>
              <w:rPr>
                <w:rFonts w:hint="eastAsia" w:ascii="仿宋" w:hAnsi="仿宋" w:eastAsia="仿宋" w:cs="宋体"/>
                <w:sz w:val="21"/>
                <w:szCs w:val="21"/>
                <w:lang w:val="en-US" w:eastAsia="zh-CN"/>
              </w:rPr>
              <w:t>2</w:t>
            </w:r>
          </w:p>
        </w:tc>
        <w:tc>
          <w:tcPr>
            <w:tcW w:w="11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uto"/>
              <w:jc w:val="center"/>
              <w:textAlignment w:val="auto"/>
              <w:rPr>
                <w:rFonts w:hint="eastAsia" w:ascii="仿宋" w:hAnsi="仿宋" w:cs="仿宋"/>
                <w:color w:val="000000"/>
                <w:sz w:val="24"/>
                <w:lang w:val="en-US" w:eastAsia="zh-CN"/>
              </w:rPr>
            </w:pPr>
            <w:r>
              <w:rPr>
                <w:rFonts w:hint="eastAsia" w:ascii="仿宋" w:hAnsi="仿宋" w:cs="仿宋"/>
                <w:color w:val="000000"/>
                <w:sz w:val="24"/>
                <w:lang w:val="en-US" w:eastAsia="zh-CN"/>
              </w:rPr>
              <w:t>剪切强度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uto"/>
              <w:jc w:val="center"/>
              <w:textAlignment w:val="auto"/>
              <w:rPr>
                <w:rFonts w:hint="eastAsia" w:ascii="仿宋" w:hAnsi="仿宋" w:cs="仿宋"/>
                <w:color w:val="000000"/>
                <w:sz w:val="24"/>
                <w:lang w:val="en-US" w:eastAsia="zh-CN"/>
              </w:rPr>
            </w:pPr>
            <w:r>
              <w:rPr>
                <w:rFonts w:hint="eastAsia" w:ascii="仿宋" w:hAnsi="仿宋" w:cs="仿宋"/>
                <w:color w:val="000000"/>
                <w:sz w:val="24"/>
                <w:lang w:val="en-US" w:eastAsia="zh-CN"/>
              </w:rPr>
              <w:t>GB 5763-2018</w:t>
            </w:r>
          </w:p>
        </w:tc>
        <w:tc>
          <w:tcPr>
            <w:tcW w:w="22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2"/>
              <w:jc w:val="center"/>
              <w:rPr>
                <w:rFonts w:hint="default"/>
                <w:lang w:val="en-US"/>
              </w:rPr>
            </w:pPr>
            <w:r>
              <w:rPr>
                <w:rFonts w:hint="eastAsia" w:ascii="仿宋" w:hAnsi="仿宋" w:cs="仿宋"/>
                <w:b w:val="0"/>
                <w:bCs/>
                <w:color w:val="auto"/>
                <w:sz w:val="24"/>
                <w:lang w:val="en-US" w:eastAsia="zh-CN"/>
              </w:rPr>
              <w:t>GB/T 22309-2023</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kern w:val="2"/>
                <w:sz w:val="21"/>
                <w:szCs w:val="21"/>
                <w:lang w:val="en-US" w:eastAsia="zh-CN" w:bidi="ar-SA"/>
              </w:rPr>
            </w:pPr>
            <w:r>
              <w:rPr>
                <w:rFonts w:hint="eastAsia" w:ascii="仿宋" w:hAnsi="仿宋" w:eastAsia="仿宋" w:cs="宋体"/>
                <w:sz w:val="21"/>
                <w:szCs w:val="21"/>
              </w:rPr>
              <w:t>●</w:t>
            </w:r>
          </w:p>
        </w:tc>
        <w:tc>
          <w:tcPr>
            <w:tcW w:w="0" w:type="auto"/>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kern w:val="2"/>
                <w:sz w:val="21"/>
                <w:szCs w:val="21"/>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r>
      <w:tr>
        <w:tblPrEx>
          <w:tblCellMar>
            <w:top w:w="15" w:type="dxa"/>
            <w:left w:w="15" w:type="dxa"/>
            <w:bottom w:w="15" w:type="dxa"/>
            <w:right w:w="15" w:type="dxa"/>
          </w:tblCellMar>
        </w:tblPrEx>
        <w:trPr>
          <w:trHeight w:val="397" w:hRule="atLeast"/>
          <w:jc w:val="center"/>
        </w:trPr>
        <w:tc>
          <w:tcPr>
            <w:tcW w:w="5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sz w:val="21"/>
                <w:szCs w:val="21"/>
                <w:lang w:val="en-US" w:eastAsia="zh-CN"/>
              </w:rPr>
            </w:pPr>
            <w:r>
              <w:rPr>
                <w:rFonts w:hint="eastAsia" w:ascii="仿宋" w:hAnsi="仿宋" w:eastAsia="仿宋" w:cs="宋体"/>
                <w:sz w:val="21"/>
                <w:szCs w:val="21"/>
                <w:lang w:val="en-US" w:eastAsia="zh-CN"/>
              </w:rPr>
              <w:t>3</w:t>
            </w:r>
          </w:p>
        </w:tc>
        <w:tc>
          <w:tcPr>
            <w:tcW w:w="11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uto"/>
              <w:jc w:val="center"/>
              <w:textAlignment w:val="auto"/>
              <w:rPr>
                <w:rFonts w:hint="eastAsia" w:ascii="仿宋" w:hAnsi="仿宋" w:cs="仿宋"/>
                <w:color w:val="000000"/>
                <w:sz w:val="24"/>
                <w:lang w:val="en-US" w:eastAsia="zh-CN"/>
              </w:rPr>
            </w:pPr>
            <w:r>
              <w:rPr>
                <w:rFonts w:hint="eastAsia" w:ascii="仿宋" w:hAnsi="仿宋" w:cs="仿宋"/>
                <w:sz w:val="24"/>
                <w:lang w:eastAsia="zh-CN"/>
              </w:rPr>
              <w:t>标志包装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uto"/>
              <w:jc w:val="center"/>
              <w:textAlignment w:val="auto"/>
              <w:rPr>
                <w:rFonts w:hint="eastAsia" w:ascii="仿宋" w:hAnsi="仿宋" w:cs="仿宋"/>
                <w:color w:val="000000"/>
                <w:sz w:val="24"/>
                <w:lang w:val="en-US" w:eastAsia="zh-CN"/>
              </w:rPr>
            </w:pPr>
            <w:r>
              <w:rPr>
                <w:rFonts w:hint="eastAsia" w:ascii="仿宋" w:hAnsi="仿宋" w:cs="仿宋"/>
                <w:color w:val="000000"/>
                <w:sz w:val="24"/>
                <w:lang w:val="en-US" w:eastAsia="zh-CN"/>
              </w:rPr>
              <w:t>GB 5763-2018</w:t>
            </w:r>
          </w:p>
        </w:tc>
        <w:tc>
          <w:tcPr>
            <w:tcW w:w="22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uto"/>
              <w:jc w:val="center"/>
              <w:textAlignment w:val="auto"/>
              <w:rPr>
                <w:rFonts w:ascii="仿宋" w:hAnsi="仿宋" w:eastAsia="仿宋" w:cs="宋体"/>
                <w:sz w:val="21"/>
                <w:szCs w:val="21"/>
              </w:rPr>
            </w:pPr>
            <w:r>
              <w:rPr>
                <w:rFonts w:hint="eastAsia" w:ascii="仿宋" w:hAnsi="仿宋" w:cs="仿宋"/>
                <w:sz w:val="24"/>
                <w:lang w:val="en-US" w:eastAsia="zh-CN"/>
              </w:rPr>
              <w:t>GB 5763-2018</w:t>
            </w:r>
          </w:p>
        </w:tc>
        <w:tc>
          <w:tcPr>
            <w:tcW w:w="56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sz w:val="21"/>
                <w:szCs w:val="21"/>
              </w:rPr>
            </w:pPr>
          </w:p>
        </w:tc>
        <w:tc>
          <w:tcPr>
            <w:tcW w:w="0" w:type="auto"/>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r>
              <w:rPr>
                <w:rFonts w:hint="eastAsia" w:ascii="仿宋" w:hAnsi="仿宋" w:eastAsia="仿宋" w:cs="宋体"/>
                <w:sz w:val="21"/>
                <w:szCs w:val="21"/>
              </w:rPr>
              <w:t>●</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r>
      <w:tr>
        <w:tblPrEx>
          <w:tblCellMar>
            <w:top w:w="15" w:type="dxa"/>
            <w:left w:w="15" w:type="dxa"/>
            <w:bottom w:w="15" w:type="dxa"/>
            <w:right w:w="15" w:type="dxa"/>
          </w:tblCellMar>
        </w:tblPrEx>
        <w:trPr>
          <w:trHeight w:val="397" w:hRule="atLeast"/>
          <w:jc w:val="center"/>
        </w:trPr>
        <w:tc>
          <w:tcPr>
            <w:tcW w:w="0" w:type="auto"/>
            <w:gridSpan w:val="7"/>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both"/>
              <w:rPr>
                <w:rFonts w:hint="default" w:ascii="仿宋" w:hAnsi="仿宋" w:eastAsia="仿宋" w:cs="宋体"/>
                <w:sz w:val="21"/>
                <w:szCs w:val="21"/>
                <w:lang w:val="en-US" w:eastAsia="zh-CN"/>
              </w:rPr>
            </w:pPr>
            <w:r>
              <w:rPr>
                <w:rFonts w:hint="eastAsia" w:ascii="仿宋" w:hAnsi="仿宋" w:eastAsia="仿宋" w:cs="宋体"/>
                <w:sz w:val="21"/>
                <w:szCs w:val="21"/>
              </w:rPr>
              <w:t>注：根据实际产品标准对应要求的项目进行检测。</w:t>
            </w:r>
            <w:r>
              <w:rPr>
                <w:rFonts w:hint="eastAsia" w:ascii="仿宋" w:hAnsi="仿宋" w:eastAsia="仿宋" w:cs="宋体"/>
                <w:sz w:val="21"/>
                <w:szCs w:val="21"/>
                <w:lang w:val="en-US" w:eastAsia="zh-CN"/>
              </w:rPr>
              <w:t>鼓式刹车片不做剪切强度检测项目。</w:t>
            </w:r>
          </w:p>
        </w:tc>
      </w:tr>
    </w:tbl>
    <w:p>
      <w:pPr>
        <w:widowControl w:val="0"/>
        <w:autoSpaceDE w:val="0"/>
        <w:autoSpaceDN w:val="0"/>
        <w:adjustRightInd w:val="0"/>
        <w:spacing w:line="360" w:lineRule="auto"/>
        <w:ind w:right="28"/>
        <w:jc w:val="both"/>
        <w:rPr>
          <w:rFonts w:hint="eastAsia" w:ascii="仿宋" w:hAnsi="仿宋" w:eastAsia="仿宋" w:cs="宋体"/>
          <w:sz w:val="21"/>
          <w:szCs w:val="21"/>
          <w:lang w:bidi="ar"/>
        </w:rPr>
      </w:pPr>
      <w:r>
        <w:rPr>
          <w:rFonts w:hint="eastAsia" w:ascii="仿宋" w:hAnsi="仿宋" w:eastAsia="仿宋" w:cs="宋体"/>
          <w:sz w:val="21"/>
          <w:szCs w:val="21"/>
          <w:lang w:bidi="ar"/>
        </w:rPr>
        <w:t>注：A类-极重要质量项目是指直接涉及人体健康、使用安全的指标；B类-重要质量项目是指产品涉及关键性能或特征值的指标。C类-标示标识或不影响人体健康、使用安全和产品使用关键性能的指标。</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检验应注意的问题：</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①</w:t>
      </w:r>
      <w:r>
        <w:rPr>
          <w:rFonts w:hint="eastAsia" w:ascii="仿宋" w:hAnsi="仿宋" w:cs="仿宋"/>
          <w:bCs/>
          <w:color w:val="000000"/>
          <w:szCs w:val="28"/>
          <w:shd w:val="clear" w:color="auto" w:fill="FFFFFF"/>
          <w:lang w:val="en-US" w:eastAsia="zh-CN"/>
        </w:rPr>
        <w:t xml:space="preserve"> </w:t>
      </w:r>
      <w:r>
        <w:rPr>
          <w:rFonts w:hint="eastAsia" w:ascii="仿宋" w:hAnsi="仿宋" w:cs="仿宋"/>
          <w:bCs/>
          <w:color w:val="000000"/>
          <w:szCs w:val="28"/>
          <w:shd w:val="clear" w:color="auto" w:fill="FFFFFF"/>
          <w:lang w:eastAsia="zh-CN"/>
        </w:rPr>
        <w:t>被检产品明示的质量要求高于本细则中检验项目依据的标准要求时，应按被检产品明示的质量要求判定。若被检产品明示的质量要求低于本细则中检验项目依据的国家或行业强制性标准要求时，应按国家或行业强制性标准要求判定；若被检产品明示的质量要求缺少本细则中的强制性检验项目时，应按本细则中强制性检验项目依据的标准要求进行检验并判定；若被检产品明示的质量要求缺少本细则中检验项目依据的推荐性标准要求时，该项目不参与判定，但应在检验报告备注中进行说明。</w:t>
      </w:r>
    </w:p>
    <w:p>
      <w:pPr>
        <w:autoSpaceDE w:val="0"/>
        <w:autoSpaceDN w:val="0"/>
        <w:spacing w:line="360" w:lineRule="auto"/>
        <w:ind w:firstLine="560" w:firstLineChars="200"/>
        <w:rPr>
          <w:rFonts w:hint="eastAsia" w:ascii="仿宋_GB2312" w:hAnsi="仿宋_GB2312" w:eastAsia="仿宋_GB2312" w:cs="仿宋_GB2312"/>
          <w:kern w:val="2"/>
          <w:sz w:val="28"/>
          <w:szCs w:val="28"/>
        </w:rPr>
      </w:pPr>
      <w:r>
        <w:rPr>
          <w:rFonts w:hint="eastAsia" w:ascii="仿宋" w:hAnsi="仿宋" w:cs="仿宋"/>
          <w:bCs/>
          <w:color w:val="000000"/>
          <w:szCs w:val="28"/>
          <w:shd w:val="clear" w:color="auto" w:fill="FFFFFF"/>
          <w:lang w:eastAsia="zh-CN"/>
        </w:rPr>
        <w:t>②</w:t>
      </w:r>
      <w:r>
        <w:rPr>
          <w:rFonts w:hint="eastAsia" w:ascii="仿宋" w:hAnsi="仿宋" w:cs="仿宋"/>
          <w:bCs/>
          <w:color w:val="000000"/>
          <w:szCs w:val="28"/>
          <w:shd w:val="clear" w:color="auto" w:fill="FFFFFF"/>
          <w:lang w:val="en-US" w:eastAsia="zh-CN"/>
        </w:rPr>
        <w:t xml:space="preserve"> </w:t>
      </w:r>
      <w:r>
        <w:rPr>
          <w:rFonts w:hint="eastAsia" w:ascii="仿宋" w:hAnsi="仿宋" w:cs="仿宋"/>
          <w:bCs/>
          <w:color w:val="000000"/>
          <w:szCs w:val="28"/>
          <w:shd w:val="clear" w:color="auto" w:fill="FFFFFF"/>
          <w:lang w:eastAsia="zh-CN"/>
        </w:rPr>
        <w:t>若样品出现封样状态破坏或样品异常损坏的情况，影响检验结果，则停止对该样品的检验。</w:t>
      </w:r>
    </w:p>
    <w:p>
      <w:pPr>
        <w:autoSpaceDE w:val="0"/>
        <w:autoSpaceDN w:val="0"/>
        <w:rPr>
          <w:rFonts w:ascii="仿宋" w:hAnsi="仿宋" w:cs="仿宋"/>
          <w:b/>
          <w:bCs/>
          <w:szCs w:val="28"/>
        </w:rPr>
      </w:pPr>
      <w:r>
        <w:rPr>
          <w:rFonts w:hint="eastAsia" w:ascii="仿宋" w:hAnsi="仿宋" w:cs="仿宋"/>
          <w:b/>
          <w:bCs/>
          <w:szCs w:val="28"/>
          <w:lang w:val="en-US" w:eastAsia="zh-CN"/>
        </w:rPr>
        <w:t>5</w:t>
      </w:r>
      <w:r>
        <w:rPr>
          <w:rFonts w:hint="eastAsia" w:ascii="仿宋" w:hAnsi="仿宋" w:cs="仿宋"/>
          <w:b/>
          <w:bCs/>
          <w:szCs w:val="28"/>
        </w:rPr>
        <w:t>. 判定规则</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经检验，检验项目全部合格，判定为被抽查产品未发现不合格；检验项目中任一项或一项以上不合格，判定为被抽查产品不合格。其中，当产品存在A类项目不合格或3项及以上B类项目不合格时，属于严重不合格。</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统一结论用语：（使用以下三者之一）：</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 经抽样检验， 所检项目符合xxx标准要求，依据xxx抽查细则，判定为未发现不合格；</w:t>
      </w:r>
      <w:r>
        <w:rPr>
          <w:rFonts w:hint="eastAsia" w:ascii="仿宋" w:hAnsi="仿宋" w:cs="仿宋"/>
          <w:bCs/>
          <w:color w:val="000000"/>
          <w:szCs w:val="28"/>
          <w:shd w:val="clear" w:color="auto" w:fill="FFFFFF"/>
          <w:lang w:eastAsia="zh-CN"/>
        </w:rPr>
        <w:cr/>
      </w:r>
      <w:r>
        <w:rPr>
          <w:rFonts w:hint="eastAsia" w:ascii="仿宋" w:hAnsi="仿宋" w:cs="仿宋"/>
          <w:bCs/>
          <w:color w:val="000000"/>
          <w:szCs w:val="28"/>
          <w:shd w:val="clear" w:color="auto" w:fill="FFFFFF"/>
          <w:lang w:eastAsia="zh-CN"/>
        </w:rPr>
        <w:t xml:space="preserve">    ● 经抽样检验， xxx、xxx、xxx项目不符合xxx标准要求，依据xxx抽查细则，判定为不合格； </w:t>
      </w:r>
      <w:r>
        <w:rPr>
          <w:rFonts w:hint="eastAsia" w:ascii="仿宋" w:hAnsi="仿宋" w:cs="仿宋"/>
          <w:bCs/>
          <w:color w:val="000000"/>
          <w:szCs w:val="28"/>
          <w:shd w:val="clear" w:color="auto" w:fill="FFFFFF"/>
          <w:lang w:eastAsia="zh-CN"/>
        </w:rPr>
        <w:cr/>
      </w:r>
      <w:r>
        <w:rPr>
          <w:rFonts w:hint="eastAsia" w:ascii="仿宋" w:hAnsi="仿宋" w:cs="仿宋"/>
          <w:bCs/>
          <w:color w:val="000000"/>
          <w:szCs w:val="28"/>
          <w:shd w:val="clear" w:color="auto" w:fill="FFFFFF"/>
          <w:lang w:eastAsia="zh-CN"/>
        </w:rPr>
        <w:t xml:space="preserve">    ● 经抽样检验， xxx、xxx、xxx项目不符合xxx标准要求，依据xxx抽查细则，判定为不合格，属于严重不合格。</w:t>
      </w:r>
    </w:p>
    <w:p>
      <w:pPr>
        <w:autoSpaceDE w:val="0"/>
        <w:autoSpaceDN w:val="0"/>
        <w:rPr>
          <w:rFonts w:hint="eastAsia" w:ascii="仿宋" w:hAnsi="仿宋" w:cs="仿宋"/>
          <w:b/>
          <w:bCs/>
          <w:szCs w:val="28"/>
          <w:lang w:val="en-US" w:eastAsia="zh-CN"/>
        </w:rPr>
      </w:pPr>
      <w:r>
        <w:rPr>
          <w:rFonts w:hint="eastAsia" w:ascii="仿宋" w:hAnsi="仿宋" w:cs="仿宋"/>
          <w:b/>
          <w:bCs/>
          <w:szCs w:val="28"/>
          <w:lang w:val="en-US" w:eastAsia="zh-CN"/>
        </w:rPr>
        <w:t>6 异议处理复检</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对判定不合格产品进行复检时，按以下方式进行：</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6.1对不合格项目复检时，可以在原样上检验的在原样上复检，不可以在原样上检验的采用备用样复检。复检结论为最终检验结论。</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6.2 不进行复检情况：</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①</w:t>
      </w:r>
      <w:r>
        <w:rPr>
          <w:rFonts w:hint="eastAsia" w:ascii="仿宋" w:hAnsi="仿宋" w:cs="仿宋"/>
          <w:bCs/>
          <w:color w:val="000000"/>
          <w:szCs w:val="28"/>
          <w:shd w:val="clear" w:color="auto" w:fill="FFFFFF"/>
          <w:lang w:val="en-US" w:eastAsia="zh-CN"/>
        </w:rPr>
        <w:t xml:space="preserve"> </w:t>
      </w:r>
      <w:r>
        <w:rPr>
          <w:rFonts w:hint="eastAsia" w:ascii="仿宋" w:hAnsi="仿宋" w:cs="仿宋"/>
          <w:bCs/>
          <w:color w:val="000000"/>
          <w:szCs w:val="28"/>
          <w:shd w:val="clear" w:color="auto" w:fill="FFFFFF"/>
          <w:lang w:eastAsia="zh-CN"/>
        </w:rPr>
        <w:t>被检方提出复检时，产品在复检有效期内于正常贮存条件下已变质；</w:t>
      </w:r>
    </w:p>
    <w:p>
      <w:pPr>
        <w:autoSpaceDE w:val="0"/>
        <w:autoSpaceDN w:val="0"/>
        <w:spacing w:line="360" w:lineRule="auto"/>
        <w:ind w:firstLine="560" w:firstLineChars="200"/>
      </w:pPr>
      <w:r>
        <w:rPr>
          <w:rFonts w:hint="eastAsia" w:ascii="仿宋" w:hAnsi="仿宋" w:cs="仿宋"/>
          <w:bCs/>
          <w:color w:val="000000"/>
          <w:szCs w:val="28"/>
          <w:shd w:val="clear" w:color="auto" w:fill="FFFFFF"/>
          <w:lang w:eastAsia="zh-CN"/>
        </w:rPr>
        <w:t>②</w:t>
      </w:r>
      <w:r>
        <w:rPr>
          <w:rFonts w:hint="eastAsia" w:ascii="仿宋" w:hAnsi="仿宋" w:cs="仿宋"/>
          <w:bCs/>
          <w:color w:val="000000"/>
          <w:szCs w:val="28"/>
          <w:shd w:val="clear" w:color="auto" w:fill="FFFFFF"/>
          <w:lang w:val="en-US" w:eastAsia="zh-CN"/>
        </w:rPr>
        <w:t xml:space="preserve"> </w:t>
      </w:r>
      <w:r>
        <w:rPr>
          <w:rFonts w:hint="eastAsia" w:ascii="仿宋" w:hAnsi="仿宋" w:cs="仿宋"/>
          <w:bCs/>
          <w:color w:val="000000"/>
          <w:szCs w:val="28"/>
          <w:shd w:val="clear" w:color="auto" w:fill="FFFFFF"/>
          <w:lang w:eastAsia="zh-CN"/>
        </w:rPr>
        <w:t>法律、法规规定不得复检的其他情况。</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jZGZkNDRkMGFjY2RhMWM2ODY2ODRkMGY5YjVjM2MifQ=="/>
  </w:docVars>
  <w:rsids>
    <w:rsidRoot w:val="0893415F"/>
    <w:rsid w:val="00816090"/>
    <w:rsid w:val="0893415F"/>
    <w:rsid w:val="0AEF339A"/>
    <w:rsid w:val="0FAE084D"/>
    <w:rsid w:val="125B7584"/>
    <w:rsid w:val="168A2650"/>
    <w:rsid w:val="1C06553C"/>
    <w:rsid w:val="1F1E4610"/>
    <w:rsid w:val="267C3BD5"/>
    <w:rsid w:val="289A0FDD"/>
    <w:rsid w:val="29687791"/>
    <w:rsid w:val="2CF54B14"/>
    <w:rsid w:val="2F12656D"/>
    <w:rsid w:val="38800B2D"/>
    <w:rsid w:val="3B8761CB"/>
    <w:rsid w:val="3BF403C5"/>
    <w:rsid w:val="3E9178ED"/>
    <w:rsid w:val="3EA90E93"/>
    <w:rsid w:val="408B7A8C"/>
    <w:rsid w:val="537E62A1"/>
    <w:rsid w:val="5CAB1813"/>
    <w:rsid w:val="66C14CE2"/>
    <w:rsid w:val="6A3D3DB2"/>
    <w:rsid w:val="71300096"/>
    <w:rsid w:val="72875F0F"/>
    <w:rsid w:val="7A8C10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Calibri" w:hAnsi="Calibri" w:eastAsia="宋体" w:cs="Times New Roman"/>
      <w:kern w:val="2"/>
      <w:sz w:val="28"/>
      <w:szCs w:val="24"/>
      <w:lang w:val="en-US" w:eastAsia="zh-CN" w:bidi="ar-SA"/>
    </w:rPr>
  </w:style>
  <w:style w:type="paragraph" w:styleId="2">
    <w:name w:val="heading 2"/>
    <w:basedOn w:val="1"/>
    <w:next w:val="1"/>
    <w:qFormat/>
    <w:uiPriority w:val="9"/>
    <w:pPr>
      <w:outlineLvl w:val="1"/>
    </w:pPr>
    <w:rPr>
      <w:rFonts w:ascii="宋体" w:hAnsi="宋体"/>
      <w:b/>
      <w:kern w:val="0"/>
      <w:sz w:val="30"/>
      <w:szCs w:val="36"/>
    </w:rPr>
  </w:style>
  <w:style w:type="paragraph" w:styleId="3">
    <w:name w:val="heading 5"/>
    <w:basedOn w:val="1"/>
    <w:next w:val="1"/>
    <w:semiHidden/>
    <w:unhideWhenUsed/>
    <w:qFormat/>
    <w:uiPriority w:val="0"/>
    <w:pPr>
      <w:keepNext/>
      <w:keepLines/>
      <w:spacing w:before="280" w:after="290" w:line="240" w:lineRule="auto"/>
      <w:outlineLvl w:val="4"/>
    </w:pPr>
    <w:rPr>
      <w:rFonts w:ascii="Calibri" w:hAnsi="Calibri" w:eastAsia="宋体"/>
      <w:b/>
      <w:bCs/>
      <w:sz w:val="24"/>
      <w:szCs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1352</Words>
  <Characters>1493</Characters>
  <Lines>0</Lines>
  <Paragraphs>0</Paragraphs>
  <TotalTime>4</TotalTime>
  <ScaleCrop>false</ScaleCrop>
  <LinksUpToDate>false</LinksUpToDate>
  <CharactersWithSpaces>1529</CharactersWithSpaces>
  <Application>WPS Office_12.8.2.15283_F1E327BC-269C-435d-A152-05C5408002CA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2023-06-29T15:37:00Z</dcterms:created>
  <dc:creator>NARCOTIC'</dc:creator>
  <cp:lastModifiedBy>uos</cp:lastModifiedBy>
  <dcterms:modified xsi:type="dcterms:W3CDTF">2026-09-07T10:56:28Z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2052-12.8.2.15283</vt:lpwstr>
  </property>
  <property fmtid="{D5CDD505-2E9C-101B-9397-08002B2CF9AE}" pid="3" name="ICV">
    <vt:lpwstr>1E9B9BC43A944F7C875F37ED8AB3B22A_13</vt:lpwstr>
  </property>
  <property fmtid="{D5CDD505-2E9C-101B-9397-08002B2CF9AE}" pid="4" name="KSOTemplateDocerSaveRecord">
    <vt:lpwstr>eyJoZGlkIjoiNDZhOGFjZmY4ZmRkMTM2MWFiOGQ0NDM5NzgwMjc3M2UiLCJ1c2VySWQiOiIzNDIyMTE0NDUifQ==</vt:lpwstr>
  </property>
</Properties>
</file>