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lang w:eastAsia="zh-CN"/>
        </w:rPr>
        <w:t>2026年</w:t>
      </w:r>
      <w:r>
        <w:rPr>
          <w:rFonts w:hint="eastAsia" w:ascii="宋体" w:hAnsi="宋体" w:cs="宋体"/>
          <w:b/>
          <w:bCs/>
          <w:color w:val="000000"/>
          <w:sz w:val="48"/>
          <w:szCs w:val="48"/>
        </w:rPr>
        <w:t>海南省</w:t>
      </w:r>
      <w:r>
        <w:rPr>
          <w:rFonts w:hint="eastAsia" w:ascii="宋体" w:hAnsi="宋体" w:cs="宋体"/>
          <w:b/>
          <w:bCs/>
          <w:color w:val="000000"/>
          <w:sz w:val="48"/>
          <w:szCs w:val="48"/>
          <w:lang w:val="en-US" w:eastAsia="zh-CN"/>
        </w:rPr>
        <w:t>轿车轮胎</w:t>
      </w:r>
      <w:r>
        <w:rPr>
          <w:rFonts w:hint="eastAsia" w:ascii="宋体" w:hAnsi="宋体" w:cs="宋体"/>
          <w:b/>
          <w:bCs/>
          <w:color w:val="000000"/>
          <w:sz w:val="48"/>
          <w:szCs w:val="48"/>
        </w:rPr>
        <w:t>产品</w:t>
      </w: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rPr>
        <w:t>省级监督抽查实施细则</w:t>
      </w: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海南省市场监督管理局</w:t>
      </w:r>
    </w:p>
    <w:p>
      <w:pPr>
        <w:spacing w:line="660" w:lineRule="exact"/>
        <w:jc w:val="center"/>
        <w:rPr>
          <w:rFonts w:hint="eastAsia" w:ascii="仿宋" w:hAnsi="仿宋" w:eastAsia="仿宋" w:cs="仿宋"/>
          <w:b/>
          <w:bCs/>
          <w:sz w:val="44"/>
          <w:szCs w:val="44"/>
        </w:rPr>
      </w:pPr>
      <w:r>
        <w:rPr>
          <w:rFonts w:hint="eastAsia" w:ascii="宋体" w:hAnsi="宋体" w:cs="宋体"/>
          <w:b/>
          <w:bCs/>
          <w:sz w:val="32"/>
          <w:szCs w:val="32"/>
          <w:lang w:eastAsia="zh-CN"/>
        </w:rPr>
        <w:t>2026年</w:t>
      </w:r>
      <w:r>
        <w:rPr>
          <w:rFonts w:hint="eastAsia" w:ascii="宋体" w:hAnsi="宋体" w:cs="宋体"/>
          <w:b/>
          <w:bCs/>
          <w:sz w:val="32"/>
          <w:szCs w:val="32"/>
          <w:lang w:val="en-US" w:eastAsia="zh-CN"/>
        </w:rPr>
        <w:t>9</w:t>
      </w:r>
      <w:bookmarkStart w:id="0" w:name="_GoBack"/>
      <w:bookmarkEnd w:id="0"/>
      <w:r>
        <w:rPr>
          <w:rFonts w:ascii="宋体" w:hAnsi="宋体" w:cs="宋体"/>
          <w:b/>
          <w:bCs/>
          <w:sz w:val="32"/>
          <w:szCs w:val="32"/>
        </w:rPr>
        <w:t>月</w:t>
      </w:r>
    </w:p>
    <w:p>
      <w:pPr>
        <w:spacing w:line="660" w:lineRule="exact"/>
        <w:rPr>
          <w:rFonts w:hint="eastAsia" w:ascii="仿宋" w:hAnsi="仿宋" w:eastAsia="仿宋" w:cs="仿宋"/>
          <w:b/>
          <w:bCs/>
          <w:sz w:val="44"/>
          <w:szCs w:val="44"/>
        </w:rPr>
      </w:pPr>
    </w:p>
    <w:p>
      <w:pPr>
        <w:autoSpaceDE w:val="0"/>
        <w:autoSpaceDN w:val="0"/>
        <w:spacing w:line="360" w:lineRule="auto"/>
        <w:jc w:val="center"/>
        <w:rPr>
          <w:rFonts w:hint="eastAsia" w:ascii="宋体" w:hAnsi="宋体" w:cs="仿宋"/>
          <w:b/>
          <w:bCs/>
          <w:sz w:val="32"/>
          <w:szCs w:val="32"/>
          <w:lang w:eastAsia="zh-CN"/>
        </w:rPr>
      </w:pPr>
    </w:p>
    <w:p>
      <w:pPr>
        <w:autoSpaceDE w:val="0"/>
        <w:autoSpaceDN w:val="0"/>
        <w:spacing w:line="360" w:lineRule="auto"/>
        <w:jc w:val="center"/>
        <w:rPr>
          <w:rFonts w:hint="eastAsia" w:ascii="宋体" w:hAnsi="宋体" w:cs="仿宋"/>
          <w:b/>
          <w:bCs/>
          <w:sz w:val="32"/>
          <w:szCs w:val="32"/>
        </w:rPr>
      </w:pPr>
      <w:r>
        <w:rPr>
          <w:rFonts w:hint="eastAsia" w:ascii="宋体" w:hAnsi="宋体" w:cs="仿宋"/>
          <w:b/>
          <w:bCs/>
          <w:sz w:val="32"/>
          <w:szCs w:val="32"/>
          <w:lang w:eastAsia="zh-CN"/>
        </w:rPr>
        <w:t>2026年</w:t>
      </w:r>
      <w:r>
        <w:rPr>
          <w:rFonts w:hint="eastAsia" w:ascii="宋体" w:hAnsi="宋体" w:cs="仿宋"/>
          <w:b/>
          <w:bCs/>
          <w:sz w:val="32"/>
          <w:szCs w:val="32"/>
        </w:rPr>
        <w:t>海南省</w:t>
      </w:r>
      <w:r>
        <w:rPr>
          <w:rFonts w:hint="eastAsia" w:ascii="宋体" w:hAnsi="宋体" w:cs="仿宋"/>
          <w:b/>
          <w:bCs/>
          <w:sz w:val="32"/>
          <w:szCs w:val="32"/>
          <w:lang w:val="en-US" w:eastAsia="zh-CN"/>
        </w:rPr>
        <w:t>轿车轮胎</w:t>
      </w:r>
      <w:r>
        <w:rPr>
          <w:rFonts w:hint="eastAsia" w:ascii="宋体" w:hAnsi="宋体" w:cs="仿宋"/>
          <w:b/>
          <w:bCs/>
          <w:sz w:val="32"/>
          <w:szCs w:val="32"/>
        </w:rPr>
        <w:t>产品省级监督抽查实施细则</w:t>
      </w:r>
    </w:p>
    <w:p>
      <w:pPr>
        <w:autoSpaceDE w:val="0"/>
        <w:autoSpaceDN w:val="0"/>
        <w:spacing w:line="360" w:lineRule="auto"/>
        <w:rPr>
          <w:rFonts w:hint="eastAsia" w:ascii="仿宋" w:hAnsi="仿宋" w:cs="仿宋"/>
          <w:b/>
          <w:bCs/>
          <w:szCs w:val="28"/>
        </w:rPr>
      </w:pPr>
      <w:r>
        <w:rPr>
          <w:rFonts w:hint="eastAsia" w:ascii="仿宋" w:hAnsi="仿宋" w:cs="仿宋"/>
          <w:b/>
          <w:bCs/>
          <w:szCs w:val="28"/>
        </w:rPr>
        <w:t>1 适用范围</w:t>
      </w:r>
    </w:p>
    <w:p>
      <w:pPr>
        <w:autoSpaceDE w:val="0"/>
        <w:autoSpaceDN w:val="0"/>
        <w:ind w:firstLine="560" w:firstLineChars="200"/>
        <w:rPr>
          <w:rFonts w:hint="eastAsia" w:ascii="仿宋" w:hAnsi="仿宋" w:cs="仿宋"/>
          <w:szCs w:val="28"/>
        </w:rPr>
      </w:pPr>
      <w:r>
        <w:rPr>
          <w:rFonts w:hint="eastAsia" w:ascii="仿宋" w:hAnsi="仿宋" w:cs="仿宋"/>
          <w:szCs w:val="28"/>
        </w:rPr>
        <w:t>本细则适用于海南省</w:t>
      </w:r>
      <w:r>
        <w:rPr>
          <w:rFonts w:hint="eastAsia" w:ascii="仿宋" w:hAnsi="仿宋" w:cs="仿宋"/>
          <w:szCs w:val="28"/>
          <w:lang w:val="en-US" w:eastAsia="zh-CN"/>
        </w:rPr>
        <w:t>轿车轮胎</w:t>
      </w:r>
      <w:r>
        <w:rPr>
          <w:rFonts w:hint="eastAsia" w:ascii="仿宋" w:hAnsi="仿宋" w:cs="仿宋"/>
          <w:szCs w:val="28"/>
        </w:rPr>
        <w:t>产品监督抽查，监督抽查产品范围为海南省范围内市场领域的</w:t>
      </w:r>
      <w:r>
        <w:rPr>
          <w:rFonts w:hint="eastAsia" w:ascii="仿宋" w:hAnsi="仿宋" w:cs="仿宋"/>
          <w:szCs w:val="28"/>
          <w:lang w:val="en-US" w:eastAsia="zh-CN"/>
        </w:rPr>
        <w:t>轿车轮胎</w:t>
      </w:r>
      <w:r>
        <w:rPr>
          <w:rFonts w:hint="eastAsia" w:ascii="仿宋" w:hAnsi="仿宋" w:cs="仿宋"/>
          <w:szCs w:val="28"/>
        </w:rPr>
        <w:t>产品。</w:t>
      </w:r>
    </w:p>
    <w:p>
      <w:pPr>
        <w:rPr>
          <w:rFonts w:ascii="仿宋" w:hAnsi="仿宋" w:cs="仿宋"/>
          <w:b/>
          <w:bCs w:val="0"/>
          <w:sz w:val="24"/>
        </w:rPr>
      </w:pPr>
      <w:r>
        <w:rPr>
          <w:rFonts w:hint="eastAsia" w:ascii="仿宋" w:hAnsi="仿宋" w:cs="仿宋"/>
          <w:b/>
          <w:bCs w:val="0"/>
          <w:szCs w:val="28"/>
        </w:rPr>
        <w:t>2.  检验依据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凡是注明日期的文件，其随后所有的修改单（不包括勘误的内容）或修订版不适用于本细则。凡是不注明日期的引用文件，其最新版本适用于本细则。</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仿宋" w:hAnsi="仿宋" w:eastAsia="宋体" w:cs="仿宋"/>
          <w:szCs w:val="28"/>
          <w:lang w:eastAsia="zh-CN"/>
        </w:rPr>
      </w:pPr>
      <w:r>
        <w:rPr>
          <w:rFonts w:hint="eastAsia" w:ascii="仿宋" w:hAnsi="仿宋" w:cs="仿宋"/>
          <w:szCs w:val="28"/>
          <w:lang w:eastAsia="zh-CN"/>
        </w:rPr>
        <w:t>GB 9743-2024</w:t>
      </w:r>
      <w:r>
        <w:rPr>
          <w:rFonts w:hint="eastAsia" w:ascii="仿宋" w:hAnsi="仿宋" w:cs="仿宋"/>
          <w:szCs w:val="28"/>
        </w:rPr>
        <w:t xml:space="preserve"> </w:t>
      </w:r>
      <w:r>
        <w:rPr>
          <w:rFonts w:hint="eastAsia" w:ascii="仿宋" w:hAnsi="仿宋" w:cs="仿宋"/>
          <w:szCs w:val="28"/>
          <w:lang w:eastAsia="zh-CN"/>
        </w:rPr>
        <w:t>《</w:t>
      </w:r>
      <w:r>
        <w:rPr>
          <w:rFonts w:hint="eastAsia" w:ascii="仿宋" w:hAnsi="仿宋" w:cs="仿宋"/>
          <w:szCs w:val="28"/>
        </w:rPr>
        <w:t>轿车轮胎</w:t>
      </w:r>
      <w:r>
        <w:rPr>
          <w:rFonts w:hint="eastAsia" w:ascii="仿宋" w:hAnsi="仿宋" w:cs="仿宋"/>
          <w:szCs w:val="28"/>
          <w:lang w:eastAsia="zh-CN"/>
        </w:rPr>
        <w:t>》</w:t>
      </w:r>
    </w:p>
    <w:p>
      <w:pPr>
        <w:keepNext w:val="0"/>
        <w:keepLines w:val="0"/>
        <w:pageBreakBefore w:val="0"/>
        <w:widowControl w:val="0"/>
        <w:kinsoku/>
        <w:wordWrap/>
        <w:overflowPunct/>
        <w:topLinePunct w:val="0"/>
        <w:autoSpaceDE w:val="0"/>
        <w:autoSpaceDN w:val="0"/>
        <w:bidi w:val="0"/>
        <w:adjustRightInd w:val="0"/>
        <w:snapToGrid w:val="0"/>
        <w:spacing w:before="20" w:line="360" w:lineRule="auto"/>
        <w:ind w:firstLine="560" w:firstLineChars="200"/>
        <w:textAlignment w:val="auto"/>
        <w:rPr>
          <w:rFonts w:hint="eastAsia" w:ascii="仿宋" w:hAnsi="仿宋" w:cs="仿宋"/>
          <w:color w:val="000000"/>
          <w:szCs w:val="28"/>
        </w:rPr>
      </w:pPr>
      <w:r>
        <w:rPr>
          <w:rFonts w:hint="eastAsia" w:ascii="仿宋" w:hAnsi="仿宋" w:cs="仿宋"/>
          <w:color w:val="000000"/>
          <w:szCs w:val="28"/>
        </w:rPr>
        <w:t>其他现行有效的企业标准及产品明示质量要求</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textAlignment w:val="auto"/>
        <w:rPr>
          <w:rFonts w:ascii="仿宋" w:hAnsi="仿宋" w:cs="仿宋"/>
          <w:bCs/>
          <w:szCs w:val="28"/>
        </w:rPr>
      </w:pPr>
      <w:r>
        <w:rPr>
          <w:rFonts w:hint="eastAsia" w:ascii="仿宋" w:hAnsi="仿宋" w:cs="仿宋"/>
          <w:color w:val="000000"/>
          <w:szCs w:val="28"/>
        </w:rPr>
        <w:t>相关的法律法规、部门规章和细则</w:t>
      </w:r>
    </w:p>
    <w:p>
      <w:pPr>
        <w:autoSpaceDE w:val="0"/>
        <w:autoSpaceDN w:val="0"/>
        <w:spacing w:before="158"/>
        <w:rPr>
          <w:rFonts w:ascii="仿宋" w:hAnsi="仿宋" w:cs="仿宋"/>
          <w:b/>
          <w:bCs/>
          <w:szCs w:val="28"/>
        </w:rPr>
      </w:pPr>
      <w:r>
        <w:rPr>
          <w:rFonts w:hint="eastAsia" w:ascii="仿宋" w:hAnsi="仿宋" w:cs="仿宋"/>
          <w:b/>
          <w:bCs/>
          <w:szCs w:val="28"/>
          <w:lang w:val="en-US" w:eastAsia="zh-CN"/>
        </w:rPr>
        <w:t>3</w:t>
      </w:r>
      <w:r>
        <w:rPr>
          <w:rFonts w:hint="eastAsia" w:ascii="仿宋" w:hAnsi="仿宋" w:cs="仿宋"/>
          <w:b/>
          <w:bCs/>
          <w:szCs w:val="28"/>
        </w:rPr>
        <w:t>. 抽样</w:t>
      </w:r>
    </w:p>
    <w:p>
      <w:pPr>
        <w:autoSpaceDE w:val="0"/>
        <w:autoSpaceDN w:val="0"/>
        <w:spacing w:before="158"/>
        <w:ind w:firstLine="560" w:firstLineChars="200"/>
        <w:rPr>
          <w:rFonts w:ascii="仿宋" w:hAnsi="仿宋" w:cs="仿宋"/>
          <w:szCs w:val="28"/>
        </w:rPr>
      </w:pPr>
      <w:r>
        <w:rPr>
          <w:rFonts w:hint="eastAsia" w:ascii="仿宋" w:hAnsi="仿宋" w:cs="仿宋"/>
          <w:szCs w:val="28"/>
        </w:rPr>
        <w:t>以随机抽样的方式在被抽样</w:t>
      </w:r>
      <w:r>
        <w:rPr>
          <w:rFonts w:hint="eastAsia" w:ascii="仿宋" w:hAnsi="仿宋" w:cs="仿宋"/>
          <w:szCs w:val="28"/>
          <w:lang w:eastAsia="zh-CN"/>
        </w:rPr>
        <w:t>的</w:t>
      </w:r>
      <w:r>
        <w:rPr>
          <w:rFonts w:hint="eastAsia" w:ascii="仿宋" w:hAnsi="仿宋" w:cs="仿宋"/>
          <w:szCs w:val="28"/>
        </w:rPr>
        <w:t>生产者、销售者的待销产品中抽取。</w:t>
      </w:r>
    </w:p>
    <w:p>
      <w:pPr>
        <w:autoSpaceDE w:val="0"/>
        <w:autoSpaceDN w:val="0"/>
        <w:spacing w:before="158"/>
        <w:ind w:firstLine="560" w:firstLineChars="200"/>
        <w:rPr>
          <w:color w:val="000000"/>
          <w:szCs w:val="21"/>
        </w:rPr>
      </w:pPr>
      <w:r>
        <w:rPr>
          <w:rFonts w:hint="eastAsia" w:ascii="仿宋" w:hAnsi="仿宋" w:cs="仿宋"/>
          <w:szCs w:val="28"/>
        </w:rPr>
        <w:t>随机数一般可使用随机数表等方法产生。抽样数量应符合下表。</w:t>
      </w:r>
    </w:p>
    <w:p>
      <w:pPr>
        <w:snapToGrid w:val="0"/>
        <w:spacing w:line="440" w:lineRule="exact"/>
        <w:ind w:firstLine="560" w:firstLineChars="200"/>
        <w:jc w:val="center"/>
        <w:rPr>
          <w:color w:val="000000"/>
          <w:szCs w:val="21"/>
        </w:rPr>
      </w:pPr>
      <w:r>
        <w:rPr>
          <w:color w:val="000000"/>
          <w:szCs w:val="21"/>
        </w:rPr>
        <w:t>抽样数量</w:t>
      </w:r>
    </w:p>
    <w:tbl>
      <w:tblPr>
        <w:tblStyle w:val="5"/>
        <w:tblW w:w="8917"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855"/>
        <w:gridCol w:w="2505"/>
        <w:gridCol w:w="1748"/>
        <w:gridCol w:w="1559"/>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3360" w:type="dxa"/>
            <w:gridSpan w:val="2"/>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产品名称</w:t>
            </w:r>
          </w:p>
        </w:tc>
        <w:tc>
          <w:tcPr>
            <w:tcW w:w="1748"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抽样数量</w:t>
            </w:r>
          </w:p>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（条/套）</w:t>
            </w:r>
          </w:p>
        </w:tc>
        <w:tc>
          <w:tcPr>
            <w:tcW w:w="1559"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检验样品</w:t>
            </w:r>
          </w:p>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（条/套）</w:t>
            </w:r>
          </w:p>
        </w:tc>
        <w:tc>
          <w:tcPr>
            <w:tcW w:w="1418"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备用样品</w:t>
            </w:r>
          </w:p>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（条/套）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32"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855"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轿车轮胎</w:t>
            </w:r>
          </w:p>
        </w:tc>
        <w:tc>
          <w:tcPr>
            <w:tcW w:w="2505"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轿车轮胎</w:t>
            </w:r>
          </w:p>
        </w:tc>
        <w:tc>
          <w:tcPr>
            <w:tcW w:w="1748"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p>
        </w:tc>
        <w:tc>
          <w:tcPr>
            <w:tcW w:w="1559"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p>
        </w:tc>
        <w:tc>
          <w:tcPr>
            <w:tcW w:w="1418"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p>
        </w:tc>
      </w:tr>
    </w:tbl>
    <w:p>
      <w:pPr>
        <w:rPr>
          <w:rFonts w:hint="eastAsia" w:ascii="黑体" w:hAnsi="宋体" w:eastAsia="黑体"/>
          <w:bCs/>
          <w:kern w:val="2"/>
          <w:sz w:val="28"/>
          <w:szCs w:val="28"/>
        </w:rPr>
      </w:pPr>
    </w:p>
    <w:p>
      <w:pPr>
        <w:rPr>
          <w:rFonts w:hint="eastAsia" w:ascii="黑体" w:hAnsi="宋体" w:eastAsia="黑体"/>
          <w:bCs/>
          <w:kern w:val="2"/>
          <w:sz w:val="28"/>
          <w:szCs w:val="28"/>
        </w:rPr>
      </w:pPr>
    </w:p>
    <w:p>
      <w:pPr>
        <w:rPr>
          <w:rFonts w:hint="eastAsia" w:ascii="黑体" w:hAnsi="宋体" w:eastAsia="黑体"/>
          <w:bCs/>
          <w:kern w:val="2"/>
          <w:sz w:val="28"/>
          <w:szCs w:val="28"/>
        </w:rPr>
      </w:pPr>
    </w:p>
    <w:p>
      <w:pPr>
        <w:rPr>
          <w:rFonts w:hint="eastAsia" w:ascii="黑体" w:hAnsi="宋体" w:eastAsia="黑体"/>
          <w:bCs/>
          <w:kern w:val="2"/>
          <w:sz w:val="28"/>
          <w:szCs w:val="28"/>
        </w:rPr>
      </w:pPr>
    </w:p>
    <w:p>
      <w:pPr>
        <w:rPr>
          <w:rFonts w:hint="eastAsia" w:ascii="黑体" w:hAnsi="宋体" w:eastAsia="黑体"/>
          <w:bCs/>
          <w:kern w:val="2"/>
          <w:sz w:val="28"/>
          <w:szCs w:val="28"/>
        </w:rPr>
      </w:pPr>
      <w:r>
        <w:rPr>
          <w:rFonts w:hint="eastAsia" w:ascii="黑体" w:hAnsi="宋体" w:eastAsia="黑体"/>
          <w:bCs/>
          <w:kern w:val="2"/>
          <w:sz w:val="28"/>
          <w:szCs w:val="28"/>
        </w:rPr>
        <w:br w:type="page"/>
      </w:r>
    </w:p>
    <w:p>
      <w:pPr>
        <w:rPr>
          <w:rFonts w:hint="eastAsia" w:ascii="黑体" w:hAnsi="宋体" w:eastAsia="黑体"/>
          <w:bCs/>
          <w:kern w:val="2"/>
          <w:sz w:val="28"/>
          <w:szCs w:val="28"/>
        </w:rPr>
      </w:pPr>
      <w:r>
        <w:rPr>
          <w:rFonts w:hint="eastAsia" w:ascii="黑体" w:hAnsi="宋体" w:eastAsia="黑体"/>
          <w:bCs/>
          <w:kern w:val="2"/>
          <w:sz w:val="28"/>
          <w:szCs w:val="28"/>
        </w:rPr>
        <w:t>4 检验项目要求</w:t>
      </w:r>
    </w:p>
    <w:p>
      <w:pPr>
        <w:widowControl w:val="0"/>
        <w:autoSpaceDE w:val="0"/>
        <w:autoSpaceDN w:val="0"/>
        <w:adjustRightInd w:val="0"/>
        <w:ind w:right="28"/>
        <w:jc w:val="center"/>
        <w:rPr>
          <w:rFonts w:hint="eastAsia" w:ascii="宋体" w:hAnsi="宋体" w:eastAsia="宋体" w:cs="宋体"/>
        </w:rPr>
      </w:pPr>
      <w:r>
        <w:rPr>
          <w:rFonts w:hint="eastAsia" w:ascii="宋体" w:hAnsi="宋体" w:eastAsia="宋体" w:cs="宋体"/>
          <w:color w:val="000000"/>
          <w:sz w:val="28"/>
          <w:szCs w:val="28"/>
          <w:lang w:val="zh-CN" w:bidi="ar"/>
        </w:rPr>
        <w:t>执行</w:t>
      </w:r>
      <w:r>
        <w:rPr>
          <w:rFonts w:hint="eastAsia" w:ascii="宋体" w:hAnsi="宋体" w:eastAsia="宋体" w:cs="宋体"/>
          <w:color w:val="000000"/>
          <w:sz w:val="28"/>
          <w:szCs w:val="28"/>
          <w:lang w:val="en-US" w:eastAsia="zh-CN" w:bidi="ar"/>
        </w:rPr>
        <w:t>GB 9743</w:t>
      </w:r>
      <w:r>
        <w:rPr>
          <w:rFonts w:hint="eastAsia" w:ascii="宋体" w:hAnsi="宋体" w:eastAsia="宋体" w:cs="宋体"/>
          <w:color w:val="000000"/>
          <w:sz w:val="28"/>
          <w:szCs w:val="28"/>
          <w:lang w:val="zh-CN" w:bidi="ar"/>
        </w:rPr>
        <w:t>标准产品</w:t>
      </w:r>
      <w:r>
        <w:rPr>
          <w:rFonts w:hint="eastAsia" w:ascii="宋体" w:hAnsi="宋体" w:eastAsia="宋体" w:cs="宋体"/>
          <w:color w:val="000000"/>
          <w:sz w:val="28"/>
          <w:szCs w:val="28"/>
          <w:lang w:bidi="ar"/>
        </w:rPr>
        <w:t>检验项目</w:t>
      </w:r>
    </w:p>
    <w:tbl>
      <w:tblPr>
        <w:tblStyle w:val="5"/>
        <w:tblW w:w="8688" w:type="dxa"/>
        <w:jc w:val="center"/>
        <w:tblLayout w:type="fixed"/>
        <w:tblCellMar>
          <w:top w:w="15" w:type="dxa"/>
          <w:left w:w="15" w:type="dxa"/>
          <w:bottom w:w="15" w:type="dxa"/>
          <w:right w:w="15" w:type="dxa"/>
        </w:tblCellMar>
      </w:tblPr>
      <w:tblGrid>
        <w:gridCol w:w="567"/>
        <w:gridCol w:w="2040"/>
        <w:gridCol w:w="1927"/>
        <w:gridCol w:w="2092"/>
        <w:gridCol w:w="645"/>
        <w:gridCol w:w="709"/>
        <w:gridCol w:w="708"/>
      </w:tblGrid>
      <w:tr>
        <w:tblPrEx>
          <w:tblCellMar>
            <w:top w:w="15" w:type="dxa"/>
            <w:left w:w="15" w:type="dxa"/>
            <w:bottom w:w="15" w:type="dxa"/>
            <w:right w:w="15" w:type="dxa"/>
          </w:tblCellMar>
        </w:tblPrEx>
        <w:trPr>
          <w:trHeight w:val="397" w:hRule="atLeast"/>
          <w:jc w:val="center"/>
        </w:trPr>
        <w:tc>
          <w:tcPr>
            <w:tcW w:w="56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序号</w:t>
            </w:r>
          </w:p>
        </w:tc>
        <w:tc>
          <w:tcPr>
            <w:tcW w:w="204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检验项目</w:t>
            </w:r>
          </w:p>
        </w:tc>
        <w:tc>
          <w:tcPr>
            <w:tcW w:w="192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依据法律法规或标准</w:t>
            </w:r>
          </w:p>
        </w:tc>
        <w:tc>
          <w:tcPr>
            <w:tcW w:w="2092"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检验方法</w:t>
            </w:r>
          </w:p>
        </w:tc>
        <w:tc>
          <w:tcPr>
            <w:tcW w:w="2062" w:type="dxa"/>
            <w:gridSpan w:val="3"/>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重要程度分类</w:t>
            </w:r>
          </w:p>
        </w:tc>
      </w:tr>
      <w:tr>
        <w:tblPrEx>
          <w:tblCellMar>
            <w:top w:w="15" w:type="dxa"/>
            <w:left w:w="15" w:type="dxa"/>
            <w:bottom w:w="15" w:type="dxa"/>
            <w:right w:w="15" w:type="dxa"/>
          </w:tblCellMar>
        </w:tblPrEx>
        <w:trPr>
          <w:trHeight w:val="397" w:hRule="atLeast"/>
          <w:jc w:val="center"/>
        </w:trPr>
        <w:tc>
          <w:tcPr>
            <w:tcW w:w="56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204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192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2092"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A类</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B类</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C类</w:t>
            </w: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4"/>
              </w:rPr>
              <w:t>1</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4"/>
              </w:rPr>
              <w:t>外直径</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cs="宋体"/>
                <w:color w:val="auto"/>
                <w:sz w:val="24"/>
                <w:lang w:val="en-US" w:eastAsia="zh-CN"/>
              </w:rPr>
              <w:t>GB 9743-2024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4"/>
              </w:rPr>
              <w:t>GB/T 521-20</w:t>
            </w:r>
            <w:r>
              <w:rPr>
                <w:rFonts w:hint="eastAsia" w:ascii="宋体" w:hAnsi="宋体" w:eastAsia="宋体" w:cs="宋体"/>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4"/>
              </w:rPr>
              <w:t>2</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4"/>
              </w:rPr>
              <w:t>断面宽度</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cs="宋体"/>
                <w:color w:val="auto"/>
                <w:sz w:val="24"/>
                <w:lang w:val="en-US" w:eastAsia="zh-CN"/>
              </w:rPr>
              <w:t>GB 9743-2024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4"/>
              </w:rPr>
              <w:t>GB/T 521-20</w:t>
            </w:r>
            <w:r>
              <w:rPr>
                <w:rFonts w:hint="eastAsia" w:ascii="宋体" w:hAnsi="宋体" w:eastAsia="宋体" w:cs="宋体"/>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4"/>
              </w:rPr>
              <w:t>3</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4"/>
                <w:lang w:val="en-US" w:eastAsia="zh-CN"/>
              </w:rPr>
              <w:t>轮胎</w:t>
            </w:r>
            <w:r>
              <w:rPr>
                <w:rFonts w:hint="eastAsia" w:ascii="宋体" w:hAnsi="宋体" w:eastAsia="宋体" w:cs="宋体"/>
                <w:sz w:val="24"/>
              </w:rPr>
              <w:t>强度性能</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cs="宋体"/>
                <w:color w:val="auto"/>
                <w:sz w:val="24"/>
                <w:lang w:val="en-US" w:eastAsia="zh-CN"/>
              </w:rPr>
              <w:t>GB 9743-2024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宋体" w:hAnsi="宋体" w:eastAsia="宋体" w:cs="宋体"/>
                <w:sz w:val="21"/>
                <w:szCs w:val="21"/>
                <w:lang w:val="en-US" w:eastAsia="zh-CN"/>
              </w:rPr>
            </w:pPr>
            <w:r>
              <w:rPr>
                <w:rFonts w:hint="eastAsia" w:ascii="宋体" w:hAnsi="宋体" w:eastAsia="宋体" w:cs="宋体"/>
                <w:bCs/>
                <w:sz w:val="24"/>
              </w:rPr>
              <w:t xml:space="preserve"> </w:t>
            </w:r>
            <w:r>
              <w:rPr>
                <w:rFonts w:hint="eastAsia" w:ascii="宋体" w:hAnsi="宋体" w:eastAsia="宋体" w:cs="宋体"/>
                <w:sz w:val="24"/>
              </w:rPr>
              <w:t xml:space="preserve"> </w:t>
            </w:r>
            <w:r>
              <w:rPr>
                <w:rFonts w:hint="eastAsia" w:ascii="宋体" w:hAnsi="宋体" w:eastAsia="宋体" w:cs="宋体"/>
                <w:bCs/>
                <w:sz w:val="24"/>
              </w:rPr>
              <w:t>GB/T 4502-20</w:t>
            </w:r>
            <w:r>
              <w:rPr>
                <w:rFonts w:hint="eastAsia" w:ascii="宋体" w:hAnsi="宋体" w:eastAsia="宋体" w:cs="宋体"/>
                <w:bCs/>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4"/>
              </w:rPr>
              <w:t>4</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4"/>
              </w:rPr>
              <w:t>胎面磨耗标志</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cs="宋体"/>
                <w:color w:val="auto"/>
                <w:sz w:val="24"/>
                <w:lang w:val="en-US" w:eastAsia="zh-CN"/>
              </w:rPr>
              <w:t>GB 9743-2024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宋体" w:hAnsi="宋体" w:eastAsia="宋体" w:cs="宋体"/>
                <w:sz w:val="21"/>
                <w:szCs w:val="21"/>
                <w:lang w:val="en-US" w:eastAsia="zh-CN"/>
              </w:rPr>
            </w:pPr>
            <w:r>
              <w:rPr>
                <w:rFonts w:hint="eastAsia" w:ascii="宋体" w:hAnsi="宋体" w:eastAsia="宋体" w:cs="宋体"/>
                <w:bCs/>
                <w:sz w:val="24"/>
              </w:rPr>
              <w:t>GB/T 521-20</w:t>
            </w:r>
            <w:r>
              <w:rPr>
                <w:rFonts w:hint="eastAsia" w:ascii="宋体" w:hAnsi="宋体" w:eastAsia="宋体" w:cs="宋体"/>
                <w:bCs/>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4"/>
                <w:lang w:val="en-US" w:eastAsia="zh-CN"/>
              </w:rPr>
              <w:t>5</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4"/>
                <w:lang w:val="en-US" w:eastAsia="zh-CN"/>
              </w:rPr>
              <w:t>轮胎</w:t>
            </w:r>
            <w:r>
              <w:rPr>
                <w:rFonts w:hint="eastAsia" w:ascii="宋体" w:hAnsi="宋体" w:eastAsia="宋体" w:cs="宋体"/>
                <w:sz w:val="24"/>
              </w:rPr>
              <w:t>耐久性能</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cs="宋体"/>
                <w:color w:val="auto"/>
                <w:sz w:val="24"/>
                <w:lang w:val="en-US" w:eastAsia="zh-CN"/>
              </w:rPr>
              <w:t>GB 9743-2024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宋体" w:hAnsi="宋体" w:eastAsia="宋体" w:cs="宋体"/>
                <w:sz w:val="21"/>
                <w:szCs w:val="21"/>
                <w:lang w:val="en-US" w:eastAsia="zh-CN"/>
              </w:rPr>
            </w:pPr>
            <w:r>
              <w:rPr>
                <w:rFonts w:hint="eastAsia" w:ascii="宋体" w:hAnsi="宋体" w:eastAsia="宋体" w:cs="宋体"/>
                <w:bCs/>
                <w:sz w:val="24"/>
              </w:rPr>
              <w:t>GB/T 4502-20</w:t>
            </w:r>
            <w:r>
              <w:rPr>
                <w:rFonts w:hint="eastAsia" w:ascii="宋体" w:hAnsi="宋体" w:eastAsia="宋体" w:cs="宋体"/>
                <w:bCs/>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4"/>
                <w:lang w:val="en-US" w:eastAsia="zh-CN"/>
              </w:rPr>
              <w:t>6</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4"/>
                <w:lang w:val="en-US" w:eastAsia="zh-CN"/>
              </w:rPr>
              <w:t>轮胎</w:t>
            </w:r>
            <w:r>
              <w:rPr>
                <w:rFonts w:hint="eastAsia" w:ascii="宋体" w:hAnsi="宋体" w:eastAsia="宋体" w:cs="宋体"/>
                <w:sz w:val="24"/>
              </w:rPr>
              <w:t>高速性能</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cs="宋体"/>
                <w:color w:val="auto"/>
                <w:sz w:val="24"/>
                <w:lang w:val="en-US" w:eastAsia="zh-CN"/>
              </w:rPr>
              <w:t>GB 9743-2024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宋体" w:hAnsi="宋体" w:eastAsia="宋体" w:cs="宋体"/>
                <w:sz w:val="21"/>
                <w:szCs w:val="21"/>
                <w:lang w:val="en-US" w:eastAsia="zh-CN"/>
              </w:rPr>
            </w:pPr>
            <w:r>
              <w:rPr>
                <w:rFonts w:hint="eastAsia" w:ascii="宋体" w:hAnsi="宋体" w:eastAsia="宋体" w:cs="宋体"/>
                <w:bCs/>
                <w:sz w:val="24"/>
              </w:rPr>
              <w:t>GB/T 4502-20</w:t>
            </w:r>
            <w:r>
              <w:rPr>
                <w:rFonts w:hint="eastAsia" w:ascii="宋体" w:hAnsi="宋体" w:eastAsia="宋体" w:cs="宋体"/>
                <w:bCs/>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7</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4"/>
              </w:rPr>
              <w:t>外观质量</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cs="宋体"/>
                <w:color w:val="auto"/>
                <w:sz w:val="24"/>
                <w:lang w:val="en-US" w:eastAsia="zh-CN"/>
              </w:rPr>
              <w:t>GB 9743-2024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eastAsia" w:ascii="宋体" w:hAnsi="宋体" w:eastAsia="宋体" w:cs="宋体"/>
                <w:sz w:val="21"/>
                <w:szCs w:val="21"/>
              </w:rPr>
            </w:pPr>
            <w:r>
              <w:rPr>
                <w:rFonts w:hint="eastAsia" w:ascii="宋体" w:hAnsi="宋体" w:cs="宋体"/>
                <w:color w:val="auto"/>
                <w:sz w:val="24"/>
                <w:lang w:val="en-US" w:eastAsia="zh-CN"/>
              </w:rPr>
              <w:t>GB 9743-2024</w:t>
            </w:r>
            <w:r>
              <w:rPr>
                <w:rFonts w:hint="eastAsia" w:ascii="仿宋" w:hAnsi="仿宋" w:cs="仿宋"/>
                <w:sz w:val="24"/>
                <w:lang w:eastAsia="zh-CN"/>
              </w:rPr>
              <w:t>、</w:t>
            </w:r>
            <w:r>
              <w:rPr>
                <w:rFonts w:hint="eastAsia" w:ascii="仿宋" w:hAnsi="仿宋" w:cs="仿宋"/>
                <w:sz w:val="24"/>
                <w:lang w:val="en-US" w:eastAsia="zh-CN"/>
              </w:rPr>
              <w:t>HG/T 2177-2011</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8</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000000"/>
                <w:sz w:val="24"/>
              </w:rPr>
            </w:pPr>
            <w:r>
              <w:rPr>
                <w:rFonts w:hint="eastAsia" w:ascii="宋体" w:hAnsi="宋体" w:eastAsia="宋体" w:cs="宋体"/>
                <w:sz w:val="24"/>
              </w:rPr>
              <w:t>标</w:t>
            </w:r>
            <w:r>
              <w:rPr>
                <w:rFonts w:hint="eastAsia" w:ascii="宋体" w:hAnsi="宋体" w:eastAsia="宋体" w:cs="宋体"/>
                <w:sz w:val="24"/>
                <w:lang w:val="en-US" w:eastAsia="zh-CN"/>
              </w:rPr>
              <w:t>志</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4"/>
              </w:rPr>
            </w:pPr>
            <w:r>
              <w:rPr>
                <w:rFonts w:hint="eastAsia" w:ascii="宋体" w:hAnsi="宋体" w:cs="宋体"/>
                <w:color w:val="auto"/>
                <w:sz w:val="24"/>
                <w:lang w:val="en-US" w:eastAsia="zh-CN"/>
              </w:rPr>
              <w:t>GB 9743-2024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eastAsia" w:ascii="宋体" w:hAnsi="宋体" w:eastAsia="宋体" w:cs="宋体"/>
                <w:sz w:val="24"/>
                <w:lang w:eastAsia="zh-CN"/>
              </w:rPr>
            </w:pPr>
            <w:r>
              <w:rPr>
                <w:rFonts w:hint="eastAsia" w:ascii="宋体" w:hAnsi="宋体" w:cs="宋体"/>
                <w:bCs/>
                <w:sz w:val="24"/>
                <w:lang w:eastAsia="zh-CN"/>
              </w:rPr>
              <w:t>GB 9743-2024</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8688" w:type="dxa"/>
            <w:gridSpan w:val="7"/>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both"/>
              <w:rPr>
                <w:rFonts w:hint="eastAsia" w:ascii="宋体" w:hAnsi="宋体" w:eastAsia="宋体" w:cs="宋体"/>
                <w:sz w:val="24"/>
              </w:rPr>
            </w:pPr>
            <w:r>
              <w:rPr>
                <w:rFonts w:hint="eastAsia" w:ascii="宋体" w:hAnsi="宋体" w:eastAsia="宋体" w:cs="宋体"/>
                <w:sz w:val="21"/>
                <w:szCs w:val="21"/>
              </w:rPr>
              <w:t>注：根据实际产品标准对应要求的项目进行检测。</w:t>
            </w:r>
          </w:p>
        </w:tc>
      </w:tr>
    </w:tbl>
    <w:p>
      <w:pPr>
        <w:widowControl w:val="0"/>
        <w:autoSpaceDE w:val="0"/>
        <w:autoSpaceDN w:val="0"/>
        <w:adjustRightInd w:val="0"/>
        <w:spacing w:line="360" w:lineRule="auto"/>
        <w:ind w:right="28"/>
        <w:jc w:val="both"/>
        <w:rPr>
          <w:rFonts w:hint="eastAsia" w:ascii="仿宋" w:hAnsi="仿宋" w:eastAsia="仿宋" w:cs="宋体"/>
          <w:sz w:val="21"/>
          <w:szCs w:val="21"/>
          <w:lang w:bidi="ar"/>
        </w:rPr>
      </w:pPr>
      <w:r>
        <w:rPr>
          <w:rFonts w:hint="eastAsia" w:ascii="仿宋" w:hAnsi="仿宋" w:eastAsia="仿宋" w:cs="宋体"/>
          <w:sz w:val="21"/>
          <w:szCs w:val="21"/>
          <w:lang w:bidi="ar"/>
        </w:rPr>
        <w:t>注：A类-极重要质量项目是指直接涉及人体健康、使用安全的指标；B类-重要质量项目是指产品涉及关键性能或特征值的指标。C类-标示标识或不影响人体健康、使用安全和产品使用关键性能的指标。</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检验应注意的问题：</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产品明示的质量要求高于本细则中检验项目依据的标准要求时，应按被检产品明示的质量要求判定。若被检产品明示的质量要求低于本细则中检验项目依据的国家或行业强制性标准要求时，应按国家或行业强制性标准要求判定；若被检产品明示的质量要求缺少本细则中的强制性检验项目时，应按本细则中强制性检验项目依据的标准要求进行检验并判定；若被检产品明示的质量要求缺少本细则中检验项目依据的推荐性标准要求时，该项目不参与判定，但应在检验报告备注中进行说明。</w:t>
      </w:r>
    </w:p>
    <w:p>
      <w:pPr>
        <w:autoSpaceDE w:val="0"/>
        <w:autoSpaceDN w:val="0"/>
        <w:spacing w:line="360" w:lineRule="auto"/>
        <w:ind w:firstLine="560" w:firstLineChars="200"/>
        <w:rPr>
          <w:rFonts w:hint="eastAsia" w:ascii="仿宋_GB2312" w:hAnsi="仿宋_GB2312" w:eastAsia="仿宋_GB2312" w:cs="仿宋_GB2312"/>
          <w:kern w:val="2"/>
          <w:sz w:val="28"/>
          <w:szCs w:val="28"/>
        </w:rPr>
      </w:pPr>
      <w:r>
        <w:rPr>
          <w:rFonts w:hint="eastAsia" w:ascii="仿宋" w:hAnsi="仿宋" w:cs="仿宋"/>
          <w:bCs/>
          <w:color w:val="000000"/>
          <w:szCs w:val="28"/>
          <w:shd w:val="clear" w:color="auto" w:fill="FFFFFF"/>
          <w:lang w:eastAsia="zh-CN"/>
        </w:rPr>
        <w:t>②若样品出现封样状态破坏或样品异常损坏的情况，影响检验结果，则停止对该样品的检验。</w:t>
      </w:r>
    </w:p>
    <w:p>
      <w:pPr>
        <w:autoSpaceDE w:val="0"/>
        <w:autoSpaceDN w:val="0"/>
        <w:rPr>
          <w:rFonts w:ascii="仿宋" w:hAnsi="仿宋" w:cs="仿宋"/>
          <w:b/>
          <w:bCs/>
          <w:szCs w:val="28"/>
        </w:rPr>
      </w:pPr>
      <w:r>
        <w:rPr>
          <w:rFonts w:hint="eastAsia" w:ascii="仿宋" w:hAnsi="仿宋" w:cs="仿宋"/>
          <w:b/>
          <w:bCs/>
          <w:szCs w:val="28"/>
          <w:lang w:val="en-US" w:eastAsia="zh-CN"/>
        </w:rPr>
        <w:t>5</w:t>
      </w:r>
      <w:r>
        <w:rPr>
          <w:rFonts w:hint="eastAsia" w:ascii="仿宋" w:hAnsi="仿宋" w:cs="仿宋"/>
          <w:b/>
          <w:bCs/>
          <w:szCs w:val="28"/>
        </w:rPr>
        <w:t>. 判定规则</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经检验，检验项目全部合格，判定为被抽查产品未发现不合格；检验项目中任一项或一项以上不合格，判定为被抽查产品不合格。其中，当产品存在A类项目不合格或3项及以上B类项目不合格时，属于严重不合格。</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统一结论用语：（使用以下三者之一）：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 经抽样检验， 所检项目符合xxx标准要求，依据xxx抽查细则，判定为未发现不合格；</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 </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xxx、xxx、xxx项目不符合xxx标准要求，依据xxx抽查细则，判定为不合格，属于严重不合格。</w:t>
      </w:r>
    </w:p>
    <w:p>
      <w:pPr>
        <w:autoSpaceDE w:val="0"/>
        <w:autoSpaceDN w:val="0"/>
        <w:rPr>
          <w:rFonts w:hint="eastAsia" w:ascii="仿宋" w:hAnsi="仿宋" w:cs="仿宋"/>
          <w:b/>
          <w:bCs/>
          <w:szCs w:val="28"/>
          <w:lang w:val="en-US" w:eastAsia="zh-CN"/>
        </w:rPr>
      </w:pPr>
      <w:r>
        <w:rPr>
          <w:rFonts w:hint="eastAsia" w:ascii="仿宋" w:hAnsi="仿宋" w:cs="仿宋"/>
          <w:b/>
          <w:bCs/>
          <w:szCs w:val="28"/>
          <w:lang w:val="en-US" w:eastAsia="zh-CN"/>
        </w:rPr>
        <w:t>6 异议处理复检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对判定不合格产品进行复检时，按以下方式进行：</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6.1对不合格项目复检时，可以在原样上检验的在原样上复检，不可以在原样上检验的采用备用样复检。复检结论为最终检验结论。</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6.2 不进行复检情况：</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①被检方提出复检时，产品在复检有效期内于正常贮存条件下已变质；</w:t>
      </w:r>
    </w:p>
    <w:p>
      <w:pPr>
        <w:autoSpaceDE w:val="0"/>
        <w:autoSpaceDN w:val="0"/>
        <w:spacing w:before="158"/>
        <w:ind w:firstLine="560" w:firstLineChars="200"/>
      </w:pPr>
      <w:r>
        <w:rPr>
          <w:rFonts w:hint="eastAsia" w:ascii="仿宋" w:hAnsi="仿宋" w:cs="仿宋"/>
          <w:bCs/>
          <w:color w:val="000000"/>
          <w:szCs w:val="28"/>
          <w:shd w:val="clear" w:color="auto" w:fill="FFFFFF"/>
          <w:lang w:eastAsia="zh-CN"/>
        </w:rPr>
        <w:t>②法律、法规规定不得复检的其他情况。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jZGZkNDRkMGFjY2RhMWM2ODY2ODRkMGY5YjVjM2MifQ=="/>
  </w:docVars>
  <w:rsids>
    <w:rsidRoot w:val="1D55468D"/>
    <w:rsid w:val="0DC1122A"/>
    <w:rsid w:val="0FAE084D"/>
    <w:rsid w:val="13551CDC"/>
    <w:rsid w:val="14FB5BEE"/>
    <w:rsid w:val="1D55468D"/>
    <w:rsid w:val="2CDA27B3"/>
    <w:rsid w:val="350201A1"/>
    <w:rsid w:val="3C645083"/>
    <w:rsid w:val="3CF057A7"/>
    <w:rsid w:val="47081AC6"/>
    <w:rsid w:val="4ABB2231"/>
    <w:rsid w:val="51F85F7D"/>
    <w:rsid w:val="564B1653"/>
    <w:rsid w:val="5E86693C"/>
    <w:rsid w:val="639D571B"/>
    <w:rsid w:val="651F502C"/>
    <w:rsid w:val="68952E2C"/>
    <w:rsid w:val="6A1F0BF4"/>
    <w:rsid w:val="6E581B5E"/>
    <w:rsid w:val="760C3F57"/>
    <w:rsid w:val="79204D21"/>
    <w:rsid w:val="7FBD561C"/>
    <w:rsid w:val="7FDD4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Times New Roman"/>
      <w:kern w:val="2"/>
      <w:sz w:val="28"/>
      <w:szCs w:val="24"/>
      <w:lang w:val="en-US" w:eastAsia="zh-CN" w:bidi="ar-SA"/>
    </w:rPr>
  </w:style>
  <w:style w:type="paragraph" w:styleId="2">
    <w:name w:val="heading 2"/>
    <w:basedOn w:val="1"/>
    <w:next w:val="1"/>
    <w:qFormat/>
    <w:uiPriority w:val="9"/>
    <w:pPr>
      <w:outlineLvl w:val="1"/>
    </w:pPr>
    <w:rPr>
      <w:rFonts w:ascii="宋体" w:hAnsi="宋体"/>
      <w:b/>
      <w:kern w:val="0"/>
      <w:sz w:val="30"/>
      <w:szCs w:val="36"/>
    </w:rPr>
  </w:style>
  <w:style w:type="paragraph" w:styleId="3">
    <w:name w:val="heading 5"/>
    <w:basedOn w:val="1"/>
    <w:next w:val="1"/>
    <w:semiHidden/>
    <w:unhideWhenUsed/>
    <w:qFormat/>
    <w:uiPriority w:val="0"/>
    <w:pPr>
      <w:keepNext/>
      <w:keepLines/>
      <w:spacing w:before="280" w:after="290" w:line="240" w:lineRule="auto"/>
      <w:outlineLvl w:val="4"/>
    </w:pPr>
    <w:rPr>
      <w:rFonts w:ascii="Calibri" w:hAnsi="Calibri" w:eastAsia="宋体"/>
      <w:b/>
      <w:bCs/>
      <w:sz w:val="24"/>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unhideWhenUsed/>
    <w:qFormat/>
    <w:uiPriority w:val="99"/>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1229</Words>
  <Characters>1436</Characters>
  <Lines>0</Lines>
  <Paragraphs>0</Paragraphs>
  <TotalTime>1</TotalTime>
  <ScaleCrop>false</ScaleCrop>
  <LinksUpToDate>false</LinksUpToDate>
  <CharactersWithSpaces>1480</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2023-06-29T15:38:00Z</dcterms:created>
  <dc:creator>NARCOTIC'</dc:creator>
  <cp:lastModifiedBy>uos</cp:lastModifiedBy>
  <dcterms:modified xsi:type="dcterms:W3CDTF">2026-09-07T11:04:01Z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3F0AFC055E774D9BB37D4900E9E068A7_13</vt:lpwstr>
  </property>
  <property fmtid="{D5CDD505-2E9C-101B-9397-08002B2CF9AE}" pid="4" name="KSOTemplateDocerSaveRecord">
    <vt:lpwstr>eyJoZGlkIjoiNDZhOGFjZmY4ZmRkMTM2MWFiOGQ0NDM5NzgwMjc3M2UiLCJ1c2VySWQiOiIzNDIyMTE0NDUifQ==</vt:lpwstr>
  </property>
</Properties>
</file>