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pStyle w:val="2"/>
        <w:rPr>
          <w:rFonts w:hint="eastAsia"/>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2026年</w:t>
      </w:r>
      <w:r>
        <w:rPr>
          <w:rFonts w:hint="eastAsia" w:ascii="宋体" w:hAnsi="宋体" w:cs="宋体"/>
          <w:b/>
          <w:bCs/>
          <w:color w:val="000000"/>
          <w:sz w:val="48"/>
          <w:szCs w:val="48"/>
        </w:rPr>
        <w:t>海南省</w:t>
      </w:r>
      <w:r>
        <w:rPr>
          <w:rFonts w:hint="eastAsia" w:ascii="宋体" w:hAnsi="宋体" w:cs="宋体"/>
          <w:b/>
          <w:bCs/>
          <w:color w:val="000000"/>
          <w:sz w:val="48"/>
          <w:szCs w:val="48"/>
          <w:lang w:val="en-US" w:eastAsia="zh-CN"/>
        </w:rPr>
        <w:t>充气轮胎内胎</w:t>
      </w:r>
      <w:r>
        <w:rPr>
          <w:rFonts w:hint="eastAsia" w:ascii="宋体" w:hAnsi="宋体" w:cs="宋体"/>
          <w:b/>
          <w:bCs/>
          <w:color w:val="000000"/>
          <w:sz w:val="48"/>
          <w:szCs w:val="48"/>
        </w:rPr>
        <w:t>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2026年</w:t>
      </w:r>
      <w:r>
        <w:rPr>
          <w:rFonts w:hint="eastAsia" w:ascii="宋体" w:hAnsi="宋体" w:cs="宋体"/>
          <w:b/>
          <w:bCs/>
          <w:sz w:val="32"/>
          <w:szCs w:val="32"/>
          <w:lang w:val="en-US" w:eastAsia="zh-CN"/>
        </w:rPr>
        <w:t>9</w:t>
      </w:r>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eastAsia="微软雅黑" w:cs="宋体"/>
          <w:color w:val="000000"/>
          <w:sz w:val="32"/>
          <w:szCs w:val="32"/>
        </w:rPr>
      </w:pPr>
      <w:bookmarkStart w:id="0" w:name="_GoBack"/>
      <w:bookmarkEnd w:id="0"/>
      <w:r>
        <w:rPr>
          <w:rFonts w:hint="eastAsia" w:ascii="宋体" w:hAnsi="宋体" w:cs="仿宋"/>
          <w:b/>
          <w:bCs/>
          <w:sz w:val="32"/>
          <w:szCs w:val="32"/>
          <w:lang w:eastAsia="zh-CN"/>
        </w:rPr>
        <w:t>2026年</w:t>
      </w:r>
      <w:r>
        <w:rPr>
          <w:rFonts w:hint="eastAsia" w:ascii="宋体" w:hAnsi="宋体" w:cs="仿宋"/>
          <w:b/>
          <w:bCs/>
          <w:sz w:val="32"/>
          <w:szCs w:val="32"/>
        </w:rPr>
        <w:t>海南省</w:t>
      </w:r>
      <w:r>
        <w:rPr>
          <w:rFonts w:hint="eastAsia" w:ascii="宋体" w:hAnsi="宋体" w:cs="仿宋"/>
          <w:b/>
          <w:bCs/>
          <w:sz w:val="32"/>
          <w:szCs w:val="32"/>
          <w:lang w:val="en-US" w:eastAsia="zh-CN"/>
        </w:rPr>
        <w:t>充气轮胎内胎</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本细则适用于海南省</w:t>
      </w:r>
      <w:r>
        <w:rPr>
          <w:rFonts w:hint="eastAsia" w:ascii="仿宋" w:hAnsi="仿宋" w:cs="仿宋"/>
          <w:color w:val="000000"/>
          <w:szCs w:val="28"/>
          <w:shd w:val="clear" w:color="auto" w:fill="FFFFFF"/>
          <w:lang w:val="en-US" w:eastAsia="zh-CN"/>
        </w:rPr>
        <w:t>充气轮胎内胎</w:t>
      </w:r>
      <w:r>
        <w:rPr>
          <w:rFonts w:hint="eastAsia" w:ascii="仿宋" w:hAnsi="仿宋" w:cs="仿宋"/>
          <w:color w:val="000000"/>
          <w:szCs w:val="28"/>
          <w:shd w:val="clear" w:color="auto" w:fill="FFFFFF"/>
        </w:rPr>
        <w:t>产品监督抽查，监督抽查产品范围为海南省范围内市场领域的</w:t>
      </w:r>
      <w:r>
        <w:rPr>
          <w:rFonts w:hint="eastAsia" w:ascii="仿宋" w:hAnsi="仿宋" w:cs="仿宋"/>
          <w:color w:val="000000"/>
          <w:szCs w:val="28"/>
          <w:shd w:val="clear" w:color="auto" w:fill="FFFFFF"/>
          <w:lang w:val="en-US" w:eastAsia="zh-CN"/>
        </w:rPr>
        <w:t>充气轮胎内胎</w:t>
      </w:r>
      <w:r>
        <w:rPr>
          <w:rFonts w:hint="eastAsia" w:ascii="仿宋" w:hAnsi="仿宋" w:cs="仿宋"/>
          <w:color w:val="000000"/>
          <w:szCs w:val="28"/>
          <w:shd w:val="clear" w:color="auto" w:fill="FFFFFF"/>
        </w:rPr>
        <w:t>产品。</w:t>
      </w:r>
    </w:p>
    <w:p>
      <w:pPr>
        <w:rPr>
          <w:rFonts w:ascii="仿宋" w:hAnsi="仿宋" w:cs="仿宋"/>
          <w:b/>
          <w:bCs w:val="0"/>
          <w:sz w:val="24"/>
        </w:rPr>
      </w:pPr>
      <w:r>
        <w:rPr>
          <w:rFonts w:hint="eastAsia" w:ascii="仿宋" w:hAnsi="仿宋" w:cs="仿宋"/>
          <w:b/>
          <w:bCs w:val="0"/>
          <w:szCs w:val="28"/>
        </w:rPr>
        <w:t>2.  检验依据</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凡是注明日期的文件，其随后所有的修改单（不包括勘误的内容）或修订版不适用于本细则。凡是不注明日期的引用文件，其最新版本适用于本细则。</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lang w:eastAsia="zh-CN"/>
        </w:rPr>
      </w:pPr>
      <w:r>
        <w:rPr>
          <w:rFonts w:hint="eastAsia" w:ascii="仿宋" w:hAnsi="仿宋" w:cs="仿宋"/>
          <w:color w:val="000000"/>
          <w:szCs w:val="28"/>
          <w:shd w:val="clear" w:color="auto" w:fill="FFFFFF"/>
          <w:lang w:val="en-US" w:eastAsia="zh-CN"/>
        </w:rPr>
        <w:t>GB/T 7036.1-2023</w:t>
      </w:r>
      <w:r>
        <w:rPr>
          <w:rFonts w:hint="eastAsia" w:ascii="仿宋" w:hAnsi="仿宋" w:cs="仿宋"/>
          <w:color w:val="000000"/>
          <w:szCs w:val="28"/>
          <w:shd w:val="clear" w:color="auto" w:fill="FFFFFF"/>
          <w:lang w:eastAsia="zh-CN"/>
        </w:rPr>
        <w:t>《</w:t>
      </w:r>
      <w:r>
        <w:rPr>
          <w:rFonts w:hint="eastAsia" w:ascii="仿宋" w:hAnsi="仿宋" w:cs="仿宋"/>
          <w:color w:val="000000"/>
          <w:szCs w:val="28"/>
          <w:shd w:val="clear" w:color="auto" w:fill="FFFFFF"/>
          <w:lang w:val="en-US" w:eastAsia="zh-CN"/>
        </w:rPr>
        <w:t>充气轮胎内胎 第一部分：汽车轮胎内胎</w:t>
      </w:r>
      <w:r>
        <w:rPr>
          <w:rFonts w:hint="eastAsia" w:ascii="仿宋" w:hAnsi="仿宋" w:cs="仿宋"/>
          <w:color w:val="000000"/>
          <w:szCs w:val="28"/>
          <w:shd w:val="clear" w:color="auto" w:fill="FFFFFF"/>
          <w:lang w:eastAsia="zh-CN"/>
        </w:rPr>
        <w:t>》</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其他现行有效的企业标准及产品明示质量要求</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相关的法律法规、部门规章和细则</w:t>
      </w:r>
    </w:p>
    <w:p>
      <w:pPr>
        <w:snapToGrid w:val="0"/>
        <w:spacing w:line="440" w:lineRule="exact"/>
        <w:rPr>
          <w:rFonts w:eastAsia="黑体"/>
          <w:color w:val="000000"/>
          <w:szCs w:val="21"/>
        </w:rPr>
      </w:pPr>
      <w:r>
        <w:rPr>
          <w:rFonts w:hint="eastAsia" w:eastAsia="黑体"/>
          <w:color w:val="000000"/>
          <w:szCs w:val="21"/>
          <w:lang w:val="en-US" w:eastAsia="zh-CN"/>
        </w:rPr>
        <w:t>3</w:t>
      </w:r>
      <w:r>
        <w:rPr>
          <w:rFonts w:eastAsia="黑体"/>
          <w:color w:val="000000"/>
          <w:szCs w:val="21"/>
        </w:rPr>
        <w:t xml:space="preserve"> 抽样</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以随机抽样的方式在被抽样生产者、销售者的待销产品中抽取。</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随机数一般可使用随机数表等方法产生。</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eastAsia="宋体" w:cs="仿宋"/>
          <w:color w:val="000000"/>
          <w:szCs w:val="28"/>
          <w:shd w:val="clear" w:color="auto" w:fill="FFFFFF"/>
          <w:lang w:eastAsia="zh-CN"/>
        </w:rPr>
      </w:pPr>
      <w:r>
        <w:rPr>
          <w:rFonts w:hint="eastAsia" w:ascii="仿宋" w:hAnsi="仿宋" w:cs="仿宋"/>
          <w:color w:val="000000"/>
          <w:szCs w:val="28"/>
          <w:shd w:val="clear" w:color="auto" w:fill="FFFFFF"/>
        </w:rPr>
        <w:t>在确认的</w:t>
      </w:r>
      <w:r>
        <w:rPr>
          <w:rFonts w:hint="eastAsia" w:ascii="仿宋" w:hAnsi="仿宋" w:cs="仿宋"/>
          <w:color w:val="000000"/>
          <w:szCs w:val="28"/>
          <w:shd w:val="clear" w:color="auto" w:fill="FFFFFF"/>
          <w:lang w:val="en-US" w:eastAsia="zh-CN"/>
        </w:rPr>
        <w:t>充气轮胎内胎</w:t>
      </w:r>
      <w:r>
        <w:rPr>
          <w:rFonts w:hint="eastAsia" w:ascii="仿宋" w:hAnsi="仿宋" w:cs="仿宋"/>
          <w:color w:val="000000"/>
          <w:szCs w:val="28"/>
          <w:shd w:val="clear" w:color="auto" w:fill="FFFFFF"/>
        </w:rPr>
        <w:t>产品中随机截取样品</w:t>
      </w:r>
      <w:r>
        <w:rPr>
          <w:rFonts w:hint="eastAsia" w:ascii="仿宋" w:hAnsi="仿宋" w:cs="仿宋"/>
          <w:color w:val="000000"/>
          <w:szCs w:val="28"/>
          <w:shd w:val="clear" w:color="auto" w:fill="FFFFFF"/>
          <w:lang w:val="en-US" w:eastAsia="zh-CN"/>
        </w:rPr>
        <w:t>2条</w:t>
      </w:r>
      <w:r>
        <w:rPr>
          <w:rFonts w:hint="eastAsia" w:ascii="仿宋" w:hAnsi="仿宋" w:cs="仿宋"/>
          <w:color w:val="000000"/>
          <w:szCs w:val="28"/>
          <w:shd w:val="clear" w:color="auto" w:fill="FFFFFF"/>
        </w:rPr>
        <w:t>，其中</w:t>
      </w:r>
      <w:r>
        <w:rPr>
          <w:rFonts w:hint="eastAsia" w:ascii="仿宋" w:hAnsi="仿宋" w:cs="仿宋"/>
          <w:color w:val="000000"/>
          <w:szCs w:val="28"/>
          <w:shd w:val="clear" w:color="auto" w:fill="FFFFFF"/>
          <w:lang w:val="en-US" w:eastAsia="zh-CN"/>
        </w:rPr>
        <w:t>1条</w:t>
      </w:r>
      <w:r>
        <w:rPr>
          <w:rFonts w:hint="eastAsia" w:ascii="仿宋" w:hAnsi="仿宋" w:cs="仿宋"/>
          <w:color w:val="000000"/>
          <w:szCs w:val="28"/>
          <w:shd w:val="clear" w:color="auto" w:fill="FFFFFF"/>
        </w:rPr>
        <w:t>作为检验样品，</w:t>
      </w:r>
      <w:r>
        <w:rPr>
          <w:rFonts w:hint="eastAsia" w:ascii="仿宋" w:hAnsi="仿宋" w:cs="仿宋"/>
          <w:color w:val="000000"/>
          <w:szCs w:val="28"/>
          <w:shd w:val="clear" w:color="auto" w:fill="FFFFFF"/>
          <w:lang w:val="en-US" w:eastAsia="zh-CN"/>
        </w:rPr>
        <w:t>1条</w:t>
      </w:r>
      <w:r>
        <w:rPr>
          <w:rFonts w:hint="eastAsia" w:ascii="仿宋" w:hAnsi="仿宋" w:cs="仿宋"/>
          <w:color w:val="000000"/>
          <w:szCs w:val="28"/>
          <w:shd w:val="clear" w:color="auto" w:fill="FFFFFF"/>
        </w:rPr>
        <w:t>作为备用样品。</w:t>
      </w:r>
    </w:p>
    <w:p>
      <w:pPr>
        <w:snapToGrid w:val="0"/>
        <w:spacing w:line="440" w:lineRule="exact"/>
        <w:ind w:firstLine="560" w:firstLineChars="200"/>
        <w:rPr>
          <w:color w:val="000000"/>
          <w:szCs w:val="21"/>
        </w:rPr>
      </w:pPr>
    </w:p>
    <w:p>
      <w:pPr>
        <w:rPr>
          <w:rFonts w:hint="eastAsia" w:ascii="黑体" w:hAnsi="宋体" w:eastAsia="黑体"/>
          <w:bCs/>
          <w:kern w:val="2"/>
          <w:sz w:val="28"/>
          <w:szCs w:val="28"/>
        </w:rPr>
      </w:pPr>
      <w:r>
        <w:rPr>
          <w:rFonts w:hint="eastAsia" w:ascii="黑体" w:hAnsi="宋体" w:eastAsia="黑体"/>
          <w:bCs/>
          <w:kern w:val="2"/>
          <w:sz w:val="28"/>
          <w:szCs w:val="28"/>
        </w:rPr>
        <w:br w:type="page"/>
      </w:r>
    </w:p>
    <w:p>
      <w:pPr>
        <w:rPr>
          <w:rFonts w:hint="eastAsia" w:ascii="黑体" w:hAnsi="宋体" w:eastAsia="黑体"/>
          <w:bCs/>
          <w:kern w:val="2"/>
          <w:sz w:val="28"/>
          <w:szCs w:val="28"/>
        </w:rPr>
      </w:pPr>
      <w:r>
        <w:rPr>
          <w:rFonts w:hint="eastAsia" w:ascii="黑体" w:hAnsi="宋体" w:eastAsia="黑体"/>
          <w:bCs/>
          <w:kern w:val="2"/>
          <w:sz w:val="28"/>
          <w:szCs w:val="28"/>
        </w:rPr>
        <w:t>4 检验项目要求</w:t>
      </w:r>
    </w:p>
    <w:p>
      <w:pPr>
        <w:widowControl w:val="0"/>
        <w:autoSpaceDE w:val="0"/>
        <w:autoSpaceDN w:val="0"/>
        <w:adjustRightInd w:val="0"/>
        <w:ind w:right="28"/>
        <w:jc w:val="center"/>
        <w:rPr>
          <w:rFonts w:hint="eastAsia" w:ascii="宋体" w:hAnsi="宋体" w:eastAsia="宋体" w:cs="宋体"/>
        </w:rPr>
      </w:pPr>
      <w:r>
        <w:rPr>
          <w:rFonts w:hint="eastAsia" w:ascii="宋体" w:hAnsi="宋体" w:eastAsia="宋体" w:cs="宋体"/>
          <w:color w:val="000000"/>
          <w:sz w:val="28"/>
          <w:szCs w:val="28"/>
          <w:lang w:val="zh-CN" w:bidi="ar"/>
        </w:rPr>
        <w:t>执行</w:t>
      </w:r>
      <w:r>
        <w:rPr>
          <w:rFonts w:hint="eastAsia" w:ascii="宋体" w:hAnsi="宋体" w:eastAsia="宋体" w:cs="宋体"/>
          <w:color w:val="000000"/>
          <w:sz w:val="28"/>
          <w:szCs w:val="28"/>
          <w:lang w:val="en-US" w:eastAsia="zh-CN" w:bidi="ar"/>
        </w:rPr>
        <w:t>GB</w:t>
      </w:r>
      <w:r>
        <w:rPr>
          <w:rFonts w:hint="eastAsia" w:ascii="宋体" w:hAnsi="宋体" w:cs="宋体"/>
          <w:color w:val="000000"/>
          <w:sz w:val="28"/>
          <w:szCs w:val="28"/>
          <w:lang w:val="en-US" w:eastAsia="zh-CN" w:bidi="ar"/>
        </w:rPr>
        <w:t>/T 7036.1-2023</w:t>
      </w:r>
      <w:r>
        <w:rPr>
          <w:rFonts w:hint="eastAsia" w:ascii="宋体" w:hAnsi="宋体" w:eastAsia="宋体" w:cs="宋体"/>
          <w:color w:val="000000"/>
          <w:sz w:val="28"/>
          <w:szCs w:val="28"/>
          <w:lang w:val="zh-CN" w:bidi="ar"/>
        </w:rPr>
        <w:t>标准产品</w:t>
      </w:r>
      <w:r>
        <w:rPr>
          <w:rFonts w:hint="eastAsia" w:ascii="宋体" w:hAnsi="宋体" w:eastAsia="宋体" w:cs="宋体"/>
          <w:color w:val="000000"/>
          <w:sz w:val="28"/>
          <w:szCs w:val="28"/>
          <w:lang w:bidi="ar"/>
        </w:rPr>
        <w:t>检验项目</w:t>
      </w:r>
    </w:p>
    <w:tbl>
      <w:tblPr>
        <w:tblStyle w:val="7"/>
        <w:tblW w:w="8688" w:type="dxa"/>
        <w:jc w:val="center"/>
        <w:tblLayout w:type="fixed"/>
        <w:tblCellMar>
          <w:top w:w="15" w:type="dxa"/>
          <w:left w:w="15" w:type="dxa"/>
          <w:bottom w:w="15" w:type="dxa"/>
          <w:right w:w="15" w:type="dxa"/>
        </w:tblCellMar>
      </w:tblPr>
      <w:tblGrid>
        <w:gridCol w:w="567"/>
        <w:gridCol w:w="2040"/>
        <w:gridCol w:w="1927"/>
        <w:gridCol w:w="2092"/>
        <w:gridCol w:w="645"/>
        <w:gridCol w:w="709"/>
        <w:gridCol w:w="708"/>
      </w:tblGrid>
      <w:tr>
        <w:tblPrEx>
          <w:tblCellMar>
            <w:top w:w="15" w:type="dxa"/>
            <w:left w:w="15" w:type="dxa"/>
            <w:bottom w:w="15" w:type="dxa"/>
            <w:right w:w="15" w:type="dxa"/>
          </w:tblCellMar>
        </w:tblPrEx>
        <w:trPr>
          <w:trHeight w:val="397" w:hRule="atLeast"/>
          <w:jc w:val="center"/>
        </w:trPr>
        <w:tc>
          <w:tcPr>
            <w:tcW w:w="56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序号</w:t>
            </w:r>
          </w:p>
        </w:tc>
        <w:tc>
          <w:tcPr>
            <w:tcW w:w="204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检验项目</w:t>
            </w:r>
          </w:p>
        </w:tc>
        <w:tc>
          <w:tcPr>
            <w:tcW w:w="192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依据法律法规或标准</w:t>
            </w:r>
          </w:p>
        </w:tc>
        <w:tc>
          <w:tcPr>
            <w:tcW w:w="2092"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检验方法</w:t>
            </w:r>
          </w:p>
        </w:tc>
        <w:tc>
          <w:tcPr>
            <w:tcW w:w="2062"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6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204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192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2092"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A类</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B类</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C类</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sz w:val="21"/>
                <w:szCs w:val="21"/>
                <w:lang w:val="en-US" w:eastAsia="zh-CN"/>
              </w:rPr>
            </w:pPr>
            <w:r>
              <w:rPr>
                <w:rFonts w:hint="eastAsia" w:ascii="宋体" w:hAnsi="宋体" w:cs="宋体"/>
                <w:sz w:val="24"/>
                <w:lang w:val="en-US" w:eastAsia="zh-CN"/>
              </w:rPr>
              <w:t>外观质量</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sz w:val="24"/>
                <w:lang w:val="en-US" w:eastAsia="zh-CN"/>
              </w:rPr>
            </w:pPr>
            <w:r>
              <w:rPr>
                <w:rFonts w:hint="default" w:ascii="宋体" w:hAnsi="宋体" w:cs="宋体"/>
                <w:sz w:val="24"/>
                <w:lang w:val="en-US" w:eastAsia="zh-CN"/>
              </w:rPr>
              <w:t>GB/T 7036.1-2023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4"/>
                <w:szCs w:val="24"/>
                <w:lang w:val="en-US" w:eastAsia="zh-CN" w:bidi="ar-SA"/>
              </w:rPr>
            </w:pPr>
            <w:r>
              <w:rPr>
                <w:rFonts w:hint="default" w:ascii="宋体" w:hAnsi="宋体" w:cs="宋体"/>
                <w:sz w:val="24"/>
                <w:lang w:val="en-US" w:eastAsia="zh-CN"/>
              </w:rPr>
              <w:t>GB/T 7036.1-2023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厚度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sz w:val="24"/>
                <w:lang w:val="en-US" w:eastAsia="zh-CN"/>
              </w:rPr>
            </w:pPr>
            <w:r>
              <w:rPr>
                <w:rFonts w:hint="default" w:ascii="宋体" w:hAnsi="宋体" w:cs="宋体"/>
                <w:sz w:val="24"/>
                <w:lang w:val="en-US" w:eastAsia="zh-CN"/>
              </w:rPr>
              <w:t>GB/T 7036.1-2023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4"/>
                <w:szCs w:val="24"/>
                <w:lang w:val="en-US" w:eastAsia="zh-CN" w:bidi="ar-SA"/>
              </w:rPr>
            </w:pPr>
            <w:r>
              <w:rPr>
                <w:rFonts w:hint="default" w:ascii="宋体" w:hAnsi="宋体" w:cs="宋体"/>
                <w:sz w:val="24"/>
                <w:lang w:val="en-US" w:eastAsia="zh-CN"/>
              </w:rPr>
              <w:t>GB/T 519-2017</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拉伸强度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sz w:val="24"/>
                <w:lang w:val="en-US" w:eastAsia="zh-CN"/>
              </w:rPr>
            </w:pPr>
            <w:r>
              <w:rPr>
                <w:rFonts w:hint="default" w:ascii="宋体" w:hAnsi="宋体" w:cs="宋体"/>
                <w:sz w:val="24"/>
                <w:lang w:val="en-US" w:eastAsia="zh-CN"/>
              </w:rPr>
              <w:t>GB/T 7036.1-2023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4"/>
                <w:szCs w:val="24"/>
                <w:lang w:val="en-US" w:eastAsia="zh-CN" w:bidi="ar-SA"/>
              </w:rPr>
            </w:pPr>
            <w:r>
              <w:rPr>
                <w:rFonts w:hint="default" w:ascii="宋体" w:hAnsi="宋体" w:cs="宋体"/>
                <w:sz w:val="24"/>
                <w:lang w:val="en-US" w:eastAsia="zh-CN"/>
              </w:rPr>
              <w:t>GB/T 519-2017</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拉断伸长率</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sz w:val="24"/>
                <w:lang w:val="en-US" w:eastAsia="zh-CN"/>
              </w:rPr>
            </w:pPr>
            <w:r>
              <w:rPr>
                <w:rFonts w:hint="default" w:ascii="宋体" w:hAnsi="宋体" w:cs="宋体"/>
                <w:sz w:val="24"/>
                <w:lang w:val="en-US" w:eastAsia="zh-CN"/>
              </w:rPr>
              <w:t>GB/T 7036.1-2023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4"/>
                <w:szCs w:val="24"/>
                <w:lang w:val="en-US" w:eastAsia="zh-CN" w:bidi="ar-SA"/>
              </w:rPr>
            </w:pPr>
            <w:r>
              <w:rPr>
                <w:rFonts w:hint="default" w:ascii="宋体" w:hAnsi="宋体" w:cs="宋体"/>
                <w:sz w:val="24"/>
                <w:lang w:val="en-US" w:eastAsia="zh-CN"/>
              </w:rPr>
              <w:t>GB/T 519-2017</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接头强度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sz w:val="24"/>
                <w:lang w:val="en-US" w:eastAsia="zh-CN"/>
              </w:rPr>
            </w:pPr>
            <w:r>
              <w:rPr>
                <w:rFonts w:hint="default" w:ascii="宋体" w:hAnsi="宋体" w:cs="宋体"/>
                <w:sz w:val="24"/>
                <w:lang w:val="en-US" w:eastAsia="zh-CN"/>
              </w:rPr>
              <w:t>GB/T 7036.1-2023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4"/>
                <w:szCs w:val="24"/>
                <w:lang w:val="en-US" w:eastAsia="zh-CN" w:bidi="ar-SA"/>
              </w:rPr>
            </w:pPr>
            <w:r>
              <w:rPr>
                <w:rFonts w:hint="default" w:ascii="宋体" w:hAnsi="宋体" w:cs="宋体"/>
                <w:sz w:val="24"/>
                <w:lang w:val="en-US" w:eastAsia="zh-CN"/>
              </w:rPr>
              <w:t>GB/T 519-2017</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垫胶气门嘴与胎身粘合强度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sz w:val="24"/>
                <w:lang w:val="en-US" w:eastAsia="zh-CN"/>
              </w:rPr>
            </w:pPr>
            <w:r>
              <w:rPr>
                <w:rFonts w:hint="default" w:ascii="宋体" w:hAnsi="宋体" w:cs="宋体"/>
                <w:sz w:val="24"/>
                <w:lang w:val="en-US" w:eastAsia="zh-CN"/>
              </w:rPr>
              <w:t>GB/T 7036.1-2023</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kern w:val="2"/>
                <w:sz w:val="24"/>
                <w:szCs w:val="24"/>
                <w:lang w:val="en-US" w:eastAsia="zh-CN" w:bidi="ar-SA"/>
              </w:rPr>
            </w:pPr>
            <w:r>
              <w:rPr>
                <w:rFonts w:hint="default" w:ascii="宋体" w:hAnsi="宋体" w:cs="宋体"/>
                <w:sz w:val="24"/>
                <w:lang w:val="en-US" w:eastAsia="zh-CN"/>
              </w:rPr>
              <w:t>GB/T 519-2017</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8688" w:type="dxa"/>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宋体" w:hAnsi="宋体" w:eastAsia="宋体" w:cs="宋体"/>
                <w:sz w:val="24"/>
              </w:rPr>
            </w:pPr>
            <w:r>
              <w:rPr>
                <w:rFonts w:hint="eastAsia" w:ascii="宋体" w:hAnsi="宋体" w:eastAsia="宋体" w:cs="宋体"/>
                <w:sz w:val="21"/>
                <w:szCs w:val="21"/>
              </w:rPr>
              <w:t>注：根据实际产品标准对应要求的项目进行检测。</w:t>
            </w:r>
          </w:p>
        </w:tc>
      </w:tr>
    </w:tbl>
    <w:p>
      <w:pPr>
        <w:widowControl w:val="0"/>
        <w:autoSpaceDE w:val="0"/>
        <w:autoSpaceDN w:val="0"/>
        <w:adjustRightInd w:val="0"/>
        <w:spacing w:line="360" w:lineRule="auto"/>
        <w:ind w:right="28"/>
        <w:jc w:val="both"/>
        <w:rPr>
          <w:rFonts w:hint="eastAsia" w:ascii="宋体" w:hAnsi="宋体" w:eastAsia="宋体" w:cs="宋体"/>
          <w:sz w:val="21"/>
          <w:szCs w:val="21"/>
          <w:lang w:bidi="ar"/>
        </w:rPr>
      </w:pPr>
      <w:r>
        <w:rPr>
          <w:rFonts w:hint="eastAsia" w:ascii="宋体" w:hAnsi="宋体" w:eastAsia="宋体"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②若样品出现封样状态破坏或样品异常损坏的情况，影响检验结果，则停止对该样品的检验。</w:t>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①被检方提出复检时，产品在复检有效期内于正常贮存条件下已变质；</w:t>
      </w:r>
    </w:p>
    <w:p>
      <w:pPr>
        <w:autoSpaceDE w:val="0"/>
        <w:autoSpaceDN w:val="0"/>
        <w:spacing w:before="158"/>
        <w:ind w:firstLine="560" w:firstLineChars="200"/>
      </w:pPr>
      <w:r>
        <w:rPr>
          <w:rFonts w:hint="eastAsia" w:ascii="仿宋" w:hAnsi="仿宋" w:cs="仿宋"/>
          <w:bCs/>
          <w:color w:val="000000"/>
          <w:szCs w:val="28"/>
          <w:shd w:val="clear" w:color="auto" w:fill="FFFFFF"/>
          <w:lang w:eastAsia="zh-CN"/>
        </w:rPr>
        <w:t>②法律、法规规定不得复检的其他情况。</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A00002AF" w:usb1="400078FB" w:usb2="00000000" w:usb3="00000000" w:csb0="6000009F" w:csb1="DFD7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CA4E9D"/>
    <w:rsid w:val="05F80922"/>
    <w:rsid w:val="068C59DA"/>
    <w:rsid w:val="0C032502"/>
    <w:rsid w:val="1CA96C46"/>
    <w:rsid w:val="1FA85838"/>
    <w:rsid w:val="2B02087B"/>
    <w:rsid w:val="42C73E13"/>
    <w:rsid w:val="50590879"/>
    <w:rsid w:val="64CA4E9D"/>
    <w:rsid w:val="6A5A6906"/>
    <w:rsid w:val="741E55A9"/>
    <w:rsid w:val="7EFB6955"/>
    <w:rsid w:val="7F9D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Times New Roman"/>
      <w:kern w:val="2"/>
      <w:sz w:val="28"/>
      <w:szCs w:val="24"/>
      <w:lang w:val="en-US" w:eastAsia="zh-CN" w:bidi="ar-SA"/>
    </w:rPr>
  </w:style>
  <w:style w:type="paragraph" w:styleId="3">
    <w:name w:val="heading 1"/>
    <w:basedOn w:val="1"/>
    <w:next w:val="1"/>
    <w:link w:val="10"/>
    <w:qFormat/>
    <w:uiPriority w:val="0"/>
    <w:pPr>
      <w:keepNext/>
      <w:keepLines/>
      <w:spacing w:line="360" w:lineRule="auto"/>
      <w:ind w:firstLine="0" w:firstLineChars="0"/>
      <w:outlineLvl w:val="0"/>
    </w:pPr>
    <w:rPr>
      <w:rFonts w:ascii="Times New Roman" w:hAnsi="Times New Roman" w:eastAsia="宋体" w:cs="Times New Roman"/>
      <w:b/>
      <w:bCs/>
      <w:kern w:val="44"/>
      <w:sz w:val="30"/>
      <w:szCs w:val="44"/>
    </w:rPr>
  </w:style>
  <w:style w:type="paragraph" w:styleId="2">
    <w:name w:val="heading 2"/>
    <w:basedOn w:val="1"/>
    <w:next w:val="1"/>
    <w:link w:val="11"/>
    <w:semiHidden/>
    <w:unhideWhenUsed/>
    <w:qFormat/>
    <w:uiPriority w:val="0"/>
    <w:pPr>
      <w:spacing w:line="240" w:lineRule="auto"/>
      <w:ind w:firstLine="301" w:firstLineChars="100"/>
      <w:jc w:val="left"/>
      <w:outlineLvl w:val="1"/>
    </w:pPr>
    <w:rPr>
      <w:rFonts w:ascii="Arial Black" w:hAnsi="Arial Black" w:eastAsia="宋体" w:cs="Times New Roman"/>
      <w:b/>
      <w:bCs/>
      <w:kern w:val="0"/>
      <w:sz w:val="28"/>
      <w:szCs w:val="24"/>
      <w:lang w:eastAsia="en-US"/>
    </w:rPr>
  </w:style>
  <w:style w:type="paragraph" w:styleId="4">
    <w:name w:val="heading 3"/>
    <w:basedOn w:val="1"/>
    <w:next w:val="1"/>
    <w:link w:val="13"/>
    <w:semiHidden/>
    <w:unhideWhenUsed/>
    <w:qFormat/>
    <w:uiPriority w:val="0"/>
    <w:pPr>
      <w:spacing w:line="240" w:lineRule="auto"/>
      <w:ind w:left="0" w:hanging="840"/>
      <w:jc w:val="left"/>
      <w:outlineLvl w:val="2"/>
    </w:pPr>
    <w:rPr>
      <w:rFonts w:ascii="Times New Roman" w:hAnsi="Times New Roman" w:eastAsia="宋体" w:cs="Times New Roman"/>
      <w:b/>
      <w:bCs/>
      <w:kern w:val="0"/>
      <w:sz w:val="28"/>
      <w:szCs w:val="23"/>
      <w:lang w:eastAsia="en-US"/>
    </w:rPr>
  </w:style>
  <w:style w:type="paragraph" w:styleId="5">
    <w:name w:val="heading 4"/>
    <w:basedOn w:val="1"/>
    <w:next w:val="1"/>
    <w:link w:val="14"/>
    <w:semiHidden/>
    <w:unhideWhenUsed/>
    <w:qFormat/>
    <w:uiPriority w:val="0"/>
    <w:pPr>
      <w:keepNext/>
      <w:keepLines/>
      <w:spacing w:line="360" w:lineRule="auto"/>
      <w:ind w:firstLine="301" w:firstLineChars="100"/>
      <w:jc w:val="left"/>
      <w:outlineLvl w:val="3"/>
    </w:pPr>
    <w:rPr>
      <w:rFonts w:ascii="等线 Light" w:hAnsi="等线 Light" w:eastAsia="宋体" w:cs="Times New Roman"/>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Body Text"/>
    <w:basedOn w:val="1"/>
    <w:next w:val="1"/>
    <w:link w:val="9"/>
    <w:qFormat/>
    <w:uiPriority w:val="0"/>
    <w:rPr>
      <w:rFonts w:ascii="仿宋_GB2312" w:hAnsi="仿宋_GB2312" w:eastAsia="宋体"/>
      <w:sz w:val="28"/>
    </w:rPr>
  </w:style>
  <w:style w:type="character" w:customStyle="1" w:styleId="9">
    <w:name w:val="正文文本 Char"/>
    <w:link w:val="6"/>
    <w:qFormat/>
    <w:uiPriority w:val="0"/>
    <w:rPr>
      <w:rFonts w:ascii="仿宋_GB2312" w:hAnsi="仿宋_GB2312" w:eastAsia="宋体"/>
      <w:kern w:val="2"/>
      <w:sz w:val="28"/>
    </w:rPr>
  </w:style>
  <w:style w:type="character" w:customStyle="1" w:styleId="10">
    <w:name w:val="标题 1 字符1"/>
    <w:link w:val="3"/>
    <w:qFormat/>
    <w:uiPriority w:val="0"/>
    <w:rPr>
      <w:rFonts w:ascii="Times New Roman" w:hAnsi="Times New Roman" w:eastAsia="宋体" w:cs="Times New Roman"/>
      <w:b/>
      <w:bCs/>
      <w:kern w:val="44"/>
      <w:sz w:val="30"/>
      <w:szCs w:val="44"/>
    </w:rPr>
  </w:style>
  <w:style w:type="character" w:customStyle="1" w:styleId="11">
    <w:name w:val="标题 2 字符"/>
    <w:link w:val="2"/>
    <w:qFormat/>
    <w:uiPriority w:val="0"/>
    <w:rPr>
      <w:rFonts w:ascii="Arial Black" w:hAnsi="Arial Black" w:eastAsia="宋体" w:cs="Times New Roman"/>
      <w:b/>
      <w:bCs/>
      <w:sz w:val="28"/>
      <w:szCs w:val="24"/>
      <w:lang w:eastAsia="en-US"/>
    </w:rPr>
  </w:style>
  <w:style w:type="paragraph" w:customStyle="1" w:styleId="12">
    <w:name w:val="正文居中"/>
    <w:basedOn w:val="1"/>
    <w:qFormat/>
    <w:uiPriority w:val="0"/>
    <w:pPr>
      <w:ind w:firstLine="0" w:firstLineChars="0"/>
      <w:jc w:val="center"/>
    </w:pPr>
    <w:rPr>
      <w:rFonts w:hint="eastAsia" w:ascii="Calibri" w:hAnsi="Calibri" w:cs="Times New Roman"/>
      <w:b/>
      <w:sz w:val="30"/>
      <w:szCs w:val="22"/>
    </w:rPr>
  </w:style>
  <w:style w:type="character" w:customStyle="1" w:styleId="13">
    <w:name w:val="标题 3 字符2"/>
    <w:link w:val="4"/>
    <w:qFormat/>
    <w:uiPriority w:val="0"/>
    <w:rPr>
      <w:rFonts w:ascii="Times New Roman" w:hAnsi="Times New Roman" w:eastAsia="宋体" w:cs="Times New Roman"/>
      <w:b/>
      <w:bCs/>
      <w:sz w:val="28"/>
      <w:szCs w:val="23"/>
      <w:lang w:eastAsia="en-US"/>
    </w:rPr>
  </w:style>
  <w:style w:type="character" w:customStyle="1" w:styleId="14">
    <w:name w:val="标题 4 字符"/>
    <w:link w:val="5"/>
    <w:qFormat/>
    <w:uiPriority w:val="0"/>
    <w:rPr>
      <w:rFonts w:ascii="等线 Light" w:hAnsi="等线 Light" w:eastAsia="宋体" w:cs="Times New Roman"/>
      <w:b/>
      <w:bCs/>
      <w:kern w:val="2"/>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1214</Words>
  <Characters>1406</Characters>
  <Lines>0</Lines>
  <Paragraphs>0</Paragraphs>
  <TotalTime>2</TotalTime>
  <ScaleCrop>false</ScaleCrop>
  <LinksUpToDate>false</LinksUpToDate>
  <CharactersWithSpaces>1444</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2025-10-23T09:45:00Z</dcterms:created>
  <dc:creator>杨小舟</dc:creator>
  <cp:lastModifiedBy>uos</cp:lastModifiedBy>
  <dcterms:modified xsi:type="dcterms:W3CDTF">2026-09-07T11:07:27Z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7AF5006B55E24594B03E068BFA77C205_13</vt:lpwstr>
  </property>
  <property fmtid="{D5CDD505-2E9C-101B-9397-08002B2CF9AE}" pid="4" name="KSOTemplateDocerSaveRecord">
    <vt:lpwstr>eyJoZGlkIjoiNDZhOGFjZmY4ZmRkMTM2MWFiOGQ0NDM5NzgwMjc3M2UiLCJ1c2VySWQiOiIzNDIyMTE0NDUifQ==</vt:lpwstr>
  </property>
</Properties>
</file>